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1"/>
        <w:ind w:left="0"/>
        <w:rPr>
          <w:rFonts w:ascii="Times New Roman"/>
          <w:sz w:val="10"/>
        </w:rPr>
      </w:pPr>
    </w:p>
    <w:p>
      <w:pPr>
        <w:bidi w:val="0"/>
        <w:jc w:val="center"/>
        <w:rPr>
          <w:sz w:val="30"/>
          <w:szCs w:val="30"/>
        </w:rPr>
      </w:pPr>
      <w:bookmarkStart w:id="0" w:name="_Toc28061"/>
      <w:bookmarkStart w:id="1" w:name="_Toc31962"/>
      <w:r>
        <w:rPr>
          <w:sz w:val="30"/>
          <w:szCs w:val="30"/>
        </w:rPr>
        <w:t>目</w:t>
      </w:r>
      <w:r>
        <w:rPr>
          <w:sz w:val="30"/>
          <w:szCs w:val="30"/>
        </w:rPr>
        <w:tab/>
      </w:r>
      <w:r>
        <w:rPr>
          <w:sz w:val="30"/>
          <w:szCs w:val="30"/>
        </w:rPr>
        <w:t>录</w:t>
      </w:r>
      <w:bookmarkEnd w:id="0"/>
      <w:bookmarkEnd w:id="1"/>
    </w:p>
    <w:p>
      <w:pPr>
        <w:tabs>
          <w:tab w:val="center" w:pos="4775"/>
          <w:tab w:val="left" w:pos="5379"/>
        </w:tabs>
        <w:spacing w:before="0" w:beforeLines="0" w:after="0" w:afterLines="0" w:line="240" w:lineRule="auto"/>
        <w:ind w:left="0" w:leftChars="0" w:right="0" w:rightChars="0" w:firstLine="0" w:firstLineChars="0"/>
        <w:jc w:val="center"/>
        <w:rPr>
          <w:rFonts w:hint="eastAsia" w:ascii="宋体" w:hAnsi="宋体" w:eastAsia="宋体" w:cs="宋体"/>
          <w:sz w:val="21"/>
          <w:szCs w:val="22"/>
          <w:lang w:val="zh-CN" w:eastAsia="zh-CN" w:bidi="zh-CN"/>
        </w:rPr>
      </w:pPr>
      <w:bookmarkStart w:id="2" w:name="_Toc10266"/>
      <w:r>
        <w:rPr>
          <w:rFonts w:hint="eastAsia" w:ascii="宋体" w:hAnsi="宋体" w:eastAsia="宋体" w:cs="宋体"/>
          <w:sz w:val="21"/>
          <w:szCs w:val="22"/>
          <w:lang w:val="zh-CN" w:eastAsia="zh-CN" w:bidi="zh-CN"/>
        </w:rPr>
        <w:tab/>
      </w:r>
    </w:p>
    <w:sdt>
      <w:sdtPr>
        <w:rPr>
          <w:rFonts w:ascii="宋体" w:hAnsi="宋体" w:eastAsia="宋体" w:cs="宋体"/>
          <w:sz w:val="21"/>
          <w:szCs w:val="22"/>
          <w:lang w:val="zh-CN" w:eastAsia="zh-CN" w:bidi="zh-CN"/>
        </w:rPr>
        <w:id w:val="147454913"/>
        <w15:color w:val="DBDBDB"/>
        <w:docPartObj>
          <w:docPartGallery w:val="Table of Contents"/>
          <w:docPartUnique/>
        </w:docPartObj>
      </w:sdtPr>
      <w:sdtEndPr>
        <w:rPr>
          <w:rFonts w:ascii="宋体" w:hAnsi="宋体" w:eastAsia="宋体" w:cs="宋体"/>
          <w:sz w:val="21"/>
          <w:szCs w:val="22"/>
          <w:lang w:val="zh-CN" w:eastAsia="zh-CN" w:bidi="zh-CN"/>
        </w:rPr>
      </w:sdtEndPr>
      <w:sdtContent>
        <w:p>
          <w:pPr>
            <w:tabs>
              <w:tab w:val="center" w:pos="4775"/>
              <w:tab w:val="left" w:pos="5379"/>
            </w:tabs>
            <w:spacing w:before="0" w:beforeLines="0" w:after="0" w:afterLines="0" w:line="240" w:lineRule="auto"/>
            <w:ind w:left="0" w:leftChars="0" w:right="0" w:rightChars="0" w:firstLine="0" w:firstLineChars="0"/>
            <w:jc w:val="left"/>
            <w:rPr>
              <w:rFonts w:hint="eastAsia" w:ascii="宋体" w:hAnsi="宋体" w:eastAsia="宋体" w:cs="宋体"/>
              <w:sz w:val="28"/>
              <w:szCs w:val="28"/>
            </w:rPr>
          </w:pPr>
          <w:r>
            <w:rPr>
              <w:rFonts w:hint="eastAsia" w:ascii="宋体" w:hAnsi="宋体" w:eastAsia="宋体" w:cs="宋体"/>
              <w:sz w:val="21"/>
              <w:szCs w:val="22"/>
              <w:lang w:val="zh-CN" w:eastAsia="zh-CN" w:bidi="zh-CN"/>
            </w:rPr>
            <w:tab/>
          </w:r>
          <w:r>
            <w:fldChar w:fldCharType="begin"/>
          </w:r>
          <w:r>
            <w:instrText xml:space="preserve">TOC \o "1-3" \h \u </w:instrText>
          </w:r>
          <w:r>
            <w:fldChar w:fldCharType="separate"/>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_Toc21022 </w:instrText>
          </w:r>
          <w:r>
            <w:rPr>
              <w:rFonts w:hint="eastAsia" w:ascii="宋体" w:hAnsi="宋体" w:eastAsia="宋体" w:cs="宋体"/>
              <w:sz w:val="28"/>
              <w:szCs w:val="28"/>
            </w:rPr>
            <w:fldChar w:fldCharType="separate"/>
          </w:r>
          <w:r>
            <w:rPr>
              <w:rFonts w:hint="eastAsia" w:ascii="宋体" w:hAnsi="宋体" w:eastAsia="宋体" w:cs="宋体"/>
              <w:sz w:val="28"/>
              <w:szCs w:val="28"/>
            </w:rPr>
            <w:t>第一章概述</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_Toc21022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_Toc13461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1.1 </w:t>
          </w:r>
          <w:r>
            <w:rPr>
              <w:rFonts w:hint="eastAsia" w:ascii="宋体" w:hAnsi="宋体" w:eastAsia="宋体" w:cs="宋体"/>
              <w:sz w:val="28"/>
              <w:szCs w:val="28"/>
            </w:rPr>
            <w:t>项目由来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_Toc13461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_Toc13064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1.2 </w:t>
          </w:r>
          <w:r>
            <w:rPr>
              <w:rFonts w:hint="eastAsia" w:ascii="宋体" w:hAnsi="宋体" w:eastAsia="宋体" w:cs="宋体"/>
              <w:sz w:val="28"/>
              <w:szCs w:val="28"/>
            </w:rPr>
            <w:t>建设项目概况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_Toc13064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_Toc9753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1.3 </w:t>
          </w:r>
          <w:r>
            <w:rPr>
              <w:rFonts w:hint="eastAsia" w:ascii="宋体" w:hAnsi="宋体" w:eastAsia="宋体" w:cs="宋体"/>
              <w:sz w:val="28"/>
              <w:szCs w:val="28"/>
            </w:rPr>
            <w:t>环境影响评价工作过程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_Toc9753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_Toc8663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1.4 </w:t>
          </w:r>
          <w:r>
            <w:rPr>
              <w:rFonts w:hint="eastAsia" w:ascii="宋体" w:hAnsi="宋体" w:eastAsia="宋体" w:cs="宋体"/>
              <w:sz w:val="28"/>
              <w:szCs w:val="28"/>
            </w:rPr>
            <w:t>分析判定相关情况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_Toc8663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_Toc3897 </w:instrText>
          </w:r>
          <w:r>
            <w:rPr>
              <w:rFonts w:hint="eastAsia" w:ascii="宋体" w:hAnsi="宋体" w:eastAsia="宋体" w:cs="宋体"/>
              <w:sz w:val="28"/>
              <w:szCs w:val="28"/>
            </w:rPr>
            <w:fldChar w:fldCharType="separate"/>
          </w:r>
          <w:r>
            <w:rPr>
              <w:rFonts w:hint="eastAsia" w:ascii="宋体" w:hAnsi="宋体" w:eastAsia="宋体" w:cs="宋体"/>
              <w:bCs/>
              <w:w w:val="99"/>
              <w:sz w:val="28"/>
              <w:szCs w:val="28"/>
              <w:lang w:val="zh-CN" w:eastAsia="zh-CN" w:bidi="zh-CN"/>
            </w:rPr>
            <w:t xml:space="preserve">1.4.1 </w:t>
          </w:r>
          <w:r>
            <w:rPr>
              <w:rFonts w:hint="eastAsia" w:ascii="宋体" w:hAnsi="宋体" w:eastAsia="宋体" w:cs="宋体"/>
              <w:sz w:val="28"/>
              <w:szCs w:val="28"/>
            </w:rPr>
            <w:t>产业政策符合性分析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_Toc3897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_Toc18158 </w:instrText>
          </w:r>
          <w:r>
            <w:rPr>
              <w:rFonts w:hint="eastAsia" w:ascii="宋体" w:hAnsi="宋体" w:eastAsia="宋体" w:cs="宋体"/>
              <w:sz w:val="28"/>
              <w:szCs w:val="28"/>
            </w:rPr>
            <w:fldChar w:fldCharType="separate"/>
          </w:r>
          <w:r>
            <w:rPr>
              <w:rFonts w:hint="eastAsia" w:ascii="宋体" w:hAnsi="宋体" w:eastAsia="宋体" w:cs="宋体"/>
              <w:bCs/>
              <w:w w:val="99"/>
              <w:sz w:val="28"/>
              <w:szCs w:val="28"/>
              <w:lang w:val="zh-CN" w:eastAsia="zh-CN" w:bidi="zh-CN"/>
            </w:rPr>
            <w:t xml:space="preserve">1.4.2 </w:t>
          </w:r>
          <w:r>
            <w:rPr>
              <w:rFonts w:hint="eastAsia" w:ascii="宋体" w:hAnsi="宋体" w:eastAsia="宋体" w:cs="宋体"/>
              <w:sz w:val="28"/>
              <w:szCs w:val="28"/>
            </w:rPr>
            <w:t>规划符合性分析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_Toc18158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_Toc31538 </w:instrText>
          </w:r>
          <w:r>
            <w:rPr>
              <w:rFonts w:hint="eastAsia" w:ascii="宋体" w:hAnsi="宋体" w:eastAsia="宋体" w:cs="宋体"/>
              <w:sz w:val="28"/>
              <w:szCs w:val="28"/>
            </w:rPr>
            <w:fldChar w:fldCharType="separate"/>
          </w:r>
          <w:r>
            <w:rPr>
              <w:rFonts w:hint="eastAsia" w:ascii="宋体" w:hAnsi="宋体" w:eastAsia="宋体" w:cs="宋体"/>
              <w:bCs/>
              <w:w w:val="99"/>
              <w:sz w:val="28"/>
              <w:szCs w:val="28"/>
              <w:lang w:val="zh-CN" w:eastAsia="zh-CN" w:bidi="zh-CN"/>
            </w:rPr>
            <w:t xml:space="preserve">1.4.3 </w:t>
          </w:r>
          <w:r>
            <w:rPr>
              <w:rFonts w:hint="eastAsia" w:ascii="宋体" w:hAnsi="宋体" w:eastAsia="宋体" w:cs="宋体"/>
              <w:sz w:val="28"/>
              <w:szCs w:val="28"/>
            </w:rPr>
            <w:t>选址合理性分析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_Toc31538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_Toc31598 </w:instrText>
          </w:r>
          <w:r>
            <w:rPr>
              <w:rFonts w:hint="eastAsia" w:ascii="宋体" w:hAnsi="宋体" w:eastAsia="宋体" w:cs="宋体"/>
              <w:sz w:val="28"/>
              <w:szCs w:val="28"/>
            </w:rPr>
            <w:fldChar w:fldCharType="separate"/>
          </w:r>
          <w:r>
            <w:rPr>
              <w:rFonts w:hint="eastAsia" w:ascii="宋体" w:hAnsi="宋体" w:eastAsia="宋体" w:cs="宋体"/>
              <w:bCs/>
              <w:w w:val="99"/>
              <w:sz w:val="28"/>
              <w:szCs w:val="28"/>
              <w:lang w:val="zh-CN" w:eastAsia="zh-CN" w:bidi="zh-CN"/>
            </w:rPr>
            <w:t xml:space="preserve">1.4.4 </w:t>
          </w:r>
          <w:r>
            <w:rPr>
              <w:rFonts w:hint="eastAsia" w:ascii="宋体" w:hAnsi="宋体" w:eastAsia="宋体" w:cs="宋体"/>
              <w:sz w:val="28"/>
              <w:szCs w:val="28"/>
            </w:rPr>
            <w:t>项目建设的可行性分析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_Toc31598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_Toc22029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1.5 </w:t>
          </w:r>
          <w:r>
            <w:rPr>
              <w:rFonts w:hint="eastAsia" w:ascii="宋体" w:hAnsi="宋体" w:eastAsia="宋体" w:cs="宋体"/>
              <w:sz w:val="28"/>
              <w:szCs w:val="28"/>
            </w:rPr>
            <w:t>关注的主要环境问题及环境影响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_Toc22029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_Toc23786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1.6 </w:t>
          </w:r>
          <w:r>
            <w:rPr>
              <w:rFonts w:hint="eastAsia" w:ascii="宋体" w:hAnsi="宋体" w:eastAsia="宋体" w:cs="宋体"/>
              <w:sz w:val="28"/>
              <w:szCs w:val="28"/>
            </w:rPr>
            <w:t>环境影响评价的主要结论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_Toc23786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_Toc18968 </w:instrText>
          </w:r>
          <w:r>
            <w:rPr>
              <w:rFonts w:hint="eastAsia" w:ascii="宋体" w:hAnsi="宋体" w:eastAsia="宋体" w:cs="宋体"/>
              <w:sz w:val="28"/>
              <w:szCs w:val="28"/>
            </w:rPr>
            <w:fldChar w:fldCharType="separate"/>
          </w:r>
          <w:r>
            <w:rPr>
              <w:rFonts w:hint="eastAsia" w:ascii="宋体" w:hAnsi="宋体" w:eastAsia="宋体" w:cs="宋体"/>
              <w:sz w:val="28"/>
              <w:szCs w:val="28"/>
            </w:rPr>
            <w:t>第二章总则</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_Toc18968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_Toc27501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2.1 </w:t>
          </w:r>
          <w:r>
            <w:rPr>
              <w:rFonts w:hint="eastAsia" w:ascii="宋体" w:hAnsi="宋体" w:eastAsia="宋体" w:cs="宋体"/>
              <w:sz w:val="28"/>
              <w:szCs w:val="28"/>
            </w:rPr>
            <w:t>评价目的及原则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_Toc27501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_Toc16963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2.1.1 </w:t>
          </w:r>
          <w:r>
            <w:rPr>
              <w:rFonts w:hint="eastAsia" w:ascii="宋体" w:hAnsi="宋体" w:eastAsia="宋体" w:cs="宋体"/>
              <w:sz w:val="28"/>
              <w:szCs w:val="28"/>
            </w:rPr>
            <w:t>评价目的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_Toc16963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_Toc27890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2.1.2 </w:t>
          </w:r>
          <w:r>
            <w:rPr>
              <w:rFonts w:hint="eastAsia" w:ascii="宋体" w:hAnsi="宋体" w:eastAsia="宋体" w:cs="宋体"/>
              <w:sz w:val="28"/>
              <w:szCs w:val="28"/>
            </w:rPr>
            <w:t>评价原则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_Toc27890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_Toc59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2.2 </w:t>
          </w:r>
          <w:r>
            <w:rPr>
              <w:rFonts w:hint="eastAsia" w:ascii="宋体" w:hAnsi="宋体" w:eastAsia="宋体" w:cs="宋体"/>
              <w:sz w:val="28"/>
              <w:szCs w:val="28"/>
            </w:rPr>
            <w:t>编制依据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_Toc59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_Toc27024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2.2.1 </w:t>
          </w:r>
          <w:r>
            <w:rPr>
              <w:rFonts w:hint="eastAsia" w:ascii="宋体" w:hAnsi="宋体" w:eastAsia="宋体" w:cs="宋体"/>
              <w:sz w:val="28"/>
              <w:szCs w:val="28"/>
            </w:rPr>
            <w:t>环境保护法律法规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_Toc27024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_Toc27764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2.2.2 </w:t>
          </w:r>
          <w:r>
            <w:rPr>
              <w:rFonts w:hint="eastAsia" w:ascii="宋体" w:hAnsi="宋体" w:eastAsia="宋体" w:cs="宋体"/>
              <w:sz w:val="28"/>
              <w:szCs w:val="28"/>
            </w:rPr>
            <w:t>相关政策及部门规章</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_Toc27764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_Toc28114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2.2.3 </w:t>
          </w:r>
          <w:r>
            <w:rPr>
              <w:rFonts w:hint="eastAsia" w:ascii="宋体" w:hAnsi="宋体" w:eastAsia="宋体" w:cs="宋体"/>
              <w:sz w:val="28"/>
              <w:szCs w:val="28"/>
            </w:rPr>
            <w:t>地方有关法律法规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_Toc28114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_Toc14218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2.2.4 </w:t>
          </w:r>
          <w:r>
            <w:rPr>
              <w:rFonts w:hint="eastAsia" w:ascii="宋体" w:hAnsi="宋体" w:eastAsia="宋体" w:cs="宋体"/>
              <w:sz w:val="28"/>
              <w:szCs w:val="28"/>
            </w:rPr>
            <w:t>相关导则及技术规范依据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_Toc14218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_Toc27934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2.2.5 </w:t>
          </w:r>
          <w:r>
            <w:rPr>
              <w:rFonts w:hint="eastAsia" w:ascii="宋体" w:hAnsi="宋体" w:eastAsia="宋体" w:cs="宋体"/>
              <w:sz w:val="28"/>
              <w:szCs w:val="28"/>
            </w:rPr>
            <w:t>项目编制依据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_Toc27934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_Toc24477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2.3 </w:t>
          </w:r>
          <w:r>
            <w:rPr>
              <w:rFonts w:hint="eastAsia" w:ascii="宋体" w:hAnsi="宋体" w:eastAsia="宋体" w:cs="宋体"/>
              <w:sz w:val="28"/>
              <w:szCs w:val="28"/>
            </w:rPr>
            <w:t>环境影响因素识别及评价因子筛选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_Toc24477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_Toc11294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2.3.1 </w:t>
          </w:r>
          <w:r>
            <w:rPr>
              <w:rFonts w:hint="eastAsia" w:ascii="宋体" w:hAnsi="宋体" w:eastAsia="宋体" w:cs="宋体"/>
              <w:sz w:val="28"/>
              <w:szCs w:val="28"/>
            </w:rPr>
            <w:t>环境影响因素识别</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_Toc11294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2.3.2 </w:t>
          </w:r>
          <w:r>
            <w:rPr>
              <w:rFonts w:hint="eastAsia" w:ascii="宋体" w:hAnsi="宋体" w:eastAsia="宋体" w:cs="宋体"/>
              <w:sz w:val="28"/>
              <w:szCs w:val="28"/>
            </w:rPr>
            <w:t>评价因子筛选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_Toc403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_Toc7033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2.4 </w:t>
          </w:r>
          <w:r>
            <w:rPr>
              <w:rFonts w:hint="eastAsia" w:ascii="宋体" w:hAnsi="宋体" w:eastAsia="宋体" w:cs="宋体"/>
              <w:sz w:val="28"/>
              <w:szCs w:val="28"/>
            </w:rPr>
            <w:t>环境功能区划及评价标准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_Toc7033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_Toc23911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2.4.1</w:t>
          </w:r>
          <w:r>
            <w:rPr>
              <w:rFonts w:hint="eastAsia" w:ascii="宋体" w:hAnsi="宋体" w:eastAsia="宋体" w:cs="宋体"/>
              <w:sz w:val="28"/>
              <w:szCs w:val="28"/>
            </w:rPr>
            <w:t>环境功能区划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_Toc23911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_Toc3435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2.5 </w:t>
          </w:r>
          <w:r>
            <w:rPr>
              <w:rFonts w:hint="eastAsia" w:ascii="宋体" w:hAnsi="宋体" w:eastAsia="宋体" w:cs="宋体"/>
              <w:sz w:val="28"/>
              <w:szCs w:val="28"/>
            </w:rPr>
            <w:t>评价时段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_Toc3435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_Toc28139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2.6 </w:t>
          </w:r>
          <w:r>
            <w:rPr>
              <w:rFonts w:hint="eastAsia" w:ascii="宋体" w:hAnsi="宋体" w:eastAsia="宋体" w:cs="宋体"/>
              <w:sz w:val="28"/>
              <w:szCs w:val="28"/>
            </w:rPr>
            <w:t>评价等级和评价范围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_Toc28139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_Toc17652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2.6.1 </w:t>
          </w:r>
          <w:r>
            <w:rPr>
              <w:rFonts w:hint="eastAsia" w:ascii="宋体" w:hAnsi="宋体" w:eastAsia="宋体" w:cs="宋体"/>
              <w:sz w:val="28"/>
              <w:szCs w:val="28"/>
            </w:rPr>
            <w:t>评价工作等级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_Toc17652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_Toc14251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2.6.2 </w:t>
          </w:r>
          <w:r>
            <w:rPr>
              <w:rFonts w:hint="eastAsia" w:ascii="宋体" w:hAnsi="宋体" w:eastAsia="宋体" w:cs="宋体"/>
              <w:sz w:val="28"/>
              <w:szCs w:val="28"/>
            </w:rPr>
            <w:t>评价范围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_Toc14251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_Toc5054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2.7 </w:t>
          </w:r>
          <w:r>
            <w:rPr>
              <w:rFonts w:hint="eastAsia" w:ascii="宋体" w:hAnsi="宋体" w:eastAsia="宋体" w:cs="宋体"/>
              <w:sz w:val="28"/>
              <w:szCs w:val="28"/>
            </w:rPr>
            <w:t>污染控制与环境保护目标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_Toc5054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_Toc20432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2.7.1 </w:t>
          </w:r>
          <w:r>
            <w:rPr>
              <w:rFonts w:hint="eastAsia" w:ascii="宋体" w:hAnsi="宋体" w:eastAsia="宋体" w:cs="宋体"/>
              <w:sz w:val="28"/>
              <w:szCs w:val="28"/>
            </w:rPr>
            <w:t>污染控制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_Toc20432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_Toc9190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2.7.2 </w:t>
          </w:r>
          <w:r>
            <w:rPr>
              <w:rFonts w:hint="eastAsia" w:ascii="宋体" w:hAnsi="宋体" w:eastAsia="宋体" w:cs="宋体"/>
              <w:sz w:val="28"/>
              <w:szCs w:val="28"/>
            </w:rPr>
            <w:t>环境保护目标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_Toc9190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_Toc25397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2.8 </w:t>
          </w:r>
          <w:r>
            <w:rPr>
              <w:rFonts w:hint="eastAsia" w:ascii="宋体" w:hAnsi="宋体" w:eastAsia="宋体" w:cs="宋体"/>
              <w:sz w:val="28"/>
              <w:szCs w:val="28"/>
            </w:rPr>
            <w:t>评价总体思路及评价重点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_Toc25397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_Toc13637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2.8.1 </w:t>
          </w:r>
          <w:r>
            <w:rPr>
              <w:rFonts w:hint="eastAsia" w:ascii="宋体" w:hAnsi="宋体" w:eastAsia="宋体" w:cs="宋体"/>
              <w:sz w:val="28"/>
              <w:szCs w:val="28"/>
            </w:rPr>
            <w:t>评价总体思路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_Toc13637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_Toc1805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2.8.2 </w:t>
          </w:r>
          <w:r>
            <w:rPr>
              <w:rFonts w:hint="eastAsia" w:ascii="宋体" w:hAnsi="宋体" w:eastAsia="宋体" w:cs="宋体"/>
              <w:sz w:val="28"/>
              <w:szCs w:val="28"/>
            </w:rPr>
            <w:t>评价重点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_Toc1805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_Toc4605 </w:instrText>
          </w:r>
          <w:r>
            <w:rPr>
              <w:rFonts w:hint="eastAsia" w:ascii="宋体" w:hAnsi="宋体" w:eastAsia="宋体" w:cs="宋体"/>
              <w:sz w:val="28"/>
              <w:szCs w:val="28"/>
            </w:rPr>
            <w:fldChar w:fldCharType="separate"/>
          </w:r>
          <w:r>
            <w:rPr>
              <w:rFonts w:hint="eastAsia" w:ascii="宋体" w:hAnsi="宋体" w:eastAsia="宋体" w:cs="宋体"/>
              <w:sz w:val="28"/>
              <w:szCs w:val="28"/>
            </w:rPr>
            <w:t>第三章</w:t>
          </w:r>
          <w:r>
            <w:rPr>
              <w:rFonts w:hint="eastAsia" w:ascii="宋体" w:hAnsi="宋体" w:eastAsia="宋体" w:cs="宋体"/>
              <w:sz w:val="28"/>
              <w:szCs w:val="28"/>
            </w:rPr>
            <w:tab/>
          </w:r>
          <w:r>
            <w:rPr>
              <w:rFonts w:hint="eastAsia" w:ascii="宋体" w:hAnsi="宋体" w:eastAsia="宋体" w:cs="宋体"/>
              <w:sz w:val="28"/>
              <w:szCs w:val="28"/>
            </w:rPr>
            <w:t>建设项目工程概况和工程分析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_Toc4605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_Toc10184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3.1 </w:t>
          </w:r>
          <w:r>
            <w:rPr>
              <w:rFonts w:hint="eastAsia" w:ascii="宋体" w:hAnsi="宋体" w:eastAsia="宋体" w:cs="宋体"/>
              <w:sz w:val="28"/>
              <w:szCs w:val="28"/>
            </w:rPr>
            <w:t>工程概况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_Toc10184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sectPr>
              <w:headerReference r:id="rId3" w:type="default"/>
              <w:footerReference r:id="rId4" w:type="default"/>
              <w:pgSz w:w="11910" w:h="16840"/>
              <w:pgMar w:top="1360" w:right="1220" w:bottom="280" w:left="1260" w:header="897" w:footer="0" w:gutter="0"/>
              <w:pgBorders>
                <w:top w:val="none" w:sz="0" w:space="0"/>
                <w:left w:val="none" w:sz="0" w:space="0"/>
                <w:bottom w:val="none" w:sz="0" w:space="0"/>
                <w:right w:val="none" w:sz="0" w:space="0"/>
              </w:pgBorders>
              <w:pgNumType w:fmt="decimal"/>
            </w:sectPr>
          </w:pP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_Toc23621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3.2 </w:t>
          </w:r>
          <w:r>
            <w:rPr>
              <w:rFonts w:hint="eastAsia" w:ascii="宋体" w:hAnsi="宋体" w:eastAsia="宋体" w:cs="宋体"/>
              <w:sz w:val="28"/>
              <w:szCs w:val="28"/>
            </w:rPr>
            <w:t>工程分析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_Toc23621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_Toc20510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3.2.1 </w:t>
          </w:r>
          <w:r>
            <w:rPr>
              <w:rFonts w:hint="eastAsia" w:ascii="宋体" w:hAnsi="宋体" w:eastAsia="宋体" w:cs="宋体"/>
              <w:sz w:val="28"/>
              <w:szCs w:val="28"/>
            </w:rPr>
            <w:t>施工期工程分析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_Toc20510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_Toc10196 </w:instrText>
          </w:r>
          <w:r>
            <w:rPr>
              <w:rFonts w:hint="eastAsia" w:ascii="宋体" w:hAnsi="宋体" w:eastAsia="宋体" w:cs="宋体"/>
              <w:sz w:val="28"/>
              <w:szCs w:val="28"/>
            </w:rPr>
            <w:fldChar w:fldCharType="separate"/>
          </w:r>
          <w:r>
            <w:rPr>
              <w:rFonts w:hint="eastAsia" w:ascii="宋体" w:hAnsi="宋体" w:eastAsia="宋体" w:cs="宋体"/>
              <w:sz w:val="28"/>
              <w:szCs w:val="28"/>
            </w:rPr>
            <w:t>主体工</w:t>
          </w:r>
          <w:r>
            <w:rPr>
              <w:rFonts w:hint="eastAsia" w:ascii="宋体" w:hAnsi="宋体" w:eastAsia="宋体" w:cs="宋体"/>
              <w:spacing w:val="-5"/>
              <w:sz w:val="28"/>
              <w:szCs w:val="28"/>
            </w:rPr>
            <w:t>程钢筋、</w:t>
          </w:r>
          <w:r>
            <w:rPr>
              <w:rFonts w:hint="eastAsia" w:ascii="宋体" w:hAnsi="宋体" w:eastAsia="宋体" w:cs="宋体"/>
              <w:sz w:val="28"/>
              <w:szCs w:val="28"/>
            </w:rPr>
            <w:t>砖混结构施工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_Toc10196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_Toc4451 </w:instrText>
          </w:r>
          <w:r>
            <w:rPr>
              <w:rFonts w:hint="eastAsia" w:ascii="宋体" w:hAnsi="宋体" w:eastAsia="宋体" w:cs="宋体"/>
              <w:sz w:val="28"/>
              <w:szCs w:val="28"/>
            </w:rPr>
            <w:fldChar w:fldCharType="separate"/>
          </w:r>
          <w:r>
            <w:rPr>
              <w:rFonts w:hint="eastAsia" w:ascii="宋体" w:hAnsi="宋体" w:eastAsia="宋体" w:cs="宋体"/>
              <w:sz w:val="28"/>
              <w:szCs w:val="28"/>
            </w:rPr>
            <w:t>扬尘、噪</w:t>
          </w:r>
          <w:r>
            <w:rPr>
              <w:rFonts w:hint="eastAsia" w:ascii="宋体" w:hAnsi="宋体" w:eastAsia="宋体" w:cs="宋体"/>
              <w:spacing w:val="-4"/>
              <w:sz w:val="28"/>
              <w:szCs w:val="28"/>
            </w:rPr>
            <w:t>声、固废、</w:t>
          </w:r>
          <w:r>
            <w:rPr>
              <w:rFonts w:hint="eastAsia" w:ascii="宋体" w:hAnsi="宋体" w:eastAsia="宋体" w:cs="宋体"/>
              <w:sz w:val="28"/>
              <w:szCs w:val="28"/>
            </w:rPr>
            <w:t>燃油废气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_Toc4451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_Toc9044 </w:instrText>
          </w:r>
          <w:r>
            <w:rPr>
              <w:rFonts w:hint="eastAsia" w:ascii="宋体" w:hAnsi="宋体" w:eastAsia="宋体" w:cs="宋体"/>
              <w:sz w:val="28"/>
              <w:szCs w:val="28"/>
            </w:rPr>
            <w:fldChar w:fldCharType="separate"/>
          </w:r>
          <w:r>
            <w:rPr>
              <w:rFonts w:hint="eastAsia" w:ascii="宋体" w:hAnsi="宋体" w:eastAsia="宋体" w:cs="宋体"/>
              <w:sz w:val="28"/>
              <w:szCs w:val="28"/>
            </w:rPr>
            <w:t>扬尘、噪</w:t>
          </w:r>
          <w:r>
            <w:rPr>
              <w:rFonts w:hint="eastAsia" w:ascii="宋体" w:hAnsi="宋体" w:eastAsia="宋体" w:cs="宋体"/>
              <w:spacing w:val="-4"/>
              <w:sz w:val="28"/>
              <w:szCs w:val="28"/>
            </w:rPr>
            <w:t>声、固废、</w:t>
          </w:r>
          <w:r>
            <w:rPr>
              <w:rFonts w:hint="eastAsia" w:ascii="宋体" w:hAnsi="宋体" w:eastAsia="宋体" w:cs="宋体"/>
              <w:sz w:val="28"/>
              <w:szCs w:val="28"/>
            </w:rPr>
            <w:t>燃油废气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_Toc9044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_Toc24469 </w:instrText>
          </w:r>
          <w:r>
            <w:rPr>
              <w:rFonts w:hint="eastAsia" w:ascii="宋体" w:hAnsi="宋体" w:eastAsia="宋体" w:cs="宋体"/>
              <w:sz w:val="28"/>
              <w:szCs w:val="28"/>
            </w:rPr>
            <w:fldChar w:fldCharType="separate"/>
          </w:r>
          <w:r>
            <w:rPr>
              <w:rFonts w:hint="eastAsia" w:ascii="宋体" w:hAnsi="宋体" w:eastAsia="宋体" w:cs="宋体"/>
              <w:sz w:val="28"/>
              <w:szCs w:val="28"/>
            </w:rPr>
            <w:t>扬尘、噪</w:t>
          </w:r>
          <w:r>
            <w:rPr>
              <w:rFonts w:hint="eastAsia" w:ascii="宋体" w:hAnsi="宋体" w:eastAsia="宋体" w:cs="宋体"/>
              <w:spacing w:val="-4"/>
              <w:sz w:val="28"/>
              <w:szCs w:val="28"/>
            </w:rPr>
            <w:t>声、固废、</w:t>
          </w:r>
          <w:r>
            <w:rPr>
              <w:rFonts w:hint="eastAsia" w:ascii="宋体" w:hAnsi="宋体" w:eastAsia="宋体" w:cs="宋体"/>
              <w:sz w:val="28"/>
              <w:szCs w:val="28"/>
            </w:rPr>
            <w:t>燃油废气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_Toc24469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_Toc31431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3.2.2 </w:t>
          </w:r>
          <w:r>
            <w:rPr>
              <w:rFonts w:hint="eastAsia" w:ascii="宋体" w:hAnsi="宋体" w:eastAsia="宋体" w:cs="宋体"/>
              <w:sz w:val="28"/>
              <w:szCs w:val="28"/>
            </w:rPr>
            <w:t>施工期污染源分析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_Toc31431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_Toc1731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3.2.3 </w:t>
          </w:r>
          <w:r>
            <w:rPr>
              <w:rFonts w:hint="eastAsia" w:ascii="宋体" w:hAnsi="宋体" w:eastAsia="宋体" w:cs="宋体"/>
              <w:sz w:val="28"/>
              <w:szCs w:val="28"/>
            </w:rPr>
            <w:t>运营期污染源分析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_Toc1731 </w:instrText>
          </w:r>
          <w:r>
            <w:rPr>
              <w:rFonts w:hint="eastAsia" w:ascii="宋体" w:hAnsi="宋体" w:eastAsia="宋体" w:cs="宋体"/>
              <w:sz w:val="28"/>
              <w:szCs w:val="28"/>
            </w:rPr>
            <w:fldChar w:fldCharType="separate"/>
          </w:r>
          <w:r>
            <w:rPr>
              <w:rFonts w:hint="eastAsia" w:ascii="宋体" w:hAnsi="宋体" w:eastAsia="宋体" w:cs="宋体"/>
              <w:sz w:val="28"/>
              <w:szCs w:val="28"/>
            </w:rPr>
            <w:t>76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_Toc8648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3.3 </w:t>
          </w:r>
          <w:r>
            <w:rPr>
              <w:rFonts w:hint="eastAsia" w:ascii="宋体" w:hAnsi="宋体" w:eastAsia="宋体" w:cs="宋体"/>
              <w:sz w:val="28"/>
              <w:szCs w:val="28"/>
            </w:rPr>
            <w:t>总量控制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_Toc8648 </w:instrText>
          </w:r>
          <w:r>
            <w:rPr>
              <w:rFonts w:hint="eastAsia" w:ascii="宋体" w:hAnsi="宋体" w:eastAsia="宋体" w:cs="宋体"/>
              <w:sz w:val="28"/>
              <w:szCs w:val="28"/>
            </w:rPr>
            <w:fldChar w:fldCharType="separate"/>
          </w:r>
          <w:r>
            <w:rPr>
              <w:rFonts w:hint="eastAsia" w:ascii="宋体" w:hAnsi="宋体" w:eastAsia="宋体" w:cs="宋体"/>
              <w:sz w:val="28"/>
              <w:szCs w:val="28"/>
            </w:rPr>
            <w:t>86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_Toc19644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3.4 </w:t>
          </w:r>
          <w:r>
            <w:rPr>
              <w:rFonts w:hint="eastAsia" w:ascii="宋体" w:hAnsi="宋体" w:eastAsia="宋体" w:cs="宋体"/>
              <w:sz w:val="28"/>
              <w:szCs w:val="28"/>
            </w:rPr>
            <w:t>清洁生产与循环经济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_Toc19644 </w:instrText>
          </w:r>
          <w:r>
            <w:rPr>
              <w:rFonts w:hint="eastAsia" w:ascii="宋体" w:hAnsi="宋体" w:eastAsia="宋体" w:cs="宋体"/>
              <w:sz w:val="28"/>
              <w:szCs w:val="28"/>
            </w:rPr>
            <w:fldChar w:fldCharType="separate"/>
          </w:r>
          <w:r>
            <w:rPr>
              <w:rFonts w:hint="eastAsia" w:ascii="宋体" w:hAnsi="宋体" w:eastAsia="宋体" w:cs="宋体"/>
              <w:sz w:val="28"/>
              <w:szCs w:val="28"/>
            </w:rPr>
            <w:t>86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_Toc27910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3.4.1 </w:t>
          </w:r>
          <w:r>
            <w:rPr>
              <w:rFonts w:hint="eastAsia" w:ascii="宋体" w:hAnsi="宋体" w:eastAsia="宋体" w:cs="宋体"/>
              <w:sz w:val="28"/>
              <w:szCs w:val="28"/>
            </w:rPr>
            <w:t>清洁生产的意义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_Toc27910 </w:instrText>
          </w:r>
          <w:r>
            <w:rPr>
              <w:rFonts w:hint="eastAsia" w:ascii="宋体" w:hAnsi="宋体" w:eastAsia="宋体" w:cs="宋体"/>
              <w:sz w:val="28"/>
              <w:szCs w:val="28"/>
            </w:rPr>
            <w:fldChar w:fldCharType="separate"/>
          </w:r>
          <w:r>
            <w:rPr>
              <w:rFonts w:hint="eastAsia" w:ascii="宋体" w:hAnsi="宋体" w:eastAsia="宋体" w:cs="宋体"/>
              <w:sz w:val="28"/>
              <w:szCs w:val="28"/>
            </w:rPr>
            <w:t>86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_Toc10537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3.4.2 </w:t>
          </w:r>
          <w:r>
            <w:rPr>
              <w:rFonts w:hint="eastAsia" w:ascii="宋体" w:hAnsi="宋体" w:eastAsia="宋体" w:cs="宋体"/>
              <w:sz w:val="28"/>
              <w:szCs w:val="28"/>
            </w:rPr>
            <w:t>清洁生产水平分析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_Toc10537 </w:instrText>
          </w:r>
          <w:r>
            <w:rPr>
              <w:rFonts w:hint="eastAsia" w:ascii="宋体" w:hAnsi="宋体" w:eastAsia="宋体" w:cs="宋体"/>
              <w:sz w:val="28"/>
              <w:szCs w:val="28"/>
            </w:rPr>
            <w:fldChar w:fldCharType="separate"/>
          </w:r>
          <w:r>
            <w:rPr>
              <w:rFonts w:hint="eastAsia" w:ascii="宋体" w:hAnsi="宋体" w:eastAsia="宋体" w:cs="宋体"/>
              <w:sz w:val="28"/>
              <w:szCs w:val="28"/>
            </w:rPr>
            <w:t>86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_Toc23663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3.4.3 </w:t>
          </w:r>
          <w:r>
            <w:rPr>
              <w:rFonts w:hint="eastAsia" w:ascii="宋体" w:hAnsi="宋体" w:eastAsia="宋体" w:cs="宋体"/>
              <w:sz w:val="28"/>
              <w:szCs w:val="28"/>
            </w:rPr>
            <w:t>清洁生产建议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_Toc23663 </w:instrText>
          </w:r>
          <w:r>
            <w:rPr>
              <w:rFonts w:hint="eastAsia" w:ascii="宋体" w:hAnsi="宋体" w:eastAsia="宋体" w:cs="宋体"/>
              <w:sz w:val="28"/>
              <w:szCs w:val="28"/>
            </w:rPr>
            <w:fldChar w:fldCharType="separate"/>
          </w:r>
          <w:r>
            <w:rPr>
              <w:rFonts w:hint="eastAsia" w:ascii="宋体" w:hAnsi="宋体" w:eastAsia="宋体" w:cs="宋体"/>
              <w:sz w:val="28"/>
              <w:szCs w:val="28"/>
            </w:rPr>
            <w:t>90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_Toc3964 </w:instrText>
          </w:r>
          <w:r>
            <w:rPr>
              <w:rFonts w:hint="eastAsia" w:ascii="宋体" w:hAnsi="宋体" w:eastAsia="宋体" w:cs="宋体"/>
              <w:sz w:val="28"/>
              <w:szCs w:val="28"/>
            </w:rPr>
            <w:fldChar w:fldCharType="separate"/>
          </w:r>
          <w:r>
            <w:rPr>
              <w:rFonts w:hint="eastAsia" w:ascii="宋体" w:hAnsi="宋体" w:eastAsia="宋体" w:cs="宋体"/>
              <w:sz w:val="28"/>
              <w:szCs w:val="28"/>
            </w:rPr>
            <w:t>第四章</w:t>
          </w:r>
          <w:r>
            <w:rPr>
              <w:rFonts w:hint="eastAsia" w:ascii="宋体" w:hAnsi="宋体" w:eastAsia="宋体" w:cs="宋体"/>
              <w:sz w:val="28"/>
              <w:szCs w:val="28"/>
            </w:rPr>
            <w:tab/>
          </w:r>
          <w:r>
            <w:rPr>
              <w:rFonts w:hint="eastAsia" w:ascii="宋体" w:hAnsi="宋体" w:eastAsia="宋体" w:cs="宋体"/>
              <w:sz w:val="28"/>
              <w:szCs w:val="28"/>
            </w:rPr>
            <w:t>环境现状调查与评价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_Toc3964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_Toc17384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4.1 </w:t>
          </w:r>
          <w:r>
            <w:rPr>
              <w:rFonts w:hint="eastAsia" w:ascii="宋体" w:hAnsi="宋体" w:eastAsia="宋体" w:cs="宋体"/>
              <w:sz w:val="28"/>
              <w:szCs w:val="28"/>
            </w:rPr>
            <w:t>自然环境概况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_Toc17384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_Toc24925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4.1.1 </w:t>
          </w:r>
          <w:r>
            <w:rPr>
              <w:rFonts w:hint="eastAsia" w:ascii="宋体" w:hAnsi="宋体" w:eastAsia="宋体" w:cs="宋体"/>
              <w:sz w:val="28"/>
              <w:szCs w:val="28"/>
            </w:rPr>
            <w:t>地理位置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_Toc24925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_Toc11905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4.1.2 </w:t>
          </w:r>
          <w:r>
            <w:rPr>
              <w:rFonts w:hint="eastAsia" w:ascii="宋体" w:hAnsi="宋体" w:eastAsia="宋体" w:cs="宋体"/>
              <w:sz w:val="28"/>
              <w:szCs w:val="28"/>
            </w:rPr>
            <w:t>地形地貌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_Toc11905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_Toc5501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4.1.3 </w:t>
          </w:r>
          <w:r>
            <w:rPr>
              <w:rFonts w:hint="eastAsia" w:ascii="宋体" w:hAnsi="宋体" w:eastAsia="宋体" w:cs="宋体"/>
              <w:sz w:val="28"/>
              <w:szCs w:val="28"/>
            </w:rPr>
            <w:t>气候气象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_Toc5501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_Toc30850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4.1.4 </w:t>
          </w:r>
          <w:r>
            <w:rPr>
              <w:rFonts w:hint="eastAsia" w:ascii="宋体" w:hAnsi="宋体" w:eastAsia="宋体" w:cs="宋体"/>
              <w:sz w:val="28"/>
              <w:szCs w:val="28"/>
            </w:rPr>
            <w:t>水文地质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_Toc30850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_Toc15859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4.1.5 </w:t>
          </w:r>
          <w:r>
            <w:rPr>
              <w:rFonts w:hint="eastAsia" w:ascii="宋体" w:hAnsi="宋体" w:eastAsia="宋体" w:cs="宋体"/>
              <w:sz w:val="28"/>
              <w:szCs w:val="28"/>
            </w:rPr>
            <w:t>工程地质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_Toc15859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_Toc16082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4.1.6 </w:t>
          </w:r>
          <w:r>
            <w:rPr>
              <w:rFonts w:hint="eastAsia" w:ascii="宋体" w:hAnsi="宋体" w:eastAsia="宋体" w:cs="宋体"/>
              <w:sz w:val="28"/>
              <w:szCs w:val="28"/>
            </w:rPr>
            <w:t>生态环境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_Toc16082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_Toc12943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4.2 </w:t>
          </w:r>
          <w:r>
            <w:rPr>
              <w:rFonts w:hint="eastAsia" w:ascii="宋体" w:hAnsi="宋体" w:eastAsia="宋体" w:cs="宋体"/>
              <w:sz w:val="28"/>
              <w:szCs w:val="28"/>
            </w:rPr>
            <w:t>环境质量现状调查与评价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_Toc12943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_Toc30329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4.2.1 </w:t>
          </w:r>
          <w:r>
            <w:rPr>
              <w:rFonts w:hint="eastAsia" w:ascii="宋体" w:hAnsi="宋体" w:eastAsia="宋体" w:cs="宋体"/>
              <w:sz w:val="28"/>
              <w:szCs w:val="28"/>
            </w:rPr>
            <w:t>环境空气质量现状监测与评价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_Toc30329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4.2.2 </w:t>
          </w:r>
          <w:r>
            <w:rPr>
              <w:rFonts w:hint="eastAsia" w:ascii="宋体" w:hAnsi="宋体" w:eastAsia="宋体" w:cs="宋体"/>
              <w:sz w:val="28"/>
              <w:szCs w:val="28"/>
            </w:rPr>
            <w:t>地下水环境质量现状监测与评价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_Toc1741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_Toc21836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4.2.3 </w:t>
          </w:r>
          <w:r>
            <w:rPr>
              <w:rFonts w:hint="eastAsia" w:ascii="宋体" w:hAnsi="宋体" w:eastAsia="宋体" w:cs="宋体"/>
              <w:sz w:val="28"/>
              <w:szCs w:val="28"/>
            </w:rPr>
            <w:t>声环境质量现状监测与评价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_Toc21836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_Toc28745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4.2.4 </w:t>
          </w:r>
          <w:r>
            <w:rPr>
              <w:rFonts w:hint="eastAsia" w:ascii="宋体" w:hAnsi="宋体" w:eastAsia="宋体" w:cs="宋体"/>
              <w:sz w:val="28"/>
              <w:szCs w:val="28"/>
            </w:rPr>
            <w:t>土壤环境质量现状与评价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_Toc28745 </w:instrText>
          </w:r>
          <w:r>
            <w:rPr>
              <w:rFonts w:hint="eastAsia" w:ascii="宋体" w:hAnsi="宋体" w:eastAsia="宋体" w:cs="宋体"/>
              <w:sz w:val="28"/>
              <w:szCs w:val="28"/>
            </w:rPr>
            <w:fldChar w:fldCharType="separate"/>
          </w:r>
          <w:r>
            <w:rPr>
              <w:rFonts w:hint="eastAsia" w:ascii="宋体" w:hAnsi="宋体" w:eastAsia="宋体" w:cs="宋体"/>
              <w:sz w:val="28"/>
              <w:szCs w:val="28"/>
            </w:rPr>
            <w:t>102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_Toc15636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4.2.5 </w:t>
          </w:r>
          <w:r>
            <w:rPr>
              <w:rFonts w:hint="eastAsia" w:ascii="宋体" w:hAnsi="宋体" w:eastAsia="宋体" w:cs="宋体"/>
              <w:sz w:val="28"/>
              <w:szCs w:val="28"/>
            </w:rPr>
            <w:t>生态环境现状调查与评价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_Toc15636 </w:instrText>
          </w:r>
          <w:r>
            <w:rPr>
              <w:rFonts w:hint="eastAsia" w:ascii="宋体" w:hAnsi="宋体" w:eastAsia="宋体" w:cs="宋体"/>
              <w:sz w:val="28"/>
              <w:szCs w:val="28"/>
            </w:rPr>
            <w:fldChar w:fldCharType="separate"/>
          </w:r>
          <w:r>
            <w:rPr>
              <w:rFonts w:hint="eastAsia" w:ascii="宋体" w:hAnsi="宋体" w:eastAsia="宋体" w:cs="宋体"/>
              <w:sz w:val="28"/>
              <w:szCs w:val="28"/>
            </w:rPr>
            <w:t>103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_Toc10721 </w:instrText>
          </w:r>
          <w:r>
            <w:rPr>
              <w:rFonts w:hint="eastAsia" w:ascii="宋体" w:hAnsi="宋体" w:eastAsia="宋体" w:cs="宋体"/>
              <w:sz w:val="28"/>
              <w:szCs w:val="28"/>
            </w:rPr>
            <w:fldChar w:fldCharType="separate"/>
          </w:r>
          <w:r>
            <w:rPr>
              <w:rFonts w:hint="eastAsia" w:ascii="宋体" w:hAnsi="宋体" w:eastAsia="宋体" w:cs="宋体"/>
              <w:sz w:val="28"/>
              <w:szCs w:val="28"/>
            </w:rPr>
            <w:t>第五章</w:t>
          </w:r>
          <w:r>
            <w:rPr>
              <w:rFonts w:hint="eastAsia" w:ascii="宋体" w:hAnsi="宋体" w:eastAsia="宋体" w:cs="宋体"/>
              <w:sz w:val="28"/>
              <w:szCs w:val="28"/>
            </w:rPr>
            <w:tab/>
          </w:r>
          <w:r>
            <w:rPr>
              <w:rFonts w:hint="eastAsia" w:ascii="宋体" w:hAnsi="宋体" w:eastAsia="宋体" w:cs="宋体"/>
              <w:sz w:val="28"/>
              <w:szCs w:val="28"/>
            </w:rPr>
            <w:t>环境影响预测与评价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_Toc10721 </w:instrText>
          </w:r>
          <w:r>
            <w:rPr>
              <w:rFonts w:hint="eastAsia" w:ascii="宋体" w:hAnsi="宋体" w:eastAsia="宋体" w:cs="宋体"/>
              <w:sz w:val="28"/>
              <w:szCs w:val="28"/>
            </w:rPr>
            <w:fldChar w:fldCharType="separate"/>
          </w:r>
          <w:r>
            <w:rPr>
              <w:rFonts w:hint="eastAsia" w:ascii="宋体" w:hAnsi="宋体" w:eastAsia="宋体" w:cs="宋体"/>
              <w:sz w:val="28"/>
              <w:szCs w:val="28"/>
            </w:rPr>
            <w:t>106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_Toc9373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5.1 </w:t>
          </w:r>
          <w:r>
            <w:rPr>
              <w:rFonts w:hint="eastAsia" w:ascii="宋体" w:hAnsi="宋体" w:eastAsia="宋体" w:cs="宋体"/>
              <w:sz w:val="28"/>
              <w:szCs w:val="28"/>
            </w:rPr>
            <w:t>施工期环境影响预测与评价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_Toc9373 </w:instrText>
          </w:r>
          <w:r>
            <w:rPr>
              <w:rFonts w:hint="eastAsia" w:ascii="宋体" w:hAnsi="宋体" w:eastAsia="宋体" w:cs="宋体"/>
              <w:sz w:val="28"/>
              <w:szCs w:val="28"/>
            </w:rPr>
            <w:fldChar w:fldCharType="separate"/>
          </w:r>
          <w:r>
            <w:rPr>
              <w:rFonts w:hint="eastAsia" w:ascii="宋体" w:hAnsi="宋体" w:eastAsia="宋体" w:cs="宋体"/>
              <w:sz w:val="28"/>
              <w:szCs w:val="28"/>
            </w:rPr>
            <w:t>106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_Toc239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5.2 </w:t>
          </w:r>
          <w:r>
            <w:rPr>
              <w:rFonts w:hint="eastAsia" w:ascii="宋体" w:hAnsi="宋体" w:eastAsia="宋体" w:cs="宋体"/>
              <w:sz w:val="28"/>
              <w:szCs w:val="28"/>
            </w:rPr>
            <w:t>运营期环境影响预测与评价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 </w:instrText>
          </w:r>
          <w:r>
            <w:rPr>
              <w:rFonts w:hint="eastAsia" w:ascii="宋体" w:hAnsi="宋体" w:eastAsia="宋体" w:cs="宋体"/>
              <w:sz w:val="28"/>
              <w:szCs w:val="28"/>
            </w:rPr>
            <w:fldChar w:fldCharType="separate"/>
          </w:r>
          <w:r>
            <w:rPr>
              <w:rFonts w:hint="eastAsia"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_Toc5781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5.2.1 </w:t>
          </w:r>
          <w:r>
            <w:rPr>
              <w:rFonts w:hint="eastAsia" w:ascii="宋体" w:hAnsi="宋体" w:eastAsia="宋体" w:cs="宋体"/>
              <w:spacing w:val="-1"/>
              <w:sz w:val="28"/>
              <w:szCs w:val="28"/>
            </w:rPr>
            <w:t>大气环境影响预测与评价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_Toc5781 </w:instrText>
          </w:r>
          <w:r>
            <w:rPr>
              <w:rFonts w:hint="eastAsia" w:ascii="宋体" w:hAnsi="宋体" w:eastAsia="宋体" w:cs="宋体"/>
              <w:sz w:val="28"/>
              <w:szCs w:val="28"/>
            </w:rPr>
            <w:fldChar w:fldCharType="separate"/>
          </w:r>
          <w:r>
            <w:rPr>
              <w:rFonts w:hint="eastAsia"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_Toc25916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5.2.2 </w:t>
          </w:r>
          <w:r>
            <w:rPr>
              <w:rFonts w:hint="eastAsia" w:ascii="宋体" w:hAnsi="宋体" w:eastAsia="宋体" w:cs="宋体"/>
              <w:sz w:val="28"/>
              <w:szCs w:val="28"/>
            </w:rPr>
            <w:t>运营期水环境影响分析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_Toc25916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_Toc23597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5.2.3 </w:t>
          </w:r>
          <w:r>
            <w:rPr>
              <w:rFonts w:hint="eastAsia" w:ascii="宋体" w:hAnsi="宋体" w:eastAsia="宋体" w:cs="宋体"/>
              <w:sz w:val="28"/>
              <w:szCs w:val="28"/>
            </w:rPr>
            <w:t>运营期声环境影响分析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_Toc23597 </w:instrText>
          </w:r>
          <w:r>
            <w:rPr>
              <w:rFonts w:hint="eastAsia" w:ascii="宋体" w:hAnsi="宋体" w:eastAsia="宋体" w:cs="宋体"/>
              <w:sz w:val="28"/>
              <w:szCs w:val="28"/>
            </w:rPr>
            <w:fldChar w:fldCharType="separate"/>
          </w:r>
          <w:r>
            <w:rPr>
              <w:rFonts w:hint="eastAsia" w:ascii="宋体" w:hAnsi="宋体" w:eastAsia="宋体" w:cs="宋体"/>
              <w:sz w:val="28"/>
              <w:szCs w:val="28"/>
            </w:rPr>
            <w:t>119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_Toc22937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5.2.4 </w:t>
          </w:r>
          <w:r>
            <w:rPr>
              <w:rFonts w:hint="eastAsia" w:ascii="宋体" w:hAnsi="宋体" w:eastAsia="宋体" w:cs="宋体"/>
              <w:sz w:val="28"/>
              <w:szCs w:val="28"/>
            </w:rPr>
            <w:t>固体废物环境影响分析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_Toc22937 </w:instrText>
          </w:r>
          <w:r>
            <w:rPr>
              <w:rFonts w:hint="eastAsia" w:ascii="宋体" w:hAnsi="宋体" w:eastAsia="宋体" w:cs="宋体"/>
              <w:sz w:val="28"/>
              <w:szCs w:val="28"/>
            </w:rPr>
            <w:fldChar w:fldCharType="separate"/>
          </w:r>
          <w:r>
            <w:rPr>
              <w:rFonts w:hint="eastAsia" w:ascii="宋体" w:hAnsi="宋体" w:eastAsia="宋体" w:cs="宋体"/>
              <w:sz w:val="28"/>
              <w:szCs w:val="28"/>
            </w:rPr>
            <w:t>121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_Toc22986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5.2.5 </w:t>
          </w:r>
          <w:r>
            <w:rPr>
              <w:rFonts w:hint="eastAsia" w:ascii="宋体" w:hAnsi="宋体" w:eastAsia="宋体" w:cs="宋体"/>
              <w:sz w:val="28"/>
              <w:szCs w:val="28"/>
            </w:rPr>
            <w:t>土壤环境影响分析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_Toc22986 </w:instrText>
          </w:r>
          <w:r>
            <w:rPr>
              <w:rFonts w:hint="eastAsia" w:ascii="宋体" w:hAnsi="宋体" w:eastAsia="宋体" w:cs="宋体"/>
              <w:sz w:val="28"/>
              <w:szCs w:val="28"/>
            </w:rPr>
            <w:fldChar w:fldCharType="separate"/>
          </w:r>
          <w:r>
            <w:rPr>
              <w:rFonts w:hint="eastAsia" w:ascii="宋体" w:hAnsi="宋体" w:eastAsia="宋体" w:cs="宋体"/>
              <w:sz w:val="28"/>
              <w:szCs w:val="28"/>
            </w:rPr>
            <w:t>123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_Toc21063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5.2.6 </w:t>
          </w:r>
          <w:r>
            <w:rPr>
              <w:rFonts w:hint="eastAsia" w:ascii="宋体" w:hAnsi="宋体" w:eastAsia="宋体" w:cs="宋体"/>
              <w:sz w:val="28"/>
              <w:szCs w:val="28"/>
            </w:rPr>
            <w:t>生态环境影响分析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_Toc21063 </w:instrText>
          </w:r>
          <w:r>
            <w:rPr>
              <w:rFonts w:hint="eastAsia" w:ascii="宋体" w:hAnsi="宋体" w:eastAsia="宋体" w:cs="宋体"/>
              <w:sz w:val="28"/>
              <w:szCs w:val="28"/>
            </w:rPr>
            <w:fldChar w:fldCharType="separate"/>
          </w:r>
          <w:r>
            <w:rPr>
              <w:rFonts w:hint="eastAsia" w:ascii="宋体" w:hAnsi="宋体" w:eastAsia="宋体" w:cs="宋体"/>
              <w:sz w:val="28"/>
              <w:szCs w:val="28"/>
            </w:rPr>
            <w:t>126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_Toc5715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5.2.7 </w:t>
          </w:r>
          <w:r>
            <w:rPr>
              <w:rFonts w:hint="eastAsia" w:ascii="宋体" w:hAnsi="宋体" w:eastAsia="宋体" w:cs="宋体"/>
              <w:sz w:val="28"/>
              <w:szCs w:val="28"/>
            </w:rPr>
            <w:t>环境风险分析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_Toc5715 </w:instrText>
          </w:r>
          <w:r>
            <w:rPr>
              <w:rFonts w:hint="eastAsia" w:ascii="宋体" w:hAnsi="宋体" w:eastAsia="宋体" w:cs="宋体"/>
              <w:sz w:val="28"/>
              <w:szCs w:val="28"/>
            </w:rPr>
            <w:fldChar w:fldCharType="separate"/>
          </w:r>
          <w:r>
            <w:rPr>
              <w:rFonts w:hint="eastAsia" w:ascii="宋体" w:hAnsi="宋体" w:eastAsia="宋体" w:cs="宋体"/>
              <w:sz w:val="28"/>
              <w:szCs w:val="28"/>
            </w:rPr>
            <w:t>126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_Toc14226 </w:instrText>
          </w:r>
          <w:r>
            <w:rPr>
              <w:rFonts w:hint="eastAsia" w:ascii="宋体" w:hAnsi="宋体" w:eastAsia="宋体" w:cs="宋体"/>
              <w:sz w:val="28"/>
              <w:szCs w:val="28"/>
            </w:rPr>
            <w:fldChar w:fldCharType="separate"/>
          </w:r>
          <w:r>
            <w:rPr>
              <w:rFonts w:hint="eastAsia" w:ascii="宋体" w:hAnsi="宋体" w:eastAsia="宋体" w:cs="宋体"/>
              <w:sz w:val="28"/>
              <w:szCs w:val="28"/>
            </w:rPr>
            <w:t>第六章</w:t>
          </w:r>
          <w:r>
            <w:rPr>
              <w:rFonts w:hint="eastAsia" w:ascii="宋体" w:hAnsi="宋体" w:eastAsia="宋体" w:cs="宋体"/>
              <w:sz w:val="28"/>
              <w:szCs w:val="28"/>
            </w:rPr>
            <w:tab/>
          </w:r>
          <w:r>
            <w:rPr>
              <w:rFonts w:hint="eastAsia" w:ascii="宋体" w:hAnsi="宋体" w:eastAsia="宋体" w:cs="宋体"/>
              <w:sz w:val="28"/>
              <w:szCs w:val="28"/>
            </w:rPr>
            <w:t>环境保护措施及其可行性论证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_Toc14226 </w:instrText>
          </w:r>
          <w:r>
            <w:rPr>
              <w:rFonts w:hint="eastAsia" w:ascii="宋体" w:hAnsi="宋体" w:eastAsia="宋体" w:cs="宋体"/>
              <w:sz w:val="28"/>
              <w:szCs w:val="28"/>
            </w:rPr>
            <w:fldChar w:fldCharType="separate"/>
          </w:r>
          <w:r>
            <w:rPr>
              <w:rFonts w:hint="eastAsia" w:ascii="宋体" w:hAnsi="宋体" w:eastAsia="宋体" w:cs="宋体"/>
              <w:sz w:val="28"/>
              <w:szCs w:val="28"/>
            </w:rPr>
            <w:t>141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_Toc27103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6.1 </w:t>
          </w:r>
          <w:r>
            <w:rPr>
              <w:rFonts w:hint="eastAsia" w:ascii="宋体" w:hAnsi="宋体" w:eastAsia="宋体" w:cs="宋体"/>
              <w:sz w:val="28"/>
              <w:szCs w:val="28"/>
            </w:rPr>
            <w:t>施工期环境保护措施分析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_Toc27103 </w:instrText>
          </w:r>
          <w:r>
            <w:rPr>
              <w:rFonts w:hint="eastAsia" w:ascii="宋体" w:hAnsi="宋体" w:eastAsia="宋体" w:cs="宋体"/>
              <w:sz w:val="28"/>
              <w:szCs w:val="28"/>
            </w:rPr>
            <w:fldChar w:fldCharType="separate"/>
          </w:r>
          <w:r>
            <w:rPr>
              <w:rFonts w:hint="eastAsia" w:ascii="宋体" w:hAnsi="宋体" w:eastAsia="宋体" w:cs="宋体"/>
              <w:sz w:val="28"/>
              <w:szCs w:val="28"/>
            </w:rPr>
            <w:t>141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_Toc13898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6.1.1 </w:t>
          </w:r>
          <w:r>
            <w:rPr>
              <w:rFonts w:hint="eastAsia" w:ascii="宋体" w:hAnsi="宋体" w:eastAsia="宋体" w:cs="宋体"/>
              <w:sz w:val="28"/>
              <w:szCs w:val="28"/>
            </w:rPr>
            <w:t>环境空气污染防治措施分析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_Toc13898 </w:instrText>
          </w:r>
          <w:r>
            <w:rPr>
              <w:rFonts w:hint="eastAsia" w:ascii="宋体" w:hAnsi="宋体" w:eastAsia="宋体" w:cs="宋体"/>
              <w:sz w:val="28"/>
              <w:szCs w:val="28"/>
            </w:rPr>
            <w:fldChar w:fldCharType="separate"/>
          </w:r>
          <w:r>
            <w:rPr>
              <w:rFonts w:hint="eastAsia" w:ascii="宋体" w:hAnsi="宋体" w:eastAsia="宋体" w:cs="宋体"/>
              <w:sz w:val="28"/>
              <w:szCs w:val="28"/>
            </w:rPr>
            <w:t>141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_Toc30408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6.1.2 </w:t>
          </w:r>
          <w:r>
            <w:rPr>
              <w:rFonts w:hint="eastAsia" w:ascii="宋体" w:hAnsi="宋体" w:eastAsia="宋体" w:cs="宋体"/>
              <w:sz w:val="28"/>
              <w:szCs w:val="28"/>
            </w:rPr>
            <w:t>水污染防治措施分析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_Toc30408 </w:instrText>
          </w:r>
          <w:r>
            <w:rPr>
              <w:rFonts w:hint="eastAsia" w:ascii="宋体" w:hAnsi="宋体" w:eastAsia="宋体" w:cs="宋体"/>
              <w:sz w:val="28"/>
              <w:szCs w:val="28"/>
            </w:rPr>
            <w:fldChar w:fldCharType="separate"/>
          </w:r>
          <w:r>
            <w:rPr>
              <w:rFonts w:hint="eastAsia" w:ascii="宋体" w:hAnsi="宋体" w:eastAsia="宋体" w:cs="宋体"/>
              <w:sz w:val="28"/>
              <w:szCs w:val="28"/>
            </w:rPr>
            <w:t>142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sectPr>
              <w:footerReference r:id="rId5" w:type="default"/>
              <w:pgSz w:w="11910" w:h="16840"/>
              <w:pgMar w:top="1360" w:right="1220" w:bottom="280" w:left="1260" w:header="897" w:footer="0" w:gutter="0"/>
              <w:pgBorders>
                <w:top w:val="none" w:sz="0" w:space="0"/>
                <w:left w:val="none" w:sz="0" w:space="0"/>
                <w:bottom w:val="none" w:sz="0" w:space="0"/>
                <w:right w:val="none" w:sz="0" w:space="0"/>
              </w:pgBorders>
              <w:pgNumType w:fmt="decimal" w:start="1"/>
            </w:sectPr>
          </w:pP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_Toc5375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6.1.3 </w:t>
          </w:r>
          <w:r>
            <w:rPr>
              <w:rFonts w:hint="eastAsia" w:ascii="宋体" w:hAnsi="宋体" w:eastAsia="宋体" w:cs="宋体"/>
              <w:sz w:val="28"/>
              <w:szCs w:val="28"/>
            </w:rPr>
            <w:t>噪声污染防治措施分析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_Toc5375 </w:instrText>
          </w:r>
          <w:r>
            <w:rPr>
              <w:rFonts w:hint="eastAsia" w:ascii="宋体" w:hAnsi="宋体" w:eastAsia="宋体" w:cs="宋体"/>
              <w:sz w:val="28"/>
              <w:szCs w:val="28"/>
            </w:rPr>
            <w:fldChar w:fldCharType="separate"/>
          </w:r>
          <w:r>
            <w:rPr>
              <w:rFonts w:hint="eastAsia" w:ascii="宋体" w:hAnsi="宋体" w:eastAsia="宋体" w:cs="宋体"/>
              <w:sz w:val="28"/>
              <w:szCs w:val="28"/>
            </w:rPr>
            <w:t>142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_Toc26742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6.1.4 </w:t>
          </w:r>
          <w:r>
            <w:rPr>
              <w:rFonts w:hint="eastAsia" w:ascii="宋体" w:hAnsi="宋体" w:eastAsia="宋体" w:cs="宋体"/>
              <w:sz w:val="28"/>
              <w:szCs w:val="28"/>
            </w:rPr>
            <w:t>固体废弃物污染防治措施分析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_Toc26742 </w:instrText>
          </w:r>
          <w:r>
            <w:rPr>
              <w:rFonts w:hint="eastAsia" w:ascii="宋体" w:hAnsi="宋体" w:eastAsia="宋体" w:cs="宋体"/>
              <w:sz w:val="28"/>
              <w:szCs w:val="28"/>
            </w:rPr>
            <w:fldChar w:fldCharType="separate"/>
          </w:r>
          <w:r>
            <w:rPr>
              <w:rFonts w:hint="eastAsia" w:ascii="宋体" w:hAnsi="宋体" w:eastAsia="宋体" w:cs="宋体"/>
              <w:sz w:val="28"/>
              <w:szCs w:val="28"/>
            </w:rPr>
            <w:t>143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_Toc15406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6.1.5 </w:t>
          </w:r>
          <w:r>
            <w:rPr>
              <w:rFonts w:hint="eastAsia" w:ascii="宋体" w:hAnsi="宋体" w:eastAsia="宋体" w:cs="宋体"/>
              <w:sz w:val="28"/>
              <w:szCs w:val="28"/>
            </w:rPr>
            <w:t>生态防治措施分析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_Toc15406 </w:instrText>
          </w:r>
          <w:r>
            <w:rPr>
              <w:rFonts w:hint="eastAsia" w:ascii="宋体" w:hAnsi="宋体" w:eastAsia="宋体" w:cs="宋体"/>
              <w:sz w:val="28"/>
              <w:szCs w:val="28"/>
            </w:rPr>
            <w:fldChar w:fldCharType="separate"/>
          </w:r>
          <w:r>
            <w:rPr>
              <w:rFonts w:hint="eastAsia" w:ascii="宋体" w:hAnsi="宋体" w:eastAsia="宋体" w:cs="宋体"/>
              <w:sz w:val="28"/>
              <w:szCs w:val="28"/>
            </w:rPr>
            <w:t>143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_Toc3420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6.2 </w:t>
          </w:r>
          <w:r>
            <w:rPr>
              <w:rFonts w:hint="eastAsia" w:ascii="宋体" w:hAnsi="宋体" w:eastAsia="宋体" w:cs="宋体"/>
              <w:sz w:val="28"/>
              <w:szCs w:val="28"/>
            </w:rPr>
            <w:t>运营期环境保护措施分析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_Toc3420 </w:instrText>
          </w:r>
          <w:r>
            <w:rPr>
              <w:rFonts w:hint="eastAsia" w:ascii="宋体" w:hAnsi="宋体" w:eastAsia="宋体" w:cs="宋体"/>
              <w:sz w:val="28"/>
              <w:szCs w:val="28"/>
            </w:rPr>
            <w:fldChar w:fldCharType="separate"/>
          </w:r>
          <w:r>
            <w:rPr>
              <w:rFonts w:hint="eastAsia" w:ascii="宋体" w:hAnsi="宋体" w:eastAsia="宋体" w:cs="宋体"/>
              <w:sz w:val="28"/>
              <w:szCs w:val="28"/>
            </w:rPr>
            <w:t>144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_Toc20673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6.2.1 </w:t>
          </w:r>
          <w:r>
            <w:rPr>
              <w:rFonts w:hint="eastAsia" w:ascii="宋体" w:hAnsi="宋体" w:eastAsia="宋体" w:cs="宋体"/>
              <w:sz w:val="28"/>
              <w:szCs w:val="28"/>
            </w:rPr>
            <w:t>环境空气污染防治措施分析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_Toc20673 </w:instrText>
          </w:r>
          <w:r>
            <w:rPr>
              <w:rFonts w:hint="eastAsia" w:ascii="宋体" w:hAnsi="宋体" w:eastAsia="宋体" w:cs="宋体"/>
              <w:sz w:val="28"/>
              <w:szCs w:val="28"/>
            </w:rPr>
            <w:fldChar w:fldCharType="separate"/>
          </w:r>
          <w:r>
            <w:rPr>
              <w:rFonts w:hint="eastAsia" w:ascii="宋体" w:hAnsi="宋体" w:eastAsia="宋体" w:cs="宋体"/>
              <w:sz w:val="28"/>
              <w:szCs w:val="28"/>
            </w:rPr>
            <w:t>144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_Toc19961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6.2.2 </w:t>
          </w:r>
          <w:r>
            <w:rPr>
              <w:rFonts w:hint="eastAsia" w:ascii="宋体" w:hAnsi="宋体" w:eastAsia="宋体" w:cs="宋体"/>
              <w:sz w:val="28"/>
              <w:szCs w:val="28"/>
            </w:rPr>
            <w:t>水污染防治措施分析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_Toc19961 </w:instrText>
          </w:r>
          <w:r>
            <w:rPr>
              <w:rFonts w:hint="eastAsia" w:ascii="宋体" w:hAnsi="宋体" w:eastAsia="宋体" w:cs="宋体"/>
              <w:sz w:val="28"/>
              <w:szCs w:val="28"/>
            </w:rPr>
            <w:fldChar w:fldCharType="separate"/>
          </w:r>
          <w:r>
            <w:rPr>
              <w:rFonts w:hint="eastAsia" w:ascii="宋体" w:hAnsi="宋体" w:eastAsia="宋体" w:cs="宋体"/>
              <w:sz w:val="28"/>
              <w:szCs w:val="28"/>
            </w:rPr>
            <w:t>148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_Toc31623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6.2.3 </w:t>
          </w:r>
          <w:r>
            <w:rPr>
              <w:rFonts w:hint="eastAsia" w:ascii="宋体" w:hAnsi="宋体" w:eastAsia="宋体" w:cs="宋体"/>
              <w:sz w:val="28"/>
              <w:szCs w:val="28"/>
            </w:rPr>
            <w:t>噪声污染防治措施分析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_Toc31623 </w:instrText>
          </w:r>
          <w:r>
            <w:rPr>
              <w:rFonts w:hint="eastAsia" w:ascii="宋体" w:hAnsi="宋体" w:eastAsia="宋体" w:cs="宋体"/>
              <w:sz w:val="28"/>
              <w:szCs w:val="28"/>
            </w:rPr>
            <w:fldChar w:fldCharType="separate"/>
          </w:r>
          <w:r>
            <w:rPr>
              <w:rFonts w:hint="eastAsia" w:ascii="宋体" w:hAnsi="宋体" w:eastAsia="宋体" w:cs="宋体"/>
              <w:sz w:val="28"/>
              <w:szCs w:val="28"/>
            </w:rPr>
            <w:t>149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_Toc20711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6.2.4 </w:t>
          </w:r>
          <w:r>
            <w:rPr>
              <w:rFonts w:hint="eastAsia" w:ascii="宋体" w:hAnsi="宋体" w:eastAsia="宋体" w:cs="宋体"/>
              <w:spacing w:val="-1"/>
              <w:w w:val="95"/>
              <w:sz w:val="28"/>
              <w:szCs w:val="28"/>
            </w:rPr>
            <w:t>固体废物污染防治措施分析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_Toc20711 </w:instrText>
          </w:r>
          <w:r>
            <w:rPr>
              <w:rFonts w:hint="eastAsia" w:ascii="宋体" w:hAnsi="宋体" w:eastAsia="宋体" w:cs="宋体"/>
              <w:sz w:val="28"/>
              <w:szCs w:val="28"/>
            </w:rPr>
            <w:fldChar w:fldCharType="separate"/>
          </w:r>
          <w:r>
            <w:rPr>
              <w:rFonts w:hint="eastAsia" w:ascii="宋体" w:hAnsi="宋体" w:eastAsia="宋体" w:cs="宋体"/>
              <w:sz w:val="28"/>
              <w:szCs w:val="28"/>
            </w:rPr>
            <w:t>150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_Toc3484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6.2.5 </w:t>
          </w:r>
          <w:r>
            <w:rPr>
              <w:rFonts w:hint="eastAsia" w:ascii="宋体" w:hAnsi="宋体" w:eastAsia="宋体" w:cs="宋体"/>
              <w:sz w:val="28"/>
              <w:szCs w:val="28"/>
            </w:rPr>
            <w:t>地下水污染防治措施分析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_Toc3484 </w:instrText>
          </w:r>
          <w:r>
            <w:rPr>
              <w:rFonts w:hint="eastAsia" w:ascii="宋体" w:hAnsi="宋体" w:eastAsia="宋体" w:cs="宋体"/>
              <w:sz w:val="28"/>
              <w:szCs w:val="28"/>
            </w:rPr>
            <w:fldChar w:fldCharType="separate"/>
          </w:r>
          <w:r>
            <w:rPr>
              <w:rFonts w:hint="eastAsia" w:ascii="宋体" w:hAnsi="宋体" w:eastAsia="宋体" w:cs="宋体"/>
              <w:sz w:val="28"/>
              <w:szCs w:val="28"/>
            </w:rPr>
            <w:t>154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_Toc23599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6.2.6 </w:t>
          </w:r>
          <w:r>
            <w:rPr>
              <w:rFonts w:hint="eastAsia" w:ascii="宋体" w:hAnsi="宋体" w:eastAsia="宋体" w:cs="宋体"/>
              <w:sz w:val="28"/>
              <w:szCs w:val="28"/>
            </w:rPr>
            <w:t>土壤污染防治措施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_Toc23599 </w:instrText>
          </w:r>
          <w:r>
            <w:rPr>
              <w:rFonts w:hint="eastAsia" w:ascii="宋体" w:hAnsi="宋体" w:eastAsia="宋体" w:cs="宋体"/>
              <w:sz w:val="28"/>
              <w:szCs w:val="28"/>
            </w:rPr>
            <w:fldChar w:fldCharType="separate"/>
          </w:r>
          <w:r>
            <w:rPr>
              <w:rFonts w:hint="eastAsia" w:ascii="宋体" w:hAnsi="宋体" w:eastAsia="宋体" w:cs="宋体"/>
              <w:sz w:val="28"/>
              <w:szCs w:val="28"/>
            </w:rPr>
            <w:t>156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_Toc28882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6.2.7 </w:t>
          </w:r>
          <w:r>
            <w:rPr>
              <w:rFonts w:hint="eastAsia" w:ascii="宋体" w:hAnsi="宋体" w:eastAsia="宋体" w:cs="宋体"/>
              <w:spacing w:val="-1"/>
              <w:w w:val="95"/>
              <w:sz w:val="28"/>
              <w:szCs w:val="28"/>
            </w:rPr>
            <w:t>风险防范措施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_Toc28882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_Toc18051 </w:instrText>
          </w:r>
          <w:r>
            <w:rPr>
              <w:rFonts w:hint="eastAsia" w:ascii="宋体" w:hAnsi="宋体" w:eastAsia="宋体" w:cs="宋体"/>
              <w:sz w:val="28"/>
              <w:szCs w:val="28"/>
            </w:rPr>
            <w:fldChar w:fldCharType="separate"/>
          </w:r>
          <w:r>
            <w:rPr>
              <w:rFonts w:hint="eastAsia" w:ascii="宋体" w:hAnsi="宋体" w:eastAsia="宋体" w:cs="宋体"/>
              <w:sz w:val="28"/>
              <w:szCs w:val="28"/>
            </w:rPr>
            <w:t>第七章</w:t>
          </w:r>
          <w:r>
            <w:rPr>
              <w:rFonts w:hint="eastAsia" w:ascii="宋体" w:hAnsi="宋体" w:eastAsia="宋体" w:cs="宋体"/>
              <w:sz w:val="28"/>
              <w:szCs w:val="28"/>
            </w:rPr>
            <w:tab/>
          </w:r>
          <w:r>
            <w:rPr>
              <w:rFonts w:hint="eastAsia" w:ascii="宋体" w:hAnsi="宋体" w:eastAsia="宋体" w:cs="宋体"/>
              <w:sz w:val="28"/>
              <w:szCs w:val="28"/>
            </w:rPr>
            <w:t>环境经济损益分析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_Toc18051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_Toc3224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7.1 </w:t>
          </w:r>
          <w:r>
            <w:rPr>
              <w:rFonts w:hint="eastAsia" w:ascii="宋体" w:hAnsi="宋体" w:eastAsia="宋体" w:cs="宋体"/>
              <w:w w:val="95"/>
              <w:sz w:val="28"/>
              <w:szCs w:val="28"/>
            </w:rPr>
            <w:t>经济效益分析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_Toc3224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_Toc7950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7.1.1 </w:t>
          </w:r>
          <w:r>
            <w:rPr>
              <w:rFonts w:hint="eastAsia" w:ascii="宋体" w:hAnsi="宋体" w:eastAsia="宋体" w:cs="宋体"/>
              <w:sz w:val="28"/>
              <w:szCs w:val="28"/>
            </w:rPr>
            <w:t>投资构成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_Toc7950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_Toc19194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7.1.2 </w:t>
          </w:r>
          <w:r>
            <w:rPr>
              <w:rFonts w:hint="eastAsia" w:ascii="宋体" w:hAnsi="宋体" w:eastAsia="宋体" w:cs="宋体"/>
              <w:sz w:val="28"/>
              <w:szCs w:val="28"/>
            </w:rPr>
            <w:t>经济分析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_Toc19194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_Toc10488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7.2 </w:t>
          </w:r>
          <w:r>
            <w:rPr>
              <w:rFonts w:hint="eastAsia" w:ascii="宋体" w:hAnsi="宋体" w:eastAsia="宋体" w:cs="宋体"/>
              <w:sz w:val="28"/>
              <w:szCs w:val="28"/>
            </w:rPr>
            <w:t>社会效益分析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_Toc10488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_Toc1703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7.3 </w:t>
          </w:r>
          <w:r>
            <w:rPr>
              <w:rFonts w:hint="eastAsia" w:ascii="宋体" w:hAnsi="宋体" w:eastAsia="宋体" w:cs="宋体"/>
              <w:sz w:val="28"/>
              <w:szCs w:val="28"/>
            </w:rPr>
            <w:t>环境效益分析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_Toc1703 </w:instrText>
          </w:r>
          <w:r>
            <w:rPr>
              <w:rFonts w:hint="eastAsia" w:ascii="宋体" w:hAnsi="宋体" w:eastAsia="宋体" w:cs="宋体"/>
              <w:sz w:val="28"/>
              <w:szCs w:val="28"/>
            </w:rPr>
            <w:fldChar w:fldCharType="separate"/>
          </w:r>
          <w:r>
            <w:rPr>
              <w:rFonts w:hint="eastAsia" w:ascii="宋体" w:hAnsi="宋体" w:eastAsia="宋体" w:cs="宋体"/>
              <w:sz w:val="28"/>
              <w:szCs w:val="28"/>
            </w:rPr>
            <w:t>161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_Toc28625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7.3.1 </w:t>
          </w:r>
          <w:r>
            <w:rPr>
              <w:rFonts w:hint="eastAsia" w:ascii="宋体" w:hAnsi="宋体" w:eastAsia="宋体" w:cs="宋体"/>
              <w:sz w:val="28"/>
              <w:szCs w:val="28"/>
            </w:rPr>
            <w:t>环保投资估算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_Toc28625 </w:instrText>
          </w:r>
          <w:r>
            <w:rPr>
              <w:rFonts w:hint="eastAsia" w:ascii="宋体" w:hAnsi="宋体" w:eastAsia="宋体" w:cs="宋体"/>
              <w:sz w:val="28"/>
              <w:szCs w:val="28"/>
            </w:rPr>
            <w:fldChar w:fldCharType="separate"/>
          </w:r>
          <w:r>
            <w:rPr>
              <w:rFonts w:hint="eastAsia" w:ascii="宋体" w:hAnsi="宋体" w:eastAsia="宋体" w:cs="宋体"/>
              <w:sz w:val="28"/>
              <w:szCs w:val="28"/>
            </w:rPr>
            <w:t>161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_Toc12834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7.3.2 </w:t>
          </w:r>
          <w:r>
            <w:rPr>
              <w:rFonts w:hint="eastAsia" w:ascii="宋体" w:hAnsi="宋体" w:eastAsia="宋体" w:cs="宋体"/>
              <w:sz w:val="28"/>
              <w:szCs w:val="28"/>
            </w:rPr>
            <w:t>环境效益分析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_Toc12834 </w:instrText>
          </w:r>
          <w:r>
            <w:rPr>
              <w:rFonts w:hint="eastAsia" w:ascii="宋体" w:hAnsi="宋体" w:eastAsia="宋体" w:cs="宋体"/>
              <w:sz w:val="28"/>
              <w:szCs w:val="28"/>
            </w:rPr>
            <w:fldChar w:fldCharType="separate"/>
          </w:r>
          <w:r>
            <w:rPr>
              <w:rFonts w:hint="eastAsia" w:ascii="宋体" w:hAnsi="宋体" w:eastAsia="宋体" w:cs="宋体"/>
              <w:sz w:val="28"/>
              <w:szCs w:val="28"/>
            </w:rPr>
            <w:t>162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_Toc9336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7.4 </w:t>
          </w:r>
          <w:r>
            <w:rPr>
              <w:rFonts w:hint="eastAsia" w:ascii="宋体" w:hAnsi="宋体" w:eastAsia="宋体" w:cs="宋体"/>
              <w:sz w:val="28"/>
              <w:szCs w:val="28"/>
            </w:rPr>
            <w:t>环境经济损益分析结论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_Toc9336 </w:instrText>
          </w:r>
          <w:r>
            <w:rPr>
              <w:rFonts w:hint="eastAsia" w:ascii="宋体" w:hAnsi="宋体" w:eastAsia="宋体" w:cs="宋体"/>
              <w:sz w:val="28"/>
              <w:szCs w:val="28"/>
            </w:rPr>
            <w:fldChar w:fldCharType="separate"/>
          </w:r>
          <w:r>
            <w:rPr>
              <w:rFonts w:hint="eastAsia" w:ascii="宋体" w:hAnsi="宋体" w:eastAsia="宋体" w:cs="宋体"/>
              <w:sz w:val="28"/>
              <w:szCs w:val="28"/>
            </w:rPr>
            <w:t>163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pos="28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_Toc18825 </w:instrText>
          </w:r>
          <w:r>
            <w:rPr>
              <w:rFonts w:hint="eastAsia" w:ascii="宋体" w:hAnsi="宋体" w:eastAsia="宋体" w:cs="宋体"/>
              <w:sz w:val="28"/>
              <w:szCs w:val="28"/>
            </w:rPr>
            <w:fldChar w:fldCharType="separate"/>
          </w:r>
          <w:r>
            <w:rPr>
              <w:rFonts w:hint="eastAsia" w:ascii="宋体" w:hAnsi="宋体" w:eastAsia="宋体" w:cs="宋体"/>
              <w:sz w:val="28"/>
              <w:szCs w:val="28"/>
            </w:rPr>
            <w:t>第八章</w:t>
          </w:r>
          <w:r>
            <w:rPr>
              <w:rFonts w:hint="eastAsia" w:ascii="宋体" w:hAnsi="宋体" w:eastAsia="宋体" w:cs="宋体"/>
              <w:sz w:val="28"/>
              <w:szCs w:val="28"/>
            </w:rPr>
            <w:tab/>
          </w:r>
          <w:r>
            <w:rPr>
              <w:rFonts w:hint="eastAsia" w:ascii="宋体" w:hAnsi="宋体" w:eastAsia="宋体" w:cs="宋体"/>
              <w:sz w:val="28"/>
              <w:szCs w:val="28"/>
            </w:rPr>
            <w:t>环境管理及监测计划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_Toc18825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_Toc11850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8.1 </w:t>
          </w:r>
          <w:r>
            <w:rPr>
              <w:rFonts w:hint="eastAsia" w:ascii="宋体" w:hAnsi="宋体" w:eastAsia="宋体" w:cs="宋体"/>
              <w:sz w:val="28"/>
              <w:szCs w:val="28"/>
            </w:rPr>
            <w:t>环境管理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_Toc11850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_Toc27550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8.1.1 </w:t>
          </w:r>
          <w:r>
            <w:rPr>
              <w:rFonts w:hint="eastAsia" w:ascii="宋体" w:hAnsi="宋体" w:eastAsia="宋体" w:cs="宋体"/>
              <w:sz w:val="28"/>
              <w:szCs w:val="28"/>
            </w:rPr>
            <w:t>环境管理的必要性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_Toc27550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_Toc31373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8.1.2 </w:t>
          </w:r>
          <w:r>
            <w:rPr>
              <w:rFonts w:hint="eastAsia" w:ascii="宋体" w:hAnsi="宋体" w:eastAsia="宋体" w:cs="宋体"/>
              <w:sz w:val="28"/>
              <w:szCs w:val="28"/>
            </w:rPr>
            <w:t>环境管理机构的设置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_Toc31373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_Toc7149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8.1.3 </w:t>
          </w:r>
          <w:r>
            <w:rPr>
              <w:rFonts w:hint="eastAsia" w:ascii="宋体" w:hAnsi="宋体" w:eastAsia="宋体" w:cs="宋体"/>
              <w:sz w:val="28"/>
              <w:szCs w:val="28"/>
            </w:rPr>
            <w:t>环境管理机构主要职责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_Toc7149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_Toc32578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8.1.4 </w:t>
          </w:r>
          <w:r>
            <w:rPr>
              <w:rFonts w:hint="eastAsia" w:ascii="宋体" w:hAnsi="宋体" w:eastAsia="宋体" w:cs="宋体"/>
              <w:sz w:val="28"/>
              <w:szCs w:val="28"/>
            </w:rPr>
            <w:t>环境管理制度的建立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_Toc32578 </w:instrText>
          </w:r>
          <w:r>
            <w:rPr>
              <w:rFonts w:hint="eastAsia" w:ascii="宋体" w:hAnsi="宋体" w:eastAsia="宋体" w:cs="宋体"/>
              <w:sz w:val="28"/>
              <w:szCs w:val="28"/>
            </w:rPr>
            <w:fldChar w:fldCharType="separate"/>
          </w:r>
          <w:r>
            <w:rPr>
              <w:rFonts w:hint="eastAsia" w:ascii="宋体" w:hAnsi="宋体" w:eastAsia="宋体" w:cs="宋体"/>
              <w:sz w:val="28"/>
              <w:szCs w:val="28"/>
            </w:rPr>
            <w:t>165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_Toc8783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8.1.5 </w:t>
          </w:r>
          <w:r>
            <w:rPr>
              <w:rFonts w:hint="eastAsia" w:ascii="宋体" w:hAnsi="宋体" w:eastAsia="宋体" w:cs="宋体"/>
              <w:sz w:val="28"/>
              <w:szCs w:val="28"/>
            </w:rPr>
            <w:t>环境管理计划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_Toc8783 </w:instrText>
          </w:r>
          <w:r>
            <w:rPr>
              <w:rFonts w:hint="eastAsia" w:ascii="宋体" w:hAnsi="宋体" w:eastAsia="宋体" w:cs="宋体"/>
              <w:sz w:val="28"/>
              <w:szCs w:val="28"/>
            </w:rPr>
            <w:fldChar w:fldCharType="separate"/>
          </w:r>
          <w:r>
            <w:rPr>
              <w:rFonts w:hint="eastAsia" w:ascii="宋体" w:hAnsi="宋体" w:eastAsia="宋体" w:cs="宋体"/>
              <w:sz w:val="28"/>
              <w:szCs w:val="28"/>
            </w:rPr>
            <w:t>165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_Toc11481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8.1.6 </w:t>
          </w:r>
          <w:r>
            <w:rPr>
              <w:rFonts w:hint="eastAsia" w:ascii="宋体" w:hAnsi="宋体" w:eastAsia="宋体" w:cs="宋体"/>
              <w:sz w:val="28"/>
              <w:szCs w:val="28"/>
            </w:rPr>
            <w:t>污染物排放管理要求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_Toc11481 </w:instrText>
          </w:r>
          <w:r>
            <w:rPr>
              <w:rFonts w:hint="eastAsia" w:ascii="宋体" w:hAnsi="宋体" w:eastAsia="宋体" w:cs="宋体"/>
              <w:sz w:val="28"/>
              <w:szCs w:val="28"/>
            </w:rPr>
            <w:fldChar w:fldCharType="separate"/>
          </w:r>
          <w:r>
            <w:rPr>
              <w:rFonts w:hint="eastAsia" w:ascii="宋体" w:hAnsi="宋体" w:eastAsia="宋体" w:cs="宋体"/>
              <w:sz w:val="28"/>
              <w:szCs w:val="28"/>
            </w:rPr>
            <w:t>166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_Toc18524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8.2 </w:t>
          </w:r>
          <w:r>
            <w:rPr>
              <w:rFonts w:hint="eastAsia" w:ascii="宋体" w:hAnsi="宋体" w:eastAsia="宋体" w:cs="宋体"/>
              <w:sz w:val="28"/>
              <w:szCs w:val="28"/>
            </w:rPr>
            <w:t>环境监测计划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_Toc18524 </w:instrText>
          </w:r>
          <w:r>
            <w:rPr>
              <w:rFonts w:hint="eastAsia" w:ascii="宋体" w:hAnsi="宋体" w:eastAsia="宋体" w:cs="宋体"/>
              <w:sz w:val="28"/>
              <w:szCs w:val="28"/>
            </w:rPr>
            <w:fldChar w:fldCharType="separate"/>
          </w:r>
          <w:r>
            <w:rPr>
              <w:rFonts w:hint="eastAsia" w:ascii="宋体" w:hAnsi="宋体" w:eastAsia="宋体" w:cs="宋体"/>
              <w:sz w:val="28"/>
              <w:szCs w:val="28"/>
            </w:rPr>
            <w:t>169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_Toc16864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8.2.1 </w:t>
          </w:r>
          <w:r>
            <w:rPr>
              <w:rFonts w:hint="eastAsia" w:ascii="宋体" w:hAnsi="宋体" w:eastAsia="宋体" w:cs="宋体"/>
              <w:sz w:val="28"/>
              <w:szCs w:val="28"/>
            </w:rPr>
            <w:t>环境监测目的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_Toc16864 </w:instrText>
          </w:r>
          <w:r>
            <w:rPr>
              <w:rFonts w:hint="eastAsia" w:ascii="宋体" w:hAnsi="宋体" w:eastAsia="宋体" w:cs="宋体"/>
              <w:sz w:val="28"/>
              <w:szCs w:val="28"/>
            </w:rPr>
            <w:fldChar w:fldCharType="separate"/>
          </w:r>
          <w:r>
            <w:rPr>
              <w:rFonts w:hint="eastAsia" w:ascii="宋体" w:hAnsi="宋体" w:eastAsia="宋体" w:cs="宋体"/>
              <w:sz w:val="28"/>
              <w:szCs w:val="28"/>
            </w:rPr>
            <w:t>169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_Toc14554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8.2.2 </w:t>
          </w:r>
          <w:r>
            <w:rPr>
              <w:rFonts w:hint="eastAsia" w:ascii="宋体" w:hAnsi="宋体" w:eastAsia="宋体" w:cs="宋体"/>
              <w:sz w:val="28"/>
              <w:szCs w:val="28"/>
            </w:rPr>
            <w:t>环境监测计划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_Toc14554 </w:instrText>
          </w:r>
          <w:r>
            <w:rPr>
              <w:rFonts w:hint="eastAsia" w:ascii="宋体" w:hAnsi="宋体" w:eastAsia="宋体" w:cs="宋体"/>
              <w:sz w:val="28"/>
              <w:szCs w:val="28"/>
            </w:rPr>
            <w:fldChar w:fldCharType="separate"/>
          </w:r>
          <w:r>
            <w:rPr>
              <w:rFonts w:hint="eastAsia" w:ascii="宋体" w:hAnsi="宋体" w:eastAsia="宋体" w:cs="宋体"/>
              <w:sz w:val="28"/>
              <w:szCs w:val="28"/>
            </w:rPr>
            <w:t>169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_Toc4683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8.3 </w:t>
          </w:r>
          <w:r>
            <w:rPr>
              <w:rFonts w:hint="eastAsia" w:ascii="宋体" w:hAnsi="宋体" w:eastAsia="宋体" w:cs="宋体"/>
              <w:sz w:val="28"/>
              <w:szCs w:val="28"/>
            </w:rPr>
            <w:t>竣工验收计划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_Toc4683 </w:instrText>
          </w:r>
          <w:r>
            <w:rPr>
              <w:rFonts w:hint="eastAsia" w:ascii="宋体" w:hAnsi="宋体" w:eastAsia="宋体" w:cs="宋体"/>
              <w:sz w:val="28"/>
              <w:szCs w:val="28"/>
            </w:rPr>
            <w:fldChar w:fldCharType="separate"/>
          </w:r>
          <w:r>
            <w:rPr>
              <w:rFonts w:hint="eastAsia" w:ascii="宋体" w:hAnsi="宋体" w:eastAsia="宋体" w:cs="宋体"/>
              <w:sz w:val="28"/>
              <w:szCs w:val="28"/>
            </w:rPr>
            <w:t>171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7"/>
            <w:tabs>
              <w:tab w:val="right" w:pos="2400"/>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_Toc20489 </w:instrText>
          </w:r>
          <w:r>
            <w:rPr>
              <w:rFonts w:hint="eastAsia" w:ascii="宋体" w:hAnsi="宋体" w:eastAsia="宋体" w:cs="宋体"/>
              <w:sz w:val="28"/>
              <w:szCs w:val="28"/>
            </w:rPr>
            <w:fldChar w:fldCharType="separate"/>
          </w:r>
          <w:r>
            <w:rPr>
              <w:rFonts w:hint="eastAsia" w:ascii="宋体" w:hAnsi="宋体" w:eastAsia="宋体" w:cs="宋体"/>
              <w:sz w:val="28"/>
              <w:szCs w:val="28"/>
            </w:rPr>
            <w:t>第九章</w:t>
          </w:r>
          <w:r>
            <w:rPr>
              <w:rFonts w:hint="eastAsia" w:ascii="宋体" w:hAnsi="宋体" w:eastAsia="宋体" w:cs="宋体"/>
              <w:sz w:val="28"/>
              <w:szCs w:val="28"/>
            </w:rPr>
            <w:tab/>
          </w:r>
          <w:r>
            <w:rPr>
              <w:rFonts w:hint="eastAsia" w:ascii="宋体" w:hAnsi="宋体" w:eastAsia="宋体" w:cs="宋体"/>
              <w:sz w:val="28"/>
              <w:szCs w:val="28"/>
            </w:rPr>
            <w:t>评价结论与建议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_Toc20489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8"/>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_Toc26892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9.1 </w:t>
          </w:r>
          <w:r>
            <w:rPr>
              <w:rFonts w:hint="eastAsia" w:ascii="宋体" w:hAnsi="宋体" w:eastAsia="宋体" w:cs="宋体"/>
              <w:sz w:val="28"/>
              <w:szCs w:val="28"/>
            </w:rPr>
            <w:t>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_Toc26892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_Toc22015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9.2 </w:t>
          </w:r>
          <w:r>
            <w:rPr>
              <w:rFonts w:hint="eastAsia" w:ascii="宋体" w:hAnsi="宋体" w:eastAsia="宋体" w:cs="宋体"/>
              <w:sz w:val="28"/>
              <w:szCs w:val="28"/>
            </w:rPr>
            <w:t>产业政策及相关规划符合性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_Toc22015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_Toc6945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9.3 </w:t>
          </w:r>
          <w:r>
            <w:rPr>
              <w:rFonts w:hint="eastAsia" w:ascii="宋体" w:hAnsi="宋体" w:eastAsia="宋体" w:cs="宋体"/>
              <w:sz w:val="28"/>
              <w:szCs w:val="28"/>
            </w:rPr>
            <w:t>环境质量现状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_Toc6945 </w:instrText>
          </w:r>
          <w:r>
            <w:rPr>
              <w:rFonts w:hint="eastAsia" w:ascii="宋体" w:hAnsi="宋体" w:eastAsia="宋体" w:cs="宋体"/>
              <w:sz w:val="28"/>
              <w:szCs w:val="28"/>
            </w:rPr>
            <w:fldChar w:fldCharType="separate"/>
          </w:r>
          <w:r>
            <w:rPr>
              <w:rFonts w:hint="eastAsia" w:ascii="宋体" w:hAnsi="宋体" w:eastAsia="宋体" w:cs="宋体"/>
              <w:sz w:val="28"/>
              <w:szCs w:val="28"/>
            </w:rPr>
            <w:t>174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_Toc19451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9.3.1 </w:t>
          </w:r>
          <w:r>
            <w:rPr>
              <w:rFonts w:hint="eastAsia" w:ascii="宋体" w:hAnsi="宋体" w:eastAsia="宋体" w:cs="宋体"/>
              <w:sz w:val="28"/>
              <w:szCs w:val="28"/>
            </w:rPr>
            <w:t>环境空气质量现状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_Toc19451 </w:instrText>
          </w:r>
          <w:r>
            <w:rPr>
              <w:rFonts w:hint="eastAsia" w:ascii="宋体" w:hAnsi="宋体" w:eastAsia="宋体" w:cs="宋体"/>
              <w:sz w:val="28"/>
              <w:szCs w:val="28"/>
            </w:rPr>
            <w:fldChar w:fldCharType="separate"/>
          </w:r>
          <w:r>
            <w:rPr>
              <w:rFonts w:hint="eastAsia" w:ascii="宋体" w:hAnsi="宋体" w:eastAsia="宋体" w:cs="宋体"/>
              <w:sz w:val="28"/>
              <w:szCs w:val="28"/>
            </w:rPr>
            <w:t>174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_Toc3106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9.3.2 </w:t>
          </w:r>
          <w:r>
            <w:rPr>
              <w:rFonts w:hint="eastAsia" w:ascii="宋体" w:hAnsi="宋体" w:eastAsia="宋体" w:cs="宋体"/>
              <w:sz w:val="28"/>
              <w:szCs w:val="28"/>
            </w:rPr>
            <w:t>地下水环境环境质量现状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_Toc3106 </w:instrText>
          </w:r>
          <w:r>
            <w:rPr>
              <w:rFonts w:hint="eastAsia" w:ascii="宋体" w:hAnsi="宋体" w:eastAsia="宋体" w:cs="宋体"/>
              <w:sz w:val="28"/>
              <w:szCs w:val="28"/>
            </w:rPr>
            <w:fldChar w:fldCharType="separate"/>
          </w:r>
          <w:r>
            <w:rPr>
              <w:rFonts w:hint="eastAsia" w:ascii="宋体" w:hAnsi="宋体" w:eastAsia="宋体" w:cs="宋体"/>
              <w:sz w:val="28"/>
              <w:szCs w:val="28"/>
            </w:rPr>
            <w:t>175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_Toc6458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9.3.3 </w:t>
          </w:r>
          <w:r>
            <w:rPr>
              <w:rFonts w:hint="eastAsia" w:ascii="宋体" w:hAnsi="宋体" w:eastAsia="宋体" w:cs="宋体"/>
              <w:sz w:val="28"/>
              <w:szCs w:val="28"/>
            </w:rPr>
            <w:t>声环境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_Toc6458 </w:instrText>
          </w:r>
          <w:r>
            <w:rPr>
              <w:rFonts w:hint="eastAsia" w:ascii="宋体" w:hAnsi="宋体" w:eastAsia="宋体" w:cs="宋体"/>
              <w:sz w:val="28"/>
              <w:szCs w:val="28"/>
            </w:rPr>
            <w:fldChar w:fldCharType="separate"/>
          </w:r>
          <w:r>
            <w:rPr>
              <w:rFonts w:hint="eastAsia" w:ascii="宋体" w:hAnsi="宋体" w:eastAsia="宋体" w:cs="宋体"/>
              <w:sz w:val="28"/>
              <w:szCs w:val="28"/>
            </w:rPr>
            <w:t>175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_Toc30774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9.3.4 </w:t>
          </w:r>
          <w:r>
            <w:rPr>
              <w:rFonts w:hint="eastAsia" w:ascii="宋体" w:hAnsi="宋体" w:eastAsia="宋体" w:cs="宋体"/>
              <w:sz w:val="28"/>
              <w:szCs w:val="28"/>
            </w:rPr>
            <w:t>土壤环境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_Toc30774 </w:instrText>
          </w:r>
          <w:r>
            <w:rPr>
              <w:rFonts w:hint="eastAsia" w:ascii="宋体" w:hAnsi="宋体" w:eastAsia="宋体" w:cs="宋体"/>
              <w:sz w:val="28"/>
              <w:szCs w:val="28"/>
            </w:rPr>
            <w:fldChar w:fldCharType="separate"/>
          </w:r>
          <w:r>
            <w:rPr>
              <w:rFonts w:hint="eastAsia" w:ascii="宋体" w:hAnsi="宋体" w:eastAsia="宋体" w:cs="宋体"/>
              <w:sz w:val="28"/>
              <w:szCs w:val="28"/>
            </w:rPr>
            <w:t>175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_Toc15273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9.4 </w:t>
          </w:r>
          <w:r>
            <w:rPr>
              <w:rFonts w:hint="eastAsia" w:ascii="宋体" w:hAnsi="宋体" w:eastAsia="宋体" w:cs="宋体"/>
              <w:sz w:val="28"/>
              <w:szCs w:val="28"/>
            </w:rPr>
            <w:t>工程分析结论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_Toc15273 </w:instrText>
          </w:r>
          <w:r>
            <w:rPr>
              <w:rFonts w:hint="eastAsia" w:ascii="宋体" w:hAnsi="宋体" w:eastAsia="宋体" w:cs="宋体"/>
              <w:sz w:val="28"/>
              <w:szCs w:val="28"/>
            </w:rPr>
            <w:fldChar w:fldCharType="separate"/>
          </w:r>
          <w:r>
            <w:rPr>
              <w:rFonts w:hint="eastAsia" w:ascii="宋体" w:hAnsi="宋体" w:eastAsia="宋体" w:cs="宋体"/>
              <w:sz w:val="28"/>
              <w:szCs w:val="28"/>
            </w:rPr>
            <w:t>176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sectPr>
              <w:footerReference r:id="rId6" w:type="default"/>
              <w:pgSz w:w="11910" w:h="16840"/>
              <w:pgMar w:top="1360" w:right="1220" w:bottom="280" w:left="1260" w:header="897" w:footer="0" w:gutter="0"/>
              <w:pgBorders>
                <w:top w:val="none" w:sz="0" w:space="0"/>
                <w:left w:val="none" w:sz="0" w:space="0"/>
                <w:bottom w:val="none" w:sz="0" w:space="0"/>
                <w:right w:val="none" w:sz="0" w:space="0"/>
              </w:pgBorders>
              <w:pgNumType w:fmt="decimal"/>
            </w:sectPr>
          </w:pP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_Toc13963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9.4.1 </w:t>
          </w:r>
          <w:r>
            <w:rPr>
              <w:rFonts w:hint="eastAsia" w:ascii="宋体" w:hAnsi="宋体" w:eastAsia="宋体" w:cs="宋体"/>
              <w:sz w:val="28"/>
              <w:szCs w:val="28"/>
            </w:rPr>
            <w:t>废气污染源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_Toc13963 </w:instrText>
          </w:r>
          <w:r>
            <w:rPr>
              <w:rFonts w:hint="eastAsia" w:ascii="宋体" w:hAnsi="宋体" w:eastAsia="宋体" w:cs="宋体"/>
              <w:sz w:val="28"/>
              <w:szCs w:val="28"/>
            </w:rPr>
            <w:fldChar w:fldCharType="separate"/>
          </w:r>
          <w:r>
            <w:rPr>
              <w:rFonts w:hint="eastAsia" w:ascii="宋体" w:hAnsi="宋体" w:eastAsia="宋体" w:cs="宋体"/>
              <w:sz w:val="28"/>
              <w:szCs w:val="28"/>
            </w:rPr>
            <w:t>176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_Toc740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9.4.2 </w:t>
          </w:r>
          <w:r>
            <w:rPr>
              <w:rFonts w:hint="eastAsia" w:ascii="宋体" w:hAnsi="宋体" w:eastAsia="宋体" w:cs="宋体"/>
              <w:sz w:val="28"/>
              <w:szCs w:val="28"/>
            </w:rPr>
            <w:t>废水污染源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_Toc740 </w:instrText>
          </w:r>
          <w:r>
            <w:rPr>
              <w:rFonts w:hint="eastAsia" w:ascii="宋体" w:hAnsi="宋体" w:eastAsia="宋体" w:cs="宋体"/>
              <w:sz w:val="28"/>
              <w:szCs w:val="28"/>
            </w:rPr>
            <w:fldChar w:fldCharType="separate"/>
          </w:r>
          <w:r>
            <w:rPr>
              <w:rFonts w:hint="eastAsia" w:ascii="宋体" w:hAnsi="宋体" w:eastAsia="宋体" w:cs="宋体"/>
              <w:sz w:val="28"/>
              <w:szCs w:val="28"/>
            </w:rPr>
            <w:t>176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9.4.3 </w:t>
          </w:r>
          <w:r>
            <w:rPr>
              <w:rFonts w:hint="eastAsia" w:ascii="宋体" w:hAnsi="宋体" w:eastAsia="宋体" w:cs="宋体"/>
              <w:sz w:val="28"/>
              <w:szCs w:val="28"/>
            </w:rPr>
            <w:t>噪声污染源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_Toc206 </w:instrText>
          </w:r>
          <w:r>
            <w:rPr>
              <w:rFonts w:hint="eastAsia" w:ascii="宋体" w:hAnsi="宋体" w:eastAsia="宋体" w:cs="宋体"/>
              <w:sz w:val="28"/>
              <w:szCs w:val="28"/>
            </w:rPr>
            <w:fldChar w:fldCharType="separate"/>
          </w:r>
          <w:r>
            <w:rPr>
              <w:rFonts w:hint="eastAsia" w:ascii="宋体" w:hAnsi="宋体" w:eastAsia="宋体" w:cs="宋体"/>
              <w:sz w:val="28"/>
              <w:szCs w:val="28"/>
            </w:rPr>
            <w:t>177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_Toc20573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9.4.4 </w:t>
          </w:r>
          <w:r>
            <w:rPr>
              <w:rFonts w:hint="eastAsia" w:ascii="宋体" w:hAnsi="宋体" w:eastAsia="宋体" w:cs="宋体"/>
              <w:sz w:val="28"/>
              <w:szCs w:val="28"/>
            </w:rPr>
            <w:t>固体废弃物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_Toc20573 </w:instrText>
          </w:r>
          <w:r>
            <w:rPr>
              <w:rFonts w:hint="eastAsia" w:ascii="宋体" w:hAnsi="宋体" w:eastAsia="宋体" w:cs="宋体"/>
              <w:sz w:val="28"/>
              <w:szCs w:val="28"/>
            </w:rPr>
            <w:fldChar w:fldCharType="separate"/>
          </w:r>
          <w:r>
            <w:rPr>
              <w:rFonts w:hint="eastAsia" w:ascii="宋体" w:hAnsi="宋体" w:eastAsia="宋体" w:cs="宋体"/>
              <w:sz w:val="28"/>
              <w:szCs w:val="28"/>
            </w:rPr>
            <w:t>177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_Toc28475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9.5 </w:t>
          </w:r>
          <w:r>
            <w:rPr>
              <w:rFonts w:hint="eastAsia" w:ascii="宋体" w:hAnsi="宋体" w:eastAsia="宋体" w:cs="宋体"/>
              <w:sz w:val="28"/>
              <w:szCs w:val="28"/>
            </w:rPr>
            <w:t>环境影响分析结论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_Toc28475 </w:instrText>
          </w:r>
          <w:r>
            <w:rPr>
              <w:rFonts w:hint="eastAsia" w:ascii="宋体" w:hAnsi="宋体" w:eastAsia="宋体" w:cs="宋体"/>
              <w:sz w:val="28"/>
              <w:szCs w:val="28"/>
            </w:rPr>
            <w:fldChar w:fldCharType="separate"/>
          </w:r>
          <w:r>
            <w:rPr>
              <w:rFonts w:hint="eastAsia" w:ascii="宋体" w:hAnsi="宋体" w:eastAsia="宋体" w:cs="宋体"/>
              <w:sz w:val="28"/>
              <w:szCs w:val="28"/>
            </w:rPr>
            <w:t>178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_Toc28074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9.5.1 </w:t>
          </w:r>
          <w:r>
            <w:rPr>
              <w:rFonts w:hint="eastAsia" w:ascii="宋体" w:hAnsi="宋体" w:eastAsia="宋体" w:cs="宋体"/>
              <w:sz w:val="28"/>
              <w:szCs w:val="28"/>
            </w:rPr>
            <w:t>大气环境影响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_Toc28074 </w:instrText>
          </w:r>
          <w:r>
            <w:rPr>
              <w:rFonts w:hint="eastAsia" w:ascii="宋体" w:hAnsi="宋体" w:eastAsia="宋体" w:cs="宋体"/>
              <w:sz w:val="28"/>
              <w:szCs w:val="28"/>
            </w:rPr>
            <w:fldChar w:fldCharType="separate"/>
          </w:r>
          <w:r>
            <w:rPr>
              <w:rFonts w:hint="eastAsia" w:ascii="宋体" w:hAnsi="宋体" w:eastAsia="宋体" w:cs="宋体"/>
              <w:sz w:val="28"/>
              <w:szCs w:val="28"/>
            </w:rPr>
            <w:t>178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_Toc5684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9.5.2 </w:t>
          </w:r>
          <w:r>
            <w:rPr>
              <w:rFonts w:hint="eastAsia" w:ascii="宋体" w:hAnsi="宋体" w:eastAsia="宋体" w:cs="宋体"/>
              <w:sz w:val="28"/>
              <w:szCs w:val="28"/>
            </w:rPr>
            <w:t>水环境影响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_Toc5684 </w:instrText>
          </w:r>
          <w:r>
            <w:rPr>
              <w:rFonts w:hint="eastAsia" w:ascii="宋体" w:hAnsi="宋体" w:eastAsia="宋体" w:cs="宋体"/>
              <w:sz w:val="28"/>
              <w:szCs w:val="28"/>
            </w:rPr>
            <w:fldChar w:fldCharType="separate"/>
          </w:r>
          <w:r>
            <w:rPr>
              <w:rFonts w:hint="eastAsia" w:ascii="宋体" w:hAnsi="宋体" w:eastAsia="宋体" w:cs="宋体"/>
              <w:sz w:val="28"/>
              <w:szCs w:val="28"/>
            </w:rPr>
            <w:t>178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_Toc21060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9.5.3 </w:t>
          </w:r>
          <w:r>
            <w:rPr>
              <w:rFonts w:hint="eastAsia" w:ascii="宋体" w:hAnsi="宋体" w:eastAsia="宋体" w:cs="宋体"/>
              <w:sz w:val="28"/>
              <w:szCs w:val="28"/>
            </w:rPr>
            <w:t>声环境影响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_Toc21060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_Toc22910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9.5.4 </w:t>
          </w:r>
          <w:r>
            <w:rPr>
              <w:rFonts w:hint="eastAsia" w:ascii="宋体" w:hAnsi="宋体" w:eastAsia="宋体" w:cs="宋体"/>
              <w:sz w:val="28"/>
              <w:szCs w:val="28"/>
            </w:rPr>
            <w:t>固体废物影响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_Toc22910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_Toc15422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9.5.5 </w:t>
          </w:r>
          <w:r>
            <w:rPr>
              <w:rFonts w:hint="eastAsia" w:ascii="宋体" w:hAnsi="宋体" w:eastAsia="宋体" w:cs="宋体"/>
              <w:sz w:val="28"/>
              <w:szCs w:val="28"/>
            </w:rPr>
            <w:t>生态环境影响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_Toc15422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_Toc27297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9.5.6 </w:t>
          </w:r>
          <w:r>
            <w:rPr>
              <w:rFonts w:hint="eastAsia" w:ascii="宋体" w:hAnsi="宋体" w:eastAsia="宋体" w:cs="宋体"/>
              <w:sz w:val="28"/>
              <w:szCs w:val="28"/>
            </w:rPr>
            <w:t>土壤环境影响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_Toc27297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_Toc23489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9.5.7 </w:t>
          </w:r>
          <w:r>
            <w:rPr>
              <w:rFonts w:hint="eastAsia" w:ascii="宋体" w:hAnsi="宋体" w:eastAsia="宋体" w:cs="宋体"/>
              <w:sz w:val="28"/>
              <w:szCs w:val="28"/>
            </w:rPr>
            <w:t>环境风险评价结论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_Toc23489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_Toc21237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9.6 </w:t>
          </w:r>
          <w:r>
            <w:rPr>
              <w:rFonts w:hint="eastAsia" w:ascii="宋体" w:hAnsi="宋体" w:eastAsia="宋体" w:cs="宋体"/>
              <w:sz w:val="28"/>
              <w:szCs w:val="28"/>
            </w:rPr>
            <w:t>污染防治措施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_Toc21237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_Toc3916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9.6.1 </w:t>
          </w:r>
          <w:r>
            <w:rPr>
              <w:rFonts w:hint="eastAsia" w:ascii="宋体" w:hAnsi="宋体" w:eastAsia="宋体" w:cs="宋体"/>
              <w:sz w:val="28"/>
              <w:szCs w:val="28"/>
            </w:rPr>
            <w:t>大气环境保护措施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_Toc3916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_Toc12128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9.6.2 </w:t>
          </w:r>
          <w:r>
            <w:rPr>
              <w:rFonts w:hint="eastAsia" w:ascii="宋体" w:hAnsi="宋体" w:eastAsia="宋体" w:cs="宋体"/>
              <w:sz w:val="28"/>
              <w:szCs w:val="28"/>
            </w:rPr>
            <w:t>水环境保护措施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_Toc12128 </w:instrText>
          </w:r>
          <w:r>
            <w:rPr>
              <w:rFonts w:hint="eastAsia" w:ascii="宋体" w:hAnsi="宋体" w:eastAsia="宋体" w:cs="宋体"/>
              <w:sz w:val="28"/>
              <w:szCs w:val="28"/>
            </w:rPr>
            <w:fldChar w:fldCharType="separate"/>
          </w:r>
          <w:r>
            <w:rPr>
              <w:rFonts w:hint="eastAsia" w:ascii="宋体" w:hAnsi="宋体" w:eastAsia="宋体" w:cs="宋体"/>
              <w:sz w:val="28"/>
              <w:szCs w:val="28"/>
            </w:rPr>
            <w:t>181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_Toc24327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9.6.3 </w:t>
          </w:r>
          <w:r>
            <w:rPr>
              <w:rFonts w:hint="eastAsia" w:ascii="宋体" w:hAnsi="宋体" w:eastAsia="宋体" w:cs="宋体"/>
              <w:sz w:val="28"/>
              <w:szCs w:val="28"/>
            </w:rPr>
            <w:t>声环境保护措施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_Toc24327 </w:instrText>
          </w:r>
          <w:r>
            <w:rPr>
              <w:rFonts w:hint="eastAsia" w:ascii="宋体" w:hAnsi="宋体" w:eastAsia="宋体" w:cs="宋体"/>
              <w:sz w:val="28"/>
              <w:szCs w:val="28"/>
            </w:rPr>
            <w:fldChar w:fldCharType="separate"/>
          </w:r>
          <w:r>
            <w:rPr>
              <w:rFonts w:hint="eastAsia" w:ascii="宋体" w:hAnsi="宋体" w:eastAsia="宋体" w:cs="宋体"/>
              <w:sz w:val="28"/>
              <w:szCs w:val="28"/>
            </w:rPr>
            <w:t>181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_Toc13019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9.6.4 </w:t>
          </w:r>
          <w:r>
            <w:rPr>
              <w:rFonts w:hint="eastAsia" w:ascii="宋体" w:hAnsi="宋体" w:eastAsia="宋体" w:cs="宋体"/>
              <w:sz w:val="28"/>
              <w:szCs w:val="28"/>
            </w:rPr>
            <w:t>固体废物处置措施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_Toc13019 </w:instrText>
          </w:r>
          <w:r>
            <w:rPr>
              <w:rFonts w:hint="eastAsia" w:ascii="宋体" w:hAnsi="宋体" w:eastAsia="宋体" w:cs="宋体"/>
              <w:sz w:val="28"/>
              <w:szCs w:val="28"/>
            </w:rPr>
            <w:fldChar w:fldCharType="separate"/>
          </w:r>
          <w:r>
            <w:rPr>
              <w:rFonts w:hint="eastAsia" w:ascii="宋体" w:hAnsi="宋体" w:eastAsia="宋体" w:cs="宋体"/>
              <w:sz w:val="28"/>
              <w:szCs w:val="28"/>
            </w:rPr>
            <w:t>181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_Toc6064 </w:instrText>
          </w:r>
          <w:r>
            <w:rPr>
              <w:rFonts w:hint="eastAsia" w:ascii="宋体" w:hAnsi="宋体" w:eastAsia="宋体" w:cs="宋体"/>
              <w:sz w:val="28"/>
              <w:szCs w:val="28"/>
            </w:rPr>
            <w:fldChar w:fldCharType="separate"/>
          </w:r>
          <w:r>
            <w:rPr>
              <w:rFonts w:hint="eastAsia" w:ascii="宋体" w:hAnsi="宋体" w:eastAsia="宋体" w:cs="宋体"/>
              <w:bCs/>
              <w:spacing w:val="-2"/>
              <w:w w:val="100"/>
              <w:sz w:val="28"/>
              <w:szCs w:val="28"/>
              <w:lang w:val="zh-CN" w:eastAsia="zh-CN" w:bidi="zh-CN"/>
            </w:rPr>
            <w:t xml:space="preserve">9.6.5 </w:t>
          </w:r>
          <w:r>
            <w:rPr>
              <w:rFonts w:hint="eastAsia" w:ascii="宋体" w:hAnsi="宋体" w:eastAsia="宋体" w:cs="宋体"/>
              <w:sz w:val="28"/>
              <w:szCs w:val="28"/>
            </w:rPr>
            <w:t>土壤污染防治措施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_Toc6064 </w:instrText>
          </w:r>
          <w:r>
            <w:rPr>
              <w:rFonts w:hint="eastAsia" w:ascii="宋体" w:hAnsi="宋体" w:eastAsia="宋体" w:cs="宋体"/>
              <w:sz w:val="28"/>
              <w:szCs w:val="28"/>
            </w:rPr>
            <w:fldChar w:fldCharType="separate"/>
          </w:r>
          <w:r>
            <w:rPr>
              <w:rFonts w:hint="eastAsia" w:ascii="宋体" w:hAnsi="宋体" w:eastAsia="宋体" w:cs="宋体"/>
              <w:sz w:val="28"/>
              <w:szCs w:val="28"/>
            </w:rPr>
            <w:t>182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_Toc28208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9.7 </w:t>
          </w:r>
          <w:r>
            <w:rPr>
              <w:rFonts w:hint="eastAsia" w:ascii="宋体" w:hAnsi="宋体" w:eastAsia="宋体" w:cs="宋体"/>
              <w:sz w:val="28"/>
              <w:szCs w:val="28"/>
            </w:rPr>
            <w:t>总量控制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_Toc28208 </w:instrText>
          </w:r>
          <w:r>
            <w:rPr>
              <w:rFonts w:hint="eastAsia" w:ascii="宋体" w:hAnsi="宋体" w:eastAsia="宋体" w:cs="宋体"/>
              <w:sz w:val="28"/>
              <w:szCs w:val="28"/>
            </w:rPr>
            <w:fldChar w:fldCharType="separate"/>
          </w:r>
          <w:r>
            <w:rPr>
              <w:rFonts w:hint="eastAsia" w:ascii="宋体" w:hAnsi="宋体" w:eastAsia="宋体" w:cs="宋体"/>
              <w:sz w:val="28"/>
              <w:szCs w:val="28"/>
            </w:rPr>
            <w:t>182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_Toc10727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9.8 </w:t>
          </w:r>
          <w:r>
            <w:rPr>
              <w:rFonts w:hint="eastAsia" w:ascii="宋体" w:hAnsi="宋体" w:eastAsia="宋体" w:cs="宋体"/>
              <w:sz w:val="28"/>
              <w:szCs w:val="28"/>
            </w:rPr>
            <w:t>公众参与结论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_Toc10727 </w:instrText>
          </w:r>
          <w:r>
            <w:rPr>
              <w:rFonts w:hint="eastAsia" w:ascii="宋体" w:hAnsi="宋体" w:eastAsia="宋体" w:cs="宋体"/>
              <w:sz w:val="28"/>
              <w:szCs w:val="28"/>
            </w:rPr>
            <w:fldChar w:fldCharType="separate"/>
          </w:r>
          <w:r>
            <w:rPr>
              <w:rFonts w:hint="eastAsia" w:ascii="宋体" w:hAnsi="宋体" w:eastAsia="宋体" w:cs="宋体"/>
              <w:sz w:val="28"/>
              <w:szCs w:val="28"/>
            </w:rPr>
            <w:t>183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_Toc3725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9.9 </w:t>
          </w:r>
          <w:r>
            <w:rPr>
              <w:rFonts w:hint="eastAsia" w:ascii="宋体" w:hAnsi="宋体" w:eastAsia="宋体" w:cs="宋体"/>
              <w:sz w:val="28"/>
              <w:szCs w:val="28"/>
            </w:rPr>
            <w:t>综合评价结论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_Toc3725 </w:instrText>
          </w:r>
          <w:r>
            <w:rPr>
              <w:rFonts w:hint="eastAsia" w:ascii="宋体" w:hAnsi="宋体" w:eastAsia="宋体" w:cs="宋体"/>
              <w:sz w:val="28"/>
              <w:szCs w:val="28"/>
            </w:rPr>
            <w:fldChar w:fldCharType="separate"/>
          </w:r>
          <w:r>
            <w:rPr>
              <w:rFonts w:hint="eastAsia" w:ascii="宋体" w:hAnsi="宋体" w:eastAsia="宋体" w:cs="宋体"/>
              <w:sz w:val="28"/>
              <w:szCs w:val="28"/>
            </w:rPr>
            <w:t>183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6"/>
            <w:tabs>
              <w:tab w:val="right" w:leader="dot" w:pos="943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_Toc22758 </w:instrText>
          </w:r>
          <w:r>
            <w:rPr>
              <w:rFonts w:hint="eastAsia" w:ascii="宋体" w:hAnsi="宋体" w:eastAsia="宋体" w:cs="宋体"/>
              <w:sz w:val="28"/>
              <w:szCs w:val="28"/>
            </w:rPr>
            <w:fldChar w:fldCharType="separate"/>
          </w:r>
          <w:r>
            <w:rPr>
              <w:rFonts w:hint="eastAsia" w:ascii="宋体" w:hAnsi="宋体" w:eastAsia="宋体" w:cs="宋体"/>
              <w:bCs/>
              <w:spacing w:val="-1"/>
              <w:w w:val="99"/>
              <w:sz w:val="28"/>
              <w:szCs w:val="28"/>
              <w:lang w:val="zh-CN" w:eastAsia="zh-CN" w:bidi="zh-CN"/>
            </w:rPr>
            <w:t xml:space="preserve">9.10 </w:t>
          </w:r>
          <w:r>
            <w:rPr>
              <w:rFonts w:hint="eastAsia" w:ascii="宋体" w:hAnsi="宋体" w:eastAsia="宋体" w:cs="宋体"/>
              <w:sz w:val="28"/>
              <w:szCs w:val="28"/>
            </w:rPr>
            <w:t>对策与建议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_Toc22758 </w:instrText>
          </w:r>
          <w:r>
            <w:rPr>
              <w:rFonts w:hint="eastAsia" w:ascii="宋体" w:hAnsi="宋体" w:eastAsia="宋体" w:cs="宋体"/>
              <w:sz w:val="28"/>
              <w:szCs w:val="28"/>
            </w:rPr>
            <w:fldChar w:fldCharType="separate"/>
          </w:r>
          <w:r>
            <w:rPr>
              <w:rFonts w:hint="eastAsia" w:ascii="宋体" w:hAnsi="宋体" w:eastAsia="宋体" w:cs="宋体"/>
              <w:sz w:val="28"/>
              <w:szCs w:val="28"/>
            </w:rPr>
            <w:t>183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r>
            <w:fldChar w:fldCharType="end"/>
          </w:r>
        </w:p>
      </w:sdtContent>
    </w:sdt>
    <w:bookmarkEnd w:id="2"/>
    <w:p>
      <w:pPr>
        <w:pStyle w:val="17"/>
        <w:numPr>
          <w:ilvl w:val="0"/>
          <w:numId w:val="0"/>
        </w:numPr>
        <w:tabs>
          <w:tab w:val="left" w:pos="1560"/>
          <w:tab w:val="left" w:leader="dot" w:pos="8486"/>
        </w:tabs>
        <w:spacing w:before="131" w:after="0" w:line="240" w:lineRule="auto"/>
        <w:ind w:right="0" w:rightChars="0"/>
        <w:jc w:val="left"/>
        <w:rPr>
          <w:rFonts w:ascii="Times New Roman" w:eastAsia="Times New Roman"/>
          <w:sz w:val="24"/>
        </w:rPr>
      </w:pPr>
    </w:p>
    <w:p>
      <w:pPr>
        <w:spacing w:after="0" w:line="240" w:lineRule="auto"/>
        <w:jc w:val="left"/>
        <w:rPr>
          <w:rFonts w:ascii="Times New Roman" w:eastAsia="Times New Roman"/>
          <w:sz w:val="24"/>
        </w:rPr>
        <w:sectPr>
          <w:footerReference r:id="rId7" w:type="default"/>
          <w:pgSz w:w="11910" w:h="16840"/>
          <w:pgMar w:top="1360" w:right="1220" w:bottom="280" w:left="1260" w:header="897" w:footer="0" w:gutter="0"/>
          <w:pgBorders>
            <w:top w:val="none" w:sz="0" w:space="0"/>
            <w:left w:val="none" w:sz="0" w:space="0"/>
            <w:bottom w:val="none" w:sz="0" w:space="0"/>
            <w:right w:val="none" w:sz="0" w:space="0"/>
          </w:pgBorders>
          <w:pgNumType w:fmt="decimal"/>
        </w:sectPr>
      </w:pPr>
    </w:p>
    <w:p>
      <w:pPr>
        <w:pStyle w:val="3"/>
        <w:tabs>
          <w:tab w:val="left" w:pos="1444"/>
        </w:tabs>
        <w:ind w:right="37"/>
        <w:outlineLvl w:val="0"/>
      </w:pPr>
      <w:bookmarkStart w:id="3" w:name="_Toc21022"/>
      <w:r>
        <w:t>第一章</w:t>
      </w:r>
      <w:r>
        <w:tab/>
      </w:r>
      <w:bookmarkStart w:id="4" w:name="第一章 概述"/>
      <w:bookmarkEnd w:id="4"/>
      <w:r>
        <w:t>概述</w:t>
      </w:r>
      <w:bookmarkEnd w:id="3"/>
    </w:p>
    <w:p>
      <w:pPr>
        <w:pStyle w:val="7"/>
        <w:spacing w:before="8"/>
        <w:ind w:left="0"/>
        <w:rPr>
          <w:b/>
        </w:rPr>
      </w:pPr>
    </w:p>
    <w:p>
      <w:pPr>
        <w:pStyle w:val="4"/>
        <w:numPr>
          <w:ilvl w:val="1"/>
          <w:numId w:val="1"/>
        </w:numPr>
        <w:tabs>
          <w:tab w:val="left" w:pos="1100"/>
        </w:tabs>
        <w:spacing w:before="0" w:after="0" w:line="240" w:lineRule="auto"/>
        <w:ind w:left="1099" w:right="0" w:hanging="560"/>
        <w:jc w:val="left"/>
        <w:outlineLvl w:val="1"/>
      </w:pPr>
      <w:bookmarkStart w:id="5" w:name="_bookmark1"/>
      <w:bookmarkEnd w:id="5"/>
      <w:bookmarkStart w:id="6" w:name="1.1 项目由来"/>
      <w:bookmarkEnd w:id="6"/>
      <w:bookmarkStart w:id="7" w:name="_Toc13461"/>
      <w:r>
        <w:t>项目由来</w:t>
      </w:r>
      <w:bookmarkEnd w:id="7"/>
    </w:p>
    <w:p>
      <w:pPr>
        <w:pStyle w:val="7"/>
        <w:spacing w:before="3"/>
        <w:ind w:left="0"/>
        <w:rPr>
          <w:b/>
          <w:color w:val="0000FF"/>
        </w:rPr>
      </w:pPr>
    </w:p>
    <w:p>
      <w:pPr>
        <w:pStyle w:val="7"/>
        <w:spacing w:before="4" w:line="364" w:lineRule="auto"/>
        <w:ind w:right="457" w:firstLine="480"/>
        <w:jc w:val="both"/>
        <w:rPr>
          <w:color w:val="0000FF"/>
          <w:spacing w:val="-10"/>
        </w:rPr>
      </w:pPr>
      <w:r>
        <w:rPr>
          <w:color w:val="0000FF"/>
          <w:spacing w:val="-10"/>
        </w:rPr>
        <w:t>随着畜牧业的快速发展，莎车县加大了对畜牧产业体系的建设力度，特别是把畜禽良种繁育体系的完善提上重要议事日程，将其作为推进社会主义新农村建设、促进畜牧业转变生产方式和经济持续健康发展、带动农民就业、脱贫致富的重要工作来抓。</w:t>
      </w:r>
    </w:p>
    <w:p>
      <w:pPr>
        <w:pStyle w:val="7"/>
        <w:spacing w:before="4" w:line="364" w:lineRule="auto"/>
        <w:ind w:right="457" w:firstLine="480"/>
        <w:jc w:val="both"/>
        <w:rPr>
          <w:color w:val="0000FF"/>
          <w:spacing w:val="-10"/>
        </w:rPr>
      </w:pPr>
      <w:r>
        <w:rPr>
          <w:color w:val="0000FF"/>
          <w:spacing w:val="-10"/>
        </w:rPr>
        <w:t>莎车县是传统的农业区，发达的种植业和丰富的饲草料资源为畜牧业的发展提供了优越条件；莎车县也是少数民族聚居区，群众具有牛羊养殖、贩运及经营畜禽产品的传统习惯，畜牧业已成为促进莎车县区域经济发展的优势产业和重要支柱产业。近年来，莎车县通过加强良种繁育工程、规模养殖基地、屠宰加工与市场流通体系建设，养殖规模不断扩大，畜牧业生产已向规模养殖、屠宰加工、流通贸易一体化经营的产业化发展转变并呈现出强劲发展势头。但由于资金投入不足和畜牧业产业化发展起步较晚，产业配套体系不完善等原因，良种繁育中心建设滞后，存在肉羊良种化程度低，养殖方式落后，肉羊供给的品种、质量不适应需求的变化，与国内外市场需求存在较大差距，部分产品不能体现出优质优价，缺乏市场竞争力等问题，以上问题的存在严重影响了莎车县良种繁育体系建设和畜牧业的持续健康发展。因此，依托莎车县及周边地区的畜牧资源优势，建设具有一定规模、层次较高、功能齐全、设施完善的现代化良种繁育中心，是完善肉羊良种繁育体系的重要组成部分，也是促进莎车县及周边地区畜牧产业优化升级、带动农民脱贫致富的现实需要。</w:t>
      </w:r>
    </w:p>
    <w:p>
      <w:pPr>
        <w:pStyle w:val="7"/>
        <w:spacing w:before="4" w:line="364" w:lineRule="auto"/>
        <w:ind w:right="457" w:firstLine="480"/>
        <w:jc w:val="both"/>
        <w:rPr>
          <w:color w:val="0000FF"/>
          <w:spacing w:val="-10"/>
        </w:rPr>
      </w:pPr>
      <w:r>
        <w:rPr>
          <w:color w:val="0000FF"/>
          <w:spacing w:val="-10"/>
        </w:rPr>
        <w:t>莎车县畜牧局根据中央、自治区政府关于产业脱贫的政策要求和产业导向，紧密联系莎车县畜牧业发展实际，针对莎车县良种繁育体系建设的总体规划和畜牧业发展的客观要求，立足于当地的资源优势、产业优势，加强肉羊良种繁育体系与相关基础设施的配套建设，加强对地方优质品种的保护与改良利用，完善良种繁育体系，加大对优良品种遗传特性的研究，利用现代保种技术和选育技术，做好对地方品种资源的保种、提纯复壮和扩繁工作，带动莎车县畜牧业产业化经营、农民持续增收、脱贫致富和当地经济快速发展，特提出“莎车县</w:t>
      </w:r>
      <w:r>
        <w:rPr>
          <w:rFonts w:hint="eastAsia"/>
          <w:color w:val="0000FF"/>
          <w:spacing w:val="-10"/>
          <w:lang w:eastAsia="zh-CN"/>
        </w:rPr>
        <w:t>阿拉买提</w:t>
      </w:r>
      <w:r>
        <w:rPr>
          <w:color w:val="0000FF"/>
          <w:spacing w:val="-10"/>
        </w:rPr>
        <w:t>良种繁育中心建设项目”。</w:t>
      </w:r>
    </w:p>
    <w:p>
      <w:pPr>
        <w:pStyle w:val="7"/>
        <w:spacing w:before="4" w:line="364" w:lineRule="auto"/>
        <w:ind w:right="457" w:firstLine="480"/>
        <w:jc w:val="both"/>
        <w:rPr>
          <w:rFonts w:hint="eastAsia"/>
          <w:color w:val="0000FF"/>
          <w:spacing w:val="-10"/>
          <w:lang w:val="en-US" w:eastAsia="zh-CN"/>
        </w:rPr>
      </w:pPr>
      <w:r>
        <w:rPr>
          <w:rFonts w:hint="eastAsia"/>
          <w:color w:val="0000FF"/>
          <w:spacing w:val="-10"/>
          <w:lang w:val="en-US" w:eastAsia="zh-CN"/>
        </w:rPr>
        <w:t>本项目为标准化规模养殖项目，属于国家发展和改革委员会第29号令《产业结构调整指导目录》（2019年本）鼓励类，为农林业中的“4、畜禽标准化规模养殖技术开发与应用”，属于“当前国家重点鼓励发展的产业、产品和技术目录”中的第一类（农业），因此本项目符合国家产业政策。。</w:t>
      </w:r>
    </w:p>
    <w:p>
      <w:pPr>
        <w:pStyle w:val="7"/>
        <w:spacing w:before="161" w:line="364" w:lineRule="auto"/>
        <w:ind w:right="577" w:firstLine="480"/>
        <w:jc w:val="both"/>
        <w:rPr>
          <w:rFonts w:hint="default"/>
          <w:color w:val="0000FF"/>
          <w:spacing w:val="-5"/>
          <w:lang w:val="en-US" w:eastAsia="zh-CN"/>
        </w:rPr>
      </w:pPr>
      <w:r>
        <w:rPr>
          <w:rFonts w:hint="eastAsia"/>
          <w:color w:val="0000FF"/>
          <w:spacing w:val="-5"/>
          <w:lang w:val="en-US" w:eastAsia="zh-CN"/>
        </w:rPr>
        <w:t>根据《中华人民共和国环境影响评价法》、国家环保部令第</w:t>
      </w:r>
      <w:r>
        <w:rPr>
          <w:rFonts w:hint="default"/>
          <w:color w:val="0000FF"/>
          <w:spacing w:val="-5"/>
          <w:lang w:val="en-US" w:eastAsia="zh-CN"/>
        </w:rPr>
        <w:t>44</w:t>
      </w:r>
      <w:r>
        <w:rPr>
          <w:rFonts w:hint="eastAsia"/>
          <w:color w:val="0000FF"/>
          <w:spacing w:val="-5"/>
          <w:lang w:val="en-US" w:eastAsia="zh-CN"/>
        </w:rPr>
        <w:t>号《建设项目环境影响评价分类管理名录》及《关于修改〈建设项目环境影响评价分类管理名录〉部分内容的决定》（生态环境部令第</w:t>
      </w:r>
      <w:r>
        <w:rPr>
          <w:rFonts w:hint="default"/>
          <w:color w:val="0000FF"/>
          <w:spacing w:val="-5"/>
          <w:lang w:val="en-US" w:eastAsia="zh-CN"/>
        </w:rPr>
        <w:t>1</w:t>
      </w:r>
      <w:r>
        <w:rPr>
          <w:rFonts w:hint="eastAsia"/>
          <w:color w:val="0000FF"/>
          <w:spacing w:val="-5"/>
          <w:lang w:val="en-US" w:eastAsia="zh-CN"/>
        </w:rPr>
        <w:t>号）和《建设项目环境保护管理条例》（国务院2017年第682号令）中的有关规定，本项目属于</w:t>
      </w:r>
      <w:r>
        <w:rPr>
          <w:rFonts w:hint="default"/>
          <w:color w:val="0000FF"/>
          <w:spacing w:val="-5"/>
          <w:lang w:val="en-US" w:eastAsia="zh-CN"/>
        </w:rPr>
        <w:t>“</w:t>
      </w:r>
      <w:r>
        <w:rPr>
          <w:rFonts w:hint="eastAsia"/>
          <w:color w:val="0000FF"/>
          <w:spacing w:val="-5"/>
          <w:lang w:val="en-US" w:eastAsia="zh-CN"/>
        </w:rPr>
        <w:t>一、畜牧业</w:t>
      </w:r>
      <w:r>
        <w:rPr>
          <w:rFonts w:hint="default"/>
          <w:color w:val="0000FF"/>
          <w:spacing w:val="-5"/>
          <w:lang w:val="en-US" w:eastAsia="zh-CN"/>
        </w:rPr>
        <w:t>”</w:t>
      </w:r>
      <w:r>
        <w:rPr>
          <w:rFonts w:hint="eastAsia"/>
          <w:color w:val="0000FF"/>
          <w:spacing w:val="-5"/>
          <w:lang w:val="en-US" w:eastAsia="zh-CN"/>
        </w:rPr>
        <w:t>中“1畜禽养殖场、养殖小区-年出栏生猪5000头（其他畜禽种类折合猪的养殖规模）及以上”，应编制环境影响报告书。项目完成后，种羊场存栏规模达到10万只以上，年出栏种公羊4万余只，折合猪约1.3万头，应当编环境影响报告书。为此，莎车县畜牧兽医局委托新疆新农丽景环境工程咨询有限公司承担本项目环境影响报告书的编制工作。</w:t>
      </w:r>
    </w:p>
    <w:p>
      <w:pPr>
        <w:pStyle w:val="7"/>
        <w:spacing w:before="161" w:line="364" w:lineRule="auto"/>
        <w:ind w:right="577" w:firstLine="480"/>
        <w:jc w:val="both"/>
        <w:rPr>
          <w:rFonts w:hint="eastAsia"/>
          <w:color w:val="0000FF"/>
          <w:spacing w:val="-9"/>
          <w:lang w:val="en-US" w:eastAsia="zh-CN"/>
        </w:rPr>
      </w:pPr>
      <w:r>
        <w:rPr>
          <w:rFonts w:hint="eastAsia"/>
          <w:color w:val="0000FF"/>
          <w:spacing w:val="-9"/>
          <w:lang w:val="en-US" w:eastAsia="zh-CN"/>
        </w:rPr>
        <w:t>接受委托后，我公司通过实地调查并根据该项目和当地环境实际情况，确定评价工作深度，根据环评导则和有关规范要求，在实施现状监测和环境影响分析的基础上，结合现场踏勘调查的实际情况，本着科学、求实、客观、公正的精神编写完成了《</w:t>
      </w:r>
      <w:r>
        <w:rPr>
          <w:rFonts w:hint="eastAsia"/>
          <w:color w:val="0000FF"/>
          <w:spacing w:val="-9"/>
          <w:lang w:eastAsia="zh-CN"/>
        </w:rPr>
        <w:t>莎车县阿拉买提良种繁育中心建设项目</w:t>
      </w:r>
      <w:r>
        <w:rPr>
          <w:rFonts w:hint="eastAsia"/>
          <w:color w:val="0000FF"/>
          <w:spacing w:val="-9"/>
          <w:lang w:val="en-US" w:eastAsia="zh-CN"/>
        </w:rPr>
        <w:t>环境影响报告书》。旨在通过环境影响评价，预测项目建设过程中和建成后对周围水环境、大气环境及声环境的影响程度和范围，并提出防治污染和减缓建设项目对周围环境影响的可行措施，从环境保护的角度分析该项目的选址及建设的可行性，为建设单位项目建设和环境保护主管部门项目审批时提供决策参考依据。</w:t>
      </w:r>
    </w:p>
    <w:p>
      <w:pPr>
        <w:spacing w:after="0" w:line="364" w:lineRule="auto"/>
        <w:jc w:val="both"/>
        <w:rPr>
          <w:color w:val="0000FF"/>
        </w:rPr>
        <w:sectPr>
          <w:footerReference r:id="rId8" w:type="default"/>
          <w:pgSz w:w="11910" w:h="16840"/>
          <w:pgMar w:top="1360" w:right="1220" w:bottom="1300" w:left="1260" w:header="897" w:footer="1116" w:gutter="0"/>
          <w:pgBorders>
            <w:top w:val="none" w:sz="0" w:space="0"/>
            <w:left w:val="none" w:sz="0" w:space="0"/>
            <w:bottom w:val="none" w:sz="0" w:space="0"/>
            <w:right w:val="none" w:sz="0" w:space="0"/>
          </w:pgBorders>
          <w:pgNumType w:fmt="decimal" w:start="1"/>
        </w:sectPr>
      </w:pPr>
    </w:p>
    <w:p>
      <w:pPr>
        <w:pStyle w:val="7"/>
        <w:spacing w:before="4"/>
        <w:ind w:left="0"/>
        <w:rPr>
          <w:sz w:val="8"/>
        </w:rPr>
      </w:pPr>
    </w:p>
    <w:p>
      <w:pPr>
        <w:pStyle w:val="4"/>
        <w:numPr>
          <w:ilvl w:val="1"/>
          <w:numId w:val="1"/>
        </w:numPr>
        <w:tabs>
          <w:tab w:val="left" w:pos="1100"/>
        </w:tabs>
        <w:spacing w:before="64" w:after="0" w:line="240" w:lineRule="auto"/>
        <w:ind w:left="1099" w:right="0" w:hanging="560"/>
        <w:jc w:val="left"/>
        <w:outlineLvl w:val="1"/>
      </w:pPr>
      <w:bookmarkStart w:id="8" w:name="1.2 建设项目概况"/>
      <w:bookmarkEnd w:id="8"/>
      <w:bookmarkStart w:id="9" w:name="_bookmark2"/>
      <w:bookmarkEnd w:id="9"/>
      <w:bookmarkStart w:id="10" w:name="_Toc13064"/>
      <w:r>
        <w:t>建设项目概况</w:t>
      </w:r>
      <w:bookmarkEnd w:id="10"/>
    </w:p>
    <w:p>
      <w:pPr>
        <w:pStyle w:val="7"/>
        <w:spacing w:before="3"/>
        <w:ind w:left="0"/>
        <w:rPr>
          <w:b/>
        </w:rPr>
      </w:pPr>
    </w:p>
    <w:p>
      <w:pPr>
        <w:pStyle w:val="7"/>
        <w:spacing w:before="1" w:line="364" w:lineRule="auto"/>
        <w:ind w:right="455" w:firstLine="520" w:firstLineChars="200"/>
        <w:rPr>
          <w:rFonts w:hint="eastAsia"/>
          <w:color w:val="0000FF"/>
          <w:spacing w:val="10"/>
          <w:lang w:val="en-US" w:eastAsia="zh-CN"/>
        </w:rPr>
      </w:pPr>
      <w:r>
        <w:rPr>
          <w:rFonts w:hint="eastAsia"/>
          <w:color w:val="0000FF"/>
          <w:spacing w:val="10"/>
          <w:lang w:val="en-US" w:eastAsia="zh-CN"/>
        </w:rPr>
        <w:t>施工期：厂房建设过程产生的施工扬尘、废水、噪声、建筑垃圾、生态环境影响等。</w:t>
      </w:r>
    </w:p>
    <w:p>
      <w:pPr>
        <w:pStyle w:val="7"/>
        <w:spacing w:before="1" w:line="364" w:lineRule="auto"/>
        <w:ind w:right="455" w:firstLine="520" w:firstLineChars="200"/>
        <w:rPr>
          <w:rFonts w:hint="eastAsia"/>
          <w:color w:val="0000FF"/>
          <w:spacing w:val="10"/>
          <w:lang w:val="en-US" w:eastAsia="zh-CN"/>
        </w:rPr>
      </w:pPr>
      <w:r>
        <w:rPr>
          <w:rFonts w:hint="eastAsia"/>
          <w:color w:val="0000FF"/>
          <w:spacing w:val="10"/>
          <w:lang w:val="en-US" w:eastAsia="zh-CN"/>
        </w:rPr>
        <w:t>营运期：大气环境重点关注营运期养殖过程中产生的氨、硫化氢等恶臭气体对区域空气的影响；生产废水对区域水环境的影响；固废和生活垃圾的临时储存以及处理方式；声环境影响主要为各类设备的机械噪声对周边声环境的影响。</w:t>
      </w:r>
    </w:p>
    <w:p>
      <w:pPr>
        <w:pStyle w:val="7"/>
        <w:spacing w:before="1" w:line="364" w:lineRule="auto"/>
        <w:ind w:right="455" w:firstLine="520" w:firstLineChars="200"/>
        <w:rPr>
          <w:rFonts w:hint="eastAsia"/>
          <w:spacing w:val="10"/>
          <w:lang w:val="en-US" w:eastAsia="zh-CN"/>
        </w:rPr>
      </w:pPr>
      <w:r>
        <w:rPr>
          <w:rFonts w:hint="eastAsia"/>
          <w:color w:val="0000FF"/>
          <w:spacing w:val="10"/>
          <w:lang w:val="en-US" w:eastAsia="zh-CN"/>
        </w:rPr>
        <w:t>通过对项目的环境影响分析评价，项目在运营过程中，将会产生废水、废气、噪声、固体废弃物等环境污染物。建设单位严格贯彻本评价中确定的各项污染防治措施，按照“三同时”的要求，全面落实项目各类污染物的治理设施的建设工作，确保各类污染物达标排放，则可以有效控制各类污染源及污染物对周围环境的影响，把项目对环境的影响降到最低程度。</w:t>
      </w:r>
    </w:p>
    <w:p>
      <w:pPr>
        <w:pStyle w:val="5"/>
        <w:numPr>
          <w:ilvl w:val="1"/>
          <w:numId w:val="1"/>
        </w:numPr>
        <w:bidi w:val="0"/>
        <w:outlineLvl w:val="1"/>
      </w:pPr>
      <w:bookmarkStart w:id="11" w:name="1.3 环境影响评价工作过程"/>
      <w:bookmarkEnd w:id="11"/>
      <w:bookmarkStart w:id="12" w:name="_bookmark3"/>
      <w:bookmarkEnd w:id="12"/>
      <w:bookmarkStart w:id="13" w:name="_Toc9753"/>
      <w:r>
        <w:t>环境影响评价工作过程</w:t>
      </w:r>
      <w:bookmarkEnd w:id="13"/>
    </w:p>
    <w:p>
      <w:pPr>
        <w:pStyle w:val="7"/>
        <w:spacing w:before="5"/>
        <w:ind w:left="0"/>
        <w:rPr>
          <w:b/>
        </w:rPr>
      </w:pPr>
    </w:p>
    <w:p>
      <w:pPr>
        <w:pStyle w:val="7"/>
        <w:spacing w:line="364" w:lineRule="auto"/>
        <w:ind w:right="457" w:firstLine="480"/>
        <w:rPr>
          <w:color w:val="0000FF"/>
        </w:rPr>
      </w:pPr>
      <w:r>
        <w:rPr>
          <w:color w:val="0000FF"/>
          <w:spacing w:val="-11"/>
        </w:rPr>
        <w:t>评价单位于</w:t>
      </w:r>
      <w:r>
        <w:rPr>
          <w:rFonts w:hint="eastAsia"/>
          <w:color w:val="0000FF"/>
          <w:spacing w:val="-11"/>
          <w:lang w:val="en-US" w:eastAsia="zh-CN"/>
        </w:rPr>
        <w:t>2020</w:t>
      </w:r>
      <w:r>
        <w:rPr>
          <w:color w:val="0000FF"/>
          <w:spacing w:val="-30"/>
        </w:rPr>
        <w:t>年</w:t>
      </w:r>
      <w:r>
        <w:rPr>
          <w:rFonts w:hint="eastAsia"/>
          <w:color w:val="0000FF"/>
          <w:spacing w:val="-30"/>
          <w:lang w:val="en-US" w:eastAsia="zh-CN"/>
        </w:rPr>
        <w:t>1</w:t>
      </w:r>
      <w:r>
        <w:rPr>
          <w:color w:val="0000FF"/>
          <w:spacing w:val="-10"/>
        </w:rPr>
        <w:t>月接受建设单位委托后，及时组织技术人员现场踏勘、</w:t>
      </w:r>
      <w:r>
        <w:rPr>
          <w:color w:val="0000FF"/>
          <w:spacing w:val="-9"/>
        </w:rPr>
        <w:t>收集资料，对周围区域大气、地下水、土壤、声环境等环境质量现状进行调查及</w:t>
      </w:r>
      <w:r>
        <w:rPr>
          <w:color w:val="0000FF"/>
          <w:spacing w:val="-12"/>
        </w:rPr>
        <w:t>监测等工作，进行初步的工程分析。根据现场踏勘、现状调查监测、环境影响预</w:t>
      </w:r>
      <w:r>
        <w:rPr>
          <w:color w:val="0000FF"/>
          <w:spacing w:val="-13"/>
        </w:rPr>
        <w:t>测等结果，确定项目建设对区域环境可能造成不良影响的范围和程度，从而提出</w:t>
      </w:r>
      <w:r>
        <w:rPr>
          <w:color w:val="0000FF"/>
          <w:spacing w:val="-15"/>
        </w:rPr>
        <w:t>避免污染、减少污染的对策措施，在此基础上于</w:t>
      </w:r>
      <w:r>
        <w:rPr>
          <w:rFonts w:ascii="Times New Roman" w:eastAsia="Times New Roman"/>
          <w:color w:val="0000FF"/>
        </w:rPr>
        <w:t>2020</w:t>
      </w:r>
      <w:r>
        <w:rPr>
          <w:color w:val="0000FF"/>
          <w:spacing w:val="-29"/>
        </w:rPr>
        <w:t>年</w:t>
      </w:r>
      <w:r>
        <w:rPr>
          <w:rFonts w:hint="eastAsia" w:ascii="Times New Roman" w:eastAsia="宋体"/>
          <w:color w:val="0000FF"/>
          <w:lang w:val="en-US" w:eastAsia="zh-CN"/>
        </w:rPr>
        <w:t>6</w:t>
      </w:r>
      <w:r>
        <w:rPr>
          <w:color w:val="0000FF"/>
        </w:rPr>
        <w:t>月编制完成《</w:t>
      </w:r>
      <w:r>
        <w:rPr>
          <w:rFonts w:hint="eastAsia"/>
          <w:bCs/>
          <w:color w:val="0000FF"/>
          <w:sz w:val="24"/>
          <w:lang w:eastAsia="zh-CN"/>
        </w:rPr>
        <w:t>莎车县阿拉买提良种繁育中心建设项目</w:t>
      </w:r>
      <w:r>
        <w:rPr>
          <w:rFonts w:hint="eastAsia" w:ascii="Times New Roman" w:hAnsi="Times New Roman" w:eastAsia="宋体" w:cs="Times New Roman"/>
          <w:color w:val="0000FF"/>
          <w:sz w:val="24"/>
          <w:lang w:val="en-US" w:eastAsia="zh-CN"/>
        </w:rPr>
        <w:t>环境影响报告书</w:t>
      </w:r>
      <w:r>
        <w:rPr>
          <w:color w:val="0000FF"/>
          <w:spacing w:val="-6"/>
        </w:rPr>
        <w:t>》，现提交环境保护行政主管部门和专家予以审查。</w:t>
      </w:r>
    </w:p>
    <w:p>
      <w:pPr>
        <w:pStyle w:val="7"/>
        <w:spacing w:before="4"/>
        <w:ind w:left="1020"/>
        <w:rPr>
          <w:color w:val="0000FF"/>
        </w:rPr>
      </w:pPr>
      <w:r>
        <w:rPr>
          <w:color w:val="0000FF"/>
        </w:rPr>
        <w:t>项目环境影响评价工作程序见图</w:t>
      </w:r>
      <w:r>
        <w:rPr>
          <w:rFonts w:ascii="Times New Roman" w:eastAsia="Times New Roman"/>
          <w:color w:val="0000FF"/>
        </w:rPr>
        <w:t>1.3-1</w:t>
      </w:r>
      <w:r>
        <w:rPr>
          <w:color w:val="0000FF"/>
        </w:rPr>
        <w:t>。</w:t>
      </w:r>
    </w:p>
    <w:p>
      <w:pPr>
        <w:spacing w:after="0"/>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ind w:left="0"/>
        <w:rPr>
          <w:sz w:val="20"/>
        </w:rPr>
      </w:pPr>
    </w:p>
    <w:p>
      <w:pPr>
        <w:pStyle w:val="7"/>
        <w:spacing w:before="3"/>
        <w:ind w:left="0"/>
        <w:rPr>
          <w:sz w:val="18"/>
        </w:rPr>
      </w:pPr>
    </w:p>
    <w:p>
      <w:pPr>
        <w:spacing w:before="70"/>
        <w:ind w:left="290" w:right="40" w:firstLine="0"/>
        <w:jc w:val="center"/>
        <w:rPr>
          <w:sz w:val="21"/>
        </w:rPr>
      </w:pPr>
      <w:r>
        <w:rPr>
          <w:sz w:val="21"/>
        </w:rPr>
        <w:t>依据相关规定确定环境影响评价文件类型</w:t>
      </w:r>
    </w:p>
    <w:p>
      <w:pPr>
        <w:pStyle w:val="7"/>
        <w:ind w:left="0"/>
        <w:rPr>
          <w:sz w:val="20"/>
        </w:rPr>
      </w:pPr>
    </w:p>
    <w:p>
      <w:pPr>
        <w:pStyle w:val="7"/>
        <w:ind w:left="0"/>
        <w:rPr>
          <w:sz w:val="20"/>
        </w:rPr>
      </w:pPr>
    </w:p>
    <w:p>
      <w:pPr>
        <w:pStyle w:val="7"/>
        <w:ind w:left="0"/>
        <w:rPr>
          <w:sz w:val="21"/>
        </w:rPr>
      </w:pPr>
    </w:p>
    <w:p>
      <w:pPr>
        <w:tabs>
          <w:tab w:val="left" w:pos="3131"/>
        </w:tabs>
        <w:spacing w:before="72"/>
        <w:ind w:left="842" w:right="0" w:firstLine="0"/>
        <w:jc w:val="left"/>
        <w:rPr>
          <w:sz w:val="21"/>
        </w:rPr>
      </w:pPr>
      <w:r>
        <w:rPr>
          <w:position w:val="2"/>
          <w:sz w:val="21"/>
        </w:rPr>
        <w:t>第</w:t>
      </w:r>
      <w:r>
        <w:rPr>
          <w:position w:val="2"/>
          <w:sz w:val="21"/>
        </w:rPr>
        <w:tab/>
      </w:r>
      <w:r>
        <w:rPr>
          <w:rFonts w:ascii="Times New Roman" w:eastAsia="Times New Roman"/>
          <w:sz w:val="21"/>
        </w:rPr>
        <w:t>1</w:t>
      </w:r>
      <w:r>
        <w:rPr>
          <w:sz w:val="21"/>
        </w:rPr>
        <w:t>研究相关技术文件和其他有关文件</w:t>
      </w:r>
    </w:p>
    <w:p>
      <w:pPr>
        <w:tabs>
          <w:tab w:val="left" w:pos="3148"/>
        </w:tabs>
        <w:spacing w:before="23"/>
        <w:ind w:left="842" w:right="0" w:firstLine="0"/>
        <w:jc w:val="left"/>
        <w:rPr>
          <w:sz w:val="21"/>
        </w:rPr>
      </w:pPr>
      <w:r>
        <w:rPr>
          <w:position w:val="2"/>
          <w:sz w:val="21"/>
        </w:rPr>
        <w:t>一</w:t>
      </w:r>
      <w:r>
        <w:rPr>
          <w:position w:val="2"/>
          <w:sz w:val="21"/>
        </w:rPr>
        <w:tab/>
      </w:r>
      <w:r>
        <w:rPr>
          <w:rFonts w:ascii="Times New Roman" w:eastAsia="Times New Roman"/>
          <w:sz w:val="21"/>
        </w:rPr>
        <w:t>2</w:t>
      </w:r>
      <w:r>
        <w:rPr>
          <w:sz w:val="21"/>
        </w:rPr>
        <w:t>进行初步工程分析</w:t>
      </w:r>
    </w:p>
    <w:p>
      <w:pPr>
        <w:tabs>
          <w:tab w:val="left" w:pos="3148"/>
        </w:tabs>
        <w:spacing w:before="22" w:line="259" w:lineRule="auto"/>
        <w:ind w:left="842" w:right="3757" w:firstLine="0"/>
        <w:jc w:val="left"/>
        <w:rPr>
          <w:sz w:val="21"/>
        </w:rPr>
      </w:pPr>
      <w:r>
        <w:rPr>
          <w:position w:val="2"/>
          <w:sz w:val="21"/>
        </w:rPr>
        <w:t>阶</w:t>
      </w:r>
      <w:r>
        <w:rPr>
          <w:position w:val="2"/>
          <w:sz w:val="21"/>
        </w:rPr>
        <w:tab/>
      </w:r>
      <w:r>
        <w:rPr>
          <w:rFonts w:ascii="Times New Roman" w:eastAsia="Times New Roman"/>
          <w:sz w:val="21"/>
        </w:rPr>
        <w:t>3</w:t>
      </w:r>
      <w:r>
        <w:rPr>
          <w:sz w:val="21"/>
        </w:rPr>
        <w:t>开展初步的环境状况调</w:t>
      </w:r>
      <w:r>
        <w:rPr>
          <w:spacing w:val="-11"/>
          <w:sz w:val="21"/>
        </w:rPr>
        <w:t>查</w:t>
      </w:r>
      <w:r>
        <w:rPr>
          <w:sz w:val="21"/>
        </w:rPr>
        <w:t>段</w:t>
      </w:r>
    </w:p>
    <w:p>
      <w:pPr>
        <w:pStyle w:val="7"/>
        <w:ind w:left="0"/>
        <w:rPr>
          <w:sz w:val="20"/>
        </w:rPr>
      </w:pPr>
    </w:p>
    <w:p>
      <w:pPr>
        <w:pStyle w:val="7"/>
        <w:spacing w:before="12"/>
        <w:ind w:left="0"/>
        <w:rPr>
          <w:sz w:val="18"/>
        </w:rPr>
      </w:pPr>
    </w:p>
    <w:p>
      <w:pPr>
        <w:pStyle w:val="17"/>
        <w:numPr>
          <w:ilvl w:val="2"/>
          <w:numId w:val="1"/>
        </w:numPr>
        <w:tabs>
          <w:tab w:val="left" w:pos="3334"/>
        </w:tabs>
        <w:spacing w:before="0" w:after="0" w:line="240" w:lineRule="auto"/>
        <w:ind w:left="3333" w:right="0" w:hanging="210"/>
        <w:jc w:val="left"/>
        <w:rPr>
          <w:sz w:val="21"/>
        </w:rPr>
      </w:pPr>
      <w:r>
        <w:rPr>
          <w:w w:val="95"/>
          <w:sz w:val="21"/>
        </w:rPr>
        <w:t>环境影响识别和评价因子筛选</w:t>
      </w:r>
    </w:p>
    <w:p>
      <w:pPr>
        <w:pStyle w:val="17"/>
        <w:numPr>
          <w:ilvl w:val="2"/>
          <w:numId w:val="1"/>
        </w:numPr>
        <w:tabs>
          <w:tab w:val="left" w:pos="3334"/>
        </w:tabs>
        <w:spacing w:before="12" w:after="0" w:line="240" w:lineRule="auto"/>
        <w:ind w:left="3333" w:right="0" w:hanging="210"/>
        <w:jc w:val="left"/>
        <w:rPr>
          <w:sz w:val="21"/>
        </w:rPr>
      </w:pPr>
      <w:r>
        <w:rPr>
          <w:w w:val="95"/>
          <w:sz w:val="21"/>
        </w:rPr>
        <w:t>明确评价重点和环境保护目标</w:t>
      </w:r>
    </w:p>
    <w:p>
      <w:pPr>
        <w:pStyle w:val="17"/>
        <w:numPr>
          <w:ilvl w:val="2"/>
          <w:numId w:val="1"/>
        </w:numPr>
        <w:tabs>
          <w:tab w:val="left" w:pos="3334"/>
        </w:tabs>
        <w:spacing w:before="10" w:after="0" w:line="240" w:lineRule="auto"/>
        <w:ind w:left="3333" w:right="0" w:hanging="210"/>
        <w:jc w:val="left"/>
        <w:rPr>
          <w:sz w:val="21"/>
        </w:rPr>
      </w:pPr>
      <w:r>
        <w:rPr>
          <w:sz w:val="21"/>
        </w:rPr>
        <w:t>确定工作等级、评价范围和评价标准</w:t>
      </w:r>
    </w:p>
    <w:p>
      <w:pPr>
        <w:pStyle w:val="7"/>
        <w:ind w:left="0"/>
        <w:rPr>
          <w:sz w:val="20"/>
        </w:rPr>
      </w:pPr>
    </w:p>
    <w:p>
      <w:pPr>
        <w:pStyle w:val="7"/>
        <w:spacing w:before="10"/>
        <w:ind w:left="0"/>
        <w:rPr>
          <w:sz w:val="28"/>
        </w:rPr>
      </w:pPr>
    </w:p>
    <w:p>
      <w:pPr>
        <w:spacing w:before="70"/>
        <w:ind w:left="46" w:right="40" w:firstLine="0"/>
        <w:jc w:val="center"/>
        <w:rPr>
          <w:sz w:val="21"/>
        </w:rPr>
      </w:pPr>
      <w:r>
        <w:rPr>
          <w:sz w:val="21"/>
        </w:rPr>
        <w:t>制定工作方案</w:t>
      </w:r>
    </w:p>
    <w:p>
      <w:pPr>
        <w:pStyle w:val="7"/>
        <w:ind w:left="0"/>
        <w:rPr>
          <w:sz w:val="20"/>
        </w:rPr>
      </w:pPr>
    </w:p>
    <w:p>
      <w:pPr>
        <w:pStyle w:val="7"/>
        <w:ind w:left="0"/>
        <w:rPr>
          <w:sz w:val="20"/>
        </w:rPr>
      </w:pPr>
    </w:p>
    <w:p>
      <w:pPr>
        <w:pStyle w:val="7"/>
        <w:ind w:left="0"/>
        <w:rPr>
          <w:sz w:val="20"/>
        </w:rPr>
      </w:pPr>
    </w:p>
    <w:p>
      <w:pPr>
        <w:pStyle w:val="7"/>
        <w:ind w:left="0"/>
        <w:rPr>
          <w:sz w:val="20"/>
        </w:rPr>
      </w:pPr>
    </w:p>
    <w:p>
      <w:pPr>
        <w:pStyle w:val="7"/>
        <w:spacing w:before="8"/>
        <w:ind w:left="0"/>
        <w:rPr>
          <w:sz w:val="28"/>
        </w:rPr>
      </w:pPr>
    </w:p>
    <w:p>
      <w:pPr>
        <w:spacing w:after="0"/>
        <w:rPr>
          <w:sz w:val="28"/>
        </w:rPr>
        <w:sectPr>
          <w:footerReference r:id="rId9"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70" w:line="288" w:lineRule="auto"/>
        <w:ind w:left="2844" w:right="38" w:hanging="526"/>
        <w:jc w:val="left"/>
        <w:rPr>
          <w:sz w:val="21"/>
        </w:rPr>
      </w:pPr>
      <w:r>
        <w:rPr>
          <w:sz w:val="21"/>
        </w:rPr>
        <w:t>环境现状调查监测与评价</w:t>
      </w:r>
    </w:p>
    <w:p>
      <w:pPr>
        <w:spacing w:before="0" w:line="195" w:lineRule="exact"/>
        <w:ind w:left="806" w:right="0" w:firstLine="0"/>
        <w:jc w:val="left"/>
        <w:rPr>
          <w:sz w:val="21"/>
        </w:rPr>
      </w:pPr>
      <w:r>
        <w:rPr>
          <w:w w:val="99"/>
          <w:sz w:val="21"/>
        </w:rPr>
        <w:t>第</w:t>
      </w:r>
    </w:p>
    <w:p>
      <w:pPr>
        <w:spacing w:before="43" w:line="278" w:lineRule="auto"/>
        <w:ind w:left="806" w:right="3018" w:firstLine="0"/>
        <w:jc w:val="both"/>
        <w:rPr>
          <w:sz w:val="21"/>
        </w:rPr>
      </w:pPr>
      <w:r>
        <w:rPr>
          <w:sz w:val="21"/>
        </w:rPr>
        <w:t>二阶段</w:t>
      </w:r>
    </w:p>
    <w:p>
      <w:pPr>
        <w:spacing w:before="84" w:line="288" w:lineRule="auto"/>
        <w:ind w:left="806" w:right="2941" w:firstLine="0"/>
        <w:jc w:val="left"/>
        <w:rPr>
          <w:sz w:val="21"/>
        </w:rPr>
      </w:pPr>
      <w:r>
        <w:br w:type="column"/>
      </w:r>
      <w:r>
        <w:rPr>
          <w:sz w:val="21"/>
        </w:rPr>
        <w:t>建设项目工程分析</w:t>
      </w:r>
    </w:p>
    <w:p>
      <w:pPr>
        <w:spacing w:after="0" w:line="288" w:lineRule="auto"/>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4037" w:space="802"/>
            <w:col w:w="4591"/>
          </w:cols>
        </w:sectPr>
      </w:pPr>
    </w:p>
    <w:p>
      <w:pPr>
        <w:pStyle w:val="17"/>
        <w:numPr>
          <w:ilvl w:val="3"/>
          <w:numId w:val="1"/>
        </w:numPr>
        <w:tabs>
          <w:tab w:val="left" w:pos="3492"/>
        </w:tabs>
        <w:spacing w:before="67" w:after="0" w:line="240" w:lineRule="auto"/>
        <w:ind w:left="3492" w:right="0" w:hanging="212"/>
        <w:jc w:val="left"/>
        <w:rPr>
          <w:sz w:val="21"/>
        </w:rPr>
      </w:pPr>
      <w:r>
        <mc:AlternateContent>
          <mc:Choice Requires="wpg">
            <w:drawing>
              <wp:anchor distT="0" distB="0" distL="114300" distR="114300" simplePos="0" relativeHeight="232236032" behindDoc="1" locked="0" layoutInCell="1" allowOverlap="1">
                <wp:simplePos x="0" y="0"/>
                <wp:positionH relativeFrom="page">
                  <wp:posOffset>1169035</wp:posOffset>
                </wp:positionH>
                <wp:positionV relativeFrom="page">
                  <wp:posOffset>1159510</wp:posOffset>
                </wp:positionV>
                <wp:extent cx="5393055" cy="7965440"/>
                <wp:effectExtent l="0" t="635" r="17145" b="15875"/>
                <wp:wrapNone/>
                <wp:docPr id="37" name="组合 2"/>
                <wp:cNvGraphicFramePr/>
                <a:graphic xmlns:a="http://schemas.openxmlformats.org/drawingml/2006/main">
                  <a:graphicData uri="http://schemas.microsoft.com/office/word/2010/wordprocessingGroup">
                    <wpg:wgp>
                      <wpg:cNvGrpSpPr/>
                      <wpg:grpSpPr>
                        <a:xfrm>
                          <a:off x="0" y="0"/>
                          <a:ext cx="5393055" cy="7965440"/>
                          <a:chOff x="1841" y="1827"/>
                          <a:chExt cx="8493" cy="12544"/>
                        </a:xfrm>
                      </wpg:grpSpPr>
                      <pic:pic xmlns:pic="http://schemas.openxmlformats.org/drawingml/2006/picture">
                        <pic:nvPicPr>
                          <pic:cNvPr id="14" name="图片 3"/>
                          <pic:cNvPicPr>
                            <a:picLocks noChangeAspect="1"/>
                          </pic:cNvPicPr>
                        </pic:nvPicPr>
                        <pic:blipFill>
                          <a:blip r:embed="rId30"/>
                          <a:stretch>
                            <a:fillRect/>
                          </a:stretch>
                        </pic:blipFill>
                        <pic:spPr>
                          <a:xfrm>
                            <a:off x="5978" y="6091"/>
                            <a:ext cx="120" cy="374"/>
                          </a:xfrm>
                          <a:prstGeom prst="rect">
                            <a:avLst/>
                          </a:prstGeom>
                          <a:noFill/>
                          <a:ln>
                            <a:noFill/>
                          </a:ln>
                        </pic:spPr>
                      </pic:pic>
                      <wps:wsp>
                        <wps:cNvPr id="16" name="任意多边形 4"/>
                        <wps:cNvSpPr/>
                        <wps:spPr>
                          <a:xfrm>
                            <a:off x="3830" y="2086"/>
                            <a:ext cx="4520" cy="2308"/>
                          </a:xfrm>
                          <a:custGeom>
                            <a:avLst/>
                            <a:gdLst/>
                            <a:ahLst/>
                            <a:cxnLst/>
                            <a:pathLst>
                              <a:path w="4520" h="2308">
                                <a:moveTo>
                                  <a:pt x="4485" y="985"/>
                                </a:moveTo>
                                <a:lnTo>
                                  <a:pt x="4470" y="985"/>
                                </a:lnTo>
                                <a:lnTo>
                                  <a:pt x="4470" y="1000"/>
                                </a:lnTo>
                                <a:lnTo>
                                  <a:pt x="4470" y="2292"/>
                                </a:lnTo>
                                <a:lnTo>
                                  <a:pt x="15" y="2292"/>
                                </a:lnTo>
                                <a:lnTo>
                                  <a:pt x="15" y="1000"/>
                                </a:lnTo>
                                <a:lnTo>
                                  <a:pt x="4470" y="1000"/>
                                </a:lnTo>
                                <a:lnTo>
                                  <a:pt x="4470" y="985"/>
                                </a:lnTo>
                                <a:lnTo>
                                  <a:pt x="2213" y="985"/>
                                </a:lnTo>
                                <a:lnTo>
                                  <a:pt x="2257" y="898"/>
                                </a:lnTo>
                                <a:lnTo>
                                  <a:pt x="2272" y="867"/>
                                </a:lnTo>
                                <a:lnTo>
                                  <a:pt x="2219" y="868"/>
                                </a:lnTo>
                                <a:lnTo>
                                  <a:pt x="2219" y="567"/>
                                </a:lnTo>
                                <a:lnTo>
                                  <a:pt x="2204" y="567"/>
                                </a:lnTo>
                                <a:lnTo>
                                  <a:pt x="2204" y="868"/>
                                </a:lnTo>
                                <a:lnTo>
                                  <a:pt x="2152" y="868"/>
                                </a:lnTo>
                                <a:lnTo>
                                  <a:pt x="2211" y="985"/>
                                </a:lnTo>
                                <a:lnTo>
                                  <a:pt x="0" y="985"/>
                                </a:lnTo>
                                <a:lnTo>
                                  <a:pt x="0" y="2307"/>
                                </a:lnTo>
                                <a:lnTo>
                                  <a:pt x="4485" y="2307"/>
                                </a:lnTo>
                                <a:lnTo>
                                  <a:pt x="4485" y="2300"/>
                                </a:lnTo>
                                <a:lnTo>
                                  <a:pt x="4485" y="2292"/>
                                </a:lnTo>
                                <a:lnTo>
                                  <a:pt x="4485" y="1000"/>
                                </a:lnTo>
                                <a:lnTo>
                                  <a:pt x="4485" y="993"/>
                                </a:lnTo>
                                <a:lnTo>
                                  <a:pt x="4485" y="985"/>
                                </a:lnTo>
                                <a:moveTo>
                                  <a:pt x="4520" y="0"/>
                                </a:moveTo>
                                <a:lnTo>
                                  <a:pt x="4505" y="0"/>
                                </a:lnTo>
                                <a:lnTo>
                                  <a:pt x="4505" y="15"/>
                                </a:lnTo>
                                <a:lnTo>
                                  <a:pt x="4505" y="508"/>
                                </a:lnTo>
                                <a:lnTo>
                                  <a:pt x="32" y="508"/>
                                </a:lnTo>
                                <a:lnTo>
                                  <a:pt x="32" y="15"/>
                                </a:lnTo>
                                <a:lnTo>
                                  <a:pt x="4505" y="15"/>
                                </a:lnTo>
                                <a:lnTo>
                                  <a:pt x="4505" y="0"/>
                                </a:lnTo>
                                <a:lnTo>
                                  <a:pt x="17" y="0"/>
                                </a:lnTo>
                                <a:lnTo>
                                  <a:pt x="17" y="523"/>
                                </a:lnTo>
                                <a:lnTo>
                                  <a:pt x="4520" y="523"/>
                                </a:lnTo>
                                <a:lnTo>
                                  <a:pt x="4520" y="516"/>
                                </a:lnTo>
                                <a:lnTo>
                                  <a:pt x="4520" y="508"/>
                                </a:lnTo>
                                <a:lnTo>
                                  <a:pt x="4520" y="15"/>
                                </a:lnTo>
                                <a:lnTo>
                                  <a:pt x="4520" y="8"/>
                                </a:lnTo>
                                <a:lnTo>
                                  <a:pt x="4520" y="0"/>
                                </a:lnTo>
                              </a:path>
                            </a:pathLst>
                          </a:custGeom>
                          <a:solidFill>
                            <a:srgbClr val="000000"/>
                          </a:solidFill>
                          <a:ln>
                            <a:noFill/>
                          </a:ln>
                        </wps:spPr>
                        <wps:bodyPr upright="1"/>
                      </wps:wsp>
                      <pic:pic xmlns:pic="http://schemas.openxmlformats.org/drawingml/2006/picture">
                        <pic:nvPicPr>
                          <pic:cNvPr id="18" name="图片 5"/>
                          <pic:cNvPicPr>
                            <a:picLocks noChangeAspect="1"/>
                          </pic:cNvPicPr>
                        </pic:nvPicPr>
                        <pic:blipFill>
                          <a:blip r:embed="rId31"/>
                          <a:stretch>
                            <a:fillRect/>
                          </a:stretch>
                        </pic:blipFill>
                        <pic:spPr>
                          <a:xfrm>
                            <a:off x="5978" y="4400"/>
                            <a:ext cx="120" cy="374"/>
                          </a:xfrm>
                          <a:prstGeom prst="rect">
                            <a:avLst/>
                          </a:prstGeom>
                          <a:noFill/>
                          <a:ln>
                            <a:noFill/>
                          </a:ln>
                        </pic:spPr>
                      </pic:pic>
                      <wps:wsp>
                        <wps:cNvPr id="20" name="任意多边形 6"/>
                        <wps:cNvSpPr/>
                        <wps:spPr>
                          <a:xfrm>
                            <a:off x="3804" y="4782"/>
                            <a:ext cx="4485" cy="2196"/>
                          </a:xfrm>
                          <a:custGeom>
                            <a:avLst/>
                            <a:gdLst/>
                            <a:ahLst/>
                            <a:cxnLst/>
                            <a:pathLst>
                              <a:path w="4485" h="2196">
                                <a:moveTo>
                                  <a:pt x="3149" y="1672"/>
                                </a:moveTo>
                                <a:lnTo>
                                  <a:pt x="3134" y="1672"/>
                                </a:lnTo>
                                <a:lnTo>
                                  <a:pt x="3134" y="1687"/>
                                </a:lnTo>
                                <a:lnTo>
                                  <a:pt x="3134" y="2180"/>
                                </a:lnTo>
                                <a:lnTo>
                                  <a:pt x="1214" y="2180"/>
                                </a:lnTo>
                                <a:lnTo>
                                  <a:pt x="1214" y="1687"/>
                                </a:lnTo>
                                <a:lnTo>
                                  <a:pt x="3134" y="1687"/>
                                </a:lnTo>
                                <a:lnTo>
                                  <a:pt x="3134" y="1672"/>
                                </a:lnTo>
                                <a:lnTo>
                                  <a:pt x="1199" y="1672"/>
                                </a:lnTo>
                                <a:lnTo>
                                  <a:pt x="1199" y="2195"/>
                                </a:lnTo>
                                <a:lnTo>
                                  <a:pt x="3149" y="2195"/>
                                </a:lnTo>
                                <a:lnTo>
                                  <a:pt x="3149" y="2188"/>
                                </a:lnTo>
                                <a:lnTo>
                                  <a:pt x="3149" y="2180"/>
                                </a:lnTo>
                                <a:lnTo>
                                  <a:pt x="3149" y="1687"/>
                                </a:lnTo>
                                <a:lnTo>
                                  <a:pt x="3149" y="1680"/>
                                </a:lnTo>
                                <a:lnTo>
                                  <a:pt x="3149" y="1672"/>
                                </a:lnTo>
                                <a:moveTo>
                                  <a:pt x="4485" y="0"/>
                                </a:moveTo>
                                <a:lnTo>
                                  <a:pt x="4470" y="0"/>
                                </a:lnTo>
                                <a:lnTo>
                                  <a:pt x="4470" y="15"/>
                                </a:lnTo>
                                <a:lnTo>
                                  <a:pt x="4470" y="1307"/>
                                </a:lnTo>
                                <a:lnTo>
                                  <a:pt x="15" y="1307"/>
                                </a:lnTo>
                                <a:lnTo>
                                  <a:pt x="15" y="15"/>
                                </a:lnTo>
                                <a:lnTo>
                                  <a:pt x="4470" y="15"/>
                                </a:lnTo>
                                <a:lnTo>
                                  <a:pt x="4470" y="0"/>
                                </a:lnTo>
                                <a:lnTo>
                                  <a:pt x="0" y="0"/>
                                </a:lnTo>
                                <a:lnTo>
                                  <a:pt x="0" y="1322"/>
                                </a:lnTo>
                                <a:lnTo>
                                  <a:pt x="4485" y="1322"/>
                                </a:lnTo>
                                <a:lnTo>
                                  <a:pt x="4485" y="1315"/>
                                </a:lnTo>
                                <a:lnTo>
                                  <a:pt x="4485" y="1307"/>
                                </a:lnTo>
                                <a:lnTo>
                                  <a:pt x="4485" y="15"/>
                                </a:lnTo>
                                <a:lnTo>
                                  <a:pt x="4485" y="8"/>
                                </a:lnTo>
                                <a:lnTo>
                                  <a:pt x="4485" y="0"/>
                                </a:lnTo>
                              </a:path>
                            </a:pathLst>
                          </a:custGeom>
                          <a:solidFill>
                            <a:srgbClr val="000000"/>
                          </a:solidFill>
                          <a:ln>
                            <a:noFill/>
                          </a:ln>
                        </wps:spPr>
                        <wps:bodyPr upright="1"/>
                      </wps:wsp>
                      <wps:wsp>
                        <wps:cNvPr id="22" name="任意多边形 7"/>
                        <wps:cNvSpPr/>
                        <wps:spPr>
                          <a:xfrm>
                            <a:off x="1841" y="7193"/>
                            <a:ext cx="8415" cy="16"/>
                          </a:xfrm>
                          <a:custGeom>
                            <a:avLst/>
                            <a:gdLst/>
                            <a:ahLst/>
                            <a:cxnLst/>
                            <a:pathLst>
                              <a:path w="8415" h="16">
                                <a:moveTo>
                                  <a:pt x="60" y="0"/>
                                </a:moveTo>
                                <a:lnTo>
                                  <a:pt x="0" y="0"/>
                                </a:lnTo>
                                <a:lnTo>
                                  <a:pt x="0" y="15"/>
                                </a:lnTo>
                                <a:lnTo>
                                  <a:pt x="60" y="15"/>
                                </a:lnTo>
                                <a:lnTo>
                                  <a:pt x="60" y="0"/>
                                </a:lnTo>
                                <a:moveTo>
                                  <a:pt x="165" y="0"/>
                                </a:moveTo>
                                <a:lnTo>
                                  <a:pt x="105" y="0"/>
                                </a:lnTo>
                                <a:lnTo>
                                  <a:pt x="105" y="15"/>
                                </a:lnTo>
                                <a:lnTo>
                                  <a:pt x="165" y="15"/>
                                </a:lnTo>
                                <a:lnTo>
                                  <a:pt x="165" y="0"/>
                                </a:lnTo>
                                <a:moveTo>
                                  <a:pt x="270" y="0"/>
                                </a:moveTo>
                                <a:lnTo>
                                  <a:pt x="210" y="0"/>
                                </a:lnTo>
                                <a:lnTo>
                                  <a:pt x="210" y="15"/>
                                </a:lnTo>
                                <a:lnTo>
                                  <a:pt x="270" y="15"/>
                                </a:lnTo>
                                <a:lnTo>
                                  <a:pt x="270" y="0"/>
                                </a:lnTo>
                                <a:moveTo>
                                  <a:pt x="375" y="0"/>
                                </a:moveTo>
                                <a:lnTo>
                                  <a:pt x="315" y="0"/>
                                </a:lnTo>
                                <a:lnTo>
                                  <a:pt x="315" y="15"/>
                                </a:lnTo>
                                <a:lnTo>
                                  <a:pt x="375" y="15"/>
                                </a:lnTo>
                                <a:lnTo>
                                  <a:pt x="375" y="0"/>
                                </a:lnTo>
                                <a:moveTo>
                                  <a:pt x="480" y="0"/>
                                </a:moveTo>
                                <a:lnTo>
                                  <a:pt x="420" y="0"/>
                                </a:lnTo>
                                <a:lnTo>
                                  <a:pt x="420" y="15"/>
                                </a:lnTo>
                                <a:lnTo>
                                  <a:pt x="480" y="15"/>
                                </a:lnTo>
                                <a:lnTo>
                                  <a:pt x="480" y="0"/>
                                </a:lnTo>
                                <a:moveTo>
                                  <a:pt x="585" y="0"/>
                                </a:moveTo>
                                <a:lnTo>
                                  <a:pt x="525" y="0"/>
                                </a:lnTo>
                                <a:lnTo>
                                  <a:pt x="525" y="15"/>
                                </a:lnTo>
                                <a:lnTo>
                                  <a:pt x="585" y="15"/>
                                </a:lnTo>
                                <a:lnTo>
                                  <a:pt x="585" y="0"/>
                                </a:lnTo>
                                <a:moveTo>
                                  <a:pt x="690" y="0"/>
                                </a:moveTo>
                                <a:lnTo>
                                  <a:pt x="630" y="0"/>
                                </a:lnTo>
                                <a:lnTo>
                                  <a:pt x="630" y="15"/>
                                </a:lnTo>
                                <a:lnTo>
                                  <a:pt x="690" y="15"/>
                                </a:lnTo>
                                <a:lnTo>
                                  <a:pt x="690" y="0"/>
                                </a:lnTo>
                                <a:moveTo>
                                  <a:pt x="795" y="0"/>
                                </a:moveTo>
                                <a:lnTo>
                                  <a:pt x="735" y="0"/>
                                </a:lnTo>
                                <a:lnTo>
                                  <a:pt x="735" y="15"/>
                                </a:lnTo>
                                <a:lnTo>
                                  <a:pt x="795" y="15"/>
                                </a:lnTo>
                                <a:lnTo>
                                  <a:pt x="795" y="0"/>
                                </a:lnTo>
                                <a:moveTo>
                                  <a:pt x="900" y="0"/>
                                </a:moveTo>
                                <a:lnTo>
                                  <a:pt x="840" y="0"/>
                                </a:lnTo>
                                <a:lnTo>
                                  <a:pt x="840" y="15"/>
                                </a:lnTo>
                                <a:lnTo>
                                  <a:pt x="900" y="15"/>
                                </a:lnTo>
                                <a:lnTo>
                                  <a:pt x="900" y="0"/>
                                </a:lnTo>
                                <a:moveTo>
                                  <a:pt x="1005" y="0"/>
                                </a:moveTo>
                                <a:lnTo>
                                  <a:pt x="945" y="0"/>
                                </a:lnTo>
                                <a:lnTo>
                                  <a:pt x="945" y="15"/>
                                </a:lnTo>
                                <a:lnTo>
                                  <a:pt x="1005" y="15"/>
                                </a:lnTo>
                                <a:lnTo>
                                  <a:pt x="1005" y="0"/>
                                </a:lnTo>
                                <a:moveTo>
                                  <a:pt x="1110" y="0"/>
                                </a:moveTo>
                                <a:lnTo>
                                  <a:pt x="1050" y="0"/>
                                </a:lnTo>
                                <a:lnTo>
                                  <a:pt x="1050" y="15"/>
                                </a:lnTo>
                                <a:lnTo>
                                  <a:pt x="1110" y="15"/>
                                </a:lnTo>
                                <a:lnTo>
                                  <a:pt x="1110" y="0"/>
                                </a:lnTo>
                                <a:moveTo>
                                  <a:pt x="1215" y="0"/>
                                </a:moveTo>
                                <a:lnTo>
                                  <a:pt x="1155" y="0"/>
                                </a:lnTo>
                                <a:lnTo>
                                  <a:pt x="1155" y="15"/>
                                </a:lnTo>
                                <a:lnTo>
                                  <a:pt x="1215" y="15"/>
                                </a:lnTo>
                                <a:lnTo>
                                  <a:pt x="1215" y="0"/>
                                </a:lnTo>
                                <a:moveTo>
                                  <a:pt x="1320" y="0"/>
                                </a:moveTo>
                                <a:lnTo>
                                  <a:pt x="1260" y="0"/>
                                </a:lnTo>
                                <a:lnTo>
                                  <a:pt x="1260" y="15"/>
                                </a:lnTo>
                                <a:lnTo>
                                  <a:pt x="1320" y="15"/>
                                </a:lnTo>
                                <a:lnTo>
                                  <a:pt x="1320" y="0"/>
                                </a:lnTo>
                                <a:moveTo>
                                  <a:pt x="1425" y="0"/>
                                </a:moveTo>
                                <a:lnTo>
                                  <a:pt x="1365" y="0"/>
                                </a:lnTo>
                                <a:lnTo>
                                  <a:pt x="1365" y="15"/>
                                </a:lnTo>
                                <a:lnTo>
                                  <a:pt x="1425" y="15"/>
                                </a:lnTo>
                                <a:lnTo>
                                  <a:pt x="1425" y="0"/>
                                </a:lnTo>
                                <a:moveTo>
                                  <a:pt x="1530" y="1"/>
                                </a:moveTo>
                                <a:lnTo>
                                  <a:pt x="1470" y="0"/>
                                </a:lnTo>
                                <a:lnTo>
                                  <a:pt x="1470" y="15"/>
                                </a:lnTo>
                                <a:lnTo>
                                  <a:pt x="1530" y="16"/>
                                </a:lnTo>
                                <a:lnTo>
                                  <a:pt x="1530" y="1"/>
                                </a:lnTo>
                                <a:moveTo>
                                  <a:pt x="1635" y="1"/>
                                </a:moveTo>
                                <a:lnTo>
                                  <a:pt x="1575" y="1"/>
                                </a:lnTo>
                                <a:lnTo>
                                  <a:pt x="1575" y="16"/>
                                </a:lnTo>
                                <a:lnTo>
                                  <a:pt x="1635" y="16"/>
                                </a:lnTo>
                                <a:lnTo>
                                  <a:pt x="1635" y="1"/>
                                </a:lnTo>
                                <a:moveTo>
                                  <a:pt x="1740" y="1"/>
                                </a:moveTo>
                                <a:lnTo>
                                  <a:pt x="1680" y="1"/>
                                </a:lnTo>
                                <a:lnTo>
                                  <a:pt x="1680" y="16"/>
                                </a:lnTo>
                                <a:lnTo>
                                  <a:pt x="1740" y="16"/>
                                </a:lnTo>
                                <a:lnTo>
                                  <a:pt x="1740" y="1"/>
                                </a:lnTo>
                                <a:moveTo>
                                  <a:pt x="1845" y="1"/>
                                </a:moveTo>
                                <a:lnTo>
                                  <a:pt x="1785" y="1"/>
                                </a:lnTo>
                                <a:lnTo>
                                  <a:pt x="1785" y="16"/>
                                </a:lnTo>
                                <a:lnTo>
                                  <a:pt x="1845" y="16"/>
                                </a:lnTo>
                                <a:lnTo>
                                  <a:pt x="1845" y="1"/>
                                </a:lnTo>
                                <a:moveTo>
                                  <a:pt x="1950" y="1"/>
                                </a:moveTo>
                                <a:lnTo>
                                  <a:pt x="1890" y="1"/>
                                </a:lnTo>
                                <a:lnTo>
                                  <a:pt x="1890" y="16"/>
                                </a:lnTo>
                                <a:lnTo>
                                  <a:pt x="1950" y="16"/>
                                </a:lnTo>
                                <a:lnTo>
                                  <a:pt x="1950" y="1"/>
                                </a:lnTo>
                                <a:moveTo>
                                  <a:pt x="2055" y="1"/>
                                </a:moveTo>
                                <a:lnTo>
                                  <a:pt x="1995" y="1"/>
                                </a:lnTo>
                                <a:lnTo>
                                  <a:pt x="1995" y="16"/>
                                </a:lnTo>
                                <a:lnTo>
                                  <a:pt x="2055" y="16"/>
                                </a:lnTo>
                                <a:lnTo>
                                  <a:pt x="2055" y="1"/>
                                </a:lnTo>
                                <a:moveTo>
                                  <a:pt x="2160" y="1"/>
                                </a:moveTo>
                                <a:lnTo>
                                  <a:pt x="2100" y="1"/>
                                </a:lnTo>
                                <a:lnTo>
                                  <a:pt x="2100" y="16"/>
                                </a:lnTo>
                                <a:lnTo>
                                  <a:pt x="2160" y="16"/>
                                </a:lnTo>
                                <a:lnTo>
                                  <a:pt x="2160" y="1"/>
                                </a:lnTo>
                                <a:moveTo>
                                  <a:pt x="2265" y="1"/>
                                </a:moveTo>
                                <a:lnTo>
                                  <a:pt x="2205" y="1"/>
                                </a:lnTo>
                                <a:lnTo>
                                  <a:pt x="2205" y="16"/>
                                </a:lnTo>
                                <a:lnTo>
                                  <a:pt x="2265" y="16"/>
                                </a:lnTo>
                                <a:lnTo>
                                  <a:pt x="2265" y="1"/>
                                </a:lnTo>
                                <a:moveTo>
                                  <a:pt x="2370" y="1"/>
                                </a:moveTo>
                                <a:lnTo>
                                  <a:pt x="2310" y="1"/>
                                </a:lnTo>
                                <a:lnTo>
                                  <a:pt x="2310" y="16"/>
                                </a:lnTo>
                                <a:lnTo>
                                  <a:pt x="2370" y="16"/>
                                </a:lnTo>
                                <a:lnTo>
                                  <a:pt x="2370" y="1"/>
                                </a:lnTo>
                                <a:moveTo>
                                  <a:pt x="2475" y="1"/>
                                </a:moveTo>
                                <a:lnTo>
                                  <a:pt x="2415" y="1"/>
                                </a:lnTo>
                                <a:lnTo>
                                  <a:pt x="2415" y="16"/>
                                </a:lnTo>
                                <a:lnTo>
                                  <a:pt x="2475" y="16"/>
                                </a:lnTo>
                                <a:lnTo>
                                  <a:pt x="2475" y="1"/>
                                </a:lnTo>
                                <a:moveTo>
                                  <a:pt x="2580" y="1"/>
                                </a:moveTo>
                                <a:lnTo>
                                  <a:pt x="2520" y="1"/>
                                </a:lnTo>
                                <a:lnTo>
                                  <a:pt x="2520" y="16"/>
                                </a:lnTo>
                                <a:lnTo>
                                  <a:pt x="2580" y="16"/>
                                </a:lnTo>
                                <a:lnTo>
                                  <a:pt x="2580" y="1"/>
                                </a:lnTo>
                                <a:moveTo>
                                  <a:pt x="2685" y="1"/>
                                </a:moveTo>
                                <a:lnTo>
                                  <a:pt x="2625" y="1"/>
                                </a:lnTo>
                                <a:lnTo>
                                  <a:pt x="2625" y="16"/>
                                </a:lnTo>
                                <a:lnTo>
                                  <a:pt x="2685" y="16"/>
                                </a:lnTo>
                                <a:lnTo>
                                  <a:pt x="2685" y="1"/>
                                </a:lnTo>
                                <a:moveTo>
                                  <a:pt x="2790" y="1"/>
                                </a:moveTo>
                                <a:lnTo>
                                  <a:pt x="2730" y="1"/>
                                </a:lnTo>
                                <a:lnTo>
                                  <a:pt x="2730" y="16"/>
                                </a:lnTo>
                                <a:lnTo>
                                  <a:pt x="2790" y="16"/>
                                </a:lnTo>
                                <a:lnTo>
                                  <a:pt x="2790" y="1"/>
                                </a:lnTo>
                                <a:moveTo>
                                  <a:pt x="2895" y="1"/>
                                </a:moveTo>
                                <a:lnTo>
                                  <a:pt x="2835" y="1"/>
                                </a:lnTo>
                                <a:lnTo>
                                  <a:pt x="2835" y="16"/>
                                </a:lnTo>
                                <a:lnTo>
                                  <a:pt x="2895" y="16"/>
                                </a:lnTo>
                                <a:lnTo>
                                  <a:pt x="2895" y="1"/>
                                </a:lnTo>
                                <a:moveTo>
                                  <a:pt x="3000" y="1"/>
                                </a:moveTo>
                                <a:lnTo>
                                  <a:pt x="2940" y="1"/>
                                </a:lnTo>
                                <a:lnTo>
                                  <a:pt x="2940" y="16"/>
                                </a:lnTo>
                                <a:lnTo>
                                  <a:pt x="3000" y="16"/>
                                </a:lnTo>
                                <a:lnTo>
                                  <a:pt x="3000" y="1"/>
                                </a:lnTo>
                                <a:moveTo>
                                  <a:pt x="3105" y="1"/>
                                </a:moveTo>
                                <a:lnTo>
                                  <a:pt x="3045" y="1"/>
                                </a:lnTo>
                                <a:lnTo>
                                  <a:pt x="3045" y="16"/>
                                </a:lnTo>
                                <a:lnTo>
                                  <a:pt x="3105" y="16"/>
                                </a:lnTo>
                                <a:lnTo>
                                  <a:pt x="3105" y="1"/>
                                </a:lnTo>
                                <a:moveTo>
                                  <a:pt x="3210" y="1"/>
                                </a:moveTo>
                                <a:lnTo>
                                  <a:pt x="3150" y="1"/>
                                </a:lnTo>
                                <a:lnTo>
                                  <a:pt x="3150" y="16"/>
                                </a:lnTo>
                                <a:lnTo>
                                  <a:pt x="3210" y="16"/>
                                </a:lnTo>
                                <a:lnTo>
                                  <a:pt x="3210" y="1"/>
                                </a:lnTo>
                                <a:moveTo>
                                  <a:pt x="3315" y="1"/>
                                </a:moveTo>
                                <a:lnTo>
                                  <a:pt x="3255" y="1"/>
                                </a:lnTo>
                                <a:lnTo>
                                  <a:pt x="3255" y="16"/>
                                </a:lnTo>
                                <a:lnTo>
                                  <a:pt x="3315" y="16"/>
                                </a:lnTo>
                                <a:lnTo>
                                  <a:pt x="3315" y="1"/>
                                </a:lnTo>
                                <a:moveTo>
                                  <a:pt x="3420" y="1"/>
                                </a:moveTo>
                                <a:lnTo>
                                  <a:pt x="3360" y="1"/>
                                </a:lnTo>
                                <a:lnTo>
                                  <a:pt x="3360" y="16"/>
                                </a:lnTo>
                                <a:lnTo>
                                  <a:pt x="3420" y="16"/>
                                </a:lnTo>
                                <a:lnTo>
                                  <a:pt x="3420" y="1"/>
                                </a:lnTo>
                                <a:moveTo>
                                  <a:pt x="3525" y="1"/>
                                </a:moveTo>
                                <a:lnTo>
                                  <a:pt x="3465" y="1"/>
                                </a:lnTo>
                                <a:lnTo>
                                  <a:pt x="3465" y="16"/>
                                </a:lnTo>
                                <a:lnTo>
                                  <a:pt x="3525" y="16"/>
                                </a:lnTo>
                                <a:lnTo>
                                  <a:pt x="3525" y="1"/>
                                </a:lnTo>
                                <a:moveTo>
                                  <a:pt x="3630" y="1"/>
                                </a:moveTo>
                                <a:lnTo>
                                  <a:pt x="3570" y="1"/>
                                </a:lnTo>
                                <a:lnTo>
                                  <a:pt x="3570" y="16"/>
                                </a:lnTo>
                                <a:lnTo>
                                  <a:pt x="3630" y="16"/>
                                </a:lnTo>
                                <a:lnTo>
                                  <a:pt x="3630" y="1"/>
                                </a:lnTo>
                                <a:moveTo>
                                  <a:pt x="3735" y="1"/>
                                </a:moveTo>
                                <a:lnTo>
                                  <a:pt x="3675" y="1"/>
                                </a:lnTo>
                                <a:lnTo>
                                  <a:pt x="3675" y="16"/>
                                </a:lnTo>
                                <a:lnTo>
                                  <a:pt x="3735" y="16"/>
                                </a:lnTo>
                                <a:lnTo>
                                  <a:pt x="3735" y="1"/>
                                </a:lnTo>
                                <a:moveTo>
                                  <a:pt x="3840" y="1"/>
                                </a:moveTo>
                                <a:lnTo>
                                  <a:pt x="3780" y="1"/>
                                </a:lnTo>
                                <a:lnTo>
                                  <a:pt x="3780" y="16"/>
                                </a:lnTo>
                                <a:lnTo>
                                  <a:pt x="3840" y="16"/>
                                </a:lnTo>
                                <a:lnTo>
                                  <a:pt x="3840" y="1"/>
                                </a:lnTo>
                                <a:moveTo>
                                  <a:pt x="3945" y="1"/>
                                </a:moveTo>
                                <a:lnTo>
                                  <a:pt x="3885" y="1"/>
                                </a:lnTo>
                                <a:lnTo>
                                  <a:pt x="3885" y="16"/>
                                </a:lnTo>
                                <a:lnTo>
                                  <a:pt x="3945" y="16"/>
                                </a:lnTo>
                                <a:lnTo>
                                  <a:pt x="3945" y="1"/>
                                </a:lnTo>
                                <a:moveTo>
                                  <a:pt x="4050" y="1"/>
                                </a:moveTo>
                                <a:lnTo>
                                  <a:pt x="3990" y="1"/>
                                </a:lnTo>
                                <a:lnTo>
                                  <a:pt x="3990" y="16"/>
                                </a:lnTo>
                                <a:lnTo>
                                  <a:pt x="4050" y="16"/>
                                </a:lnTo>
                                <a:lnTo>
                                  <a:pt x="4050" y="1"/>
                                </a:lnTo>
                                <a:moveTo>
                                  <a:pt x="4155" y="1"/>
                                </a:moveTo>
                                <a:lnTo>
                                  <a:pt x="4095" y="1"/>
                                </a:lnTo>
                                <a:lnTo>
                                  <a:pt x="4095" y="16"/>
                                </a:lnTo>
                                <a:lnTo>
                                  <a:pt x="4155" y="16"/>
                                </a:lnTo>
                                <a:lnTo>
                                  <a:pt x="4155" y="1"/>
                                </a:lnTo>
                                <a:moveTo>
                                  <a:pt x="4260" y="1"/>
                                </a:moveTo>
                                <a:lnTo>
                                  <a:pt x="4200" y="1"/>
                                </a:lnTo>
                                <a:lnTo>
                                  <a:pt x="4200" y="16"/>
                                </a:lnTo>
                                <a:lnTo>
                                  <a:pt x="4260" y="16"/>
                                </a:lnTo>
                                <a:lnTo>
                                  <a:pt x="4260" y="1"/>
                                </a:lnTo>
                                <a:moveTo>
                                  <a:pt x="4365" y="1"/>
                                </a:moveTo>
                                <a:lnTo>
                                  <a:pt x="4305" y="1"/>
                                </a:lnTo>
                                <a:lnTo>
                                  <a:pt x="4305" y="16"/>
                                </a:lnTo>
                                <a:lnTo>
                                  <a:pt x="4365" y="16"/>
                                </a:lnTo>
                                <a:lnTo>
                                  <a:pt x="4365" y="1"/>
                                </a:lnTo>
                                <a:moveTo>
                                  <a:pt x="4470" y="1"/>
                                </a:moveTo>
                                <a:lnTo>
                                  <a:pt x="4410" y="1"/>
                                </a:lnTo>
                                <a:lnTo>
                                  <a:pt x="4410" y="16"/>
                                </a:lnTo>
                                <a:lnTo>
                                  <a:pt x="4470" y="16"/>
                                </a:lnTo>
                                <a:lnTo>
                                  <a:pt x="4470" y="1"/>
                                </a:lnTo>
                                <a:moveTo>
                                  <a:pt x="4575" y="1"/>
                                </a:moveTo>
                                <a:lnTo>
                                  <a:pt x="4515" y="1"/>
                                </a:lnTo>
                                <a:lnTo>
                                  <a:pt x="4515" y="16"/>
                                </a:lnTo>
                                <a:lnTo>
                                  <a:pt x="4575" y="16"/>
                                </a:lnTo>
                                <a:lnTo>
                                  <a:pt x="4575" y="1"/>
                                </a:lnTo>
                                <a:moveTo>
                                  <a:pt x="4680" y="1"/>
                                </a:moveTo>
                                <a:lnTo>
                                  <a:pt x="4620" y="1"/>
                                </a:lnTo>
                                <a:lnTo>
                                  <a:pt x="4620" y="16"/>
                                </a:lnTo>
                                <a:lnTo>
                                  <a:pt x="4680" y="16"/>
                                </a:lnTo>
                                <a:lnTo>
                                  <a:pt x="4680" y="1"/>
                                </a:lnTo>
                                <a:moveTo>
                                  <a:pt x="4785" y="1"/>
                                </a:moveTo>
                                <a:lnTo>
                                  <a:pt x="4725" y="1"/>
                                </a:lnTo>
                                <a:lnTo>
                                  <a:pt x="4725" y="16"/>
                                </a:lnTo>
                                <a:lnTo>
                                  <a:pt x="4785" y="16"/>
                                </a:lnTo>
                                <a:lnTo>
                                  <a:pt x="4785" y="1"/>
                                </a:lnTo>
                                <a:moveTo>
                                  <a:pt x="4890" y="1"/>
                                </a:moveTo>
                                <a:lnTo>
                                  <a:pt x="4830" y="1"/>
                                </a:lnTo>
                                <a:lnTo>
                                  <a:pt x="4830" y="16"/>
                                </a:lnTo>
                                <a:lnTo>
                                  <a:pt x="4890" y="16"/>
                                </a:lnTo>
                                <a:lnTo>
                                  <a:pt x="4890" y="1"/>
                                </a:lnTo>
                                <a:moveTo>
                                  <a:pt x="4995" y="1"/>
                                </a:moveTo>
                                <a:lnTo>
                                  <a:pt x="4935" y="1"/>
                                </a:lnTo>
                                <a:lnTo>
                                  <a:pt x="4935" y="16"/>
                                </a:lnTo>
                                <a:lnTo>
                                  <a:pt x="4995" y="16"/>
                                </a:lnTo>
                                <a:lnTo>
                                  <a:pt x="4995" y="1"/>
                                </a:lnTo>
                                <a:moveTo>
                                  <a:pt x="5100" y="1"/>
                                </a:moveTo>
                                <a:lnTo>
                                  <a:pt x="5040" y="1"/>
                                </a:lnTo>
                                <a:lnTo>
                                  <a:pt x="5040" y="16"/>
                                </a:lnTo>
                                <a:lnTo>
                                  <a:pt x="5100" y="16"/>
                                </a:lnTo>
                                <a:lnTo>
                                  <a:pt x="5100" y="1"/>
                                </a:lnTo>
                                <a:moveTo>
                                  <a:pt x="5205" y="1"/>
                                </a:moveTo>
                                <a:lnTo>
                                  <a:pt x="5145" y="1"/>
                                </a:lnTo>
                                <a:lnTo>
                                  <a:pt x="5145" y="16"/>
                                </a:lnTo>
                                <a:lnTo>
                                  <a:pt x="5205" y="16"/>
                                </a:lnTo>
                                <a:lnTo>
                                  <a:pt x="5205" y="1"/>
                                </a:lnTo>
                                <a:moveTo>
                                  <a:pt x="5310" y="1"/>
                                </a:moveTo>
                                <a:lnTo>
                                  <a:pt x="5250" y="1"/>
                                </a:lnTo>
                                <a:lnTo>
                                  <a:pt x="5250" y="16"/>
                                </a:lnTo>
                                <a:lnTo>
                                  <a:pt x="5310" y="16"/>
                                </a:lnTo>
                                <a:lnTo>
                                  <a:pt x="5310" y="1"/>
                                </a:lnTo>
                                <a:moveTo>
                                  <a:pt x="5415" y="1"/>
                                </a:moveTo>
                                <a:lnTo>
                                  <a:pt x="5355" y="1"/>
                                </a:lnTo>
                                <a:lnTo>
                                  <a:pt x="5355" y="16"/>
                                </a:lnTo>
                                <a:lnTo>
                                  <a:pt x="5415" y="16"/>
                                </a:lnTo>
                                <a:lnTo>
                                  <a:pt x="5415" y="1"/>
                                </a:lnTo>
                                <a:moveTo>
                                  <a:pt x="5520" y="1"/>
                                </a:moveTo>
                                <a:lnTo>
                                  <a:pt x="5460" y="1"/>
                                </a:lnTo>
                                <a:lnTo>
                                  <a:pt x="5460" y="16"/>
                                </a:lnTo>
                                <a:lnTo>
                                  <a:pt x="5520" y="16"/>
                                </a:lnTo>
                                <a:lnTo>
                                  <a:pt x="5520" y="1"/>
                                </a:lnTo>
                                <a:moveTo>
                                  <a:pt x="5625" y="1"/>
                                </a:moveTo>
                                <a:lnTo>
                                  <a:pt x="5565" y="1"/>
                                </a:lnTo>
                                <a:lnTo>
                                  <a:pt x="5565" y="16"/>
                                </a:lnTo>
                                <a:lnTo>
                                  <a:pt x="5625" y="16"/>
                                </a:lnTo>
                                <a:lnTo>
                                  <a:pt x="5625" y="1"/>
                                </a:lnTo>
                                <a:moveTo>
                                  <a:pt x="5730" y="1"/>
                                </a:moveTo>
                                <a:lnTo>
                                  <a:pt x="5670" y="1"/>
                                </a:lnTo>
                                <a:lnTo>
                                  <a:pt x="5670" y="16"/>
                                </a:lnTo>
                                <a:lnTo>
                                  <a:pt x="5730" y="16"/>
                                </a:lnTo>
                                <a:lnTo>
                                  <a:pt x="5730" y="1"/>
                                </a:lnTo>
                                <a:moveTo>
                                  <a:pt x="5835" y="1"/>
                                </a:moveTo>
                                <a:lnTo>
                                  <a:pt x="5775" y="1"/>
                                </a:lnTo>
                                <a:lnTo>
                                  <a:pt x="5775" y="16"/>
                                </a:lnTo>
                                <a:lnTo>
                                  <a:pt x="5835" y="16"/>
                                </a:lnTo>
                                <a:lnTo>
                                  <a:pt x="5835" y="1"/>
                                </a:lnTo>
                                <a:moveTo>
                                  <a:pt x="5940" y="1"/>
                                </a:moveTo>
                                <a:lnTo>
                                  <a:pt x="5880" y="1"/>
                                </a:lnTo>
                                <a:lnTo>
                                  <a:pt x="5880" y="16"/>
                                </a:lnTo>
                                <a:lnTo>
                                  <a:pt x="5940" y="16"/>
                                </a:lnTo>
                                <a:lnTo>
                                  <a:pt x="5940" y="1"/>
                                </a:lnTo>
                                <a:moveTo>
                                  <a:pt x="6045" y="1"/>
                                </a:moveTo>
                                <a:lnTo>
                                  <a:pt x="5985" y="1"/>
                                </a:lnTo>
                                <a:lnTo>
                                  <a:pt x="5985" y="16"/>
                                </a:lnTo>
                                <a:lnTo>
                                  <a:pt x="6045" y="16"/>
                                </a:lnTo>
                                <a:lnTo>
                                  <a:pt x="6045" y="1"/>
                                </a:lnTo>
                                <a:moveTo>
                                  <a:pt x="6150" y="1"/>
                                </a:moveTo>
                                <a:lnTo>
                                  <a:pt x="6090" y="1"/>
                                </a:lnTo>
                                <a:lnTo>
                                  <a:pt x="6090" y="16"/>
                                </a:lnTo>
                                <a:lnTo>
                                  <a:pt x="6150" y="16"/>
                                </a:lnTo>
                                <a:lnTo>
                                  <a:pt x="6150" y="1"/>
                                </a:lnTo>
                                <a:moveTo>
                                  <a:pt x="6255" y="1"/>
                                </a:moveTo>
                                <a:lnTo>
                                  <a:pt x="6195" y="1"/>
                                </a:lnTo>
                                <a:lnTo>
                                  <a:pt x="6195" y="16"/>
                                </a:lnTo>
                                <a:lnTo>
                                  <a:pt x="6255" y="16"/>
                                </a:lnTo>
                                <a:lnTo>
                                  <a:pt x="6255" y="1"/>
                                </a:lnTo>
                                <a:moveTo>
                                  <a:pt x="6360" y="1"/>
                                </a:moveTo>
                                <a:lnTo>
                                  <a:pt x="6300" y="1"/>
                                </a:lnTo>
                                <a:lnTo>
                                  <a:pt x="6300" y="16"/>
                                </a:lnTo>
                                <a:lnTo>
                                  <a:pt x="6360" y="16"/>
                                </a:lnTo>
                                <a:lnTo>
                                  <a:pt x="6360" y="1"/>
                                </a:lnTo>
                                <a:moveTo>
                                  <a:pt x="6465" y="1"/>
                                </a:moveTo>
                                <a:lnTo>
                                  <a:pt x="6405" y="1"/>
                                </a:lnTo>
                                <a:lnTo>
                                  <a:pt x="6405" y="16"/>
                                </a:lnTo>
                                <a:lnTo>
                                  <a:pt x="6465" y="16"/>
                                </a:lnTo>
                                <a:lnTo>
                                  <a:pt x="6465" y="1"/>
                                </a:lnTo>
                                <a:moveTo>
                                  <a:pt x="6570" y="1"/>
                                </a:moveTo>
                                <a:lnTo>
                                  <a:pt x="6510" y="1"/>
                                </a:lnTo>
                                <a:lnTo>
                                  <a:pt x="6510" y="16"/>
                                </a:lnTo>
                                <a:lnTo>
                                  <a:pt x="6570" y="16"/>
                                </a:lnTo>
                                <a:lnTo>
                                  <a:pt x="6570" y="1"/>
                                </a:lnTo>
                                <a:moveTo>
                                  <a:pt x="6675" y="1"/>
                                </a:moveTo>
                                <a:lnTo>
                                  <a:pt x="6615" y="1"/>
                                </a:lnTo>
                                <a:lnTo>
                                  <a:pt x="6615" y="16"/>
                                </a:lnTo>
                                <a:lnTo>
                                  <a:pt x="6675" y="16"/>
                                </a:lnTo>
                                <a:lnTo>
                                  <a:pt x="6675" y="1"/>
                                </a:lnTo>
                                <a:moveTo>
                                  <a:pt x="6780" y="1"/>
                                </a:moveTo>
                                <a:lnTo>
                                  <a:pt x="6720" y="1"/>
                                </a:lnTo>
                                <a:lnTo>
                                  <a:pt x="6720" y="16"/>
                                </a:lnTo>
                                <a:lnTo>
                                  <a:pt x="6780" y="16"/>
                                </a:lnTo>
                                <a:lnTo>
                                  <a:pt x="6780" y="1"/>
                                </a:lnTo>
                                <a:moveTo>
                                  <a:pt x="6885" y="1"/>
                                </a:moveTo>
                                <a:lnTo>
                                  <a:pt x="6825" y="1"/>
                                </a:lnTo>
                                <a:lnTo>
                                  <a:pt x="6825" y="16"/>
                                </a:lnTo>
                                <a:lnTo>
                                  <a:pt x="6885" y="16"/>
                                </a:lnTo>
                                <a:lnTo>
                                  <a:pt x="6885" y="1"/>
                                </a:lnTo>
                                <a:moveTo>
                                  <a:pt x="6990" y="1"/>
                                </a:moveTo>
                                <a:lnTo>
                                  <a:pt x="6930" y="1"/>
                                </a:lnTo>
                                <a:lnTo>
                                  <a:pt x="6930" y="16"/>
                                </a:lnTo>
                                <a:lnTo>
                                  <a:pt x="6990" y="16"/>
                                </a:lnTo>
                                <a:lnTo>
                                  <a:pt x="6990" y="1"/>
                                </a:lnTo>
                                <a:moveTo>
                                  <a:pt x="7095" y="1"/>
                                </a:moveTo>
                                <a:lnTo>
                                  <a:pt x="7035" y="1"/>
                                </a:lnTo>
                                <a:lnTo>
                                  <a:pt x="7035" y="16"/>
                                </a:lnTo>
                                <a:lnTo>
                                  <a:pt x="7095" y="16"/>
                                </a:lnTo>
                                <a:lnTo>
                                  <a:pt x="7095" y="1"/>
                                </a:lnTo>
                                <a:moveTo>
                                  <a:pt x="7200" y="1"/>
                                </a:moveTo>
                                <a:lnTo>
                                  <a:pt x="7140" y="1"/>
                                </a:lnTo>
                                <a:lnTo>
                                  <a:pt x="7140" y="16"/>
                                </a:lnTo>
                                <a:lnTo>
                                  <a:pt x="7200" y="16"/>
                                </a:lnTo>
                                <a:lnTo>
                                  <a:pt x="7200" y="1"/>
                                </a:lnTo>
                                <a:moveTo>
                                  <a:pt x="7305" y="1"/>
                                </a:moveTo>
                                <a:lnTo>
                                  <a:pt x="7245" y="1"/>
                                </a:lnTo>
                                <a:lnTo>
                                  <a:pt x="7245" y="16"/>
                                </a:lnTo>
                                <a:lnTo>
                                  <a:pt x="7305" y="16"/>
                                </a:lnTo>
                                <a:lnTo>
                                  <a:pt x="7305" y="1"/>
                                </a:lnTo>
                                <a:moveTo>
                                  <a:pt x="7410" y="1"/>
                                </a:moveTo>
                                <a:lnTo>
                                  <a:pt x="7350" y="1"/>
                                </a:lnTo>
                                <a:lnTo>
                                  <a:pt x="7350" y="16"/>
                                </a:lnTo>
                                <a:lnTo>
                                  <a:pt x="7410" y="16"/>
                                </a:lnTo>
                                <a:lnTo>
                                  <a:pt x="7410" y="1"/>
                                </a:lnTo>
                                <a:moveTo>
                                  <a:pt x="7515" y="1"/>
                                </a:moveTo>
                                <a:lnTo>
                                  <a:pt x="7455" y="1"/>
                                </a:lnTo>
                                <a:lnTo>
                                  <a:pt x="7455" y="16"/>
                                </a:lnTo>
                                <a:lnTo>
                                  <a:pt x="7515" y="16"/>
                                </a:lnTo>
                                <a:lnTo>
                                  <a:pt x="7515" y="1"/>
                                </a:lnTo>
                                <a:moveTo>
                                  <a:pt x="7620" y="1"/>
                                </a:moveTo>
                                <a:lnTo>
                                  <a:pt x="7560" y="1"/>
                                </a:lnTo>
                                <a:lnTo>
                                  <a:pt x="7560" y="16"/>
                                </a:lnTo>
                                <a:lnTo>
                                  <a:pt x="7620" y="16"/>
                                </a:lnTo>
                                <a:lnTo>
                                  <a:pt x="7620" y="1"/>
                                </a:lnTo>
                                <a:moveTo>
                                  <a:pt x="7725" y="1"/>
                                </a:moveTo>
                                <a:lnTo>
                                  <a:pt x="7665" y="1"/>
                                </a:lnTo>
                                <a:lnTo>
                                  <a:pt x="7665" y="16"/>
                                </a:lnTo>
                                <a:lnTo>
                                  <a:pt x="7725" y="16"/>
                                </a:lnTo>
                                <a:lnTo>
                                  <a:pt x="7725" y="1"/>
                                </a:lnTo>
                                <a:moveTo>
                                  <a:pt x="7830" y="1"/>
                                </a:moveTo>
                                <a:lnTo>
                                  <a:pt x="7770" y="1"/>
                                </a:lnTo>
                                <a:lnTo>
                                  <a:pt x="7770" y="16"/>
                                </a:lnTo>
                                <a:lnTo>
                                  <a:pt x="7830" y="16"/>
                                </a:lnTo>
                                <a:lnTo>
                                  <a:pt x="7830" y="1"/>
                                </a:lnTo>
                                <a:moveTo>
                                  <a:pt x="7935" y="1"/>
                                </a:moveTo>
                                <a:lnTo>
                                  <a:pt x="7875" y="1"/>
                                </a:lnTo>
                                <a:lnTo>
                                  <a:pt x="7875" y="16"/>
                                </a:lnTo>
                                <a:lnTo>
                                  <a:pt x="7935" y="16"/>
                                </a:lnTo>
                                <a:lnTo>
                                  <a:pt x="7935" y="1"/>
                                </a:lnTo>
                                <a:moveTo>
                                  <a:pt x="8040" y="1"/>
                                </a:moveTo>
                                <a:lnTo>
                                  <a:pt x="7980" y="1"/>
                                </a:lnTo>
                                <a:lnTo>
                                  <a:pt x="7980" y="16"/>
                                </a:lnTo>
                                <a:lnTo>
                                  <a:pt x="8040" y="16"/>
                                </a:lnTo>
                                <a:lnTo>
                                  <a:pt x="8040" y="1"/>
                                </a:lnTo>
                                <a:moveTo>
                                  <a:pt x="8145" y="1"/>
                                </a:moveTo>
                                <a:lnTo>
                                  <a:pt x="8085" y="1"/>
                                </a:lnTo>
                                <a:lnTo>
                                  <a:pt x="8085" y="16"/>
                                </a:lnTo>
                                <a:lnTo>
                                  <a:pt x="8145" y="16"/>
                                </a:lnTo>
                                <a:lnTo>
                                  <a:pt x="8145" y="1"/>
                                </a:lnTo>
                                <a:moveTo>
                                  <a:pt x="8250" y="1"/>
                                </a:moveTo>
                                <a:lnTo>
                                  <a:pt x="8190" y="1"/>
                                </a:lnTo>
                                <a:lnTo>
                                  <a:pt x="8190" y="16"/>
                                </a:lnTo>
                                <a:lnTo>
                                  <a:pt x="8250" y="16"/>
                                </a:lnTo>
                                <a:lnTo>
                                  <a:pt x="8250" y="1"/>
                                </a:lnTo>
                                <a:moveTo>
                                  <a:pt x="8355" y="1"/>
                                </a:moveTo>
                                <a:lnTo>
                                  <a:pt x="8295" y="1"/>
                                </a:lnTo>
                                <a:lnTo>
                                  <a:pt x="8295" y="16"/>
                                </a:lnTo>
                                <a:lnTo>
                                  <a:pt x="8355" y="16"/>
                                </a:lnTo>
                                <a:lnTo>
                                  <a:pt x="8355" y="1"/>
                                </a:lnTo>
                                <a:moveTo>
                                  <a:pt x="8415" y="1"/>
                                </a:moveTo>
                                <a:lnTo>
                                  <a:pt x="8400" y="1"/>
                                </a:lnTo>
                                <a:lnTo>
                                  <a:pt x="8400" y="16"/>
                                </a:lnTo>
                                <a:lnTo>
                                  <a:pt x="8415" y="16"/>
                                </a:lnTo>
                                <a:lnTo>
                                  <a:pt x="8415" y="1"/>
                                </a:lnTo>
                              </a:path>
                            </a:pathLst>
                          </a:custGeom>
                          <a:solidFill>
                            <a:srgbClr val="000000"/>
                          </a:solidFill>
                          <a:ln>
                            <a:noFill/>
                          </a:ln>
                        </wps:spPr>
                        <wps:bodyPr upright="1"/>
                      </wps:wsp>
                      <wps:wsp>
                        <wps:cNvPr id="24" name="任意多边形 8"/>
                        <wps:cNvSpPr/>
                        <wps:spPr>
                          <a:xfrm>
                            <a:off x="5936" y="7014"/>
                            <a:ext cx="120" cy="562"/>
                          </a:xfrm>
                          <a:custGeom>
                            <a:avLst/>
                            <a:gdLst/>
                            <a:ahLst/>
                            <a:cxnLst/>
                            <a:pathLst>
                              <a:path w="120" h="562">
                                <a:moveTo>
                                  <a:pt x="68" y="441"/>
                                </a:moveTo>
                                <a:lnTo>
                                  <a:pt x="53" y="441"/>
                                </a:lnTo>
                                <a:lnTo>
                                  <a:pt x="58" y="0"/>
                                </a:lnTo>
                                <a:lnTo>
                                  <a:pt x="73" y="0"/>
                                </a:lnTo>
                                <a:lnTo>
                                  <a:pt x="68" y="441"/>
                                </a:lnTo>
                                <a:close/>
                                <a:moveTo>
                                  <a:pt x="59" y="561"/>
                                </a:moveTo>
                                <a:lnTo>
                                  <a:pt x="0" y="440"/>
                                </a:lnTo>
                                <a:lnTo>
                                  <a:pt x="53" y="441"/>
                                </a:lnTo>
                                <a:lnTo>
                                  <a:pt x="53" y="471"/>
                                </a:lnTo>
                                <a:lnTo>
                                  <a:pt x="68" y="471"/>
                                </a:lnTo>
                                <a:lnTo>
                                  <a:pt x="105" y="471"/>
                                </a:lnTo>
                                <a:lnTo>
                                  <a:pt x="59" y="561"/>
                                </a:lnTo>
                                <a:close/>
                                <a:moveTo>
                                  <a:pt x="68" y="471"/>
                                </a:moveTo>
                                <a:lnTo>
                                  <a:pt x="53" y="471"/>
                                </a:lnTo>
                                <a:lnTo>
                                  <a:pt x="53" y="441"/>
                                </a:lnTo>
                                <a:lnTo>
                                  <a:pt x="68" y="441"/>
                                </a:lnTo>
                                <a:lnTo>
                                  <a:pt x="68" y="471"/>
                                </a:lnTo>
                                <a:close/>
                                <a:moveTo>
                                  <a:pt x="105" y="471"/>
                                </a:moveTo>
                                <a:lnTo>
                                  <a:pt x="68" y="471"/>
                                </a:lnTo>
                                <a:lnTo>
                                  <a:pt x="68" y="441"/>
                                </a:lnTo>
                                <a:lnTo>
                                  <a:pt x="120" y="442"/>
                                </a:lnTo>
                                <a:lnTo>
                                  <a:pt x="105" y="471"/>
                                </a:lnTo>
                                <a:close/>
                              </a:path>
                            </a:pathLst>
                          </a:custGeom>
                          <a:solidFill>
                            <a:srgbClr val="000000"/>
                          </a:solidFill>
                          <a:ln>
                            <a:noFill/>
                          </a:ln>
                        </wps:spPr>
                        <wps:bodyPr upright="1"/>
                      </wps:wsp>
                      <wps:wsp>
                        <wps:cNvPr id="26" name="直线 9"/>
                        <wps:cNvCnPr/>
                        <wps:spPr>
                          <a:xfrm>
                            <a:off x="4406" y="7557"/>
                            <a:ext cx="0" cy="514"/>
                          </a:xfrm>
                          <a:prstGeom prst="line">
                            <a:avLst/>
                          </a:prstGeom>
                          <a:ln w="10160" cap="flat" cmpd="sng">
                            <a:solidFill>
                              <a:srgbClr val="000000"/>
                            </a:solidFill>
                            <a:prstDash val="solid"/>
                            <a:headEnd type="none" w="med" len="med"/>
                            <a:tailEnd type="none" w="med" len="med"/>
                          </a:ln>
                        </wps:spPr>
                        <wps:bodyPr upright="1"/>
                      </wps:wsp>
                      <wps:wsp>
                        <wps:cNvPr id="28" name="直线 10"/>
                        <wps:cNvCnPr/>
                        <wps:spPr>
                          <a:xfrm>
                            <a:off x="7333" y="7575"/>
                            <a:ext cx="0" cy="515"/>
                          </a:xfrm>
                          <a:prstGeom prst="line">
                            <a:avLst/>
                          </a:prstGeom>
                          <a:ln w="10160" cap="flat" cmpd="sng">
                            <a:solidFill>
                              <a:srgbClr val="000000"/>
                            </a:solidFill>
                            <a:prstDash val="solid"/>
                            <a:headEnd type="none" w="med" len="med"/>
                            <a:tailEnd type="none" w="med" len="med"/>
                          </a:ln>
                        </wps:spPr>
                        <wps:bodyPr upright="1"/>
                      </wps:wsp>
                      <wps:wsp>
                        <wps:cNvPr id="30" name="直线 11"/>
                        <wps:cNvCnPr/>
                        <wps:spPr>
                          <a:xfrm>
                            <a:off x="4391" y="7574"/>
                            <a:ext cx="2940" cy="0"/>
                          </a:xfrm>
                          <a:prstGeom prst="line">
                            <a:avLst/>
                          </a:prstGeom>
                          <a:ln w="10160" cap="flat" cmpd="sng">
                            <a:solidFill>
                              <a:srgbClr val="000000"/>
                            </a:solidFill>
                            <a:prstDash val="solid"/>
                            <a:headEnd type="none" w="med" len="med"/>
                            <a:tailEnd type="none" w="med" len="med"/>
                          </a:ln>
                        </wps:spPr>
                        <wps:bodyPr upright="1"/>
                      </wps:wsp>
                      <wps:wsp>
                        <wps:cNvPr id="31" name="直线 12"/>
                        <wps:cNvCnPr/>
                        <wps:spPr>
                          <a:xfrm>
                            <a:off x="4420" y="9005"/>
                            <a:ext cx="0" cy="431"/>
                          </a:xfrm>
                          <a:prstGeom prst="line">
                            <a:avLst/>
                          </a:prstGeom>
                          <a:ln w="10160" cap="flat" cmpd="sng">
                            <a:solidFill>
                              <a:srgbClr val="000000"/>
                            </a:solidFill>
                            <a:prstDash val="solid"/>
                            <a:headEnd type="none" w="med" len="med"/>
                            <a:tailEnd type="none" w="med" len="med"/>
                          </a:ln>
                        </wps:spPr>
                        <wps:bodyPr upright="1"/>
                      </wps:wsp>
                      <wps:wsp>
                        <wps:cNvPr id="32" name="任意多边形 13"/>
                        <wps:cNvSpPr/>
                        <wps:spPr>
                          <a:xfrm>
                            <a:off x="3390" y="8067"/>
                            <a:ext cx="2057" cy="944"/>
                          </a:xfrm>
                          <a:custGeom>
                            <a:avLst/>
                            <a:gdLst/>
                            <a:ahLst/>
                            <a:cxnLst/>
                            <a:pathLst>
                              <a:path w="2057" h="944">
                                <a:moveTo>
                                  <a:pt x="2057" y="944"/>
                                </a:moveTo>
                                <a:lnTo>
                                  <a:pt x="0" y="944"/>
                                </a:lnTo>
                                <a:lnTo>
                                  <a:pt x="0" y="0"/>
                                </a:lnTo>
                                <a:lnTo>
                                  <a:pt x="2057" y="0"/>
                                </a:lnTo>
                                <a:lnTo>
                                  <a:pt x="2057" y="8"/>
                                </a:lnTo>
                                <a:lnTo>
                                  <a:pt x="15" y="8"/>
                                </a:lnTo>
                                <a:lnTo>
                                  <a:pt x="7" y="15"/>
                                </a:lnTo>
                                <a:lnTo>
                                  <a:pt x="15" y="15"/>
                                </a:lnTo>
                                <a:lnTo>
                                  <a:pt x="15" y="929"/>
                                </a:lnTo>
                                <a:lnTo>
                                  <a:pt x="7" y="929"/>
                                </a:lnTo>
                                <a:lnTo>
                                  <a:pt x="15" y="937"/>
                                </a:lnTo>
                                <a:lnTo>
                                  <a:pt x="2057" y="937"/>
                                </a:lnTo>
                                <a:lnTo>
                                  <a:pt x="2057" y="944"/>
                                </a:lnTo>
                                <a:close/>
                                <a:moveTo>
                                  <a:pt x="15" y="15"/>
                                </a:moveTo>
                                <a:lnTo>
                                  <a:pt x="7" y="15"/>
                                </a:lnTo>
                                <a:lnTo>
                                  <a:pt x="15" y="8"/>
                                </a:lnTo>
                                <a:lnTo>
                                  <a:pt x="15" y="15"/>
                                </a:lnTo>
                                <a:close/>
                                <a:moveTo>
                                  <a:pt x="2042" y="15"/>
                                </a:moveTo>
                                <a:lnTo>
                                  <a:pt x="15" y="15"/>
                                </a:lnTo>
                                <a:lnTo>
                                  <a:pt x="15" y="8"/>
                                </a:lnTo>
                                <a:lnTo>
                                  <a:pt x="2042" y="8"/>
                                </a:lnTo>
                                <a:lnTo>
                                  <a:pt x="2042" y="15"/>
                                </a:lnTo>
                                <a:close/>
                                <a:moveTo>
                                  <a:pt x="2042" y="937"/>
                                </a:moveTo>
                                <a:lnTo>
                                  <a:pt x="2042" y="8"/>
                                </a:lnTo>
                                <a:lnTo>
                                  <a:pt x="2049" y="15"/>
                                </a:lnTo>
                                <a:lnTo>
                                  <a:pt x="2057" y="15"/>
                                </a:lnTo>
                                <a:lnTo>
                                  <a:pt x="2057" y="929"/>
                                </a:lnTo>
                                <a:lnTo>
                                  <a:pt x="2049" y="929"/>
                                </a:lnTo>
                                <a:lnTo>
                                  <a:pt x="2042" y="937"/>
                                </a:lnTo>
                                <a:close/>
                                <a:moveTo>
                                  <a:pt x="2057" y="15"/>
                                </a:moveTo>
                                <a:lnTo>
                                  <a:pt x="2049" y="15"/>
                                </a:lnTo>
                                <a:lnTo>
                                  <a:pt x="2042" y="8"/>
                                </a:lnTo>
                                <a:lnTo>
                                  <a:pt x="2057" y="8"/>
                                </a:lnTo>
                                <a:lnTo>
                                  <a:pt x="2057" y="15"/>
                                </a:lnTo>
                                <a:close/>
                                <a:moveTo>
                                  <a:pt x="15" y="937"/>
                                </a:moveTo>
                                <a:lnTo>
                                  <a:pt x="7" y="929"/>
                                </a:lnTo>
                                <a:lnTo>
                                  <a:pt x="15" y="929"/>
                                </a:lnTo>
                                <a:lnTo>
                                  <a:pt x="15" y="937"/>
                                </a:lnTo>
                                <a:close/>
                                <a:moveTo>
                                  <a:pt x="2042" y="937"/>
                                </a:moveTo>
                                <a:lnTo>
                                  <a:pt x="15" y="937"/>
                                </a:lnTo>
                                <a:lnTo>
                                  <a:pt x="15" y="929"/>
                                </a:lnTo>
                                <a:lnTo>
                                  <a:pt x="2042" y="929"/>
                                </a:lnTo>
                                <a:lnTo>
                                  <a:pt x="2042" y="937"/>
                                </a:lnTo>
                                <a:close/>
                                <a:moveTo>
                                  <a:pt x="2057" y="937"/>
                                </a:moveTo>
                                <a:lnTo>
                                  <a:pt x="2042" y="937"/>
                                </a:lnTo>
                                <a:lnTo>
                                  <a:pt x="2049" y="929"/>
                                </a:lnTo>
                                <a:lnTo>
                                  <a:pt x="2057" y="929"/>
                                </a:lnTo>
                                <a:lnTo>
                                  <a:pt x="2057" y="937"/>
                                </a:lnTo>
                                <a:close/>
                              </a:path>
                            </a:pathLst>
                          </a:custGeom>
                          <a:solidFill>
                            <a:srgbClr val="000000"/>
                          </a:solidFill>
                          <a:ln>
                            <a:noFill/>
                          </a:ln>
                        </wps:spPr>
                        <wps:bodyPr upright="1"/>
                      </wps:wsp>
                      <wps:wsp>
                        <wps:cNvPr id="33" name="直线 14"/>
                        <wps:cNvCnPr/>
                        <wps:spPr>
                          <a:xfrm>
                            <a:off x="7361" y="9031"/>
                            <a:ext cx="0" cy="431"/>
                          </a:xfrm>
                          <a:prstGeom prst="line">
                            <a:avLst/>
                          </a:prstGeom>
                          <a:ln w="10160" cap="flat" cmpd="sng">
                            <a:solidFill>
                              <a:srgbClr val="000000"/>
                            </a:solidFill>
                            <a:prstDash val="solid"/>
                            <a:headEnd type="none" w="med" len="med"/>
                            <a:tailEnd type="none" w="med" len="med"/>
                          </a:ln>
                        </wps:spPr>
                        <wps:bodyPr upright="1"/>
                      </wps:wsp>
                      <wps:wsp>
                        <wps:cNvPr id="34" name="任意多边形 15"/>
                        <wps:cNvSpPr/>
                        <wps:spPr>
                          <a:xfrm>
                            <a:off x="5913" y="8081"/>
                            <a:ext cx="2077" cy="1829"/>
                          </a:xfrm>
                          <a:custGeom>
                            <a:avLst/>
                            <a:gdLst/>
                            <a:ahLst/>
                            <a:cxnLst/>
                            <a:pathLst>
                              <a:path w="2077" h="1829">
                                <a:moveTo>
                                  <a:pt x="120" y="1709"/>
                                </a:moveTo>
                                <a:lnTo>
                                  <a:pt x="67" y="1709"/>
                                </a:lnTo>
                                <a:lnTo>
                                  <a:pt x="67" y="1348"/>
                                </a:lnTo>
                                <a:lnTo>
                                  <a:pt x="52" y="1348"/>
                                </a:lnTo>
                                <a:lnTo>
                                  <a:pt x="52" y="1709"/>
                                </a:lnTo>
                                <a:lnTo>
                                  <a:pt x="0" y="1709"/>
                                </a:lnTo>
                                <a:lnTo>
                                  <a:pt x="60" y="1829"/>
                                </a:lnTo>
                                <a:lnTo>
                                  <a:pt x="105" y="1739"/>
                                </a:lnTo>
                                <a:lnTo>
                                  <a:pt x="120" y="1709"/>
                                </a:lnTo>
                                <a:moveTo>
                                  <a:pt x="2077" y="0"/>
                                </a:moveTo>
                                <a:lnTo>
                                  <a:pt x="2062" y="0"/>
                                </a:lnTo>
                                <a:lnTo>
                                  <a:pt x="2062" y="15"/>
                                </a:lnTo>
                                <a:lnTo>
                                  <a:pt x="2062" y="942"/>
                                </a:lnTo>
                                <a:lnTo>
                                  <a:pt x="762" y="942"/>
                                </a:lnTo>
                                <a:lnTo>
                                  <a:pt x="762" y="15"/>
                                </a:lnTo>
                                <a:lnTo>
                                  <a:pt x="2062" y="15"/>
                                </a:lnTo>
                                <a:lnTo>
                                  <a:pt x="2062" y="0"/>
                                </a:lnTo>
                                <a:lnTo>
                                  <a:pt x="747" y="0"/>
                                </a:lnTo>
                                <a:lnTo>
                                  <a:pt x="747" y="957"/>
                                </a:lnTo>
                                <a:lnTo>
                                  <a:pt x="2077" y="957"/>
                                </a:lnTo>
                                <a:lnTo>
                                  <a:pt x="2077" y="949"/>
                                </a:lnTo>
                                <a:lnTo>
                                  <a:pt x="2077" y="942"/>
                                </a:lnTo>
                                <a:lnTo>
                                  <a:pt x="2077" y="15"/>
                                </a:lnTo>
                                <a:lnTo>
                                  <a:pt x="2077" y="7"/>
                                </a:lnTo>
                                <a:lnTo>
                                  <a:pt x="2077" y="0"/>
                                </a:lnTo>
                              </a:path>
                            </a:pathLst>
                          </a:custGeom>
                          <a:solidFill>
                            <a:srgbClr val="000000"/>
                          </a:solidFill>
                          <a:ln>
                            <a:noFill/>
                          </a:ln>
                        </wps:spPr>
                        <wps:bodyPr upright="1"/>
                      </wps:wsp>
                      <wps:wsp>
                        <wps:cNvPr id="35" name="直线 16"/>
                        <wps:cNvCnPr/>
                        <wps:spPr>
                          <a:xfrm>
                            <a:off x="4403" y="9431"/>
                            <a:ext cx="2940" cy="0"/>
                          </a:xfrm>
                          <a:prstGeom prst="line">
                            <a:avLst/>
                          </a:prstGeom>
                          <a:ln w="10160" cap="flat" cmpd="sng">
                            <a:solidFill>
                              <a:srgbClr val="000000"/>
                            </a:solidFill>
                            <a:prstDash val="solid"/>
                            <a:headEnd type="none" w="med" len="med"/>
                            <a:tailEnd type="none" w="med" len="med"/>
                          </a:ln>
                        </wps:spPr>
                        <wps:bodyPr upright="1"/>
                      </wps:wsp>
                      <wps:wsp>
                        <wps:cNvPr id="36" name="任意多边形 17"/>
                        <wps:cNvSpPr/>
                        <wps:spPr>
                          <a:xfrm>
                            <a:off x="1858" y="1826"/>
                            <a:ext cx="8476" cy="12544"/>
                          </a:xfrm>
                          <a:custGeom>
                            <a:avLst/>
                            <a:gdLst/>
                            <a:ahLst/>
                            <a:cxnLst/>
                            <a:pathLst>
                              <a:path w="8476" h="12544">
                                <a:moveTo>
                                  <a:pt x="15" y="12383"/>
                                </a:moveTo>
                                <a:lnTo>
                                  <a:pt x="0" y="12383"/>
                                </a:lnTo>
                                <a:lnTo>
                                  <a:pt x="0" y="12443"/>
                                </a:lnTo>
                                <a:lnTo>
                                  <a:pt x="15" y="12443"/>
                                </a:lnTo>
                                <a:lnTo>
                                  <a:pt x="15" y="12383"/>
                                </a:lnTo>
                                <a:moveTo>
                                  <a:pt x="15" y="12278"/>
                                </a:moveTo>
                                <a:lnTo>
                                  <a:pt x="0" y="12278"/>
                                </a:lnTo>
                                <a:lnTo>
                                  <a:pt x="0" y="12338"/>
                                </a:lnTo>
                                <a:lnTo>
                                  <a:pt x="15" y="12338"/>
                                </a:lnTo>
                                <a:lnTo>
                                  <a:pt x="15" y="12278"/>
                                </a:lnTo>
                                <a:moveTo>
                                  <a:pt x="15" y="12173"/>
                                </a:moveTo>
                                <a:lnTo>
                                  <a:pt x="0" y="12173"/>
                                </a:lnTo>
                                <a:lnTo>
                                  <a:pt x="0" y="12233"/>
                                </a:lnTo>
                                <a:lnTo>
                                  <a:pt x="15" y="12233"/>
                                </a:lnTo>
                                <a:lnTo>
                                  <a:pt x="15" y="12173"/>
                                </a:lnTo>
                                <a:moveTo>
                                  <a:pt x="15" y="12068"/>
                                </a:moveTo>
                                <a:lnTo>
                                  <a:pt x="0" y="12068"/>
                                </a:lnTo>
                                <a:lnTo>
                                  <a:pt x="0" y="12128"/>
                                </a:lnTo>
                                <a:lnTo>
                                  <a:pt x="15" y="12128"/>
                                </a:lnTo>
                                <a:lnTo>
                                  <a:pt x="15" y="12068"/>
                                </a:lnTo>
                                <a:moveTo>
                                  <a:pt x="15" y="11963"/>
                                </a:moveTo>
                                <a:lnTo>
                                  <a:pt x="0" y="11963"/>
                                </a:lnTo>
                                <a:lnTo>
                                  <a:pt x="0" y="12023"/>
                                </a:lnTo>
                                <a:lnTo>
                                  <a:pt x="15" y="12023"/>
                                </a:lnTo>
                                <a:lnTo>
                                  <a:pt x="15" y="11963"/>
                                </a:lnTo>
                                <a:moveTo>
                                  <a:pt x="15" y="11858"/>
                                </a:moveTo>
                                <a:lnTo>
                                  <a:pt x="0" y="11858"/>
                                </a:lnTo>
                                <a:lnTo>
                                  <a:pt x="0" y="11918"/>
                                </a:lnTo>
                                <a:lnTo>
                                  <a:pt x="15" y="11918"/>
                                </a:lnTo>
                                <a:lnTo>
                                  <a:pt x="15" y="11858"/>
                                </a:lnTo>
                                <a:moveTo>
                                  <a:pt x="15" y="11753"/>
                                </a:moveTo>
                                <a:lnTo>
                                  <a:pt x="0" y="11753"/>
                                </a:lnTo>
                                <a:lnTo>
                                  <a:pt x="0" y="11813"/>
                                </a:lnTo>
                                <a:lnTo>
                                  <a:pt x="15" y="11813"/>
                                </a:lnTo>
                                <a:lnTo>
                                  <a:pt x="15" y="11753"/>
                                </a:lnTo>
                                <a:moveTo>
                                  <a:pt x="15" y="11648"/>
                                </a:moveTo>
                                <a:lnTo>
                                  <a:pt x="0" y="11648"/>
                                </a:lnTo>
                                <a:lnTo>
                                  <a:pt x="0" y="11708"/>
                                </a:lnTo>
                                <a:lnTo>
                                  <a:pt x="15" y="11708"/>
                                </a:lnTo>
                                <a:lnTo>
                                  <a:pt x="15" y="11648"/>
                                </a:lnTo>
                                <a:moveTo>
                                  <a:pt x="15" y="11543"/>
                                </a:moveTo>
                                <a:lnTo>
                                  <a:pt x="0" y="11543"/>
                                </a:lnTo>
                                <a:lnTo>
                                  <a:pt x="0" y="11603"/>
                                </a:lnTo>
                                <a:lnTo>
                                  <a:pt x="15" y="11603"/>
                                </a:lnTo>
                                <a:lnTo>
                                  <a:pt x="15" y="11543"/>
                                </a:lnTo>
                                <a:moveTo>
                                  <a:pt x="15" y="11438"/>
                                </a:moveTo>
                                <a:lnTo>
                                  <a:pt x="0" y="11438"/>
                                </a:lnTo>
                                <a:lnTo>
                                  <a:pt x="0" y="11498"/>
                                </a:lnTo>
                                <a:lnTo>
                                  <a:pt x="15" y="11498"/>
                                </a:lnTo>
                                <a:lnTo>
                                  <a:pt x="15" y="11438"/>
                                </a:lnTo>
                                <a:moveTo>
                                  <a:pt x="15" y="11333"/>
                                </a:moveTo>
                                <a:lnTo>
                                  <a:pt x="0" y="11333"/>
                                </a:lnTo>
                                <a:lnTo>
                                  <a:pt x="0" y="11393"/>
                                </a:lnTo>
                                <a:lnTo>
                                  <a:pt x="15" y="11393"/>
                                </a:lnTo>
                                <a:lnTo>
                                  <a:pt x="15" y="11333"/>
                                </a:lnTo>
                                <a:moveTo>
                                  <a:pt x="15" y="11228"/>
                                </a:moveTo>
                                <a:lnTo>
                                  <a:pt x="0" y="11228"/>
                                </a:lnTo>
                                <a:lnTo>
                                  <a:pt x="0" y="11288"/>
                                </a:lnTo>
                                <a:lnTo>
                                  <a:pt x="15" y="11288"/>
                                </a:lnTo>
                                <a:lnTo>
                                  <a:pt x="15" y="11228"/>
                                </a:lnTo>
                                <a:moveTo>
                                  <a:pt x="15" y="11123"/>
                                </a:moveTo>
                                <a:lnTo>
                                  <a:pt x="0" y="11123"/>
                                </a:lnTo>
                                <a:lnTo>
                                  <a:pt x="0" y="11183"/>
                                </a:lnTo>
                                <a:lnTo>
                                  <a:pt x="15" y="11183"/>
                                </a:lnTo>
                                <a:lnTo>
                                  <a:pt x="15" y="11123"/>
                                </a:lnTo>
                                <a:moveTo>
                                  <a:pt x="15" y="11018"/>
                                </a:moveTo>
                                <a:lnTo>
                                  <a:pt x="0" y="11018"/>
                                </a:lnTo>
                                <a:lnTo>
                                  <a:pt x="0" y="11078"/>
                                </a:lnTo>
                                <a:lnTo>
                                  <a:pt x="15" y="11078"/>
                                </a:lnTo>
                                <a:lnTo>
                                  <a:pt x="15" y="11018"/>
                                </a:lnTo>
                                <a:moveTo>
                                  <a:pt x="15" y="10913"/>
                                </a:moveTo>
                                <a:lnTo>
                                  <a:pt x="0" y="10913"/>
                                </a:lnTo>
                                <a:lnTo>
                                  <a:pt x="0" y="10973"/>
                                </a:lnTo>
                                <a:lnTo>
                                  <a:pt x="15" y="10973"/>
                                </a:lnTo>
                                <a:lnTo>
                                  <a:pt x="15" y="10913"/>
                                </a:lnTo>
                                <a:moveTo>
                                  <a:pt x="15" y="10808"/>
                                </a:moveTo>
                                <a:lnTo>
                                  <a:pt x="0" y="10808"/>
                                </a:lnTo>
                                <a:lnTo>
                                  <a:pt x="0" y="10868"/>
                                </a:lnTo>
                                <a:lnTo>
                                  <a:pt x="15" y="10868"/>
                                </a:lnTo>
                                <a:lnTo>
                                  <a:pt x="15" y="10808"/>
                                </a:lnTo>
                                <a:moveTo>
                                  <a:pt x="15" y="10703"/>
                                </a:moveTo>
                                <a:lnTo>
                                  <a:pt x="0" y="10703"/>
                                </a:lnTo>
                                <a:lnTo>
                                  <a:pt x="0" y="10763"/>
                                </a:lnTo>
                                <a:lnTo>
                                  <a:pt x="15" y="10763"/>
                                </a:lnTo>
                                <a:lnTo>
                                  <a:pt x="15" y="10703"/>
                                </a:lnTo>
                                <a:moveTo>
                                  <a:pt x="15" y="10598"/>
                                </a:moveTo>
                                <a:lnTo>
                                  <a:pt x="0" y="10598"/>
                                </a:lnTo>
                                <a:lnTo>
                                  <a:pt x="0" y="10658"/>
                                </a:lnTo>
                                <a:lnTo>
                                  <a:pt x="15" y="10658"/>
                                </a:lnTo>
                                <a:lnTo>
                                  <a:pt x="15" y="10598"/>
                                </a:lnTo>
                                <a:moveTo>
                                  <a:pt x="15" y="10493"/>
                                </a:moveTo>
                                <a:lnTo>
                                  <a:pt x="0" y="10493"/>
                                </a:lnTo>
                                <a:lnTo>
                                  <a:pt x="0" y="10553"/>
                                </a:lnTo>
                                <a:lnTo>
                                  <a:pt x="15" y="10553"/>
                                </a:lnTo>
                                <a:lnTo>
                                  <a:pt x="15" y="10493"/>
                                </a:lnTo>
                                <a:moveTo>
                                  <a:pt x="15" y="10388"/>
                                </a:moveTo>
                                <a:lnTo>
                                  <a:pt x="0" y="10388"/>
                                </a:lnTo>
                                <a:lnTo>
                                  <a:pt x="0" y="10448"/>
                                </a:lnTo>
                                <a:lnTo>
                                  <a:pt x="15" y="10448"/>
                                </a:lnTo>
                                <a:lnTo>
                                  <a:pt x="15" y="10388"/>
                                </a:lnTo>
                                <a:moveTo>
                                  <a:pt x="15" y="10283"/>
                                </a:moveTo>
                                <a:lnTo>
                                  <a:pt x="0" y="10283"/>
                                </a:lnTo>
                                <a:lnTo>
                                  <a:pt x="0" y="10343"/>
                                </a:lnTo>
                                <a:lnTo>
                                  <a:pt x="15" y="10343"/>
                                </a:lnTo>
                                <a:lnTo>
                                  <a:pt x="15" y="10283"/>
                                </a:lnTo>
                                <a:moveTo>
                                  <a:pt x="15" y="10178"/>
                                </a:moveTo>
                                <a:lnTo>
                                  <a:pt x="0" y="10178"/>
                                </a:lnTo>
                                <a:lnTo>
                                  <a:pt x="0" y="10238"/>
                                </a:lnTo>
                                <a:lnTo>
                                  <a:pt x="15" y="10238"/>
                                </a:lnTo>
                                <a:lnTo>
                                  <a:pt x="15" y="10178"/>
                                </a:lnTo>
                                <a:moveTo>
                                  <a:pt x="15" y="10073"/>
                                </a:moveTo>
                                <a:lnTo>
                                  <a:pt x="0" y="10073"/>
                                </a:lnTo>
                                <a:lnTo>
                                  <a:pt x="0" y="10133"/>
                                </a:lnTo>
                                <a:lnTo>
                                  <a:pt x="15" y="10133"/>
                                </a:lnTo>
                                <a:lnTo>
                                  <a:pt x="15" y="10073"/>
                                </a:lnTo>
                                <a:moveTo>
                                  <a:pt x="15" y="9968"/>
                                </a:moveTo>
                                <a:lnTo>
                                  <a:pt x="0" y="9968"/>
                                </a:lnTo>
                                <a:lnTo>
                                  <a:pt x="0" y="10028"/>
                                </a:lnTo>
                                <a:lnTo>
                                  <a:pt x="15" y="10028"/>
                                </a:lnTo>
                                <a:lnTo>
                                  <a:pt x="15" y="9968"/>
                                </a:lnTo>
                                <a:moveTo>
                                  <a:pt x="15" y="9863"/>
                                </a:moveTo>
                                <a:lnTo>
                                  <a:pt x="0" y="9863"/>
                                </a:lnTo>
                                <a:lnTo>
                                  <a:pt x="0" y="9923"/>
                                </a:lnTo>
                                <a:lnTo>
                                  <a:pt x="15" y="9923"/>
                                </a:lnTo>
                                <a:lnTo>
                                  <a:pt x="15" y="9863"/>
                                </a:lnTo>
                                <a:moveTo>
                                  <a:pt x="15" y="9758"/>
                                </a:moveTo>
                                <a:lnTo>
                                  <a:pt x="0" y="9758"/>
                                </a:lnTo>
                                <a:lnTo>
                                  <a:pt x="0" y="9818"/>
                                </a:lnTo>
                                <a:lnTo>
                                  <a:pt x="15" y="9818"/>
                                </a:lnTo>
                                <a:lnTo>
                                  <a:pt x="15" y="9758"/>
                                </a:lnTo>
                                <a:moveTo>
                                  <a:pt x="15" y="9653"/>
                                </a:moveTo>
                                <a:lnTo>
                                  <a:pt x="0" y="9653"/>
                                </a:lnTo>
                                <a:lnTo>
                                  <a:pt x="0" y="9713"/>
                                </a:lnTo>
                                <a:lnTo>
                                  <a:pt x="15" y="9713"/>
                                </a:lnTo>
                                <a:lnTo>
                                  <a:pt x="15" y="9653"/>
                                </a:lnTo>
                                <a:moveTo>
                                  <a:pt x="15" y="9548"/>
                                </a:moveTo>
                                <a:lnTo>
                                  <a:pt x="0" y="9548"/>
                                </a:lnTo>
                                <a:lnTo>
                                  <a:pt x="0" y="9608"/>
                                </a:lnTo>
                                <a:lnTo>
                                  <a:pt x="15" y="9608"/>
                                </a:lnTo>
                                <a:lnTo>
                                  <a:pt x="15" y="9548"/>
                                </a:lnTo>
                                <a:moveTo>
                                  <a:pt x="15" y="9443"/>
                                </a:moveTo>
                                <a:lnTo>
                                  <a:pt x="0" y="9443"/>
                                </a:lnTo>
                                <a:lnTo>
                                  <a:pt x="0" y="9503"/>
                                </a:lnTo>
                                <a:lnTo>
                                  <a:pt x="15" y="9503"/>
                                </a:lnTo>
                                <a:lnTo>
                                  <a:pt x="15" y="9443"/>
                                </a:lnTo>
                                <a:moveTo>
                                  <a:pt x="15" y="9338"/>
                                </a:moveTo>
                                <a:lnTo>
                                  <a:pt x="0" y="9338"/>
                                </a:lnTo>
                                <a:lnTo>
                                  <a:pt x="0" y="9398"/>
                                </a:lnTo>
                                <a:lnTo>
                                  <a:pt x="15" y="9398"/>
                                </a:lnTo>
                                <a:lnTo>
                                  <a:pt x="15" y="9338"/>
                                </a:lnTo>
                                <a:moveTo>
                                  <a:pt x="15" y="9233"/>
                                </a:moveTo>
                                <a:lnTo>
                                  <a:pt x="0" y="9233"/>
                                </a:lnTo>
                                <a:lnTo>
                                  <a:pt x="0" y="9293"/>
                                </a:lnTo>
                                <a:lnTo>
                                  <a:pt x="15" y="9293"/>
                                </a:lnTo>
                                <a:lnTo>
                                  <a:pt x="15" y="9233"/>
                                </a:lnTo>
                                <a:moveTo>
                                  <a:pt x="15" y="9128"/>
                                </a:moveTo>
                                <a:lnTo>
                                  <a:pt x="0" y="9128"/>
                                </a:lnTo>
                                <a:lnTo>
                                  <a:pt x="0" y="9188"/>
                                </a:lnTo>
                                <a:lnTo>
                                  <a:pt x="15" y="9188"/>
                                </a:lnTo>
                                <a:lnTo>
                                  <a:pt x="15" y="9128"/>
                                </a:lnTo>
                                <a:moveTo>
                                  <a:pt x="15" y="9023"/>
                                </a:moveTo>
                                <a:lnTo>
                                  <a:pt x="0" y="9023"/>
                                </a:lnTo>
                                <a:lnTo>
                                  <a:pt x="0" y="9083"/>
                                </a:lnTo>
                                <a:lnTo>
                                  <a:pt x="15" y="9083"/>
                                </a:lnTo>
                                <a:lnTo>
                                  <a:pt x="15" y="9023"/>
                                </a:lnTo>
                                <a:moveTo>
                                  <a:pt x="15" y="8918"/>
                                </a:moveTo>
                                <a:lnTo>
                                  <a:pt x="0" y="8918"/>
                                </a:lnTo>
                                <a:lnTo>
                                  <a:pt x="0" y="8978"/>
                                </a:lnTo>
                                <a:lnTo>
                                  <a:pt x="15" y="8978"/>
                                </a:lnTo>
                                <a:lnTo>
                                  <a:pt x="15" y="8918"/>
                                </a:lnTo>
                                <a:moveTo>
                                  <a:pt x="15" y="8813"/>
                                </a:moveTo>
                                <a:lnTo>
                                  <a:pt x="0" y="8813"/>
                                </a:lnTo>
                                <a:lnTo>
                                  <a:pt x="0" y="8873"/>
                                </a:lnTo>
                                <a:lnTo>
                                  <a:pt x="15" y="8873"/>
                                </a:lnTo>
                                <a:lnTo>
                                  <a:pt x="15" y="8813"/>
                                </a:lnTo>
                                <a:moveTo>
                                  <a:pt x="15" y="8708"/>
                                </a:moveTo>
                                <a:lnTo>
                                  <a:pt x="0" y="8708"/>
                                </a:lnTo>
                                <a:lnTo>
                                  <a:pt x="0" y="8768"/>
                                </a:lnTo>
                                <a:lnTo>
                                  <a:pt x="15" y="8768"/>
                                </a:lnTo>
                                <a:lnTo>
                                  <a:pt x="15" y="8708"/>
                                </a:lnTo>
                                <a:moveTo>
                                  <a:pt x="15" y="8603"/>
                                </a:moveTo>
                                <a:lnTo>
                                  <a:pt x="0" y="8603"/>
                                </a:lnTo>
                                <a:lnTo>
                                  <a:pt x="0" y="8663"/>
                                </a:lnTo>
                                <a:lnTo>
                                  <a:pt x="15" y="8663"/>
                                </a:lnTo>
                                <a:lnTo>
                                  <a:pt x="15" y="8603"/>
                                </a:lnTo>
                                <a:moveTo>
                                  <a:pt x="15" y="8498"/>
                                </a:moveTo>
                                <a:lnTo>
                                  <a:pt x="0" y="8498"/>
                                </a:lnTo>
                                <a:lnTo>
                                  <a:pt x="0" y="8558"/>
                                </a:lnTo>
                                <a:lnTo>
                                  <a:pt x="15" y="8558"/>
                                </a:lnTo>
                                <a:lnTo>
                                  <a:pt x="15" y="8498"/>
                                </a:lnTo>
                                <a:moveTo>
                                  <a:pt x="15" y="8393"/>
                                </a:moveTo>
                                <a:lnTo>
                                  <a:pt x="0" y="8393"/>
                                </a:lnTo>
                                <a:lnTo>
                                  <a:pt x="0" y="8453"/>
                                </a:lnTo>
                                <a:lnTo>
                                  <a:pt x="15" y="8453"/>
                                </a:lnTo>
                                <a:lnTo>
                                  <a:pt x="15" y="8393"/>
                                </a:lnTo>
                                <a:moveTo>
                                  <a:pt x="15" y="8288"/>
                                </a:moveTo>
                                <a:lnTo>
                                  <a:pt x="0" y="8288"/>
                                </a:lnTo>
                                <a:lnTo>
                                  <a:pt x="0" y="8348"/>
                                </a:lnTo>
                                <a:lnTo>
                                  <a:pt x="15" y="8348"/>
                                </a:lnTo>
                                <a:lnTo>
                                  <a:pt x="15" y="8288"/>
                                </a:lnTo>
                                <a:moveTo>
                                  <a:pt x="15" y="8183"/>
                                </a:moveTo>
                                <a:lnTo>
                                  <a:pt x="0" y="8183"/>
                                </a:lnTo>
                                <a:lnTo>
                                  <a:pt x="0" y="8243"/>
                                </a:lnTo>
                                <a:lnTo>
                                  <a:pt x="15" y="8243"/>
                                </a:lnTo>
                                <a:lnTo>
                                  <a:pt x="15" y="8183"/>
                                </a:lnTo>
                                <a:moveTo>
                                  <a:pt x="15" y="8078"/>
                                </a:moveTo>
                                <a:lnTo>
                                  <a:pt x="0" y="8078"/>
                                </a:lnTo>
                                <a:lnTo>
                                  <a:pt x="0" y="8138"/>
                                </a:lnTo>
                                <a:lnTo>
                                  <a:pt x="15" y="8138"/>
                                </a:lnTo>
                                <a:lnTo>
                                  <a:pt x="15" y="8078"/>
                                </a:lnTo>
                                <a:moveTo>
                                  <a:pt x="15" y="7973"/>
                                </a:moveTo>
                                <a:lnTo>
                                  <a:pt x="0" y="7973"/>
                                </a:lnTo>
                                <a:lnTo>
                                  <a:pt x="0" y="8033"/>
                                </a:lnTo>
                                <a:lnTo>
                                  <a:pt x="15" y="8033"/>
                                </a:lnTo>
                                <a:lnTo>
                                  <a:pt x="15" y="7973"/>
                                </a:lnTo>
                                <a:moveTo>
                                  <a:pt x="15" y="7868"/>
                                </a:moveTo>
                                <a:lnTo>
                                  <a:pt x="0" y="7868"/>
                                </a:lnTo>
                                <a:lnTo>
                                  <a:pt x="0" y="7928"/>
                                </a:lnTo>
                                <a:lnTo>
                                  <a:pt x="15" y="7928"/>
                                </a:lnTo>
                                <a:lnTo>
                                  <a:pt x="15" y="7868"/>
                                </a:lnTo>
                                <a:moveTo>
                                  <a:pt x="15" y="7763"/>
                                </a:moveTo>
                                <a:lnTo>
                                  <a:pt x="0" y="7763"/>
                                </a:lnTo>
                                <a:lnTo>
                                  <a:pt x="0" y="7823"/>
                                </a:lnTo>
                                <a:lnTo>
                                  <a:pt x="15" y="7823"/>
                                </a:lnTo>
                                <a:lnTo>
                                  <a:pt x="15" y="7763"/>
                                </a:lnTo>
                                <a:moveTo>
                                  <a:pt x="15" y="7658"/>
                                </a:moveTo>
                                <a:lnTo>
                                  <a:pt x="0" y="7658"/>
                                </a:lnTo>
                                <a:lnTo>
                                  <a:pt x="0" y="7718"/>
                                </a:lnTo>
                                <a:lnTo>
                                  <a:pt x="15" y="7718"/>
                                </a:lnTo>
                                <a:lnTo>
                                  <a:pt x="15" y="7658"/>
                                </a:lnTo>
                                <a:moveTo>
                                  <a:pt x="15" y="7553"/>
                                </a:moveTo>
                                <a:lnTo>
                                  <a:pt x="0" y="7553"/>
                                </a:lnTo>
                                <a:lnTo>
                                  <a:pt x="0" y="7613"/>
                                </a:lnTo>
                                <a:lnTo>
                                  <a:pt x="15" y="7613"/>
                                </a:lnTo>
                                <a:lnTo>
                                  <a:pt x="15" y="7553"/>
                                </a:lnTo>
                                <a:moveTo>
                                  <a:pt x="15" y="7448"/>
                                </a:moveTo>
                                <a:lnTo>
                                  <a:pt x="0" y="7448"/>
                                </a:lnTo>
                                <a:lnTo>
                                  <a:pt x="0" y="7508"/>
                                </a:lnTo>
                                <a:lnTo>
                                  <a:pt x="15" y="7508"/>
                                </a:lnTo>
                                <a:lnTo>
                                  <a:pt x="15" y="7448"/>
                                </a:lnTo>
                                <a:moveTo>
                                  <a:pt x="15" y="7343"/>
                                </a:moveTo>
                                <a:lnTo>
                                  <a:pt x="0" y="7343"/>
                                </a:lnTo>
                                <a:lnTo>
                                  <a:pt x="0" y="7403"/>
                                </a:lnTo>
                                <a:lnTo>
                                  <a:pt x="15" y="7403"/>
                                </a:lnTo>
                                <a:lnTo>
                                  <a:pt x="15" y="7343"/>
                                </a:lnTo>
                                <a:moveTo>
                                  <a:pt x="15" y="7238"/>
                                </a:moveTo>
                                <a:lnTo>
                                  <a:pt x="0" y="7238"/>
                                </a:lnTo>
                                <a:lnTo>
                                  <a:pt x="0" y="7298"/>
                                </a:lnTo>
                                <a:lnTo>
                                  <a:pt x="15" y="7298"/>
                                </a:lnTo>
                                <a:lnTo>
                                  <a:pt x="15" y="7238"/>
                                </a:lnTo>
                                <a:moveTo>
                                  <a:pt x="15" y="7133"/>
                                </a:moveTo>
                                <a:lnTo>
                                  <a:pt x="0" y="7133"/>
                                </a:lnTo>
                                <a:lnTo>
                                  <a:pt x="0" y="7193"/>
                                </a:lnTo>
                                <a:lnTo>
                                  <a:pt x="15" y="7193"/>
                                </a:lnTo>
                                <a:lnTo>
                                  <a:pt x="15" y="7133"/>
                                </a:lnTo>
                                <a:moveTo>
                                  <a:pt x="15" y="7028"/>
                                </a:moveTo>
                                <a:lnTo>
                                  <a:pt x="0" y="7028"/>
                                </a:lnTo>
                                <a:lnTo>
                                  <a:pt x="0" y="7088"/>
                                </a:lnTo>
                                <a:lnTo>
                                  <a:pt x="15" y="7088"/>
                                </a:lnTo>
                                <a:lnTo>
                                  <a:pt x="15" y="7028"/>
                                </a:lnTo>
                                <a:moveTo>
                                  <a:pt x="15" y="6923"/>
                                </a:moveTo>
                                <a:lnTo>
                                  <a:pt x="0" y="6923"/>
                                </a:lnTo>
                                <a:lnTo>
                                  <a:pt x="0" y="6983"/>
                                </a:lnTo>
                                <a:lnTo>
                                  <a:pt x="15" y="6983"/>
                                </a:lnTo>
                                <a:lnTo>
                                  <a:pt x="15" y="6923"/>
                                </a:lnTo>
                                <a:moveTo>
                                  <a:pt x="15" y="6818"/>
                                </a:moveTo>
                                <a:lnTo>
                                  <a:pt x="0" y="6818"/>
                                </a:lnTo>
                                <a:lnTo>
                                  <a:pt x="0" y="6878"/>
                                </a:lnTo>
                                <a:lnTo>
                                  <a:pt x="15" y="6878"/>
                                </a:lnTo>
                                <a:lnTo>
                                  <a:pt x="15" y="6818"/>
                                </a:lnTo>
                                <a:moveTo>
                                  <a:pt x="15" y="6713"/>
                                </a:moveTo>
                                <a:lnTo>
                                  <a:pt x="0" y="6713"/>
                                </a:lnTo>
                                <a:lnTo>
                                  <a:pt x="0" y="6773"/>
                                </a:lnTo>
                                <a:lnTo>
                                  <a:pt x="15" y="6773"/>
                                </a:lnTo>
                                <a:lnTo>
                                  <a:pt x="15" y="6713"/>
                                </a:lnTo>
                                <a:moveTo>
                                  <a:pt x="15" y="6608"/>
                                </a:moveTo>
                                <a:lnTo>
                                  <a:pt x="0" y="6608"/>
                                </a:lnTo>
                                <a:lnTo>
                                  <a:pt x="0" y="6668"/>
                                </a:lnTo>
                                <a:lnTo>
                                  <a:pt x="15" y="6668"/>
                                </a:lnTo>
                                <a:lnTo>
                                  <a:pt x="15" y="6608"/>
                                </a:lnTo>
                                <a:moveTo>
                                  <a:pt x="15" y="6503"/>
                                </a:moveTo>
                                <a:lnTo>
                                  <a:pt x="0" y="6503"/>
                                </a:lnTo>
                                <a:lnTo>
                                  <a:pt x="0" y="6563"/>
                                </a:lnTo>
                                <a:lnTo>
                                  <a:pt x="15" y="6563"/>
                                </a:lnTo>
                                <a:lnTo>
                                  <a:pt x="15" y="6503"/>
                                </a:lnTo>
                                <a:moveTo>
                                  <a:pt x="15" y="6398"/>
                                </a:moveTo>
                                <a:lnTo>
                                  <a:pt x="0" y="6398"/>
                                </a:lnTo>
                                <a:lnTo>
                                  <a:pt x="0" y="6458"/>
                                </a:lnTo>
                                <a:lnTo>
                                  <a:pt x="15" y="6458"/>
                                </a:lnTo>
                                <a:lnTo>
                                  <a:pt x="15" y="6398"/>
                                </a:lnTo>
                                <a:moveTo>
                                  <a:pt x="15" y="6293"/>
                                </a:moveTo>
                                <a:lnTo>
                                  <a:pt x="0" y="6293"/>
                                </a:lnTo>
                                <a:lnTo>
                                  <a:pt x="0" y="6353"/>
                                </a:lnTo>
                                <a:lnTo>
                                  <a:pt x="15" y="6353"/>
                                </a:lnTo>
                                <a:lnTo>
                                  <a:pt x="15" y="6293"/>
                                </a:lnTo>
                                <a:moveTo>
                                  <a:pt x="15" y="6188"/>
                                </a:moveTo>
                                <a:lnTo>
                                  <a:pt x="0" y="6188"/>
                                </a:lnTo>
                                <a:lnTo>
                                  <a:pt x="0" y="6248"/>
                                </a:lnTo>
                                <a:lnTo>
                                  <a:pt x="15" y="6248"/>
                                </a:lnTo>
                                <a:lnTo>
                                  <a:pt x="15" y="6188"/>
                                </a:lnTo>
                                <a:moveTo>
                                  <a:pt x="15" y="6083"/>
                                </a:moveTo>
                                <a:lnTo>
                                  <a:pt x="0" y="6083"/>
                                </a:lnTo>
                                <a:lnTo>
                                  <a:pt x="0" y="6143"/>
                                </a:lnTo>
                                <a:lnTo>
                                  <a:pt x="15" y="6143"/>
                                </a:lnTo>
                                <a:lnTo>
                                  <a:pt x="15" y="6083"/>
                                </a:lnTo>
                                <a:moveTo>
                                  <a:pt x="15" y="5978"/>
                                </a:moveTo>
                                <a:lnTo>
                                  <a:pt x="0" y="5978"/>
                                </a:lnTo>
                                <a:lnTo>
                                  <a:pt x="0" y="6038"/>
                                </a:lnTo>
                                <a:lnTo>
                                  <a:pt x="15" y="6038"/>
                                </a:lnTo>
                                <a:lnTo>
                                  <a:pt x="15" y="5978"/>
                                </a:lnTo>
                                <a:moveTo>
                                  <a:pt x="15" y="5873"/>
                                </a:moveTo>
                                <a:lnTo>
                                  <a:pt x="0" y="5873"/>
                                </a:lnTo>
                                <a:lnTo>
                                  <a:pt x="0" y="5933"/>
                                </a:lnTo>
                                <a:lnTo>
                                  <a:pt x="15" y="5933"/>
                                </a:lnTo>
                                <a:lnTo>
                                  <a:pt x="15" y="5873"/>
                                </a:lnTo>
                                <a:moveTo>
                                  <a:pt x="15" y="5768"/>
                                </a:moveTo>
                                <a:lnTo>
                                  <a:pt x="0" y="5768"/>
                                </a:lnTo>
                                <a:lnTo>
                                  <a:pt x="0" y="5828"/>
                                </a:lnTo>
                                <a:lnTo>
                                  <a:pt x="15" y="5828"/>
                                </a:lnTo>
                                <a:lnTo>
                                  <a:pt x="15" y="5768"/>
                                </a:lnTo>
                                <a:moveTo>
                                  <a:pt x="15" y="5663"/>
                                </a:moveTo>
                                <a:lnTo>
                                  <a:pt x="0" y="5663"/>
                                </a:lnTo>
                                <a:lnTo>
                                  <a:pt x="0" y="5723"/>
                                </a:lnTo>
                                <a:lnTo>
                                  <a:pt x="15" y="5723"/>
                                </a:lnTo>
                                <a:lnTo>
                                  <a:pt x="15" y="5663"/>
                                </a:lnTo>
                                <a:moveTo>
                                  <a:pt x="15" y="5558"/>
                                </a:moveTo>
                                <a:lnTo>
                                  <a:pt x="0" y="5558"/>
                                </a:lnTo>
                                <a:lnTo>
                                  <a:pt x="0" y="5618"/>
                                </a:lnTo>
                                <a:lnTo>
                                  <a:pt x="15" y="5618"/>
                                </a:lnTo>
                                <a:lnTo>
                                  <a:pt x="15" y="5558"/>
                                </a:lnTo>
                                <a:moveTo>
                                  <a:pt x="15" y="5453"/>
                                </a:moveTo>
                                <a:lnTo>
                                  <a:pt x="0" y="5453"/>
                                </a:lnTo>
                                <a:lnTo>
                                  <a:pt x="0" y="5513"/>
                                </a:lnTo>
                                <a:lnTo>
                                  <a:pt x="15" y="5513"/>
                                </a:lnTo>
                                <a:lnTo>
                                  <a:pt x="15" y="5453"/>
                                </a:lnTo>
                                <a:moveTo>
                                  <a:pt x="15" y="5348"/>
                                </a:moveTo>
                                <a:lnTo>
                                  <a:pt x="0" y="5348"/>
                                </a:lnTo>
                                <a:lnTo>
                                  <a:pt x="0" y="5408"/>
                                </a:lnTo>
                                <a:lnTo>
                                  <a:pt x="15" y="5408"/>
                                </a:lnTo>
                                <a:lnTo>
                                  <a:pt x="15" y="5348"/>
                                </a:lnTo>
                                <a:moveTo>
                                  <a:pt x="15" y="5243"/>
                                </a:moveTo>
                                <a:lnTo>
                                  <a:pt x="0" y="5243"/>
                                </a:lnTo>
                                <a:lnTo>
                                  <a:pt x="0" y="5303"/>
                                </a:lnTo>
                                <a:lnTo>
                                  <a:pt x="15" y="5303"/>
                                </a:lnTo>
                                <a:lnTo>
                                  <a:pt x="15" y="5243"/>
                                </a:lnTo>
                                <a:moveTo>
                                  <a:pt x="15" y="5138"/>
                                </a:moveTo>
                                <a:lnTo>
                                  <a:pt x="0" y="5138"/>
                                </a:lnTo>
                                <a:lnTo>
                                  <a:pt x="0" y="5198"/>
                                </a:lnTo>
                                <a:lnTo>
                                  <a:pt x="15" y="5198"/>
                                </a:lnTo>
                                <a:lnTo>
                                  <a:pt x="15" y="5138"/>
                                </a:lnTo>
                                <a:moveTo>
                                  <a:pt x="15" y="5033"/>
                                </a:moveTo>
                                <a:lnTo>
                                  <a:pt x="0" y="5033"/>
                                </a:lnTo>
                                <a:lnTo>
                                  <a:pt x="0" y="5093"/>
                                </a:lnTo>
                                <a:lnTo>
                                  <a:pt x="15" y="5093"/>
                                </a:lnTo>
                                <a:lnTo>
                                  <a:pt x="15" y="5033"/>
                                </a:lnTo>
                                <a:moveTo>
                                  <a:pt x="15" y="4928"/>
                                </a:moveTo>
                                <a:lnTo>
                                  <a:pt x="0" y="4928"/>
                                </a:lnTo>
                                <a:lnTo>
                                  <a:pt x="0" y="4988"/>
                                </a:lnTo>
                                <a:lnTo>
                                  <a:pt x="15" y="4988"/>
                                </a:lnTo>
                                <a:lnTo>
                                  <a:pt x="15" y="4928"/>
                                </a:lnTo>
                                <a:moveTo>
                                  <a:pt x="15" y="4823"/>
                                </a:moveTo>
                                <a:lnTo>
                                  <a:pt x="0" y="4823"/>
                                </a:lnTo>
                                <a:lnTo>
                                  <a:pt x="0" y="4883"/>
                                </a:lnTo>
                                <a:lnTo>
                                  <a:pt x="15" y="4883"/>
                                </a:lnTo>
                                <a:lnTo>
                                  <a:pt x="15" y="4823"/>
                                </a:lnTo>
                                <a:moveTo>
                                  <a:pt x="15" y="4718"/>
                                </a:moveTo>
                                <a:lnTo>
                                  <a:pt x="0" y="4718"/>
                                </a:lnTo>
                                <a:lnTo>
                                  <a:pt x="0" y="4778"/>
                                </a:lnTo>
                                <a:lnTo>
                                  <a:pt x="15" y="4778"/>
                                </a:lnTo>
                                <a:lnTo>
                                  <a:pt x="15" y="4718"/>
                                </a:lnTo>
                                <a:moveTo>
                                  <a:pt x="15" y="4613"/>
                                </a:moveTo>
                                <a:lnTo>
                                  <a:pt x="0" y="4613"/>
                                </a:lnTo>
                                <a:lnTo>
                                  <a:pt x="0" y="4673"/>
                                </a:lnTo>
                                <a:lnTo>
                                  <a:pt x="15" y="4673"/>
                                </a:lnTo>
                                <a:lnTo>
                                  <a:pt x="15" y="4613"/>
                                </a:lnTo>
                                <a:moveTo>
                                  <a:pt x="15" y="4508"/>
                                </a:moveTo>
                                <a:lnTo>
                                  <a:pt x="0" y="4508"/>
                                </a:lnTo>
                                <a:lnTo>
                                  <a:pt x="0" y="4568"/>
                                </a:lnTo>
                                <a:lnTo>
                                  <a:pt x="15" y="4568"/>
                                </a:lnTo>
                                <a:lnTo>
                                  <a:pt x="15" y="4508"/>
                                </a:lnTo>
                                <a:moveTo>
                                  <a:pt x="15" y="4403"/>
                                </a:moveTo>
                                <a:lnTo>
                                  <a:pt x="0" y="4403"/>
                                </a:lnTo>
                                <a:lnTo>
                                  <a:pt x="0" y="4463"/>
                                </a:lnTo>
                                <a:lnTo>
                                  <a:pt x="15" y="4463"/>
                                </a:lnTo>
                                <a:lnTo>
                                  <a:pt x="15" y="4403"/>
                                </a:lnTo>
                                <a:moveTo>
                                  <a:pt x="15" y="4298"/>
                                </a:moveTo>
                                <a:lnTo>
                                  <a:pt x="0" y="4298"/>
                                </a:lnTo>
                                <a:lnTo>
                                  <a:pt x="0" y="4358"/>
                                </a:lnTo>
                                <a:lnTo>
                                  <a:pt x="15" y="4358"/>
                                </a:lnTo>
                                <a:lnTo>
                                  <a:pt x="15" y="4298"/>
                                </a:lnTo>
                                <a:moveTo>
                                  <a:pt x="15" y="4193"/>
                                </a:moveTo>
                                <a:lnTo>
                                  <a:pt x="0" y="4193"/>
                                </a:lnTo>
                                <a:lnTo>
                                  <a:pt x="0" y="4253"/>
                                </a:lnTo>
                                <a:lnTo>
                                  <a:pt x="15" y="4253"/>
                                </a:lnTo>
                                <a:lnTo>
                                  <a:pt x="15" y="4193"/>
                                </a:lnTo>
                                <a:moveTo>
                                  <a:pt x="15" y="4088"/>
                                </a:moveTo>
                                <a:lnTo>
                                  <a:pt x="0" y="4088"/>
                                </a:lnTo>
                                <a:lnTo>
                                  <a:pt x="0" y="4148"/>
                                </a:lnTo>
                                <a:lnTo>
                                  <a:pt x="15" y="4148"/>
                                </a:lnTo>
                                <a:lnTo>
                                  <a:pt x="15" y="4088"/>
                                </a:lnTo>
                                <a:moveTo>
                                  <a:pt x="15" y="3983"/>
                                </a:moveTo>
                                <a:lnTo>
                                  <a:pt x="0" y="3983"/>
                                </a:lnTo>
                                <a:lnTo>
                                  <a:pt x="0" y="4043"/>
                                </a:lnTo>
                                <a:lnTo>
                                  <a:pt x="15" y="4043"/>
                                </a:lnTo>
                                <a:lnTo>
                                  <a:pt x="15" y="3983"/>
                                </a:lnTo>
                                <a:moveTo>
                                  <a:pt x="15" y="3878"/>
                                </a:moveTo>
                                <a:lnTo>
                                  <a:pt x="0" y="3878"/>
                                </a:lnTo>
                                <a:lnTo>
                                  <a:pt x="0" y="3938"/>
                                </a:lnTo>
                                <a:lnTo>
                                  <a:pt x="15" y="3938"/>
                                </a:lnTo>
                                <a:lnTo>
                                  <a:pt x="15" y="3878"/>
                                </a:lnTo>
                                <a:moveTo>
                                  <a:pt x="15" y="3773"/>
                                </a:moveTo>
                                <a:lnTo>
                                  <a:pt x="0" y="3773"/>
                                </a:lnTo>
                                <a:lnTo>
                                  <a:pt x="0" y="3833"/>
                                </a:lnTo>
                                <a:lnTo>
                                  <a:pt x="15" y="3833"/>
                                </a:lnTo>
                                <a:lnTo>
                                  <a:pt x="15" y="3773"/>
                                </a:lnTo>
                                <a:moveTo>
                                  <a:pt x="15" y="3668"/>
                                </a:moveTo>
                                <a:lnTo>
                                  <a:pt x="0" y="3668"/>
                                </a:lnTo>
                                <a:lnTo>
                                  <a:pt x="0" y="3728"/>
                                </a:lnTo>
                                <a:lnTo>
                                  <a:pt x="15" y="3728"/>
                                </a:lnTo>
                                <a:lnTo>
                                  <a:pt x="15" y="3668"/>
                                </a:lnTo>
                                <a:moveTo>
                                  <a:pt x="15" y="3563"/>
                                </a:moveTo>
                                <a:lnTo>
                                  <a:pt x="0" y="3563"/>
                                </a:lnTo>
                                <a:lnTo>
                                  <a:pt x="0" y="3623"/>
                                </a:lnTo>
                                <a:lnTo>
                                  <a:pt x="15" y="3623"/>
                                </a:lnTo>
                                <a:lnTo>
                                  <a:pt x="15" y="3563"/>
                                </a:lnTo>
                                <a:moveTo>
                                  <a:pt x="15" y="3458"/>
                                </a:moveTo>
                                <a:lnTo>
                                  <a:pt x="0" y="3458"/>
                                </a:lnTo>
                                <a:lnTo>
                                  <a:pt x="0" y="3518"/>
                                </a:lnTo>
                                <a:lnTo>
                                  <a:pt x="15" y="3518"/>
                                </a:lnTo>
                                <a:lnTo>
                                  <a:pt x="15" y="3458"/>
                                </a:lnTo>
                                <a:moveTo>
                                  <a:pt x="15" y="3353"/>
                                </a:moveTo>
                                <a:lnTo>
                                  <a:pt x="0" y="3353"/>
                                </a:lnTo>
                                <a:lnTo>
                                  <a:pt x="0" y="3413"/>
                                </a:lnTo>
                                <a:lnTo>
                                  <a:pt x="15" y="3413"/>
                                </a:lnTo>
                                <a:lnTo>
                                  <a:pt x="15" y="3353"/>
                                </a:lnTo>
                                <a:moveTo>
                                  <a:pt x="15" y="3248"/>
                                </a:moveTo>
                                <a:lnTo>
                                  <a:pt x="0" y="3248"/>
                                </a:lnTo>
                                <a:lnTo>
                                  <a:pt x="0" y="3308"/>
                                </a:lnTo>
                                <a:lnTo>
                                  <a:pt x="15" y="3308"/>
                                </a:lnTo>
                                <a:lnTo>
                                  <a:pt x="15" y="3248"/>
                                </a:lnTo>
                                <a:moveTo>
                                  <a:pt x="15" y="3143"/>
                                </a:moveTo>
                                <a:lnTo>
                                  <a:pt x="0" y="3143"/>
                                </a:lnTo>
                                <a:lnTo>
                                  <a:pt x="0" y="3203"/>
                                </a:lnTo>
                                <a:lnTo>
                                  <a:pt x="15" y="3203"/>
                                </a:lnTo>
                                <a:lnTo>
                                  <a:pt x="15" y="3143"/>
                                </a:lnTo>
                                <a:moveTo>
                                  <a:pt x="15" y="3038"/>
                                </a:moveTo>
                                <a:lnTo>
                                  <a:pt x="0" y="3038"/>
                                </a:lnTo>
                                <a:lnTo>
                                  <a:pt x="0" y="3098"/>
                                </a:lnTo>
                                <a:lnTo>
                                  <a:pt x="15" y="3098"/>
                                </a:lnTo>
                                <a:lnTo>
                                  <a:pt x="15" y="3038"/>
                                </a:lnTo>
                                <a:moveTo>
                                  <a:pt x="15" y="2933"/>
                                </a:moveTo>
                                <a:lnTo>
                                  <a:pt x="0" y="2933"/>
                                </a:lnTo>
                                <a:lnTo>
                                  <a:pt x="0" y="2993"/>
                                </a:lnTo>
                                <a:lnTo>
                                  <a:pt x="15" y="2993"/>
                                </a:lnTo>
                                <a:lnTo>
                                  <a:pt x="15" y="2933"/>
                                </a:lnTo>
                                <a:moveTo>
                                  <a:pt x="15" y="2828"/>
                                </a:moveTo>
                                <a:lnTo>
                                  <a:pt x="0" y="2828"/>
                                </a:lnTo>
                                <a:lnTo>
                                  <a:pt x="0" y="2888"/>
                                </a:lnTo>
                                <a:lnTo>
                                  <a:pt x="15" y="2888"/>
                                </a:lnTo>
                                <a:lnTo>
                                  <a:pt x="15" y="2828"/>
                                </a:lnTo>
                                <a:moveTo>
                                  <a:pt x="15" y="2723"/>
                                </a:moveTo>
                                <a:lnTo>
                                  <a:pt x="0" y="2723"/>
                                </a:lnTo>
                                <a:lnTo>
                                  <a:pt x="0" y="2783"/>
                                </a:lnTo>
                                <a:lnTo>
                                  <a:pt x="15" y="2783"/>
                                </a:lnTo>
                                <a:lnTo>
                                  <a:pt x="15" y="2723"/>
                                </a:lnTo>
                                <a:moveTo>
                                  <a:pt x="15" y="2618"/>
                                </a:moveTo>
                                <a:lnTo>
                                  <a:pt x="0" y="2618"/>
                                </a:lnTo>
                                <a:lnTo>
                                  <a:pt x="0" y="2678"/>
                                </a:lnTo>
                                <a:lnTo>
                                  <a:pt x="15" y="2678"/>
                                </a:lnTo>
                                <a:lnTo>
                                  <a:pt x="15" y="2618"/>
                                </a:lnTo>
                                <a:moveTo>
                                  <a:pt x="15" y="2513"/>
                                </a:moveTo>
                                <a:lnTo>
                                  <a:pt x="0" y="2513"/>
                                </a:lnTo>
                                <a:lnTo>
                                  <a:pt x="0" y="2573"/>
                                </a:lnTo>
                                <a:lnTo>
                                  <a:pt x="15" y="2573"/>
                                </a:lnTo>
                                <a:lnTo>
                                  <a:pt x="15" y="2513"/>
                                </a:lnTo>
                                <a:moveTo>
                                  <a:pt x="15" y="2408"/>
                                </a:moveTo>
                                <a:lnTo>
                                  <a:pt x="0" y="2408"/>
                                </a:lnTo>
                                <a:lnTo>
                                  <a:pt x="0" y="2468"/>
                                </a:lnTo>
                                <a:lnTo>
                                  <a:pt x="15" y="2468"/>
                                </a:lnTo>
                                <a:lnTo>
                                  <a:pt x="15" y="2408"/>
                                </a:lnTo>
                                <a:moveTo>
                                  <a:pt x="15" y="2303"/>
                                </a:moveTo>
                                <a:lnTo>
                                  <a:pt x="0" y="2303"/>
                                </a:lnTo>
                                <a:lnTo>
                                  <a:pt x="0" y="2363"/>
                                </a:lnTo>
                                <a:lnTo>
                                  <a:pt x="15" y="2363"/>
                                </a:lnTo>
                                <a:lnTo>
                                  <a:pt x="15" y="2303"/>
                                </a:lnTo>
                                <a:moveTo>
                                  <a:pt x="15" y="2198"/>
                                </a:moveTo>
                                <a:lnTo>
                                  <a:pt x="0" y="2198"/>
                                </a:lnTo>
                                <a:lnTo>
                                  <a:pt x="0" y="2258"/>
                                </a:lnTo>
                                <a:lnTo>
                                  <a:pt x="15" y="2258"/>
                                </a:lnTo>
                                <a:lnTo>
                                  <a:pt x="15" y="2198"/>
                                </a:lnTo>
                                <a:moveTo>
                                  <a:pt x="15" y="2093"/>
                                </a:moveTo>
                                <a:lnTo>
                                  <a:pt x="0" y="2093"/>
                                </a:lnTo>
                                <a:lnTo>
                                  <a:pt x="0" y="2153"/>
                                </a:lnTo>
                                <a:lnTo>
                                  <a:pt x="15" y="2153"/>
                                </a:lnTo>
                                <a:lnTo>
                                  <a:pt x="15" y="2093"/>
                                </a:lnTo>
                                <a:moveTo>
                                  <a:pt x="15" y="1988"/>
                                </a:moveTo>
                                <a:lnTo>
                                  <a:pt x="0" y="1988"/>
                                </a:lnTo>
                                <a:lnTo>
                                  <a:pt x="0" y="2048"/>
                                </a:lnTo>
                                <a:lnTo>
                                  <a:pt x="15" y="2048"/>
                                </a:lnTo>
                                <a:lnTo>
                                  <a:pt x="15" y="1988"/>
                                </a:lnTo>
                                <a:moveTo>
                                  <a:pt x="15" y="1883"/>
                                </a:moveTo>
                                <a:lnTo>
                                  <a:pt x="0" y="1883"/>
                                </a:lnTo>
                                <a:lnTo>
                                  <a:pt x="0" y="1943"/>
                                </a:lnTo>
                                <a:lnTo>
                                  <a:pt x="15" y="1943"/>
                                </a:lnTo>
                                <a:lnTo>
                                  <a:pt x="15" y="1883"/>
                                </a:lnTo>
                                <a:moveTo>
                                  <a:pt x="15" y="1778"/>
                                </a:moveTo>
                                <a:lnTo>
                                  <a:pt x="0" y="1778"/>
                                </a:lnTo>
                                <a:lnTo>
                                  <a:pt x="0" y="1838"/>
                                </a:lnTo>
                                <a:lnTo>
                                  <a:pt x="15" y="1838"/>
                                </a:lnTo>
                                <a:lnTo>
                                  <a:pt x="15" y="1778"/>
                                </a:lnTo>
                                <a:moveTo>
                                  <a:pt x="15" y="1673"/>
                                </a:moveTo>
                                <a:lnTo>
                                  <a:pt x="0" y="1673"/>
                                </a:lnTo>
                                <a:lnTo>
                                  <a:pt x="0" y="1733"/>
                                </a:lnTo>
                                <a:lnTo>
                                  <a:pt x="15" y="1733"/>
                                </a:lnTo>
                                <a:lnTo>
                                  <a:pt x="15" y="1673"/>
                                </a:lnTo>
                                <a:moveTo>
                                  <a:pt x="15" y="1568"/>
                                </a:moveTo>
                                <a:lnTo>
                                  <a:pt x="0" y="1568"/>
                                </a:lnTo>
                                <a:lnTo>
                                  <a:pt x="0" y="1628"/>
                                </a:lnTo>
                                <a:lnTo>
                                  <a:pt x="15" y="1628"/>
                                </a:lnTo>
                                <a:lnTo>
                                  <a:pt x="15" y="1568"/>
                                </a:lnTo>
                                <a:moveTo>
                                  <a:pt x="15" y="1463"/>
                                </a:moveTo>
                                <a:lnTo>
                                  <a:pt x="0" y="1463"/>
                                </a:lnTo>
                                <a:lnTo>
                                  <a:pt x="0" y="1523"/>
                                </a:lnTo>
                                <a:lnTo>
                                  <a:pt x="15" y="1523"/>
                                </a:lnTo>
                                <a:lnTo>
                                  <a:pt x="15" y="1463"/>
                                </a:lnTo>
                                <a:moveTo>
                                  <a:pt x="15" y="1358"/>
                                </a:moveTo>
                                <a:lnTo>
                                  <a:pt x="0" y="1358"/>
                                </a:lnTo>
                                <a:lnTo>
                                  <a:pt x="0" y="1418"/>
                                </a:lnTo>
                                <a:lnTo>
                                  <a:pt x="15" y="1418"/>
                                </a:lnTo>
                                <a:lnTo>
                                  <a:pt x="15" y="1358"/>
                                </a:lnTo>
                                <a:moveTo>
                                  <a:pt x="15" y="1253"/>
                                </a:moveTo>
                                <a:lnTo>
                                  <a:pt x="0" y="1253"/>
                                </a:lnTo>
                                <a:lnTo>
                                  <a:pt x="0" y="1313"/>
                                </a:lnTo>
                                <a:lnTo>
                                  <a:pt x="15" y="1313"/>
                                </a:lnTo>
                                <a:lnTo>
                                  <a:pt x="15" y="1253"/>
                                </a:lnTo>
                                <a:moveTo>
                                  <a:pt x="15" y="1148"/>
                                </a:moveTo>
                                <a:lnTo>
                                  <a:pt x="0" y="1148"/>
                                </a:lnTo>
                                <a:lnTo>
                                  <a:pt x="0" y="1208"/>
                                </a:lnTo>
                                <a:lnTo>
                                  <a:pt x="15" y="1208"/>
                                </a:lnTo>
                                <a:lnTo>
                                  <a:pt x="15" y="1148"/>
                                </a:lnTo>
                                <a:moveTo>
                                  <a:pt x="15" y="1043"/>
                                </a:moveTo>
                                <a:lnTo>
                                  <a:pt x="0" y="1043"/>
                                </a:lnTo>
                                <a:lnTo>
                                  <a:pt x="0" y="1103"/>
                                </a:lnTo>
                                <a:lnTo>
                                  <a:pt x="15" y="1103"/>
                                </a:lnTo>
                                <a:lnTo>
                                  <a:pt x="15" y="1043"/>
                                </a:lnTo>
                                <a:moveTo>
                                  <a:pt x="15" y="938"/>
                                </a:moveTo>
                                <a:lnTo>
                                  <a:pt x="0" y="938"/>
                                </a:lnTo>
                                <a:lnTo>
                                  <a:pt x="0" y="998"/>
                                </a:lnTo>
                                <a:lnTo>
                                  <a:pt x="15" y="998"/>
                                </a:lnTo>
                                <a:lnTo>
                                  <a:pt x="15" y="938"/>
                                </a:lnTo>
                                <a:moveTo>
                                  <a:pt x="15" y="833"/>
                                </a:moveTo>
                                <a:lnTo>
                                  <a:pt x="0" y="833"/>
                                </a:lnTo>
                                <a:lnTo>
                                  <a:pt x="0" y="893"/>
                                </a:lnTo>
                                <a:lnTo>
                                  <a:pt x="15" y="893"/>
                                </a:lnTo>
                                <a:lnTo>
                                  <a:pt x="15" y="833"/>
                                </a:lnTo>
                                <a:moveTo>
                                  <a:pt x="15" y="728"/>
                                </a:moveTo>
                                <a:lnTo>
                                  <a:pt x="0" y="728"/>
                                </a:lnTo>
                                <a:lnTo>
                                  <a:pt x="0" y="788"/>
                                </a:lnTo>
                                <a:lnTo>
                                  <a:pt x="15" y="788"/>
                                </a:lnTo>
                                <a:lnTo>
                                  <a:pt x="15" y="728"/>
                                </a:lnTo>
                                <a:moveTo>
                                  <a:pt x="15" y="623"/>
                                </a:moveTo>
                                <a:lnTo>
                                  <a:pt x="0" y="623"/>
                                </a:lnTo>
                                <a:lnTo>
                                  <a:pt x="0" y="683"/>
                                </a:lnTo>
                                <a:lnTo>
                                  <a:pt x="15" y="683"/>
                                </a:lnTo>
                                <a:lnTo>
                                  <a:pt x="15" y="623"/>
                                </a:lnTo>
                                <a:moveTo>
                                  <a:pt x="15" y="518"/>
                                </a:moveTo>
                                <a:lnTo>
                                  <a:pt x="0" y="518"/>
                                </a:lnTo>
                                <a:lnTo>
                                  <a:pt x="0" y="578"/>
                                </a:lnTo>
                                <a:lnTo>
                                  <a:pt x="15" y="578"/>
                                </a:lnTo>
                                <a:lnTo>
                                  <a:pt x="15" y="518"/>
                                </a:lnTo>
                                <a:moveTo>
                                  <a:pt x="15" y="413"/>
                                </a:moveTo>
                                <a:lnTo>
                                  <a:pt x="0" y="413"/>
                                </a:lnTo>
                                <a:lnTo>
                                  <a:pt x="0" y="473"/>
                                </a:lnTo>
                                <a:lnTo>
                                  <a:pt x="15" y="473"/>
                                </a:lnTo>
                                <a:lnTo>
                                  <a:pt x="15" y="413"/>
                                </a:lnTo>
                                <a:moveTo>
                                  <a:pt x="15" y="308"/>
                                </a:moveTo>
                                <a:lnTo>
                                  <a:pt x="0" y="308"/>
                                </a:lnTo>
                                <a:lnTo>
                                  <a:pt x="0" y="368"/>
                                </a:lnTo>
                                <a:lnTo>
                                  <a:pt x="15" y="368"/>
                                </a:lnTo>
                                <a:lnTo>
                                  <a:pt x="15" y="308"/>
                                </a:lnTo>
                                <a:moveTo>
                                  <a:pt x="15" y="203"/>
                                </a:moveTo>
                                <a:lnTo>
                                  <a:pt x="0" y="203"/>
                                </a:lnTo>
                                <a:lnTo>
                                  <a:pt x="0" y="263"/>
                                </a:lnTo>
                                <a:lnTo>
                                  <a:pt x="15" y="263"/>
                                </a:lnTo>
                                <a:lnTo>
                                  <a:pt x="15" y="203"/>
                                </a:lnTo>
                                <a:moveTo>
                                  <a:pt x="15" y="98"/>
                                </a:moveTo>
                                <a:lnTo>
                                  <a:pt x="0" y="98"/>
                                </a:lnTo>
                                <a:lnTo>
                                  <a:pt x="0" y="158"/>
                                </a:lnTo>
                                <a:lnTo>
                                  <a:pt x="15" y="158"/>
                                </a:lnTo>
                                <a:lnTo>
                                  <a:pt x="15" y="98"/>
                                </a:lnTo>
                                <a:moveTo>
                                  <a:pt x="18" y="12530"/>
                                </a:moveTo>
                                <a:lnTo>
                                  <a:pt x="15" y="12530"/>
                                </a:lnTo>
                                <a:lnTo>
                                  <a:pt x="15" y="12488"/>
                                </a:lnTo>
                                <a:lnTo>
                                  <a:pt x="0" y="12488"/>
                                </a:lnTo>
                                <a:lnTo>
                                  <a:pt x="0" y="12545"/>
                                </a:lnTo>
                                <a:lnTo>
                                  <a:pt x="18" y="12545"/>
                                </a:lnTo>
                                <a:lnTo>
                                  <a:pt x="18" y="12537"/>
                                </a:lnTo>
                                <a:lnTo>
                                  <a:pt x="18" y="12530"/>
                                </a:lnTo>
                                <a:moveTo>
                                  <a:pt x="22" y="0"/>
                                </a:moveTo>
                                <a:lnTo>
                                  <a:pt x="0" y="0"/>
                                </a:lnTo>
                                <a:lnTo>
                                  <a:pt x="0" y="53"/>
                                </a:lnTo>
                                <a:lnTo>
                                  <a:pt x="15" y="53"/>
                                </a:lnTo>
                                <a:lnTo>
                                  <a:pt x="15" y="15"/>
                                </a:lnTo>
                                <a:lnTo>
                                  <a:pt x="22" y="15"/>
                                </a:lnTo>
                                <a:lnTo>
                                  <a:pt x="22" y="8"/>
                                </a:lnTo>
                                <a:lnTo>
                                  <a:pt x="22" y="0"/>
                                </a:lnTo>
                                <a:moveTo>
                                  <a:pt x="120" y="9366"/>
                                </a:moveTo>
                                <a:lnTo>
                                  <a:pt x="60" y="9366"/>
                                </a:lnTo>
                                <a:lnTo>
                                  <a:pt x="60" y="9381"/>
                                </a:lnTo>
                                <a:lnTo>
                                  <a:pt x="120" y="9381"/>
                                </a:lnTo>
                                <a:lnTo>
                                  <a:pt x="120" y="9366"/>
                                </a:lnTo>
                                <a:moveTo>
                                  <a:pt x="123" y="12530"/>
                                </a:moveTo>
                                <a:lnTo>
                                  <a:pt x="63" y="12530"/>
                                </a:lnTo>
                                <a:lnTo>
                                  <a:pt x="63" y="12545"/>
                                </a:lnTo>
                                <a:lnTo>
                                  <a:pt x="123" y="12545"/>
                                </a:lnTo>
                                <a:lnTo>
                                  <a:pt x="123" y="12530"/>
                                </a:lnTo>
                                <a:moveTo>
                                  <a:pt x="127" y="0"/>
                                </a:moveTo>
                                <a:lnTo>
                                  <a:pt x="67" y="0"/>
                                </a:lnTo>
                                <a:lnTo>
                                  <a:pt x="67" y="15"/>
                                </a:lnTo>
                                <a:lnTo>
                                  <a:pt x="127" y="15"/>
                                </a:lnTo>
                                <a:lnTo>
                                  <a:pt x="127" y="0"/>
                                </a:lnTo>
                                <a:moveTo>
                                  <a:pt x="225" y="9366"/>
                                </a:moveTo>
                                <a:lnTo>
                                  <a:pt x="165" y="9366"/>
                                </a:lnTo>
                                <a:lnTo>
                                  <a:pt x="165" y="9381"/>
                                </a:lnTo>
                                <a:lnTo>
                                  <a:pt x="225" y="9381"/>
                                </a:lnTo>
                                <a:lnTo>
                                  <a:pt x="225" y="9366"/>
                                </a:lnTo>
                                <a:moveTo>
                                  <a:pt x="228" y="12530"/>
                                </a:moveTo>
                                <a:lnTo>
                                  <a:pt x="168" y="12530"/>
                                </a:lnTo>
                                <a:lnTo>
                                  <a:pt x="168" y="12545"/>
                                </a:lnTo>
                                <a:lnTo>
                                  <a:pt x="228" y="12545"/>
                                </a:lnTo>
                                <a:lnTo>
                                  <a:pt x="228" y="12530"/>
                                </a:lnTo>
                                <a:moveTo>
                                  <a:pt x="232" y="0"/>
                                </a:moveTo>
                                <a:lnTo>
                                  <a:pt x="172" y="0"/>
                                </a:lnTo>
                                <a:lnTo>
                                  <a:pt x="172" y="15"/>
                                </a:lnTo>
                                <a:lnTo>
                                  <a:pt x="232" y="15"/>
                                </a:lnTo>
                                <a:lnTo>
                                  <a:pt x="232" y="0"/>
                                </a:lnTo>
                                <a:moveTo>
                                  <a:pt x="330" y="9366"/>
                                </a:moveTo>
                                <a:lnTo>
                                  <a:pt x="270" y="9366"/>
                                </a:lnTo>
                                <a:lnTo>
                                  <a:pt x="270" y="9381"/>
                                </a:lnTo>
                                <a:lnTo>
                                  <a:pt x="330" y="9381"/>
                                </a:lnTo>
                                <a:lnTo>
                                  <a:pt x="330" y="9366"/>
                                </a:lnTo>
                                <a:moveTo>
                                  <a:pt x="333" y="12530"/>
                                </a:moveTo>
                                <a:lnTo>
                                  <a:pt x="273" y="12530"/>
                                </a:lnTo>
                                <a:lnTo>
                                  <a:pt x="273" y="12545"/>
                                </a:lnTo>
                                <a:lnTo>
                                  <a:pt x="333" y="12545"/>
                                </a:lnTo>
                                <a:lnTo>
                                  <a:pt x="333" y="12530"/>
                                </a:lnTo>
                                <a:moveTo>
                                  <a:pt x="337" y="0"/>
                                </a:moveTo>
                                <a:lnTo>
                                  <a:pt x="277" y="0"/>
                                </a:lnTo>
                                <a:lnTo>
                                  <a:pt x="277" y="15"/>
                                </a:lnTo>
                                <a:lnTo>
                                  <a:pt x="337" y="15"/>
                                </a:lnTo>
                                <a:lnTo>
                                  <a:pt x="337" y="0"/>
                                </a:lnTo>
                                <a:moveTo>
                                  <a:pt x="435" y="9366"/>
                                </a:moveTo>
                                <a:lnTo>
                                  <a:pt x="375" y="9366"/>
                                </a:lnTo>
                                <a:lnTo>
                                  <a:pt x="375" y="9381"/>
                                </a:lnTo>
                                <a:lnTo>
                                  <a:pt x="435" y="9381"/>
                                </a:lnTo>
                                <a:lnTo>
                                  <a:pt x="435" y="9366"/>
                                </a:lnTo>
                                <a:moveTo>
                                  <a:pt x="438" y="12530"/>
                                </a:moveTo>
                                <a:lnTo>
                                  <a:pt x="378" y="12530"/>
                                </a:lnTo>
                                <a:lnTo>
                                  <a:pt x="378" y="12545"/>
                                </a:lnTo>
                                <a:lnTo>
                                  <a:pt x="438" y="12545"/>
                                </a:lnTo>
                                <a:lnTo>
                                  <a:pt x="438" y="12530"/>
                                </a:lnTo>
                                <a:moveTo>
                                  <a:pt x="442" y="0"/>
                                </a:moveTo>
                                <a:lnTo>
                                  <a:pt x="382" y="0"/>
                                </a:lnTo>
                                <a:lnTo>
                                  <a:pt x="382" y="15"/>
                                </a:lnTo>
                                <a:lnTo>
                                  <a:pt x="442" y="15"/>
                                </a:lnTo>
                                <a:lnTo>
                                  <a:pt x="442" y="0"/>
                                </a:lnTo>
                                <a:moveTo>
                                  <a:pt x="540" y="9366"/>
                                </a:moveTo>
                                <a:lnTo>
                                  <a:pt x="480" y="9366"/>
                                </a:lnTo>
                                <a:lnTo>
                                  <a:pt x="480" y="9381"/>
                                </a:lnTo>
                                <a:lnTo>
                                  <a:pt x="540" y="9381"/>
                                </a:lnTo>
                                <a:lnTo>
                                  <a:pt x="540" y="9366"/>
                                </a:lnTo>
                                <a:moveTo>
                                  <a:pt x="543" y="12530"/>
                                </a:moveTo>
                                <a:lnTo>
                                  <a:pt x="483" y="12530"/>
                                </a:lnTo>
                                <a:lnTo>
                                  <a:pt x="483" y="12545"/>
                                </a:lnTo>
                                <a:lnTo>
                                  <a:pt x="543" y="12545"/>
                                </a:lnTo>
                                <a:lnTo>
                                  <a:pt x="543" y="12530"/>
                                </a:lnTo>
                                <a:moveTo>
                                  <a:pt x="547" y="0"/>
                                </a:moveTo>
                                <a:lnTo>
                                  <a:pt x="487" y="0"/>
                                </a:lnTo>
                                <a:lnTo>
                                  <a:pt x="487" y="15"/>
                                </a:lnTo>
                                <a:lnTo>
                                  <a:pt x="547" y="15"/>
                                </a:lnTo>
                                <a:lnTo>
                                  <a:pt x="547" y="0"/>
                                </a:lnTo>
                                <a:moveTo>
                                  <a:pt x="645" y="9366"/>
                                </a:moveTo>
                                <a:lnTo>
                                  <a:pt x="585" y="9366"/>
                                </a:lnTo>
                                <a:lnTo>
                                  <a:pt x="585" y="9381"/>
                                </a:lnTo>
                                <a:lnTo>
                                  <a:pt x="645" y="9381"/>
                                </a:lnTo>
                                <a:lnTo>
                                  <a:pt x="645" y="9366"/>
                                </a:lnTo>
                                <a:moveTo>
                                  <a:pt x="648" y="12530"/>
                                </a:moveTo>
                                <a:lnTo>
                                  <a:pt x="588" y="12530"/>
                                </a:lnTo>
                                <a:lnTo>
                                  <a:pt x="588" y="12545"/>
                                </a:lnTo>
                                <a:lnTo>
                                  <a:pt x="648" y="12545"/>
                                </a:lnTo>
                                <a:lnTo>
                                  <a:pt x="648" y="12530"/>
                                </a:lnTo>
                                <a:moveTo>
                                  <a:pt x="652" y="0"/>
                                </a:moveTo>
                                <a:lnTo>
                                  <a:pt x="592" y="0"/>
                                </a:lnTo>
                                <a:lnTo>
                                  <a:pt x="592" y="15"/>
                                </a:lnTo>
                                <a:lnTo>
                                  <a:pt x="652" y="15"/>
                                </a:lnTo>
                                <a:lnTo>
                                  <a:pt x="652" y="0"/>
                                </a:lnTo>
                                <a:moveTo>
                                  <a:pt x="750" y="9366"/>
                                </a:moveTo>
                                <a:lnTo>
                                  <a:pt x="690" y="9366"/>
                                </a:lnTo>
                                <a:lnTo>
                                  <a:pt x="690" y="9381"/>
                                </a:lnTo>
                                <a:lnTo>
                                  <a:pt x="750" y="9381"/>
                                </a:lnTo>
                                <a:lnTo>
                                  <a:pt x="750" y="9366"/>
                                </a:lnTo>
                                <a:moveTo>
                                  <a:pt x="753" y="12530"/>
                                </a:moveTo>
                                <a:lnTo>
                                  <a:pt x="693" y="12530"/>
                                </a:lnTo>
                                <a:lnTo>
                                  <a:pt x="693" y="12545"/>
                                </a:lnTo>
                                <a:lnTo>
                                  <a:pt x="753" y="12545"/>
                                </a:lnTo>
                                <a:lnTo>
                                  <a:pt x="753" y="12530"/>
                                </a:lnTo>
                                <a:moveTo>
                                  <a:pt x="757" y="0"/>
                                </a:moveTo>
                                <a:lnTo>
                                  <a:pt x="697" y="0"/>
                                </a:lnTo>
                                <a:lnTo>
                                  <a:pt x="697" y="15"/>
                                </a:lnTo>
                                <a:lnTo>
                                  <a:pt x="757" y="15"/>
                                </a:lnTo>
                                <a:lnTo>
                                  <a:pt x="757" y="0"/>
                                </a:lnTo>
                                <a:moveTo>
                                  <a:pt x="855" y="9366"/>
                                </a:moveTo>
                                <a:lnTo>
                                  <a:pt x="795" y="9366"/>
                                </a:lnTo>
                                <a:lnTo>
                                  <a:pt x="795" y="9381"/>
                                </a:lnTo>
                                <a:lnTo>
                                  <a:pt x="855" y="9381"/>
                                </a:lnTo>
                                <a:lnTo>
                                  <a:pt x="855" y="9366"/>
                                </a:lnTo>
                                <a:moveTo>
                                  <a:pt x="858" y="12530"/>
                                </a:moveTo>
                                <a:lnTo>
                                  <a:pt x="798" y="12530"/>
                                </a:lnTo>
                                <a:lnTo>
                                  <a:pt x="798" y="12545"/>
                                </a:lnTo>
                                <a:lnTo>
                                  <a:pt x="858" y="12545"/>
                                </a:lnTo>
                                <a:lnTo>
                                  <a:pt x="858" y="12530"/>
                                </a:lnTo>
                                <a:moveTo>
                                  <a:pt x="862" y="0"/>
                                </a:moveTo>
                                <a:lnTo>
                                  <a:pt x="802" y="0"/>
                                </a:lnTo>
                                <a:lnTo>
                                  <a:pt x="802" y="15"/>
                                </a:lnTo>
                                <a:lnTo>
                                  <a:pt x="862" y="15"/>
                                </a:lnTo>
                                <a:lnTo>
                                  <a:pt x="862" y="0"/>
                                </a:lnTo>
                                <a:moveTo>
                                  <a:pt x="960" y="9366"/>
                                </a:moveTo>
                                <a:lnTo>
                                  <a:pt x="900" y="9366"/>
                                </a:lnTo>
                                <a:lnTo>
                                  <a:pt x="900" y="9381"/>
                                </a:lnTo>
                                <a:lnTo>
                                  <a:pt x="960" y="9381"/>
                                </a:lnTo>
                                <a:lnTo>
                                  <a:pt x="960" y="9366"/>
                                </a:lnTo>
                                <a:moveTo>
                                  <a:pt x="963" y="12530"/>
                                </a:moveTo>
                                <a:lnTo>
                                  <a:pt x="903" y="12530"/>
                                </a:lnTo>
                                <a:lnTo>
                                  <a:pt x="903" y="12545"/>
                                </a:lnTo>
                                <a:lnTo>
                                  <a:pt x="963" y="12545"/>
                                </a:lnTo>
                                <a:lnTo>
                                  <a:pt x="963" y="12530"/>
                                </a:lnTo>
                                <a:moveTo>
                                  <a:pt x="967" y="0"/>
                                </a:moveTo>
                                <a:lnTo>
                                  <a:pt x="907" y="0"/>
                                </a:lnTo>
                                <a:lnTo>
                                  <a:pt x="907" y="15"/>
                                </a:lnTo>
                                <a:lnTo>
                                  <a:pt x="967" y="15"/>
                                </a:lnTo>
                                <a:lnTo>
                                  <a:pt x="967" y="0"/>
                                </a:lnTo>
                                <a:moveTo>
                                  <a:pt x="1065" y="9366"/>
                                </a:moveTo>
                                <a:lnTo>
                                  <a:pt x="1005" y="9366"/>
                                </a:lnTo>
                                <a:lnTo>
                                  <a:pt x="1005" y="9381"/>
                                </a:lnTo>
                                <a:lnTo>
                                  <a:pt x="1065" y="9381"/>
                                </a:lnTo>
                                <a:lnTo>
                                  <a:pt x="1065" y="9366"/>
                                </a:lnTo>
                                <a:moveTo>
                                  <a:pt x="1068" y="12530"/>
                                </a:moveTo>
                                <a:lnTo>
                                  <a:pt x="1008" y="12530"/>
                                </a:lnTo>
                                <a:lnTo>
                                  <a:pt x="1008" y="12545"/>
                                </a:lnTo>
                                <a:lnTo>
                                  <a:pt x="1068" y="12545"/>
                                </a:lnTo>
                                <a:lnTo>
                                  <a:pt x="1068" y="12530"/>
                                </a:lnTo>
                                <a:moveTo>
                                  <a:pt x="1072" y="0"/>
                                </a:moveTo>
                                <a:lnTo>
                                  <a:pt x="1012" y="0"/>
                                </a:lnTo>
                                <a:lnTo>
                                  <a:pt x="1012" y="15"/>
                                </a:lnTo>
                                <a:lnTo>
                                  <a:pt x="1072" y="15"/>
                                </a:lnTo>
                                <a:lnTo>
                                  <a:pt x="1072" y="0"/>
                                </a:lnTo>
                                <a:moveTo>
                                  <a:pt x="1170" y="9366"/>
                                </a:moveTo>
                                <a:lnTo>
                                  <a:pt x="1110" y="9366"/>
                                </a:lnTo>
                                <a:lnTo>
                                  <a:pt x="1110" y="9381"/>
                                </a:lnTo>
                                <a:lnTo>
                                  <a:pt x="1170" y="9381"/>
                                </a:lnTo>
                                <a:lnTo>
                                  <a:pt x="1170" y="9366"/>
                                </a:lnTo>
                                <a:moveTo>
                                  <a:pt x="1173" y="12530"/>
                                </a:moveTo>
                                <a:lnTo>
                                  <a:pt x="1113" y="12530"/>
                                </a:lnTo>
                                <a:lnTo>
                                  <a:pt x="1113" y="12545"/>
                                </a:lnTo>
                                <a:lnTo>
                                  <a:pt x="1173" y="12545"/>
                                </a:lnTo>
                                <a:lnTo>
                                  <a:pt x="1173" y="12530"/>
                                </a:lnTo>
                                <a:moveTo>
                                  <a:pt x="1177" y="0"/>
                                </a:moveTo>
                                <a:lnTo>
                                  <a:pt x="1117" y="0"/>
                                </a:lnTo>
                                <a:lnTo>
                                  <a:pt x="1117" y="15"/>
                                </a:lnTo>
                                <a:lnTo>
                                  <a:pt x="1177" y="15"/>
                                </a:lnTo>
                                <a:lnTo>
                                  <a:pt x="1177" y="0"/>
                                </a:lnTo>
                                <a:moveTo>
                                  <a:pt x="1275" y="9366"/>
                                </a:moveTo>
                                <a:lnTo>
                                  <a:pt x="1215" y="9366"/>
                                </a:lnTo>
                                <a:lnTo>
                                  <a:pt x="1215" y="9381"/>
                                </a:lnTo>
                                <a:lnTo>
                                  <a:pt x="1275" y="9381"/>
                                </a:lnTo>
                                <a:lnTo>
                                  <a:pt x="1275" y="9366"/>
                                </a:lnTo>
                                <a:moveTo>
                                  <a:pt x="1278" y="12530"/>
                                </a:moveTo>
                                <a:lnTo>
                                  <a:pt x="1218" y="12530"/>
                                </a:lnTo>
                                <a:lnTo>
                                  <a:pt x="1218" y="12545"/>
                                </a:lnTo>
                                <a:lnTo>
                                  <a:pt x="1278" y="12545"/>
                                </a:lnTo>
                                <a:lnTo>
                                  <a:pt x="1278" y="12530"/>
                                </a:lnTo>
                                <a:moveTo>
                                  <a:pt x="1282" y="0"/>
                                </a:moveTo>
                                <a:lnTo>
                                  <a:pt x="1222" y="0"/>
                                </a:lnTo>
                                <a:lnTo>
                                  <a:pt x="1222" y="15"/>
                                </a:lnTo>
                                <a:lnTo>
                                  <a:pt x="1282" y="15"/>
                                </a:lnTo>
                                <a:lnTo>
                                  <a:pt x="1282" y="0"/>
                                </a:lnTo>
                                <a:moveTo>
                                  <a:pt x="1380" y="9366"/>
                                </a:moveTo>
                                <a:lnTo>
                                  <a:pt x="1320" y="9366"/>
                                </a:lnTo>
                                <a:lnTo>
                                  <a:pt x="1320" y="9381"/>
                                </a:lnTo>
                                <a:lnTo>
                                  <a:pt x="1380" y="9381"/>
                                </a:lnTo>
                                <a:lnTo>
                                  <a:pt x="1380" y="9366"/>
                                </a:lnTo>
                                <a:moveTo>
                                  <a:pt x="1383" y="12530"/>
                                </a:moveTo>
                                <a:lnTo>
                                  <a:pt x="1323" y="12530"/>
                                </a:lnTo>
                                <a:lnTo>
                                  <a:pt x="1323" y="12545"/>
                                </a:lnTo>
                                <a:lnTo>
                                  <a:pt x="1383" y="12545"/>
                                </a:lnTo>
                                <a:lnTo>
                                  <a:pt x="1383" y="12530"/>
                                </a:lnTo>
                                <a:moveTo>
                                  <a:pt x="1387" y="0"/>
                                </a:moveTo>
                                <a:lnTo>
                                  <a:pt x="1327" y="0"/>
                                </a:lnTo>
                                <a:lnTo>
                                  <a:pt x="1327" y="15"/>
                                </a:lnTo>
                                <a:lnTo>
                                  <a:pt x="1387" y="15"/>
                                </a:lnTo>
                                <a:lnTo>
                                  <a:pt x="1387" y="0"/>
                                </a:lnTo>
                                <a:moveTo>
                                  <a:pt x="1485" y="9366"/>
                                </a:moveTo>
                                <a:lnTo>
                                  <a:pt x="1425" y="9366"/>
                                </a:lnTo>
                                <a:lnTo>
                                  <a:pt x="1425" y="9381"/>
                                </a:lnTo>
                                <a:lnTo>
                                  <a:pt x="1485" y="9381"/>
                                </a:lnTo>
                                <a:lnTo>
                                  <a:pt x="1485" y="9366"/>
                                </a:lnTo>
                                <a:moveTo>
                                  <a:pt x="1488" y="12530"/>
                                </a:moveTo>
                                <a:lnTo>
                                  <a:pt x="1428" y="12530"/>
                                </a:lnTo>
                                <a:lnTo>
                                  <a:pt x="1428" y="12545"/>
                                </a:lnTo>
                                <a:lnTo>
                                  <a:pt x="1488" y="12545"/>
                                </a:lnTo>
                                <a:lnTo>
                                  <a:pt x="1488" y="12530"/>
                                </a:lnTo>
                                <a:moveTo>
                                  <a:pt x="1492" y="0"/>
                                </a:moveTo>
                                <a:lnTo>
                                  <a:pt x="1432" y="0"/>
                                </a:lnTo>
                                <a:lnTo>
                                  <a:pt x="1432" y="15"/>
                                </a:lnTo>
                                <a:lnTo>
                                  <a:pt x="1492" y="15"/>
                                </a:lnTo>
                                <a:lnTo>
                                  <a:pt x="1492" y="0"/>
                                </a:lnTo>
                                <a:moveTo>
                                  <a:pt x="1590" y="9366"/>
                                </a:moveTo>
                                <a:lnTo>
                                  <a:pt x="1530" y="9366"/>
                                </a:lnTo>
                                <a:lnTo>
                                  <a:pt x="1530" y="9381"/>
                                </a:lnTo>
                                <a:lnTo>
                                  <a:pt x="1590" y="9381"/>
                                </a:lnTo>
                                <a:lnTo>
                                  <a:pt x="1590" y="9366"/>
                                </a:lnTo>
                                <a:moveTo>
                                  <a:pt x="1593" y="12530"/>
                                </a:moveTo>
                                <a:lnTo>
                                  <a:pt x="1533" y="12530"/>
                                </a:lnTo>
                                <a:lnTo>
                                  <a:pt x="1533" y="12545"/>
                                </a:lnTo>
                                <a:lnTo>
                                  <a:pt x="1593" y="12545"/>
                                </a:lnTo>
                                <a:lnTo>
                                  <a:pt x="1593" y="12530"/>
                                </a:lnTo>
                                <a:moveTo>
                                  <a:pt x="1597" y="0"/>
                                </a:moveTo>
                                <a:lnTo>
                                  <a:pt x="1537" y="0"/>
                                </a:lnTo>
                                <a:lnTo>
                                  <a:pt x="1537" y="15"/>
                                </a:lnTo>
                                <a:lnTo>
                                  <a:pt x="1597" y="15"/>
                                </a:lnTo>
                                <a:lnTo>
                                  <a:pt x="1597" y="0"/>
                                </a:lnTo>
                                <a:moveTo>
                                  <a:pt x="1695" y="9366"/>
                                </a:moveTo>
                                <a:lnTo>
                                  <a:pt x="1635" y="9366"/>
                                </a:lnTo>
                                <a:lnTo>
                                  <a:pt x="1635" y="9381"/>
                                </a:lnTo>
                                <a:lnTo>
                                  <a:pt x="1695" y="9381"/>
                                </a:lnTo>
                                <a:lnTo>
                                  <a:pt x="1695" y="9366"/>
                                </a:lnTo>
                                <a:moveTo>
                                  <a:pt x="1698" y="12530"/>
                                </a:moveTo>
                                <a:lnTo>
                                  <a:pt x="1638" y="12530"/>
                                </a:lnTo>
                                <a:lnTo>
                                  <a:pt x="1638" y="12545"/>
                                </a:lnTo>
                                <a:lnTo>
                                  <a:pt x="1698" y="12545"/>
                                </a:lnTo>
                                <a:lnTo>
                                  <a:pt x="1698" y="12530"/>
                                </a:lnTo>
                                <a:moveTo>
                                  <a:pt x="1702" y="0"/>
                                </a:moveTo>
                                <a:lnTo>
                                  <a:pt x="1642" y="0"/>
                                </a:lnTo>
                                <a:lnTo>
                                  <a:pt x="1642" y="15"/>
                                </a:lnTo>
                                <a:lnTo>
                                  <a:pt x="1702" y="15"/>
                                </a:lnTo>
                                <a:lnTo>
                                  <a:pt x="1702" y="0"/>
                                </a:lnTo>
                                <a:moveTo>
                                  <a:pt x="1800" y="9366"/>
                                </a:moveTo>
                                <a:lnTo>
                                  <a:pt x="1740" y="9366"/>
                                </a:lnTo>
                                <a:lnTo>
                                  <a:pt x="1740" y="9381"/>
                                </a:lnTo>
                                <a:lnTo>
                                  <a:pt x="1800" y="9381"/>
                                </a:lnTo>
                                <a:lnTo>
                                  <a:pt x="1800" y="9366"/>
                                </a:lnTo>
                                <a:moveTo>
                                  <a:pt x="1803" y="12530"/>
                                </a:moveTo>
                                <a:lnTo>
                                  <a:pt x="1743" y="12530"/>
                                </a:lnTo>
                                <a:lnTo>
                                  <a:pt x="1743" y="12545"/>
                                </a:lnTo>
                                <a:lnTo>
                                  <a:pt x="1803" y="12545"/>
                                </a:lnTo>
                                <a:lnTo>
                                  <a:pt x="1803" y="12530"/>
                                </a:lnTo>
                                <a:moveTo>
                                  <a:pt x="1807" y="0"/>
                                </a:moveTo>
                                <a:lnTo>
                                  <a:pt x="1747" y="0"/>
                                </a:lnTo>
                                <a:lnTo>
                                  <a:pt x="1747" y="15"/>
                                </a:lnTo>
                                <a:lnTo>
                                  <a:pt x="1807" y="15"/>
                                </a:lnTo>
                                <a:lnTo>
                                  <a:pt x="1807" y="0"/>
                                </a:lnTo>
                                <a:moveTo>
                                  <a:pt x="1905" y="9366"/>
                                </a:moveTo>
                                <a:lnTo>
                                  <a:pt x="1845" y="9366"/>
                                </a:lnTo>
                                <a:lnTo>
                                  <a:pt x="1845" y="9381"/>
                                </a:lnTo>
                                <a:lnTo>
                                  <a:pt x="1905" y="9381"/>
                                </a:lnTo>
                                <a:lnTo>
                                  <a:pt x="1905" y="9366"/>
                                </a:lnTo>
                                <a:moveTo>
                                  <a:pt x="1908" y="12530"/>
                                </a:moveTo>
                                <a:lnTo>
                                  <a:pt x="1848" y="12530"/>
                                </a:lnTo>
                                <a:lnTo>
                                  <a:pt x="1848" y="12545"/>
                                </a:lnTo>
                                <a:lnTo>
                                  <a:pt x="1908" y="12545"/>
                                </a:lnTo>
                                <a:lnTo>
                                  <a:pt x="1908" y="12530"/>
                                </a:lnTo>
                                <a:moveTo>
                                  <a:pt x="1912" y="0"/>
                                </a:moveTo>
                                <a:lnTo>
                                  <a:pt x="1852" y="0"/>
                                </a:lnTo>
                                <a:lnTo>
                                  <a:pt x="1852" y="15"/>
                                </a:lnTo>
                                <a:lnTo>
                                  <a:pt x="1912" y="15"/>
                                </a:lnTo>
                                <a:lnTo>
                                  <a:pt x="1912" y="0"/>
                                </a:lnTo>
                                <a:moveTo>
                                  <a:pt x="2010" y="9366"/>
                                </a:moveTo>
                                <a:lnTo>
                                  <a:pt x="1950" y="9366"/>
                                </a:lnTo>
                                <a:lnTo>
                                  <a:pt x="1950" y="9381"/>
                                </a:lnTo>
                                <a:lnTo>
                                  <a:pt x="2010" y="9381"/>
                                </a:lnTo>
                                <a:lnTo>
                                  <a:pt x="2010" y="9366"/>
                                </a:lnTo>
                                <a:moveTo>
                                  <a:pt x="2013" y="12530"/>
                                </a:moveTo>
                                <a:lnTo>
                                  <a:pt x="1953" y="12530"/>
                                </a:lnTo>
                                <a:lnTo>
                                  <a:pt x="1953" y="12545"/>
                                </a:lnTo>
                                <a:lnTo>
                                  <a:pt x="2013" y="12545"/>
                                </a:lnTo>
                                <a:lnTo>
                                  <a:pt x="2013" y="12530"/>
                                </a:lnTo>
                                <a:moveTo>
                                  <a:pt x="2017" y="0"/>
                                </a:moveTo>
                                <a:lnTo>
                                  <a:pt x="1957" y="0"/>
                                </a:lnTo>
                                <a:lnTo>
                                  <a:pt x="1957" y="15"/>
                                </a:lnTo>
                                <a:lnTo>
                                  <a:pt x="2017" y="15"/>
                                </a:lnTo>
                                <a:lnTo>
                                  <a:pt x="2017" y="0"/>
                                </a:lnTo>
                                <a:moveTo>
                                  <a:pt x="2115" y="9366"/>
                                </a:moveTo>
                                <a:lnTo>
                                  <a:pt x="2055" y="9366"/>
                                </a:lnTo>
                                <a:lnTo>
                                  <a:pt x="2055" y="9381"/>
                                </a:lnTo>
                                <a:lnTo>
                                  <a:pt x="2115" y="9381"/>
                                </a:lnTo>
                                <a:lnTo>
                                  <a:pt x="2115" y="9366"/>
                                </a:lnTo>
                                <a:moveTo>
                                  <a:pt x="2118" y="12530"/>
                                </a:moveTo>
                                <a:lnTo>
                                  <a:pt x="2058" y="12530"/>
                                </a:lnTo>
                                <a:lnTo>
                                  <a:pt x="2058" y="12545"/>
                                </a:lnTo>
                                <a:lnTo>
                                  <a:pt x="2118" y="12545"/>
                                </a:lnTo>
                                <a:lnTo>
                                  <a:pt x="2118" y="12530"/>
                                </a:lnTo>
                                <a:moveTo>
                                  <a:pt x="2122" y="0"/>
                                </a:moveTo>
                                <a:lnTo>
                                  <a:pt x="2062" y="0"/>
                                </a:lnTo>
                                <a:lnTo>
                                  <a:pt x="2062" y="15"/>
                                </a:lnTo>
                                <a:lnTo>
                                  <a:pt x="2122" y="15"/>
                                </a:lnTo>
                                <a:lnTo>
                                  <a:pt x="2122" y="0"/>
                                </a:lnTo>
                                <a:moveTo>
                                  <a:pt x="2220" y="9366"/>
                                </a:moveTo>
                                <a:lnTo>
                                  <a:pt x="2160" y="9366"/>
                                </a:lnTo>
                                <a:lnTo>
                                  <a:pt x="2160" y="9381"/>
                                </a:lnTo>
                                <a:lnTo>
                                  <a:pt x="2220" y="9381"/>
                                </a:lnTo>
                                <a:lnTo>
                                  <a:pt x="2220" y="9366"/>
                                </a:lnTo>
                                <a:moveTo>
                                  <a:pt x="2223" y="12530"/>
                                </a:moveTo>
                                <a:lnTo>
                                  <a:pt x="2163" y="12530"/>
                                </a:lnTo>
                                <a:lnTo>
                                  <a:pt x="2163" y="12545"/>
                                </a:lnTo>
                                <a:lnTo>
                                  <a:pt x="2223" y="12545"/>
                                </a:lnTo>
                                <a:lnTo>
                                  <a:pt x="2223" y="12530"/>
                                </a:lnTo>
                                <a:moveTo>
                                  <a:pt x="2227" y="0"/>
                                </a:moveTo>
                                <a:lnTo>
                                  <a:pt x="2167" y="0"/>
                                </a:lnTo>
                                <a:lnTo>
                                  <a:pt x="2167" y="15"/>
                                </a:lnTo>
                                <a:lnTo>
                                  <a:pt x="2227" y="15"/>
                                </a:lnTo>
                                <a:lnTo>
                                  <a:pt x="2227" y="0"/>
                                </a:lnTo>
                                <a:moveTo>
                                  <a:pt x="2325" y="9366"/>
                                </a:moveTo>
                                <a:lnTo>
                                  <a:pt x="2265" y="9366"/>
                                </a:lnTo>
                                <a:lnTo>
                                  <a:pt x="2265" y="9381"/>
                                </a:lnTo>
                                <a:lnTo>
                                  <a:pt x="2325" y="9381"/>
                                </a:lnTo>
                                <a:lnTo>
                                  <a:pt x="2325" y="9366"/>
                                </a:lnTo>
                                <a:moveTo>
                                  <a:pt x="2328" y="12530"/>
                                </a:moveTo>
                                <a:lnTo>
                                  <a:pt x="2268" y="12530"/>
                                </a:lnTo>
                                <a:lnTo>
                                  <a:pt x="2268" y="12545"/>
                                </a:lnTo>
                                <a:lnTo>
                                  <a:pt x="2328" y="12545"/>
                                </a:lnTo>
                                <a:lnTo>
                                  <a:pt x="2328" y="12530"/>
                                </a:lnTo>
                                <a:moveTo>
                                  <a:pt x="2332" y="0"/>
                                </a:moveTo>
                                <a:lnTo>
                                  <a:pt x="2272" y="0"/>
                                </a:lnTo>
                                <a:lnTo>
                                  <a:pt x="2272" y="15"/>
                                </a:lnTo>
                                <a:lnTo>
                                  <a:pt x="2332" y="15"/>
                                </a:lnTo>
                                <a:lnTo>
                                  <a:pt x="2332" y="0"/>
                                </a:lnTo>
                                <a:moveTo>
                                  <a:pt x="2430" y="9366"/>
                                </a:moveTo>
                                <a:lnTo>
                                  <a:pt x="2370" y="9366"/>
                                </a:lnTo>
                                <a:lnTo>
                                  <a:pt x="2370" y="9381"/>
                                </a:lnTo>
                                <a:lnTo>
                                  <a:pt x="2430" y="9381"/>
                                </a:lnTo>
                                <a:lnTo>
                                  <a:pt x="2430" y="9366"/>
                                </a:lnTo>
                                <a:moveTo>
                                  <a:pt x="2433" y="12530"/>
                                </a:moveTo>
                                <a:lnTo>
                                  <a:pt x="2373" y="12530"/>
                                </a:lnTo>
                                <a:lnTo>
                                  <a:pt x="2373" y="12545"/>
                                </a:lnTo>
                                <a:lnTo>
                                  <a:pt x="2433" y="12545"/>
                                </a:lnTo>
                                <a:lnTo>
                                  <a:pt x="2433" y="12530"/>
                                </a:lnTo>
                                <a:moveTo>
                                  <a:pt x="2437" y="0"/>
                                </a:moveTo>
                                <a:lnTo>
                                  <a:pt x="2377" y="0"/>
                                </a:lnTo>
                                <a:lnTo>
                                  <a:pt x="2377" y="15"/>
                                </a:lnTo>
                                <a:lnTo>
                                  <a:pt x="2437" y="15"/>
                                </a:lnTo>
                                <a:lnTo>
                                  <a:pt x="2437" y="0"/>
                                </a:lnTo>
                                <a:moveTo>
                                  <a:pt x="2535" y="9366"/>
                                </a:moveTo>
                                <a:lnTo>
                                  <a:pt x="2475" y="9366"/>
                                </a:lnTo>
                                <a:lnTo>
                                  <a:pt x="2475" y="9381"/>
                                </a:lnTo>
                                <a:lnTo>
                                  <a:pt x="2535" y="9381"/>
                                </a:lnTo>
                                <a:lnTo>
                                  <a:pt x="2535" y="9366"/>
                                </a:lnTo>
                                <a:moveTo>
                                  <a:pt x="2538" y="12530"/>
                                </a:moveTo>
                                <a:lnTo>
                                  <a:pt x="2478" y="12530"/>
                                </a:lnTo>
                                <a:lnTo>
                                  <a:pt x="2478" y="12545"/>
                                </a:lnTo>
                                <a:lnTo>
                                  <a:pt x="2538" y="12545"/>
                                </a:lnTo>
                                <a:lnTo>
                                  <a:pt x="2538" y="12530"/>
                                </a:lnTo>
                                <a:moveTo>
                                  <a:pt x="2542" y="0"/>
                                </a:moveTo>
                                <a:lnTo>
                                  <a:pt x="2482" y="0"/>
                                </a:lnTo>
                                <a:lnTo>
                                  <a:pt x="2482" y="15"/>
                                </a:lnTo>
                                <a:lnTo>
                                  <a:pt x="2542" y="15"/>
                                </a:lnTo>
                                <a:lnTo>
                                  <a:pt x="2542" y="0"/>
                                </a:lnTo>
                                <a:moveTo>
                                  <a:pt x="2640" y="9366"/>
                                </a:moveTo>
                                <a:lnTo>
                                  <a:pt x="2580" y="9366"/>
                                </a:lnTo>
                                <a:lnTo>
                                  <a:pt x="2580" y="9381"/>
                                </a:lnTo>
                                <a:lnTo>
                                  <a:pt x="2640" y="9381"/>
                                </a:lnTo>
                                <a:lnTo>
                                  <a:pt x="2640" y="9366"/>
                                </a:lnTo>
                                <a:moveTo>
                                  <a:pt x="2643" y="12530"/>
                                </a:moveTo>
                                <a:lnTo>
                                  <a:pt x="2583" y="12530"/>
                                </a:lnTo>
                                <a:lnTo>
                                  <a:pt x="2583" y="12545"/>
                                </a:lnTo>
                                <a:lnTo>
                                  <a:pt x="2643" y="12545"/>
                                </a:lnTo>
                                <a:lnTo>
                                  <a:pt x="2643" y="12530"/>
                                </a:lnTo>
                                <a:moveTo>
                                  <a:pt x="2647" y="0"/>
                                </a:moveTo>
                                <a:lnTo>
                                  <a:pt x="2587" y="0"/>
                                </a:lnTo>
                                <a:lnTo>
                                  <a:pt x="2587" y="15"/>
                                </a:lnTo>
                                <a:lnTo>
                                  <a:pt x="2647" y="15"/>
                                </a:lnTo>
                                <a:lnTo>
                                  <a:pt x="2647" y="0"/>
                                </a:lnTo>
                                <a:moveTo>
                                  <a:pt x="2745" y="9366"/>
                                </a:moveTo>
                                <a:lnTo>
                                  <a:pt x="2685" y="9366"/>
                                </a:lnTo>
                                <a:lnTo>
                                  <a:pt x="2685" y="9381"/>
                                </a:lnTo>
                                <a:lnTo>
                                  <a:pt x="2745" y="9381"/>
                                </a:lnTo>
                                <a:lnTo>
                                  <a:pt x="2745" y="9366"/>
                                </a:lnTo>
                                <a:moveTo>
                                  <a:pt x="2748" y="12530"/>
                                </a:moveTo>
                                <a:lnTo>
                                  <a:pt x="2688" y="12530"/>
                                </a:lnTo>
                                <a:lnTo>
                                  <a:pt x="2688" y="12545"/>
                                </a:lnTo>
                                <a:lnTo>
                                  <a:pt x="2748" y="12545"/>
                                </a:lnTo>
                                <a:lnTo>
                                  <a:pt x="2748" y="12530"/>
                                </a:lnTo>
                                <a:moveTo>
                                  <a:pt x="2752" y="0"/>
                                </a:moveTo>
                                <a:lnTo>
                                  <a:pt x="2692" y="0"/>
                                </a:lnTo>
                                <a:lnTo>
                                  <a:pt x="2692" y="15"/>
                                </a:lnTo>
                                <a:lnTo>
                                  <a:pt x="2752" y="15"/>
                                </a:lnTo>
                                <a:lnTo>
                                  <a:pt x="2752" y="0"/>
                                </a:lnTo>
                                <a:moveTo>
                                  <a:pt x="2850" y="9367"/>
                                </a:moveTo>
                                <a:lnTo>
                                  <a:pt x="2790" y="9366"/>
                                </a:lnTo>
                                <a:lnTo>
                                  <a:pt x="2790" y="9381"/>
                                </a:lnTo>
                                <a:lnTo>
                                  <a:pt x="2850" y="9382"/>
                                </a:lnTo>
                                <a:lnTo>
                                  <a:pt x="2850" y="9367"/>
                                </a:lnTo>
                                <a:moveTo>
                                  <a:pt x="2853" y="12530"/>
                                </a:moveTo>
                                <a:lnTo>
                                  <a:pt x="2793" y="12530"/>
                                </a:lnTo>
                                <a:lnTo>
                                  <a:pt x="2793" y="12545"/>
                                </a:lnTo>
                                <a:lnTo>
                                  <a:pt x="2853" y="12545"/>
                                </a:lnTo>
                                <a:lnTo>
                                  <a:pt x="2853" y="12530"/>
                                </a:lnTo>
                                <a:moveTo>
                                  <a:pt x="2857" y="0"/>
                                </a:moveTo>
                                <a:lnTo>
                                  <a:pt x="2797" y="0"/>
                                </a:lnTo>
                                <a:lnTo>
                                  <a:pt x="2797" y="15"/>
                                </a:lnTo>
                                <a:lnTo>
                                  <a:pt x="2857" y="15"/>
                                </a:lnTo>
                                <a:lnTo>
                                  <a:pt x="2857" y="0"/>
                                </a:lnTo>
                                <a:moveTo>
                                  <a:pt x="2955" y="9367"/>
                                </a:moveTo>
                                <a:lnTo>
                                  <a:pt x="2895" y="9367"/>
                                </a:lnTo>
                                <a:lnTo>
                                  <a:pt x="2895" y="9382"/>
                                </a:lnTo>
                                <a:lnTo>
                                  <a:pt x="2955" y="9382"/>
                                </a:lnTo>
                                <a:lnTo>
                                  <a:pt x="2955" y="9367"/>
                                </a:lnTo>
                                <a:moveTo>
                                  <a:pt x="2958" y="12530"/>
                                </a:moveTo>
                                <a:lnTo>
                                  <a:pt x="2898" y="12530"/>
                                </a:lnTo>
                                <a:lnTo>
                                  <a:pt x="2898" y="12545"/>
                                </a:lnTo>
                                <a:lnTo>
                                  <a:pt x="2958" y="12545"/>
                                </a:lnTo>
                                <a:lnTo>
                                  <a:pt x="2958" y="12530"/>
                                </a:lnTo>
                                <a:moveTo>
                                  <a:pt x="2962" y="0"/>
                                </a:moveTo>
                                <a:lnTo>
                                  <a:pt x="2902" y="0"/>
                                </a:lnTo>
                                <a:lnTo>
                                  <a:pt x="2902" y="15"/>
                                </a:lnTo>
                                <a:lnTo>
                                  <a:pt x="2962" y="15"/>
                                </a:lnTo>
                                <a:lnTo>
                                  <a:pt x="2962" y="0"/>
                                </a:lnTo>
                                <a:moveTo>
                                  <a:pt x="3060" y="9367"/>
                                </a:moveTo>
                                <a:lnTo>
                                  <a:pt x="3000" y="9367"/>
                                </a:lnTo>
                                <a:lnTo>
                                  <a:pt x="3000" y="9382"/>
                                </a:lnTo>
                                <a:lnTo>
                                  <a:pt x="3060" y="9382"/>
                                </a:lnTo>
                                <a:lnTo>
                                  <a:pt x="3060" y="9367"/>
                                </a:lnTo>
                                <a:moveTo>
                                  <a:pt x="3063" y="12530"/>
                                </a:moveTo>
                                <a:lnTo>
                                  <a:pt x="3003" y="12530"/>
                                </a:lnTo>
                                <a:lnTo>
                                  <a:pt x="3003" y="12545"/>
                                </a:lnTo>
                                <a:lnTo>
                                  <a:pt x="3063" y="12545"/>
                                </a:lnTo>
                                <a:lnTo>
                                  <a:pt x="3063" y="12530"/>
                                </a:lnTo>
                                <a:moveTo>
                                  <a:pt x="3067" y="0"/>
                                </a:moveTo>
                                <a:lnTo>
                                  <a:pt x="3007" y="0"/>
                                </a:lnTo>
                                <a:lnTo>
                                  <a:pt x="3007" y="15"/>
                                </a:lnTo>
                                <a:lnTo>
                                  <a:pt x="3067" y="15"/>
                                </a:lnTo>
                                <a:lnTo>
                                  <a:pt x="3067" y="0"/>
                                </a:lnTo>
                                <a:moveTo>
                                  <a:pt x="3165" y="9367"/>
                                </a:moveTo>
                                <a:lnTo>
                                  <a:pt x="3105" y="9367"/>
                                </a:lnTo>
                                <a:lnTo>
                                  <a:pt x="3105" y="9382"/>
                                </a:lnTo>
                                <a:lnTo>
                                  <a:pt x="3165" y="9382"/>
                                </a:lnTo>
                                <a:lnTo>
                                  <a:pt x="3165" y="9367"/>
                                </a:lnTo>
                                <a:moveTo>
                                  <a:pt x="3168" y="12530"/>
                                </a:moveTo>
                                <a:lnTo>
                                  <a:pt x="3108" y="12530"/>
                                </a:lnTo>
                                <a:lnTo>
                                  <a:pt x="3108" y="12545"/>
                                </a:lnTo>
                                <a:lnTo>
                                  <a:pt x="3168" y="12545"/>
                                </a:lnTo>
                                <a:lnTo>
                                  <a:pt x="3168" y="12530"/>
                                </a:lnTo>
                                <a:moveTo>
                                  <a:pt x="3172" y="0"/>
                                </a:moveTo>
                                <a:lnTo>
                                  <a:pt x="3112" y="0"/>
                                </a:lnTo>
                                <a:lnTo>
                                  <a:pt x="3112" y="15"/>
                                </a:lnTo>
                                <a:lnTo>
                                  <a:pt x="3172" y="15"/>
                                </a:lnTo>
                                <a:lnTo>
                                  <a:pt x="3172" y="0"/>
                                </a:lnTo>
                                <a:moveTo>
                                  <a:pt x="3270" y="9367"/>
                                </a:moveTo>
                                <a:lnTo>
                                  <a:pt x="3210" y="9367"/>
                                </a:lnTo>
                                <a:lnTo>
                                  <a:pt x="3210" y="9382"/>
                                </a:lnTo>
                                <a:lnTo>
                                  <a:pt x="3270" y="9382"/>
                                </a:lnTo>
                                <a:lnTo>
                                  <a:pt x="3270" y="9367"/>
                                </a:lnTo>
                                <a:moveTo>
                                  <a:pt x="3273" y="12530"/>
                                </a:moveTo>
                                <a:lnTo>
                                  <a:pt x="3213" y="12530"/>
                                </a:lnTo>
                                <a:lnTo>
                                  <a:pt x="3213" y="12545"/>
                                </a:lnTo>
                                <a:lnTo>
                                  <a:pt x="3273" y="12545"/>
                                </a:lnTo>
                                <a:lnTo>
                                  <a:pt x="3273" y="12530"/>
                                </a:lnTo>
                                <a:moveTo>
                                  <a:pt x="3277" y="0"/>
                                </a:moveTo>
                                <a:lnTo>
                                  <a:pt x="3217" y="0"/>
                                </a:lnTo>
                                <a:lnTo>
                                  <a:pt x="3217" y="15"/>
                                </a:lnTo>
                                <a:lnTo>
                                  <a:pt x="3277" y="15"/>
                                </a:lnTo>
                                <a:lnTo>
                                  <a:pt x="3277" y="0"/>
                                </a:lnTo>
                                <a:moveTo>
                                  <a:pt x="3375" y="9367"/>
                                </a:moveTo>
                                <a:lnTo>
                                  <a:pt x="3315" y="9367"/>
                                </a:lnTo>
                                <a:lnTo>
                                  <a:pt x="3315" y="9382"/>
                                </a:lnTo>
                                <a:lnTo>
                                  <a:pt x="3375" y="9382"/>
                                </a:lnTo>
                                <a:lnTo>
                                  <a:pt x="3375" y="9367"/>
                                </a:lnTo>
                                <a:moveTo>
                                  <a:pt x="3378" y="12530"/>
                                </a:moveTo>
                                <a:lnTo>
                                  <a:pt x="3318" y="12530"/>
                                </a:lnTo>
                                <a:lnTo>
                                  <a:pt x="3318" y="12545"/>
                                </a:lnTo>
                                <a:lnTo>
                                  <a:pt x="3378" y="12545"/>
                                </a:lnTo>
                                <a:lnTo>
                                  <a:pt x="3378" y="12530"/>
                                </a:lnTo>
                                <a:moveTo>
                                  <a:pt x="3382" y="0"/>
                                </a:moveTo>
                                <a:lnTo>
                                  <a:pt x="3322" y="0"/>
                                </a:lnTo>
                                <a:lnTo>
                                  <a:pt x="3322" y="15"/>
                                </a:lnTo>
                                <a:lnTo>
                                  <a:pt x="3382" y="15"/>
                                </a:lnTo>
                                <a:lnTo>
                                  <a:pt x="3382" y="0"/>
                                </a:lnTo>
                                <a:moveTo>
                                  <a:pt x="3480" y="9367"/>
                                </a:moveTo>
                                <a:lnTo>
                                  <a:pt x="3420" y="9367"/>
                                </a:lnTo>
                                <a:lnTo>
                                  <a:pt x="3420" y="9382"/>
                                </a:lnTo>
                                <a:lnTo>
                                  <a:pt x="3480" y="9382"/>
                                </a:lnTo>
                                <a:lnTo>
                                  <a:pt x="3480" y="9367"/>
                                </a:lnTo>
                                <a:moveTo>
                                  <a:pt x="3483" y="12530"/>
                                </a:moveTo>
                                <a:lnTo>
                                  <a:pt x="3423" y="12530"/>
                                </a:lnTo>
                                <a:lnTo>
                                  <a:pt x="3423" y="12545"/>
                                </a:lnTo>
                                <a:lnTo>
                                  <a:pt x="3483" y="12545"/>
                                </a:lnTo>
                                <a:lnTo>
                                  <a:pt x="3483" y="12530"/>
                                </a:lnTo>
                                <a:moveTo>
                                  <a:pt x="3487" y="0"/>
                                </a:moveTo>
                                <a:lnTo>
                                  <a:pt x="3427" y="0"/>
                                </a:lnTo>
                                <a:lnTo>
                                  <a:pt x="3427" y="15"/>
                                </a:lnTo>
                                <a:lnTo>
                                  <a:pt x="3487" y="15"/>
                                </a:lnTo>
                                <a:lnTo>
                                  <a:pt x="3487" y="0"/>
                                </a:lnTo>
                                <a:moveTo>
                                  <a:pt x="3585" y="9367"/>
                                </a:moveTo>
                                <a:lnTo>
                                  <a:pt x="3525" y="9367"/>
                                </a:lnTo>
                                <a:lnTo>
                                  <a:pt x="3525" y="9382"/>
                                </a:lnTo>
                                <a:lnTo>
                                  <a:pt x="3585" y="9382"/>
                                </a:lnTo>
                                <a:lnTo>
                                  <a:pt x="3585" y="9367"/>
                                </a:lnTo>
                                <a:moveTo>
                                  <a:pt x="3588" y="12530"/>
                                </a:moveTo>
                                <a:lnTo>
                                  <a:pt x="3528" y="12530"/>
                                </a:lnTo>
                                <a:lnTo>
                                  <a:pt x="3528" y="12545"/>
                                </a:lnTo>
                                <a:lnTo>
                                  <a:pt x="3588" y="12545"/>
                                </a:lnTo>
                                <a:lnTo>
                                  <a:pt x="3588" y="12530"/>
                                </a:lnTo>
                                <a:moveTo>
                                  <a:pt x="3592" y="0"/>
                                </a:moveTo>
                                <a:lnTo>
                                  <a:pt x="3532" y="0"/>
                                </a:lnTo>
                                <a:lnTo>
                                  <a:pt x="3532" y="15"/>
                                </a:lnTo>
                                <a:lnTo>
                                  <a:pt x="3592" y="15"/>
                                </a:lnTo>
                                <a:lnTo>
                                  <a:pt x="3592" y="0"/>
                                </a:lnTo>
                                <a:moveTo>
                                  <a:pt x="3690" y="9367"/>
                                </a:moveTo>
                                <a:lnTo>
                                  <a:pt x="3630" y="9367"/>
                                </a:lnTo>
                                <a:lnTo>
                                  <a:pt x="3630" y="9382"/>
                                </a:lnTo>
                                <a:lnTo>
                                  <a:pt x="3690" y="9382"/>
                                </a:lnTo>
                                <a:lnTo>
                                  <a:pt x="3690" y="9367"/>
                                </a:lnTo>
                                <a:moveTo>
                                  <a:pt x="3693" y="12530"/>
                                </a:moveTo>
                                <a:lnTo>
                                  <a:pt x="3633" y="12530"/>
                                </a:lnTo>
                                <a:lnTo>
                                  <a:pt x="3633" y="12545"/>
                                </a:lnTo>
                                <a:lnTo>
                                  <a:pt x="3693" y="12545"/>
                                </a:lnTo>
                                <a:lnTo>
                                  <a:pt x="3693" y="12530"/>
                                </a:lnTo>
                                <a:moveTo>
                                  <a:pt x="3697" y="0"/>
                                </a:moveTo>
                                <a:lnTo>
                                  <a:pt x="3637" y="0"/>
                                </a:lnTo>
                                <a:lnTo>
                                  <a:pt x="3637" y="15"/>
                                </a:lnTo>
                                <a:lnTo>
                                  <a:pt x="3697" y="15"/>
                                </a:lnTo>
                                <a:lnTo>
                                  <a:pt x="3697" y="0"/>
                                </a:lnTo>
                                <a:moveTo>
                                  <a:pt x="3795" y="9367"/>
                                </a:moveTo>
                                <a:lnTo>
                                  <a:pt x="3735" y="9367"/>
                                </a:lnTo>
                                <a:lnTo>
                                  <a:pt x="3735" y="9382"/>
                                </a:lnTo>
                                <a:lnTo>
                                  <a:pt x="3795" y="9382"/>
                                </a:lnTo>
                                <a:lnTo>
                                  <a:pt x="3795" y="9367"/>
                                </a:lnTo>
                                <a:moveTo>
                                  <a:pt x="3798" y="12530"/>
                                </a:moveTo>
                                <a:lnTo>
                                  <a:pt x="3738" y="12530"/>
                                </a:lnTo>
                                <a:lnTo>
                                  <a:pt x="3738" y="12545"/>
                                </a:lnTo>
                                <a:lnTo>
                                  <a:pt x="3798" y="12545"/>
                                </a:lnTo>
                                <a:lnTo>
                                  <a:pt x="3798" y="12530"/>
                                </a:lnTo>
                                <a:moveTo>
                                  <a:pt x="3802" y="0"/>
                                </a:moveTo>
                                <a:lnTo>
                                  <a:pt x="3742" y="0"/>
                                </a:lnTo>
                                <a:lnTo>
                                  <a:pt x="3742" y="15"/>
                                </a:lnTo>
                                <a:lnTo>
                                  <a:pt x="3802" y="15"/>
                                </a:lnTo>
                                <a:lnTo>
                                  <a:pt x="3802" y="0"/>
                                </a:lnTo>
                                <a:moveTo>
                                  <a:pt x="3900" y="9367"/>
                                </a:moveTo>
                                <a:lnTo>
                                  <a:pt x="3840" y="9367"/>
                                </a:lnTo>
                                <a:lnTo>
                                  <a:pt x="3840" y="9382"/>
                                </a:lnTo>
                                <a:lnTo>
                                  <a:pt x="3900" y="9382"/>
                                </a:lnTo>
                                <a:lnTo>
                                  <a:pt x="3900" y="9367"/>
                                </a:lnTo>
                                <a:moveTo>
                                  <a:pt x="3903" y="12530"/>
                                </a:moveTo>
                                <a:lnTo>
                                  <a:pt x="3843" y="12530"/>
                                </a:lnTo>
                                <a:lnTo>
                                  <a:pt x="3843" y="12545"/>
                                </a:lnTo>
                                <a:lnTo>
                                  <a:pt x="3903" y="12545"/>
                                </a:lnTo>
                                <a:lnTo>
                                  <a:pt x="3903" y="12530"/>
                                </a:lnTo>
                                <a:moveTo>
                                  <a:pt x="3907" y="0"/>
                                </a:moveTo>
                                <a:lnTo>
                                  <a:pt x="3847" y="0"/>
                                </a:lnTo>
                                <a:lnTo>
                                  <a:pt x="3847" y="15"/>
                                </a:lnTo>
                                <a:lnTo>
                                  <a:pt x="3907" y="15"/>
                                </a:lnTo>
                                <a:lnTo>
                                  <a:pt x="3907" y="0"/>
                                </a:lnTo>
                                <a:moveTo>
                                  <a:pt x="4005" y="9367"/>
                                </a:moveTo>
                                <a:lnTo>
                                  <a:pt x="3945" y="9367"/>
                                </a:lnTo>
                                <a:lnTo>
                                  <a:pt x="3945" y="9382"/>
                                </a:lnTo>
                                <a:lnTo>
                                  <a:pt x="4005" y="9382"/>
                                </a:lnTo>
                                <a:lnTo>
                                  <a:pt x="4005" y="9367"/>
                                </a:lnTo>
                                <a:moveTo>
                                  <a:pt x="4008" y="12530"/>
                                </a:moveTo>
                                <a:lnTo>
                                  <a:pt x="3948" y="12530"/>
                                </a:lnTo>
                                <a:lnTo>
                                  <a:pt x="3948" y="12545"/>
                                </a:lnTo>
                                <a:lnTo>
                                  <a:pt x="4008" y="12545"/>
                                </a:lnTo>
                                <a:lnTo>
                                  <a:pt x="4008" y="12530"/>
                                </a:lnTo>
                                <a:moveTo>
                                  <a:pt x="4012" y="0"/>
                                </a:moveTo>
                                <a:lnTo>
                                  <a:pt x="3952" y="0"/>
                                </a:lnTo>
                                <a:lnTo>
                                  <a:pt x="3952" y="15"/>
                                </a:lnTo>
                                <a:lnTo>
                                  <a:pt x="4012" y="15"/>
                                </a:lnTo>
                                <a:lnTo>
                                  <a:pt x="4012" y="0"/>
                                </a:lnTo>
                                <a:moveTo>
                                  <a:pt x="4113" y="12530"/>
                                </a:moveTo>
                                <a:lnTo>
                                  <a:pt x="4053" y="12530"/>
                                </a:lnTo>
                                <a:lnTo>
                                  <a:pt x="4053" y="12545"/>
                                </a:lnTo>
                                <a:lnTo>
                                  <a:pt x="4113" y="12545"/>
                                </a:lnTo>
                                <a:lnTo>
                                  <a:pt x="4113" y="12530"/>
                                </a:lnTo>
                                <a:moveTo>
                                  <a:pt x="4117" y="0"/>
                                </a:moveTo>
                                <a:lnTo>
                                  <a:pt x="4057" y="0"/>
                                </a:lnTo>
                                <a:lnTo>
                                  <a:pt x="4057" y="15"/>
                                </a:lnTo>
                                <a:lnTo>
                                  <a:pt x="4117" y="15"/>
                                </a:lnTo>
                                <a:lnTo>
                                  <a:pt x="4117" y="0"/>
                                </a:lnTo>
                                <a:moveTo>
                                  <a:pt x="4215" y="9367"/>
                                </a:moveTo>
                                <a:lnTo>
                                  <a:pt x="4155" y="9367"/>
                                </a:lnTo>
                                <a:lnTo>
                                  <a:pt x="4155" y="9382"/>
                                </a:lnTo>
                                <a:lnTo>
                                  <a:pt x="4215" y="9382"/>
                                </a:lnTo>
                                <a:lnTo>
                                  <a:pt x="4215" y="9367"/>
                                </a:lnTo>
                                <a:moveTo>
                                  <a:pt x="4218" y="12530"/>
                                </a:moveTo>
                                <a:lnTo>
                                  <a:pt x="4158" y="12530"/>
                                </a:lnTo>
                                <a:lnTo>
                                  <a:pt x="4158" y="12545"/>
                                </a:lnTo>
                                <a:lnTo>
                                  <a:pt x="4218" y="12545"/>
                                </a:lnTo>
                                <a:lnTo>
                                  <a:pt x="4218" y="12530"/>
                                </a:lnTo>
                                <a:moveTo>
                                  <a:pt x="4222" y="0"/>
                                </a:moveTo>
                                <a:lnTo>
                                  <a:pt x="4162" y="0"/>
                                </a:lnTo>
                                <a:lnTo>
                                  <a:pt x="4162" y="15"/>
                                </a:lnTo>
                                <a:lnTo>
                                  <a:pt x="4222" y="15"/>
                                </a:lnTo>
                                <a:lnTo>
                                  <a:pt x="4222" y="0"/>
                                </a:lnTo>
                                <a:moveTo>
                                  <a:pt x="4320" y="9367"/>
                                </a:moveTo>
                                <a:lnTo>
                                  <a:pt x="4260" y="9367"/>
                                </a:lnTo>
                                <a:lnTo>
                                  <a:pt x="4260" y="9382"/>
                                </a:lnTo>
                                <a:lnTo>
                                  <a:pt x="4320" y="9382"/>
                                </a:lnTo>
                                <a:lnTo>
                                  <a:pt x="4320" y="9367"/>
                                </a:lnTo>
                                <a:moveTo>
                                  <a:pt x="4323" y="12530"/>
                                </a:moveTo>
                                <a:lnTo>
                                  <a:pt x="4263" y="12530"/>
                                </a:lnTo>
                                <a:lnTo>
                                  <a:pt x="4263" y="12545"/>
                                </a:lnTo>
                                <a:lnTo>
                                  <a:pt x="4323" y="12545"/>
                                </a:lnTo>
                                <a:lnTo>
                                  <a:pt x="4323" y="12530"/>
                                </a:lnTo>
                                <a:moveTo>
                                  <a:pt x="4327" y="0"/>
                                </a:moveTo>
                                <a:lnTo>
                                  <a:pt x="4267" y="0"/>
                                </a:lnTo>
                                <a:lnTo>
                                  <a:pt x="4267" y="15"/>
                                </a:lnTo>
                                <a:lnTo>
                                  <a:pt x="4327" y="15"/>
                                </a:lnTo>
                                <a:lnTo>
                                  <a:pt x="4327" y="0"/>
                                </a:lnTo>
                                <a:moveTo>
                                  <a:pt x="4425" y="9367"/>
                                </a:moveTo>
                                <a:lnTo>
                                  <a:pt x="4365" y="9367"/>
                                </a:lnTo>
                                <a:lnTo>
                                  <a:pt x="4365" y="9382"/>
                                </a:lnTo>
                                <a:lnTo>
                                  <a:pt x="4425" y="9382"/>
                                </a:lnTo>
                                <a:lnTo>
                                  <a:pt x="4425" y="9367"/>
                                </a:lnTo>
                                <a:moveTo>
                                  <a:pt x="4428" y="12530"/>
                                </a:moveTo>
                                <a:lnTo>
                                  <a:pt x="4368" y="12530"/>
                                </a:lnTo>
                                <a:lnTo>
                                  <a:pt x="4368" y="12545"/>
                                </a:lnTo>
                                <a:lnTo>
                                  <a:pt x="4428" y="12545"/>
                                </a:lnTo>
                                <a:lnTo>
                                  <a:pt x="4428" y="12530"/>
                                </a:lnTo>
                                <a:moveTo>
                                  <a:pt x="4432" y="0"/>
                                </a:moveTo>
                                <a:lnTo>
                                  <a:pt x="4372" y="0"/>
                                </a:lnTo>
                                <a:lnTo>
                                  <a:pt x="4372" y="15"/>
                                </a:lnTo>
                                <a:lnTo>
                                  <a:pt x="4432" y="15"/>
                                </a:lnTo>
                                <a:lnTo>
                                  <a:pt x="4432" y="0"/>
                                </a:lnTo>
                                <a:moveTo>
                                  <a:pt x="4530" y="9367"/>
                                </a:moveTo>
                                <a:lnTo>
                                  <a:pt x="4470" y="9367"/>
                                </a:lnTo>
                                <a:lnTo>
                                  <a:pt x="4470" y="9382"/>
                                </a:lnTo>
                                <a:lnTo>
                                  <a:pt x="4530" y="9382"/>
                                </a:lnTo>
                                <a:lnTo>
                                  <a:pt x="4530" y="9367"/>
                                </a:lnTo>
                                <a:moveTo>
                                  <a:pt x="4533" y="12530"/>
                                </a:moveTo>
                                <a:lnTo>
                                  <a:pt x="4473" y="12530"/>
                                </a:lnTo>
                                <a:lnTo>
                                  <a:pt x="4473" y="12545"/>
                                </a:lnTo>
                                <a:lnTo>
                                  <a:pt x="4533" y="12545"/>
                                </a:lnTo>
                                <a:lnTo>
                                  <a:pt x="4533" y="12530"/>
                                </a:lnTo>
                                <a:moveTo>
                                  <a:pt x="4537" y="0"/>
                                </a:moveTo>
                                <a:lnTo>
                                  <a:pt x="4477" y="0"/>
                                </a:lnTo>
                                <a:lnTo>
                                  <a:pt x="4477" y="15"/>
                                </a:lnTo>
                                <a:lnTo>
                                  <a:pt x="4537" y="15"/>
                                </a:lnTo>
                                <a:lnTo>
                                  <a:pt x="4537" y="0"/>
                                </a:lnTo>
                                <a:moveTo>
                                  <a:pt x="4635" y="9367"/>
                                </a:moveTo>
                                <a:lnTo>
                                  <a:pt x="4575" y="9367"/>
                                </a:lnTo>
                                <a:lnTo>
                                  <a:pt x="4575" y="9382"/>
                                </a:lnTo>
                                <a:lnTo>
                                  <a:pt x="4635" y="9382"/>
                                </a:lnTo>
                                <a:lnTo>
                                  <a:pt x="4635" y="9367"/>
                                </a:lnTo>
                                <a:moveTo>
                                  <a:pt x="4638" y="12530"/>
                                </a:moveTo>
                                <a:lnTo>
                                  <a:pt x="4578" y="12530"/>
                                </a:lnTo>
                                <a:lnTo>
                                  <a:pt x="4578" y="12545"/>
                                </a:lnTo>
                                <a:lnTo>
                                  <a:pt x="4638" y="12545"/>
                                </a:lnTo>
                                <a:lnTo>
                                  <a:pt x="4638" y="12530"/>
                                </a:lnTo>
                                <a:moveTo>
                                  <a:pt x="4642" y="0"/>
                                </a:moveTo>
                                <a:lnTo>
                                  <a:pt x="4582" y="0"/>
                                </a:lnTo>
                                <a:lnTo>
                                  <a:pt x="4582" y="15"/>
                                </a:lnTo>
                                <a:lnTo>
                                  <a:pt x="4642" y="15"/>
                                </a:lnTo>
                                <a:lnTo>
                                  <a:pt x="4642" y="0"/>
                                </a:lnTo>
                                <a:moveTo>
                                  <a:pt x="4740" y="9367"/>
                                </a:moveTo>
                                <a:lnTo>
                                  <a:pt x="4680" y="9367"/>
                                </a:lnTo>
                                <a:lnTo>
                                  <a:pt x="4680" y="9382"/>
                                </a:lnTo>
                                <a:lnTo>
                                  <a:pt x="4740" y="9382"/>
                                </a:lnTo>
                                <a:lnTo>
                                  <a:pt x="4740" y="9367"/>
                                </a:lnTo>
                                <a:moveTo>
                                  <a:pt x="4743" y="12530"/>
                                </a:moveTo>
                                <a:lnTo>
                                  <a:pt x="4683" y="12530"/>
                                </a:lnTo>
                                <a:lnTo>
                                  <a:pt x="4683" y="12545"/>
                                </a:lnTo>
                                <a:lnTo>
                                  <a:pt x="4743" y="12545"/>
                                </a:lnTo>
                                <a:lnTo>
                                  <a:pt x="4743" y="12530"/>
                                </a:lnTo>
                                <a:moveTo>
                                  <a:pt x="4747" y="0"/>
                                </a:moveTo>
                                <a:lnTo>
                                  <a:pt x="4687" y="0"/>
                                </a:lnTo>
                                <a:lnTo>
                                  <a:pt x="4687" y="15"/>
                                </a:lnTo>
                                <a:lnTo>
                                  <a:pt x="4747" y="15"/>
                                </a:lnTo>
                                <a:lnTo>
                                  <a:pt x="4747" y="0"/>
                                </a:lnTo>
                                <a:moveTo>
                                  <a:pt x="4845" y="9367"/>
                                </a:moveTo>
                                <a:lnTo>
                                  <a:pt x="4785" y="9367"/>
                                </a:lnTo>
                                <a:lnTo>
                                  <a:pt x="4785" y="9382"/>
                                </a:lnTo>
                                <a:lnTo>
                                  <a:pt x="4845" y="9382"/>
                                </a:lnTo>
                                <a:lnTo>
                                  <a:pt x="4845" y="9367"/>
                                </a:lnTo>
                                <a:moveTo>
                                  <a:pt x="4848" y="12530"/>
                                </a:moveTo>
                                <a:lnTo>
                                  <a:pt x="4788" y="12530"/>
                                </a:lnTo>
                                <a:lnTo>
                                  <a:pt x="4788" y="12545"/>
                                </a:lnTo>
                                <a:lnTo>
                                  <a:pt x="4848" y="12545"/>
                                </a:lnTo>
                                <a:lnTo>
                                  <a:pt x="4848" y="12530"/>
                                </a:lnTo>
                                <a:moveTo>
                                  <a:pt x="4852" y="0"/>
                                </a:moveTo>
                                <a:lnTo>
                                  <a:pt x="4792" y="0"/>
                                </a:lnTo>
                                <a:lnTo>
                                  <a:pt x="4792" y="15"/>
                                </a:lnTo>
                                <a:lnTo>
                                  <a:pt x="4852" y="15"/>
                                </a:lnTo>
                                <a:lnTo>
                                  <a:pt x="4852" y="0"/>
                                </a:lnTo>
                                <a:moveTo>
                                  <a:pt x="4950" y="9367"/>
                                </a:moveTo>
                                <a:lnTo>
                                  <a:pt x="4890" y="9367"/>
                                </a:lnTo>
                                <a:lnTo>
                                  <a:pt x="4890" y="9382"/>
                                </a:lnTo>
                                <a:lnTo>
                                  <a:pt x="4950" y="9382"/>
                                </a:lnTo>
                                <a:lnTo>
                                  <a:pt x="4950" y="9367"/>
                                </a:lnTo>
                                <a:moveTo>
                                  <a:pt x="4953" y="12530"/>
                                </a:moveTo>
                                <a:lnTo>
                                  <a:pt x="4893" y="12530"/>
                                </a:lnTo>
                                <a:lnTo>
                                  <a:pt x="4893" y="12545"/>
                                </a:lnTo>
                                <a:lnTo>
                                  <a:pt x="4953" y="12545"/>
                                </a:lnTo>
                                <a:lnTo>
                                  <a:pt x="4953" y="12530"/>
                                </a:lnTo>
                                <a:moveTo>
                                  <a:pt x="4957" y="0"/>
                                </a:moveTo>
                                <a:lnTo>
                                  <a:pt x="4897" y="0"/>
                                </a:lnTo>
                                <a:lnTo>
                                  <a:pt x="4897" y="15"/>
                                </a:lnTo>
                                <a:lnTo>
                                  <a:pt x="4957" y="15"/>
                                </a:lnTo>
                                <a:lnTo>
                                  <a:pt x="4957" y="0"/>
                                </a:lnTo>
                                <a:moveTo>
                                  <a:pt x="5055" y="9367"/>
                                </a:moveTo>
                                <a:lnTo>
                                  <a:pt x="4995" y="9367"/>
                                </a:lnTo>
                                <a:lnTo>
                                  <a:pt x="4995" y="9382"/>
                                </a:lnTo>
                                <a:lnTo>
                                  <a:pt x="5055" y="9382"/>
                                </a:lnTo>
                                <a:lnTo>
                                  <a:pt x="5055" y="9367"/>
                                </a:lnTo>
                                <a:moveTo>
                                  <a:pt x="5058" y="12530"/>
                                </a:moveTo>
                                <a:lnTo>
                                  <a:pt x="4998" y="12530"/>
                                </a:lnTo>
                                <a:lnTo>
                                  <a:pt x="4998" y="12545"/>
                                </a:lnTo>
                                <a:lnTo>
                                  <a:pt x="5058" y="12545"/>
                                </a:lnTo>
                                <a:lnTo>
                                  <a:pt x="5058" y="12530"/>
                                </a:lnTo>
                                <a:moveTo>
                                  <a:pt x="5062" y="0"/>
                                </a:moveTo>
                                <a:lnTo>
                                  <a:pt x="5002" y="0"/>
                                </a:lnTo>
                                <a:lnTo>
                                  <a:pt x="5002" y="15"/>
                                </a:lnTo>
                                <a:lnTo>
                                  <a:pt x="5062" y="15"/>
                                </a:lnTo>
                                <a:lnTo>
                                  <a:pt x="5062" y="0"/>
                                </a:lnTo>
                                <a:moveTo>
                                  <a:pt x="5160" y="9367"/>
                                </a:moveTo>
                                <a:lnTo>
                                  <a:pt x="5100" y="9367"/>
                                </a:lnTo>
                                <a:lnTo>
                                  <a:pt x="5100" y="9382"/>
                                </a:lnTo>
                                <a:lnTo>
                                  <a:pt x="5160" y="9382"/>
                                </a:lnTo>
                                <a:lnTo>
                                  <a:pt x="5160" y="9367"/>
                                </a:lnTo>
                                <a:moveTo>
                                  <a:pt x="5163" y="12530"/>
                                </a:moveTo>
                                <a:lnTo>
                                  <a:pt x="5103" y="12530"/>
                                </a:lnTo>
                                <a:lnTo>
                                  <a:pt x="5103" y="12545"/>
                                </a:lnTo>
                                <a:lnTo>
                                  <a:pt x="5163" y="12545"/>
                                </a:lnTo>
                                <a:lnTo>
                                  <a:pt x="5163" y="12530"/>
                                </a:lnTo>
                                <a:moveTo>
                                  <a:pt x="5167" y="0"/>
                                </a:moveTo>
                                <a:lnTo>
                                  <a:pt x="5107" y="0"/>
                                </a:lnTo>
                                <a:lnTo>
                                  <a:pt x="5107" y="15"/>
                                </a:lnTo>
                                <a:lnTo>
                                  <a:pt x="5167" y="15"/>
                                </a:lnTo>
                                <a:lnTo>
                                  <a:pt x="5167" y="0"/>
                                </a:lnTo>
                                <a:moveTo>
                                  <a:pt x="5265" y="9367"/>
                                </a:moveTo>
                                <a:lnTo>
                                  <a:pt x="5205" y="9367"/>
                                </a:lnTo>
                                <a:lnTo>
                                  <a:pt x="5205" y="9382"/>
                                </a:lnTo>
                                <a:lnTo>
                                  <a:pt x="5265" y="9382"/>
                                </a:lnTo>
                                <a:lnTo>
                                  <a:pt x="5265" y="9367"/>
                                </a:lnTo>
                                <a:moveTo>
                                  <a:pt x="5268" y="12530"/>
                                </a:moveTo>
                                <a:lnTo>
                                  <a:pt x="5208" y="12530"/>
                                </a:lnTo>
                                <a:lnTo>
                                  <a:pt x="5208" y="12545"/>
                                </a:lnTo>
                                <a:lnTo>
                                  <a:pt x="5268" y="12545"/>
                                </a:lnTo>
                                <a:lnTo>
                                  <a:pt x="5268" y="12530"/>
                                </a:lnTo>
                                <a:moveTo>
                                  <a:pt x="5272" y="0"/>
                                </a:moveTo>
                                <a:lnTo>
                                  <a:pt x="5212" y="0"/>
                                </a:lnTo>
                                <a:lnTo>
                                  <a:pt x="5212" y="15"/>
                                </a:lnTo>
                                <a:lnTo>
                                  <a:pt x="5272" y="15"/>
                                </a:lnTo>
                                <a:lnTo>
                                  <a:pt x="5272" y="0"/>
                                </a:lnTo>
                                <a:moveTo>
                                  <a:pt x="5370" y="9367"/>
                                </a:moveTo>
                                <a:lnTo>
                                  <a:pt x="5310" y="9367"/>
                                </a:lnTo>
                                <a:lnTo>
                                  <a:pt x="5310" y="9382"/>
                                </a:lnTo>
                                <a:lnTo>
                                  <a:pt x="5370" y="9382"/>
                                </a:lnTo>
                                <a:lnTo>
                                  <a:pt x="5370" y="9367"/>
                                </a:lnTo>
                                <a:moveTo>
                                  <a:pt x="5373" y="12530"/>
                                </a:moveTo>
                                <a:lnTo>
                                  <a:pt x="5313" y="12530"/>
                                </a:lnTo>
                                <a:lnTo>
                                  <a:pt x="5313" y="12545"/>
                                </a:lnTo>
                                <a:lnTo>
                                  <a:pt x="5373" y="12545"/>
                                </a:lnTo>
                                <a:lnTo>
                                  <a:pt x="5373" y="12530"/>
                                </a:lnTo>
                                <a:moveTo>
                                  <a:pt x="5377" y="0"/>
                                </a:moveTo>
                                <a:lnTo>
                                  <a:pt x="5317" y="0"/>
                                </a:lnTo>
                                <a:lnTo>
                                  <a:pt x="5317" y="15"/>
                                </a:lnTo>
                                <a:lnTo>
                                  <a:pt x="5377" y="15"/>
                                </a:lnTo>
                                <a:lnTo>
                                  <a:pt x="5377" y="0"/>
                                </a:lnTo>
                                <a:moveTo>
                                  <a:pt x="5475" y="9367"/>
                                </a:moveTo>
                                <a:lnTo>
                                  <a:pt x="5415" y="9367"/>
                                </a:lnTo>
                                <a:lnTo>
                                  <a:pt x="5415" y="9382"/>
                                </a:lnTo>
                                <a:lnTo>
                                  <a:pt x="5475" y="9382"/>
                                </a:lnTo>
                                <a:lnTo>
                                  <a:pt x="5475" y="9367"/>
                                </a:lnTo>
                                <a:moveTo>
                                  <a:pt x="5478" y="12530"/>
                                </a:moveTo>
                                <a:lnTo>
                                  <a:pt x="5418" y="12530"/>
                                </a:lnTo>
                                <a:lnTo>
                                  <a:pt x="5418" y="12545"/>
                                </a:lnTo>
                                <a:lnTo>
                                  <a:pt x="5478" y="12545"/>
                                </a:lnTo>
                                <a:lnTo>
                                  <a:pt x="5478" y="12530"/>
                                </a:lnTo>
                                <a:moveTo>
                                  <a:pt x="5482" y="0"/>
                                </a:moveTo>
                                <a:lnTo>
                                  <a:pt x="5422" y="0"/>
                                </a:lnTo>
                                <a:lnTo>
                                  <a:pt x="5422" y="15"/>
                                </a:lnTo>
                                <a:lnTo>
                                  <a:pt x="5482" y="15"/>
                                </a:lnTo>
                                <a:lnTo>
                                  <a:pt x="5482" y="0"/>
                                </a:lnTo>
                                <a:moveTo>
                                  <a:pt x="5501" y="11641"/>
                                </a:moveTo>
                                <a:lnTo>
                                  <a:pt x="5486" y="11641"/>
                                </a:lnTo>
                                <a:lnTo>
                                  <a:pt x="5486" y="11656"/>
                                </a:lnTo>
                                <a:lnTo>
                                  <a:pt x="5486" y="12140"/>
                                </a:lnTo>
                                <a:lnTo>
                                  <a:pt x="2592" y="12140"/>
                                </a:lnTo>
                                <a:lnTo>
                                  <a:pt x="2592" y="11656"/>
                                </a:lnTo>
                                <a:lnTo>
                                  <a:pt x="5486" y="11656"/>
                                </a:lnTo>
                                <a:lnTo>
                                  <a:pt x="5486" y="11641"/>
                                </a:lnTo>
                                <a:lnTo>
                                  <a:pt x="4082" y="11641"/>
                                </a:lnTo>
                                <a:lnTo>
                                  <a:pt x="4120" y="11565"/>
                                </a:lnTo>
                                <a:lnTo>
                                  <a:pt x="4135" y="11535"/>
                                </a:lnTo>
                                <a:lnTo>
                                  <a:pt x="4082" y="11535"/>
                                </a:lnTo>
                                <a:lnTo>
                                  <a:pt x="4082" y="11217"/>
                                </a:lnTo>
                                <a:lnTo>
                                  <a:pt x="4067" y="11217"/>
                                </a:lnTo>
                                <a:lnTo>
                                  <a:pt x="4067" y="11535"/>
                                </a:lnTo>
                                <a:lnTo>
                                  <a:pt x="4015" y="11535"/>
                                </a:lnTo>
                                <a:lnTo>
                                  <a:pt x="4068" y="11641"/>
                                </a:lnTo>
                                <a:lnTo>
                                  <a:pt x="2577" y="11641"/>
                                </a:lnTo>
                                <a:lnTo>
                                  <a:pt x="2577" y="12155"/>
                                </a:lnTo>
                                <a:lnTo>
                                  <a:pt x="5501" y="12155"/>
                                </a:lnTo>
                                <a:lnTo>
                                  <a:pt x="5501" y="12147"/>
                                </a:lnTo>
                                <a:lnTo>
                                  <a:pt x="5501" y="12140"/>
                                </a:lnTo>
                                <a:lnTo>
                                  <a:pt x="5501" y="11656"/>
                                </a:lnTo>
                                <a:lnTo>
                                  <a:pt x="5501" y="11648"/>
                                </a:lnTo>
                                <a:lnTo>
                                  <a:pt x="5501" y="11641"/>
                                </a:lnTo>
                                <a:moveTo>
                                  <a:pt x="5580" y="9367"/>
                                </a:moveTo>
                                <a:lnTo>
                                  <a:pt x="5520" y="9367"/>
                                </a:lnTo>
                                <a:lnTo>
                                  <a:pt x="5520" y="9382"/>
                                </a:lnTo>
                                <a:lnTo>
                                  <a:pt x="5580" y="9382"/>
                                </a:lnTo>
                                <a:lnTo>
                                  <a:pt x="5580" y="9367"/>
                                </a:lnTo>
                                <a:moveTo>
                                  <a:pt x="5583" y="12530"/>
                                </a:moveTo>
                                <a:lnTo>
                                  <a:pt x="5523" y="12530"/>
                                </a:lnTo>
                                <a:lnTo>
                                  <a:pt x="5523" y="12545"/>
                                </a:lnTo>
                                <a:lnTo>
                                  <a:pt x="5583" y="12545"/>
                                </a:lnTo>
                                <a:lnTo>
                                  <a:pt x="5583" y="12530"/>
                                </a:lnTo>
                                <a:moveTo>
                                  <a:pt x="5587" y="0"/>
                                </a:moveTo>
                                <a:lnTo>
                                  <a:pt x="5527" y="0"/>
                                </a:lnTo>
                                <a:lnTo>
                                  <a:pt x="5527" y="15"/>
                                </a:lnTo>
                                <a:lnTo>
                                  <a:pt x="5587" y="15"/>
                                </a:lnTo>
                                <a:lnTo>
                                  <a:pt x="5587" y="0"/>
                                </a:lnTo>
                                <a:moveTo>
                                  <a:pt x="5685" y="9367"/>
                                </a:moveTo>
                                <a:lnTo>
                                  <a:pt x="5625" y="9367"/>
                                </a:lnTo>
                                <a:lnTo>
                                  <a:pt x="5625" y="9382"/>
                                </a:lnTo>
                                <a:lnTo>
                                  <a:pt x="5685" y="9382"/>
                                </a:lnTo>
                                <a:lnTo>
                                  <a:pt x="5685" y="9367"/>
                                </a:lnTo>
                                <a:moveTo>
                                  <a:pt x="5688" y="12530"/>
                                </a:moveTo>
                                <a:lnTo>
                                  <a:pt x="5628" y="12530"/>
                                </a:lnTo>
                                <a:lnTo>
                                  <a:pt x="5628" y="12545"/>
                                </a:lnTo>
                                <a:lnTo>
                                  <a:pt x="5688" y="12545"/>
                                </a:lnTo>
                                <a:lnTo>
                                  <a:pt x="5688" y="12530"/>
                                </a:lnTo>
                                <a:moveTo>
                                  <a:pt x="5692" y="0"/>
                                </a:moveTo>
                                <a:lnTo>
                                  <a:pt x="5632" y="0"/>
                                </a:lnTo>
                                <a:lnTo>
                                  <a:pt x="5632" y="15"/>
                                </a:lnTo>
                                <a:lnTo>
                                  <a:pt x="5692" y="15"/>
                                </a:lnTo>
                                <a:lnTo>
                                  <a:pt x="5692" y="0"/>
                                </a:lnTo>
                                <a:moveTo>
                                  <a:pt x="5790" y="9367"/>
                                </a:moveTo>
                                <a:lnTo>
                                  <a:pt x="5730" y="9367"/>
                                </a:lnTo>
                                <a:lnTo>
                                  <a:pt x="5730" y="9382"/>
                                </a:lnTo>
                                <a:lnTo>
                                  <a:pt x="5790" y="9382"/>
                                </a:lnTo>
                                <a:lnTo>
                                  <a:pt x="5790" y="9367"/>
                                </a:lnTo>
                                <a:moveTo>
                                  <a:pt x="5793" y="12530"/>
                                </a:moveTo>
                                <a:lnTo>
                                  <a:pt x="5733" y="12530"/>
                                </a:lnTo>
                                <a:lnTo>
                                  <a:pt x="5733" y="12545"/>
                                </a:lnTo>
                                <a:lnTo>
                                  <a:pt x="5793" y="12545"/>
                                </a:lnTo>
                                <a:lnTo>
                                  <a:pt x="5793" y="12530"/>
                                </a:lnTo>
                                <a:moveTo>
                                  <a:pt x="5797" y="0"/>
                                </a:moveTo>
                                <a:lnTo>
                                  <a:pt x="5737" y="0"/>
                                </a:lnTo>
                                <a:lnTo>
                                  <a:pt x="5737" y="15"/>
                                </a:lnTo>
                                <a:lnTo>
                                  <a:pt x="5797" y="15"/>
                                </a:lnTo>
                                <a:lnTo>
                                  <a:pt x="5797" y="0"/>
                                </a:lnTo>
                                <a:moveTo>
                                  <a:pt x="5895" y="9367"/>
                                </a:moveTo>
                                <a:lnTo>
                                  <a:pt x="5835" y="9367"/>
                                </a:lnTo>
                                <a:lnTo>
                                  <a:pt x="5835" y="9382"/>
                                </a:lnTo>
                                <a:lnTo>
                                  <a:pt x="5895" y="9382"/>
                                </a:lnTo>
                                <a:lnTo>
                                  <a:pt x="5895" y="9367"/>
                                </a:lnTo>
                                <a:moveTo>
                                  <a:pt x="5898" y="12530"/>
                                </a:moveTo>
                                <a:lnTo>
                                  <a:pt x="5838" y="12530"/>
                                </a:lnTo>
                                <a:lnTo>
                                  <a:pt x="5838" y="12545"/>
                                </a:lnTo>
                                <a:lnTo>
                                  <a:pt x="5898" y="12545"/>
                                </a:lnTo>
                                <a:lnTo>
                                  <a:pt x="5898" y="12530"/>
                                </a:lnTo>
                                <a:moveTo>
                                  <a:pt x="5902" y="0"/>
                                </a:moveTo>
                                <a:lnTo>
                                  <a:pt x="5842" y="0"/>
                                </a:lnTo>
                                <a:lnTo>
                                  <a:pt x="5842" y="15"/>
                                </a:lnTo>
                                <a:lnTo>
                                  <a:pt x="5902" y="15"/>
                                </a:lnTo>
                                <a:lnTo>
                                  <a:pt x="5902" y="0"/>
                                </a:lnTo>
                                <a:moveTo>
                                  <a:pt x="6000" y="9367"/>
                                </a:moveTo>
                                <a:lnTo>
                                  <a:pt x="5940" y="9367"/>
                                </a:lnTo>
                                <a:lnTo>
                                  <a:pt x="5940" y="9382"/>
                                </a:lnTo>
                                <a:lnTo>
                                  <a:pt x="6000" y="9382"/>
                                </a:lnTo>
                                <a:lnTo>
                                  <a:pt x="6000" y="9367"/>
                                </a:lnTo>
                                <a:moveTo>
                                  <a:pt x="6003" y="12530"/>
                                </a:moveTo>
                                <a:lnTo>
                                  <a:pt x="5943" y="12530"/>
                                </a:lnTo>
                                <a:lnTo>
                                  <a:pt x="5943" y="12545"/>
                                </a:lnTo>
                                <a:lnTo>
                                  <a:pt x="6003" y="12545"/>
                                </a:lnTo>
                                <a:lnTo>
                                  <a:pt x="6003" y="12530"/>
                                </a:lnTo>
                                <a:moveTo>
                                  <a:pt x="6004" y="8066"/>
                                </a:moveTo>
                                <a:lnTo>
                                  <a:pt x="5989" y="8066"/>
                                </a:lnTo>
                                <a:lnTo>
                                  <a:pt x="5989" y="8081"/>
                                </a:lnTo>
                                <a:lnTo>
                                  <a:pt x="5989" y="9146"/>
                                </a:lnTo>
                                <a:lnTo>
                                  <a:pt x="2119" y="9146"/>
                                </a:lnTo>
                                <a:lnTo>
                                  <a:pt x="2119" y="8081"/>
                                </a:lnTo>
                                <a:lnTo>
                                  <a:pt x="5989" y="8081"/>
                                </a:lnTo>
                                <a:lnTo>
                                  <a:pt x="5989" y="8066"/>
                                </a:lnTo>
                                <a:lnTo>
                                  <a:pt x="2104" y="8066"/>
                                </a:lnTo>
                                <a:lnTo>
                                  <a:pt x="2104" y="9161"/>
                                </a:lnTo>
                                <a:lnTo>
                                  <a:pt x="6004" y="9161"/>
                                </a:lnTo>
                                <a:lnTo>
                                  <a:pt x="6004" y="9153"/>
                                </a:lnTo>
                                <a:lnTo>
                                  <a:pt x="6004" y="9146"/>
                                </a:lnTo>
                                <a:lnTo>
                                  <a:pt x="6004" y="8081"/>
                                </a:lnTo>
                                <a:lnTo>
                                  <a:pt x="6004" y="8073"/>
                                </a:lnTo>
                                <a:lnTo>
                                  <a:pt x="6004" y="8066"/>
                                </a:lnTo>
                                <a:moveTo>
                                  <a:pt x="6007" y="0"/>
                                </a:moveTo>
                                <a:lnTo>
                                  <a:pt x="5947" y="0"/>
                                </a:lnTo>
                                <a:lnTo>
                                  <a:pt x="5947" y="15"/>
                                </a:lnTo>
                                <a:lnTo>
                                  <a:pt x="6007" y="15"/>
                                </a:lnTo>
                                <a:lnTo>
                                  <a:pt x="6007" y="0"/>
                                </a:lnTo>
                                <a:moveTo>
                                  <a:pt x="6105" y="9367"/>
                                </a:moveTo>
                                <a:lnTo>
                                  <a:pt x="6045" y="9367"/>
                                </a:lnTo>
                                <a:lnTo>
                                  <a:pt x="6045" y="9382"/>
                                </a:lnTo>
                                <a:lnTo>
                                  <a:pt x="6105" y="9382"/>
                                </a:lnTo>
                                <a:lnTo>
                                  <a:pt x="6105" y="9367"/>
                                </a:lnTo>
                                <a:moveTo>
                                  <a:pt x="6108" y="12530"/>
                                </a:moveTo>
                                <a:lnTo>
                                  <a:pt x="6048" y="12530"/>
                                </a:lnTo>
                                <a:lnTo>
                                  <a:pt x="6048" y="12545"/>
                                </a:lnTo>
                                <a:lnTo>
                                  <a:pt x="6108" y="12545"/>
                                </a:lnTo>
                                <a:lnTo>
                                  <a:pt x="6108" y="12530"/>
                                </a:lnTo>
                                <a:moveTo>
                                  <a:pt x="6112" y="0"/>
                                </a:moveTo>
                                <a:lnTo>
                                  <a:pt x="6052" y="0"/>
                                </a:lnTo>
                                <a:lnTo>
                                  <a:pt x="6052" y="15"/>
                                </a:lnTo>
                                <a:lnTo>
                                  <a:pt x="6112" y="15"/>
                                </a:lnTo>
                                <a:lnTo>
                                  <a:pt x="6112" y="0"/>
                                </a:lnTo>
                                <a:moveTo>
                                  <a:pt x="6154" y="9627"/>
                                </a:moveTo>
                                <a:lnTo>
                                  <a:pt x="6139" y="9627"/>
                                </a:lnTo>
                                <a:lnTo>
                                  <a:pt x="6139" y="9642"/>
                                </a:lnTo>
                                <a:lnTo>
                                  <a:pt x="6139" y="11189"/>
                                </a:lnTo>
                                <a:lnTo>
                                  <a:pt x="1984" y="11189"/>
                                </a:lnTo>
                                <a:lnTo>
                                  <a:pt x="1984" y="9642"/>
                                </a:lnTo>
                                <a:lnTo>
                                  <a:pt x="4063" y="9642"/>
                                </a:lnTo>
                                <a:lnTo>
                                  <a:pt x="4076" y="9669"/>
                                </a:lnTo>
                                <a:lnTo>
                                  <a:pt x="4089" y="9642"/>
                                </a:lnTo>
                                <a:lnTo>
                                  <a:pt x="6139" y="9642"/>
                                </a:lnTo>
                                <a:lnTo>
                                  <a:pt x="6139" y="9627"/>
                                </a:lnTo>
                                <a:lnTo>
                                  <a:pt x="4097" y="9627"/>
                                </a:lnTo>
                                <a:lnTo>
                                  <a:pt x="4121" y="9579"/>
                                </a:lnTo>
                                <a:lnTo>
                                  <a:pt x="4136" y="9549"/>
                                </a:lnTo>
                                <a:lnTo>
                                  <a:pt x="4083" y="9549"/>
                                </a:lnTo>
                                <a:lnTo>
                                  <a:pt x="4083" y="9382"/>
                                </a:lnTo>
                                <a:lnTo>
                                  <a:pt x="4110" y="9382"/>
                                </a:lnTo>
                                <a:lnTo>
                                  <a:pt x="4110" y="9367"/>
                                </a:lnTo>
                                <a:lnTo>
                                  <a:pt x="4083" y="9367"/>
                                </a:lnTo>
                                <a:lnTo>
                                  <a:pt x="4083" y="9188"/>
                                </a:lnTo>
                                <a:lnTo>
                                  <a:pt x="4068" y="9188"/>
                                </a:lnTo>
                                <a:lnTo>
                                  <a:pt x="4068" y="9367"/>
                                </a:lnTo>
                                <a:lnTo>
                                  <a:pt x="4050" y="9367"/>
                                </a:lnTo>
                                <a:lnTo>
                                  <a:pt x="4050" y="9382"/>
                                </a:lnTo>
                                <a:lnTo>
                                  <a:pt x="4068" y="9382"/>
                                </a:lnTo>
                                <a:lnTo>
                                  <a:pt x="4068" y="9549"/>
                                </a:lnTo>
                                <a:lnTo>
                                  <a:pt x="4016" y="9549"/>
                                </a:lnTo>
                                <a:lnTo>
                                  <a:pt x="4055" y="9627"/>
                                </a:lnTo>
                                <a:lnTo>
                                  <a:pt x="1969" y="9627"/>
                                </a:lnTo>
                                <a:lnTo>
                                  <a:pt x="1969" y="11204"/>
                                </a:lnTo>
                                <a:lnTo>
                                  <a:pt x="6154" y="11204"/>
                                </a:lnTo>
                                <a:lnTo>
                                  <a:pt x="6154" y="11196"/>
                                </a:lnTo>
                                <a:lnTo>
                                  <a:pt x="6154" y="11189"/>
                                </a:lnTo>
                                <a:lnTo>
                                  <a:pt x="6154" y="9642"/>
                                </a:lnTo>
                                <a:lnTo>
                                  <a:pt x="6154" y="9634"/>
                                </a:lnTo>
                                <a:lnTo>
                                  <a:pt x="6154" y="9627"/>
                                </a:lnTo>
                                <a:moveTo>
                                  <a:pt x="6210" y="9367"/>
                                </a:moveTo>
                                <a:lnTo>
                                  <a:pt x="6150" y="9367"/>
                                </a:lnTo>
                                <a:lnTo>
                                  <a:pt x="6150" y="9382"/>
                                </a:lnTo>
                                <a:lnTo>
                                  <a:pt x="6210" y="9382"/>
                                </a:lnTo>
                                <a:lnTo>
                                  <a:pt x="6210" y="9367"/>
                                </a:lnTo>
                                <a:moveTo>
                                  <a:pt x="6213" y="12530"/>
                                </a:moveTo>
                                <a:lnTo>
                                  <a:pt x="6153" y="12530"/>
                                </a:lnTo>
                                <a:lnTo>
                                  <a:pt x="6153" y="12545"/>
                                </a:lnTo>
                                <a:lnTo>
                                  <a:pt x="6213" y="12545"/>
                                </a:lnTo>
                                <a:lnTo>
                                  <a:pt x="6213" y="12530"/>
                                </a:lnTo>
                                <a:moveTo>
                                  <a:pt x="6217" y="0"/>
                                </a:moveTo>
                                <a:lnTo>
                                  <a:pt x="6157" y="0"/>
                                </a:lnTo>
                                <a:lnTo>
                                  <a:pt x="6157" y="15"/>
                                </a:lnTo>
                                <a:lnTo>
                                  <a:pt x="6217" y="15"/>
                                </a:lnTo>
                                <a:lnTo>
                                  <a:pt x="6217" y="0"/>
                                </a:lnTo>
                                <a:moveTo>
                                  <a:pt x="6315" y="9367"/>
                                </a:moveTo>
                                <a:lnTo>
                                  <a:pt x="6255" y="9367"/>
                                </a:lnTo>
                                <a:lnTo>
                                  <a:pt x="6255" y="9382"/>
                                </a:lnTo>
                                <a:lnTo>
                                  <a:pt x="6315" y="9382"/>
                                </a:lnTo>
                                <a:lnTo>
                                  <a:pt x="6315" y="9367"/>
                                </a:lnTo>
                                <a:moveTo>
                                  <a:pt x="6318" y="12530"/>
                                </a:moveTo>
                                <a:lnTo>
                                  <a:pt x="6258" y="12530"/>
                                </a:lnTo>
                                <a:lnTo>
                                  <a:pt x="6258" y="12545"/>
                                </a:lnTo>
                                <a:lnTo>
                                  <a:pt x="6318" y="12545"/>
                                </a:lnTo>
                                <a:lnTo>
                                  <a:pt x="6318" y="12530"/>
                                </a:lnTo>
                                <a:moveTo>
                                  <a:pt x="6322" y="0"/>
                                </a:moveTo>
                                <a:lnTo>
                                  <a:pt x="6262" y="0"/>
                                </a:lnTo>
                                <a:lnTo>
                                  <a:pt x="6262" y="15"/>
                                </a:lnTo>
                                <a:lnTo>
                                  <a:pt x="6322" y="15"/>
                                </a:lnTo>
                                <a:lnTo>
                                  <a:pt x="6322" y="0"/>
                                </a:lnTo>
                                <a:moveTo>
                                  <a:pt x="6420" y="9367"/>
                                </a:moveTo>
                                <a:lnTo>
                                  <a:pt x="6360" y="9367"/>
                                </a:lnTo>
                                <a:lnTo>
                                  <a:pt x="6360" y="9382"/>
                                </a:lnTo>
                                <a:lnTo>
                                  <a:pt x="6420" y="9382"/>
                                </a:lnTo>
                                <a:lnTo>
                                  <a:pt x="6420" y="9367"/>
                                </a:lnTo>
                                <a:moveTo>
                                  <a:pt x="6423" y="12530"/>
                                </a:moveTo>
                                <a:lnTo>
                                  <a:pt x="6363" y="12530"/>
                                </a:lnTo>
                                <a:lnTo>
                                  <a:pt x="6363" y="12545"/>
                                </a:lnTo>
                                <a:lnTo>
                                  <a:pt x="6423" y="12545"/>
                                </a:lnTo>
                                <a:lnTo>
                                  <a:pt x="6423" y="12530"/>
                                </a:lnTo>
                                <a:moveTo>
                                  <a:pt x="6427" y="0"/>
                                </a:moveTo>
                                <a:lnTo>
                                  <a:pt x="6367" y="0"/>
                                </a:lnTo>
                                <a:lnTo>
                                  <a:pt x="6367" y="15"/>
                                </a:lnTo>
                                <a:lnTo>
                                  <a:pt x="6427" y="15"/>
                                </a:lnTo>
                                <a:lnTo>
                                  <a:pt x="6427" y="0"/>
                                </a:lnTo>
                                <a:moveTo>
                                  <a:pt x="6525" y="9367"/>
                                </a:moveTo>
                                <a:lnTo>
                                  <a:pt x="6465" y="9367"/>
                                </a:lnTo>
                                <a:lnTo>
                                  <a:pt x="6465" y="9382"/>
                                </a:lnTo>
                                <a:lnTo>
                                  <a:pt x="6525" y="9382"/>
                                </a:lnTo>
                                <a:lnTo>
                                  <a:pt x="6525" y="9367"/>
                                </a:lnTo>
                                <a:moveTo>
                                  <a:pt x="6528" y="12530"/>
                                </a:moveTo>
                                <a:lnTo>
                                  <a:pt x="6468" y="12530"/>
                                </a:lnTo>
                                <a:lnTo>
                                  <a:pt x="6468" y="12545"/>
                                </a:lnTo>
                                <a:lnTo>
                                  <a:pt x="6528" y="12545"/>
                                </a:lnTo>
                                <a:lnTo>
                                  <a:pt x="6528" y="12530"/>
                                </a:lnTo>
                                <a:moveTo>
                                  <a:pt x="6532" y="0"/>
                                </a:moveTo>
                                <a:lnTo>
                                  <a:pt x="6472" y="0"/>
                                </a:lnTo>
                                <a:lnTo>
                                  <a:pt x="6472" y="15"/>
                                </a:lnTo>
                                <a:lnTo>
                                  <a:pt x="6532" y="15"/>
                                </a:lnTo>
                                <a:lnTo>
                                  <a:pt x="6532" y="0"/>
                                </a:lnTo>
                                <a:moveTo>
                                  <a:pt x="6630" y="9367"/>
                                </a:moveTo>
                                <a:lnTo>
                                  <a:pt x="6570" y="9367"/>
                                </a:lnTo>
                                <a:lnTo>
                                  <a:pt x="6570" y="9382"/>
                                </a:lnTo>
                                <a:lnTo>
                                  <a:pt x="6630" y="9382"/>
                                </a:lnTo>
                                <a:lnTo>
                                  <a:pt x="6630" y="9367"/>
                                </a:lnTo>
                                <a:moveTo>
                                  <a:pt x="6633" y="12530"/>
                                </a:moveTo>
                                <a:lnTo>
                                  <a:pt x="6573" y="12530"/>
                                </a:lnTo>
                                <a:lnTo>
                                  <a:pt x="6573" y="12545"/>
                                </a:lnTo>
                                <a:lnTo>
                                  <a:pt x="6633" y="12545"/>
                                </a:lnTo>
                                <a:lnTo>
                                  <a:pt x="6633" y="12530"/>
                                </a:lnTo>
                                <a:moveTo>
                                  <a:pt x="6637" y="0"/>
                                </a:moveTo>
                                <a:lnTo>
                                  <a:pt x="6577" y="0"/>
                                </a:lnTo>
                                <a:lnTo>
                                  <a:pt x="6577" y="15"/>
                                </a:lnTo>
                                <a:lnTo>
                                  <a:pt x="6637" y="15"/>
                                </a:lnTo>
                                <a:lnTo>
                                  <a:pt x="6637" y="0"/>
                                </a:lnTo>
                                <a:moveTo>
                                  <a:pt x="6735" y="9367"/>
                                </a:moveTo>
                                <a:lnTo>
                                  <a:pt x="6675" y="9367"/>
                                </a:lnTo>
                                <a:lnTo>
                                  <a:pt x="6675" y="9382"/>
                                </a:lnTo>
                                <a:lnTo>
                                  <a:pt x="6735" y="9382"/>
                                </a:lnTo>
                                <a:lnTo>
                                  <a:pt x="6735" y="9367"/>
                                </a:lnTo>
                                <a:moveTo>
                                  <a:pt x="6738" y="12530"/>
                                </a:moveTo>
                                <a:lnTo>
                                  <a:pt x="6678" y="12530"/>
                                </a:lnTo>
                                <a:lnTo>
                                  <a:pt x="6678" y="12545"/>
                                </a:lnTo>
                                <a:lnTo>
                                  <a:pt x="6738" y="12545"/>
                                </a:lnTo>
                                <a:lnTo>
                                  <a:pt x="6738" y="12530"/>
                                </a:lnTo>
                                <a:moveTo>
                                  <a:pt x="6742" y="0"/>
                                </a:moveTo>
                                <a:lnTo>
                                  <a:pt x="6682" y="0"/>
                                </a:lnTo>
                                <a:lnTo>
                                  <a:pt x="6682" y="15"/>
                                </a:lnTo>
                                <a:lnTo>
                                  <a:pt x="6742" y="15"/>
                                </a:lnTo>
                                <a:lnTo>
                                  <a:pt x="6742" y="0"/>
                                </a:lnTo>
                                <a:moveTo>
                                  <a:pt x="6840" y="9367"/>
                                </a:moveTo>
                                <a:lnTo>
                                  <a:pt x="6780" y="9367"/>
                                </a:lnTo>
                                <a:lnTo>
                                  <a:pt x="6780" y="9382"/>
                                </a:lnTo>
                                <a:lnTo>
                                  <a:pt x="6840" y="9382"/>
                                </a:lnTo>
                                <a:lnTo>
                                  <a:pt x="6840" y="9367"/>
                                </a:lnTo>
                                <a:moveTo>
                                  <a:pt x="6843" y="12530"/>
                                </a:moveTo>
                                <a:lnTo>
                                  <a:pt x="6783" y="12530"/>
                                </a:lnTo>
                                <a:lnTo>
                                  <a:pt x="6783" y="12545"/>
                                </a:lnTo>
                                <a:lnTo>
                                  <a:pt x="6843" y="12545"/>
                                </a:lnTo>
                                <a:lnTo>
                                  <a:pt x="6843" y="12530"/>
                                </a:lnTo>
                                <a:moveTo>
                                  <a:pt x="6847" y="0"/>
                                </a:moveTo>
                                <a:lnTo>
                                  <a:pt x="6787" y="0"/>
                                </a:lnTo>
                                <a:lnTo>
                                  <a:pt x="6787" y="15"/>
                                </a:lnTo>
                                <a:lnTo>
                                  <a:pt x="6847" y="15"/>
                                </a:lnTo>
                                <a:lnTo>
                                  <a:pt x="6847" y="0"/>
                                </a:lnTo>
                                <a:moveTo>
                                  <a:pt x="6945" y="9367"/>
                                </a:moveTo>
                                <a:lnTo>
                                  <a:pt x="6885" y="9367"/>
                                </a:lnTo>
                                <a:lnTo>
                                  <a:pt x="6885" y="9382"/>
                                </a:lnTo>
                                <a:lnTo>
                                  <a:pt x="6945" y="9382"/>
                                </a:lnTo>
                                <a:lnTo>
                                  <a:pt x="6945" y="9367"/>
                                </a:lnTo>
                                <a:moveTo>
                                  <a:pt x="6948" y="12530"/>
                                </a:moveTo>
                                <a:lnTo>
                                  <a:pt x="6888" y="12530"/>
                                </a:lnTo>
                                <a:lnTo>
                                  <a:pt x="6888" y="12545"/>
                                </a:lnTo>
                                <a:lnTo>
                                  <a:pt x="6948" y="12545"/>
                                </a:lnTo>
                                <a:lnTo>
                                  <a:pt x="6948" y="12530"/>
                                </a:lnTo>
                                <a:moveTo>
                                  <a:pt x="6952" y="0"/>
                                </a:moveTo>
                                <a:lnTo>
                                  <a:pt x="6892" y="0"/>
                                </a:lnTo>
                                <a:lnTo>
                                  <a:pt x="6892" y="15"/>
                                </a:lnTo>
                                <a:lnTo>
                                  <a:pt x="6952" y="15"/>
                                </a:lnTo>
                                <a:lnTo>
                                  <a:pt x="6952" y="0"/>
                                </a:lnTo>
                                <a:moveTo>
                                  <a:pt x="7050" y="9367"/>
                                </a:moveTo>
                                <a:lnTo>
                                  <a:pt x="6990" y="9367"/>
                                </a:lnTo>
                                <a:lnTo>
                                  <a:pt x="6990" y="9382"/>
                                </a:lnTo>
                                <a:lnTo>
                                  <a:pt x="7050" y="9382"/>
                                </a:lnTo>
                                <a:lnTo>
                                  <a:pt x="7050" y="9367"/>
                                </a:lnTo>
                                <a:moveTo>
                                  <a:pt x="7053" y="12530"/>
                                </a:moveTo>
                                <a:lnTo>
                                  <a:pt x="6993" y="12530"/>
                                </a:lnTo>
                                <a:lnTo>
                                  <a:pt x="6993" y="12545"/>
                                </a:lnTo>
                                <a:lnTo>
                                  <a:pt x="7053" y="12545"/>
                                </a:lnTo>
                                <a:lnTo>
                                  <a:pt x="7053" y="12530"/>
                                </a:lnTo>
                                <a:moveTo>
                                  <a:pt x="7057" y="0"/>
                                </a:moveTo>
                                <a:lnTo>
                                  <a:pt x="6997" y="0"/>
                                </a:lnTo>
                                <a:lnTo>
                                  <a:pt x="6997" y="15"/>
                                </a:lnTo>
                                <a:lnTo>
                                  <a:pt x="7057" y="15"/>
                                </a:lnTo>
                                <a:lnTo>
                                  <a:pt x="7057" y="0"/>
                                </a:lnTo>
                                <a:moveTo>
                                  <a:pt x="7155" y="9367"/>
                                </a:moveTo>
                                <a:lnTo>
                                  <a:pt x="7095" y="9367"/>
                                </a:lnTo>
                                <a:lnTo>
                                  <a:pt x="7095" y="9382"/>
                                </a:lnTo>
                                <a:lnTo>
                                  <a:pt x="7155" y="9382"/>
                                </a:lnTo>
                                <a:lnTo>
                                  <a:pt x="7155" y="9367"/>
                                </a:lnTo>
                                <a:moveTo>
                                  <a:pt x="7158" y="12530"/>
                                </a:moveTo>
                                <a:lnTo>
                                  <a:pt x="7098" y="12530"/>
                                </a:lnTo>
                                <a:lnTo>
                                  <a:pt x="7098" y="12545"/>
                                </a:lnTo>
                                <a:lnTo>
                                  <a:pt x="7158" y="12545"/>
                                </a:lnTo>
                                <a:lnTo>
                                  <a:pt x="7158" y="12530"/>
                                </a:lnTo>
                                <a:moveTo>
                                  <a:pt x="7162" y="0"/>
                                </a:moveTo>
                                <a:lnTo>
                                  <a:pt x="7102" y="0"/>
                                </a:lnTo>
                                <a:lnTo>
                                  <a:pt x="7102" y="15"/>
                                </a:lnTo>
                                <a:lnTo>
                                  <a:pt x="7162" y="15"/>
                                </a:lnTo>
                                <a:lnTo>
                                  <a:pt x="7162" y="0"/>
                                </a:lnTo>
                                <a:moveTo>
                                  <a:pt x="7260" y="9367"/>
                                </a:moveTo>
                                <a:lnTo>
                                  <a:pt x="7200" y="9367"/>
                                </a:lnTo>
                                <a:lnTo>
                                  <a:pt x="7200" y="9382"/>
                                </a:lnTo>
                                <a:lnTo>
                                  <a:pt x="7260" y="9382"/>
                                </a:lnTo>
                                <a:lnTo>
                                  <a:pt x="7260" y="9367"/>
                                </a:lnTo>
                                <a:moveTo>
                                  <a:pt x="7263" y="12530"/>
                                </a:moveTo>
                                <a:lnTo>
                                  <a:pt x="7203" y="12530"/>
                                </a:lnTo>
                                <a:lnTo>
                                  <a:pt x="7203" y="12545"/>
                                </a:lnTo>
                                <a:lnTo>
                                  <a:pt x="7263" y="12545"/>
                                </a:lnTo>
                                <a:lnTo>
                                  <a:pt x="7263" y="12530"/>
                                </a:lnTo>
                                <a:moveTo>
                                  <a:pt x="7267" y="0"/>
                                </a:moveTo>
                                <a:lnTo>
                                  <a:pt x="7207" y="0"/>
                                </a:lnTo>
                                <a:lnTo>
                                  <a:pt x="7207" y="15"/>
                                </a:lnTo>
                                <a:lnTo>
                                  <a:pt x="7267" y="15"/>
                                </a:lnTo>
                                <a:lnTo>
                                  <a:pt x="7267" y="0"/>
                                </a:lnTo>
                                <a:moveTo>
                                  <a:pt x="7365" y="9367"/>
                                </a:moveTo>
                                <a:lnTo>
                                  <a:pt x="7305" y="9367"/>
                                </a:lnTo>
                                <a:lnTo>
                                  <a:pt x="7305" y="9382"/>
                                </a:lnTo>
                                <a:lnTo>
                                  <a:pt x="7365" y="9382"/>
                                </a:lnTo>
                                <a:lnTo>
                                  <a:pt x="7365" y="9367"/>
                                </a:lnTo>
                                <a:moveTo>
                                  <a:pt x="7368" y="12530"/>
                                </a:moveTo>
                                <a:lnTo>
                                  <a:pt x="7308" y="12530"/>
                                </a:lnTo>
                                <a:lnTo>
                                  <a:pt x="7308" y="12545"/>
                                </a:lnTo>
                                <a:lnTo>
                                  <a:pt x="7368" y="12545"/>
                                </a:lnTo>
                                <a:lnTo>
                                  <a:pt x="7368" y="12530"/>
                                </a:lnTo>
                                <a:moveTo>
                                  <a:pt x="7372" y="0"/>
                                </a:moveTo>
                                <a:lnTo>
                                  <a:pt x="7312" y="0"/>
                                </a:lnTo>
                                <a:lnTo>
                                  <a:pt x="7312" y="15"/>
                                </a:lnTo>
                                <a:lnTo>
                                  <a:pt x="7372" y="15"/>
                                </a:lnTo>
                                <a:lnTo>
                                  <a:pt x="7372" y="0"/>
                                </a:lnTo>
                                <a:moveTo>
                                  <a:pt x="7470" y="9367"/>
                                </a:moveTo>
                                <a:lnTo>
                                  <a:pt x="7410" y="9367"/>
                                </a:lnTo>
                                <a:lnTo>
                                  <a:pt x="7410" y="9382"/>
                                </a:lnTo>
                                <a:lnTo>
                                  <a:pt x="7470" y="9382"/>
                                </a:lnTo>
                                <a:lnTo>
                                  <a:pt x="7470" y="9367"/>
                                </a:lnTo>
                                <a:moveTo>
                                  <a:pt x="7473" y="12530"/>
                                </a:moveTo>
                                <a:lnTo>
                                  <a:pt x="7413" y="12530"/>
                                </a:lnTo>
                                <a:lnTo>
                                  <a:pt x="7413" y="12545"/>
                                </a:lnTo>
                                <a:lnTo>
                                  <a:pt x="7473" y="12545"/>
                                </a:lnTo>
                                <a:lnTo>
                                  <a:pt x="7473" y="12530"/>
                                </a:lnTo>
                                <a:moveTo>
                                  <a:pt x="7477" y="0"/>
                                </a:moveTo>
                                <a:lnTo>
                                  <a:pt x="7417" y="0"/>
                                </a:lnTo>
                                <a:lnTo>
                                  <a:pt x="7417" y="15"/>
                                </a:lnTo>
                                <a:lnTo>
                                  <a:pt x="7477" y="15"/>
                                </a:lnTo>
                                <a:lnTo>
                                  <a:pt x="7477" y="0"/>
                                </a:lnTo>
                                <a:moveTo>
                                  <a:pt x="7575" y="9367"/>
                                </a:moveTo>
                                <a:lnTo>
                                  <a:pt x="7515" y="9367"/>
                                </a:lnTo>
                                <a:lnTo>
                                  <a:pt x="7515" y="9382"/>
                                </a:lnTo>
                                <a:lnTo>
                                  <a:pt x="7575" y="9382"/>
                                </a:lnTo>
                                <a:lnTo>
                                  <a:pt x="7575" y="9367"/>
                                </a:lnTo>
                                <a:moveTo>
                                  <a:pt x="7578" y="12530"/>
                                </a:moveTo>
                                <a:lnTo>
                                  <a:pt x="7518" y="12530"/>
                                </a:lnTo>
                                <a:lnTo>
                                  <a:pt x="7518" y="12545"/>
                                </a:lnTo>
                                <a:lnTo>
                                  <a:pt x="7578" y="12545"/>
                                </a:lnTo>
                                <a:lnTo>
                                  <a:pt x="7578" y="12530"/>
                                </a:lnTo>
                                <a:moveTo>
                                  <a:pt x="7582" y="0"/>
                                </a:moveTo>
                                <a:lnTo>
                                  <a:pt x="7522" y="0"/>
                                </a:lnTo>
                                <a:lnTo>
                                  <a:pt x="7522" y="15"/>
                                </a:lnTo>
                                <a:lnTo>
                                  <a:pt x="7582" y="15"/>
                                </a:lnTo>
                                <a:lnTo>
                                  <a:pt x="7582" y="0"/>
                                </a:lnTo>
                                <a:moveTo>
                                  <a:pt x="7680" y="9367"/>
                                </a:moveTo>
                                <a:lnTo>
                                  <a:pt x="7620" y="9367"/>
                                </a:lnTo>
                                <a:lnTo>
                                  <a:pt x="7620" y="9382"/>
                                </a:lnTo>
                                <a:lnTo>
                                  <a:pt x="7680" y="9382"/>
                                </a:lnTo>
                                <a:lnTo>
                                  <a:pt x="7680" y="9367"/>
                                </a:lnTo>
                                <a:moveTo>
                                  <a:pt x="7683" y="12530"/>
                                </a:moveTo>
                                <a:lnTo>
                                  <a:pt x="7623" y="12530"/>
                                </a:lnTo>
                                <a:lnTo>
                                  <a:pt x="7623" y="12545"/>
                                </a:lnTo>
                                <a:lnTo>
                                  <a:pt x="7683" y="12545"/>
                                </a:lnTo>
                                <a:lnTo>
                                  <a:pt x="7683" y="12530"/>
                                </a:lnTo>
                                <a:moveTo>
                                  <a:pt x="7687" y="0"/>
                                </a:moveTo>
                                <a:lnTo>
                                  <a:pt x="7627" y="0"/>
                                </a:lnTo>
                                <a:lnTo>
                                  <a:pt x="7627" y="15"/>
                                </a:lnTo>
                                <a:lnTo>
                                  <a:pt x="7687" y="15"/>
                                </a:lnTo>
                                <a:lnTo>
                                  <a:pt x="7687" y="0"/>
                                </a:lnTo>
                                <a:moveTo>
                                  <a:pt x="7785" y="9367"/>
                                </a:moveTo>
                                <a:lnTo>
                                  <a:pt x="7725" y="9367"/>
                                </a:lnTo>
                                <a:lnTo>
                                  <a:pt x="7725" y="9382"/>
                                </a:lnTo>
                                <a:lnTo>
                                  <a:pt x="7785" y="9382"/>
                                </a:lnTo>
                                <a:lnTo>
                                  <a:pt x="7785" y="9367"/>
                                </a:lnTo>
                                <a:moveTo>
                                  <a:pt x="7788" y="12530"/>
                                </a:moveTo>
                                <a:lnTo>
                                  <a:pt x="7728" y="12530"/>
                                </a:lnTo>
                                <a:lnTo>
                                  <a:pt x="7728" y="12545"/>
                                </a:lnTo>
                                <a:lnTo>
                                  <a:pt x="7788" y="12545"/>
                                </a:lnTo>
                                <a:lnTo>
                                  <a:pt x="7788" y="12530"/>
                                </a:lnTo>
                                <a:moveTo>
                                  <a:pt x="7792" y="0"/>
                                </a:moveTo>
                                <a:lnTo>
                                  <a:pt x="7732" y="0"/>
                                </a:lnTo>
                                <a:lnTo>
                                  <a:pt x="7732" y="15"/>
                                </a:lnTo>
                                <a:lnTo>
                                  <a:pt x="7792" y="15"/>
                                </a:lnTo>
                                <a:lnTo>
                                  <a:pt x="7792" y="0"/>
                                </a:lnTo>
                                <a:moveTo>
                                  <a:pt x="7890" y="9367"/>
                                </a:moveTo>
                                <a:lnTo>
                                  <a:pt x="7830" y="9367"/>
                                </a:lnTo>
                                <a:lnTo>
                                  <a:pt x="7830" y="9382"/>
                                </a:lnTo>
                                <a:lnTo>
                                  <a:pt x="7890" y="9382"/>
                                </a:lnTo>
                                <a:lnTo>
                                  <a:pt x="7890" y="9367"/>
                                </a:lnTo>
                                <a:moveTo>
                                  <a:pt x="7893" y="12530"/>
                                </a:moveTo>
                                <a:lnTo>
                                  <a:pt x="7833" y="12530"/>
                                </a:lnTo>
                                <a:lnTo>
                                  <a:pt x="7833" y="12545"/>
                                </a:lnTo>
                                <a:lnTo>
                                  <a:pt x="7893" y="12545"/>
                                </a:lnTo>
                                <a:lnTo>
                                  <a:pt x="7893" y="12530"/>
                                </a:lnTo>
                                <a:moveTo>
                                  <a:pt x="7897" y="0"/>
                                </a:moveTo>
                                <a:lnTo>
                                  <a:pt x="7837" y="0"/>
                                </a:lnTo>
                                <a:lnTo>
                                  <a:pt x="7837" y="15"/>
                                </a:lnTo>
                                <a:lnTo>
                                  <a:pt x="7897" y="15"/>
                                </a:lnTo>
                                <a:lnTo>
                                  <a:pt x="7897" y="0"/>
                                </a:lnTo>
                                <a:moveTo>
                                  <a:pt x="7995" y="9367"/>
                                </a:moveTo>
                                <a:lnTo>
                                  <a:pt x="7935" y="9367"/>
                                </a:lnTo>
                                <a:lnTo>
                                  <a:pt x="7935" y="9382"/>
                                </a:lnTo>
                                <a:lnTo>
                                  <a:pt x="7995" y="9382"/>
                                </a:lnTo>
                                <a:lnTo>
                                  <a:pt x="7995" y="9367"/>
                                </a:lnTo>
                                <a:moveTo>
                                  <a:pt x="7998" y="12530"/>
                                </a:moveTo>
                                <a:lnTo>
                                  <a:pt x="7938" y="12530"/>
                                </a:lnTo>
                                <a:lnTo>
                                  <a:pt x="7938" y="12545"/>
                                </a:lnTo>
                                <a:lnTo>
                                  <a:pt x="7998" y="12545"/>
                                </a:lnTo>
                                <a:lnTo>
                                  <a:pt x="7998" y="12530"/>
                                </a:lnTo>
                                <a:moveTo>
                                  <a:pt x="8002" y="0"/>
                                </a:moveTo>
                                <a:lnTo>
                                  <a:pt x="7942" y="0"/>
                                </a:lnTo>
                                <a:lnTo>
                                  <a:pt x="7942" y="15"/>
                                </a:lnTo>
                                <a:lnTo>
                                  <a:pt x="8002" y="15"/>
                                </a:lnTo>
                                <a:lnTo>
                                  <a:pt x="8002" y="0"/>
                                </a:lnTo>
                                <a:moveTo>
                                  <a:pt x="8100" y="9367"/>
                                </a:moveTo>
                                <a:lnTo>
                                  <a:pt x="8040" y="9367"/>
                                </a:lnTo>
                                <a:lnTo>
                                  <a:pt x="8040" y="9382"/>
                                </a:lnTo>
                                <a:lnTo>
                                  <a:pt x="8100" y="9382"/>
                                </a:lnTo>
                                <a:lnTo>
                                  <a:pt x="8100" y="9367"/>
                                </a:lnTo>
                                <a:moveTo>
                                  <a:pt x="8103" y="12530"/>
                                </a:moveTo>
                                <a:lnTo>
                                  <a:pt x="8043" y="12530"/>
                                </a:lnTo>
                                <a:lnTo>
                                  <a:pt x="8043" y="12545"/>
                                </a:lnTo>
                                <a:lnTo>
                                  <a:pt x="8103" y="12545"/>
                                </a:lnTo>
                                <a:lnTo>
                                  <a:pt x="8103" y="12530"/>
                                </a:lnTo>
                                <a:moveTo>
                                  <a:pt x="8107" y="0"/>
                                </a:moveTo>
                                <a:lnTo>
                                  <a:pt x="8047" y="0"/>
                                </a:lnTo>
                                <a:lnTo>
                                  <a:pt x="8047" y="15"/>
                                </a:lnTo>
                                <a:lnTo>
                                  <a:pt x="8107" y="15"/>
                                </a:lnTo>
                                <a:lnTo>
                                  <a:pt x="8107" y="0"/>
                                </a:lnTo>
                                <a:moveTo>
                                  <a:pt x="8205" y="9367"/>
                                </a:moveTo>
                                <a:lnTo>
                                  <a:pt x="8145" y="9367"/>
                                </a:lnTo>
                                <a:lnTo>
                                  <a:pt x="8145" y="9382"/>
                                </a:lnTo>
                                <a:lnTo>
                                  <a:pt x="8205" y="9382"/>
                                </a:lnTo>
                                <a:lnTo>
                                  <a:pt x="8205" y="9367"/>
                                </a:lnTo>
                                <a:moveTo>
                                  <a:pt x="8208" y="12530"/>
                                </a:moveTo>
                                <a:lnTo>
                                  <a:pt x="8148" y="12530"/>
                                </a:lnTo>
                                <a:lnTo>
                                  <a:pt x="8148" y="12545"/>
                                </a:lnTo>
                                <a:lnTo>
                                  <a:pt x="8208" y="12545"/>
                                </a:lnTo>
                                <a:lnTo>
                                  <a:pt x="8208" y="12530"/>
                                </a:lnTo>
                                <a:moveTo>
                                  <a:pt x="8212" y="0"/>
                                </a:moveTo>
                                <a:lnTo>
                                  <a:pt x="8152" y="0"/>
                                </a:lnTo>
                                <a:lnTo>
                                  <a:pt x="8152" y="15"/>
                                </a:lnTo>
                                <a:lnTo>
                                  <a:pt x="8212" y="15"/>
                                </a:lnTo>
                                <a:lnTo>
                                  <a:pt x="8212" y="0"/>
                                </a:lnTo>
                                <a:moveTo>
                                  <a:pt x="8310" y="9367"/>
                                </a:moveTo>
                                <a:lnTo>
                                  <a:pt x="8250" y="9367"/>
                                </a:lnTo>
                                <a:lnTo>
                                  <a:pt x="8250" y="9382"/>
                                </a:lnTo>
                                <a:lnTo>
                                  <a:pt x="8310" y="9382"/>
                                </a:lnTo>
                                <a:lnTo>
                                  <a:pt x="8310" y="9367"/>
                                </a:lnTo>
                                <a:moveTo>
                                  <a:pt x="8313" y="12530"/>
                                </a:moveTo>
                                <a:lnTo>
                                  <a:pt x="8253" y="12530"/>
                                </a:lnTo>
                                <a:lnTo>
                                  <a:pt x="8253" y="12545"/>
                                </a:lnTo>
                                <a:lnTo>
                                  <a:pt x="8313" y="12545"/>
                                </a:lnTo>
                                <a:lnTo>
                                  <a:pt x="8313" y="12530"/>
                                </a:lnTo>
                                <a:moveTo>
                                  <a:pt x="8317" y="0"/>
                                </a:moveTo>
                                <a:lnTo>
                                  <a:pt x="8257" y="0"/>
                                </a:lnTo>
                                <a:lnTo>
                                  <a:pt x="8257" y="15"/>
                                </a:lnTo>
                                <a:lnTo>
                                  <a:pt x="8317" y="15"/>
                                </a:lnTo>
                                <a:lnTo>
                                  <a:pt x="8317" y="0"/>
                                </a:lnTo>
                                <a:moveTo>
                                  <a:pt x="8415" y="9367"/>
                                </a:moveTo>
                                <a:lnTo>
                                  <a:pt x="8355" y="9367"/>
                                </a:lnTo>
                                <a:lnTo>
                                  <a:pt x="8355" y="9382"/>
                                </a:lnTo>
                                <a:lnTo>
                                  <a:pt x="8415" y="9382"/>
                                </a:lnTo>
                                <a:lnTo>
                                  <a:pt x="8415" y="9367"/>
                                </a:lnTo>
                                <a:moveTo>
                                  <a:pt x="8418" y="12530"/>
                                </a:moveTo>
                                <a:lnTo>
                                  <a:pt x="8358" y="12530"/>
                                </a:lnTo>
                                <a:lnTo>
                                  <a:pt x="8358" y="12545"/>
                                </a:lnTo>
                                <a:lnTo>
                                  <a:pt x="8418" y="12545"/>
                                </a:lnTo>
                                <a:lnTo>
                                  <a:pt x="8418" y="12530"/>
                                </a:lnTo>
                                <a:moveTo>
                                  <a:pt x="8422" y="0"/>
                                </a:moveTo>
                                <a:lnTo>
                                  <a:pt x="8362" y="0"/>
                                </a:lnTo>
                                <a:lnTo>
                                  <a:pt x="8362" y="15"/>
                                </a:lnTo>
                                <a:lnTo>
                                  <a:pt x="8422" y="15"/>
                                </a:lnTo>
                                <a:lnTo>
                                  <a:pt x="8422" y="0"/>
                                </a:lnTo>
                                <a:moveTo>
                                  <a:pt x="8429" y="12436"/>
                                </a:moveTo>
                                <a:lnTo>
                                  <a:pt x="8414" y="12436"/>
                                </a:lnTo>
                                <a:lnTo>
                                  <a:pt x="8414" y="12496"/>
                                </a:lnTo>
                                <a:lnTo>
                                  <a:pt x="8429" y="12496"/>
                                </a:lnTo>
                                <a:lnTo>
                                  <a:pt x="8429" y="12436"/>
                                </a:lnTo>
                                <a:moveTo>
                                  <a:pt x="8429" y="12331"/>
                                </a:moveTo>
                                <a:lnTo>
                                  <a:pt x="8414" y="12331"/>
                                </a:lnTo>
                                <a:lnTo>
                                  <a:pt x="8414" y="12391"/>
                                </a:lnTo>
                                <a:lnTo>
                                  <a:pt x="8429" y="12391"/>
                                </a:lnTo>
                                <a:lnTo>
                                  <a:pt x="8429" y="12331"/>
                                </a:lnTo>
                                <a:moveTo>
                                  <a:pt x="8429" y="12226"/>
                                </a:moveTo>
                                <a:lnTo>
                                  <a:pt x="8414" y="12226"/>
                                </a:lnTo>
                                <a:lnTo>
                                  <a:pt x="8414" y="12286"/>
                                </a:lnTo>
                                <a:lnTo>
                                  <a:pt x="8429" y="12286"/>
                                </a:lnTo>
                                <a:lnTo>
                                  <a:pt x="8429" y="12226"/>
                                </a:lnTo>
                                <a:moveTo>
                                  <a:pt x="8429" y="12121"/>
                                </a:moveTo>
                                <a:lnTo>
                                  <a:pt x="8414" y="12121"/>
                                </a:lnTo>
                                <a:lnTo>
                                  <a:pt x="8414" y="12181"/>
                                </a:lnTo>
                                <a:lnTo>
                                  <a:pt x="8429" y="12181"/>
                                </a:lnTo>
                                <a:lnTo>
                                  <a:pt x="8429" y="12121"/>
                                </a:lnTo>
                                <a:moveTo>
                                  <a:pt x="8429" y="12016"/>
                                </a:moveTo>
                                <a:lnTo>
                                  <a:pt x="8414" y="12016"/>
                                </a:lnTo>
                                <a:lnTo>
                                  <a:pt x="8414" y="12076"/>
                                </a:lnTo>
                                <a:lnTo>
                                  <a:pt x="8429" y="12076"/>
                                </a:lnTo>
                                <a:lnTo>
                                  <a:pt x="8429" y="12016"/>
                                </a:lnTo>
                                <a:moveTo>
                                  <a:pt x="8429" y="11911"/>
                                </a:moveTo>
                                <a:lnTo>
                                  <a:pt x="8414" y="11911"/>
                                </a:lnTo>
                                <a:lnTo>
                                  <a:pt x="8414" y="11971"/>
                                </a:lnTo>
                                <a:lnTo>
                                  <a:pt x="8429" y="11971"/>
                                </a:lnTo>
                                <a:lnTo>
                                  <a:pt x="8429" y="11911"/>
                                </a:lnTo>
                                <a:moveTo>
                                  <a:pt x="8429" y="11806"/>
                                </a:moveTo>
                                <a:lnTo>
                                  <a:pt x="8414" y="11806"/>
                                </a:lnTo>
                                <a:lnTo>
                                  <a:pt x="8414" y="11866"/>
                                </a:lnTo>
                                <a:lnTo>
                                  <a:pt x="8429" y="11866"/>
                                </a:lnTo>
                                <a:lnTo>
                                  <a:pt x="8429" y="11806"/>
                                </a:lnTo>
                                <a:moveTo>
                                  <a:pt x="8429" y="11701"/>
                                </a:moveTo>
                                <a:lnTo>
                                  <a:pt x="8414" y="11701"/>
                                </a:lnTo>
                                <a:lnTo>
                                  <a:pt x="8414" y="11761"/>
                                </a:lnTo>
                                <a:lnTo>
                                  <a:pt x="8429" y="11761"/>
                                </a:lnTo>
                                <a:lnTo>
                                  <a:pt x="8429" y="11701"/>
                                </a:lnTo>
                                <a:moveTo>
                                  <a:pt x="8429" y="11596"/>
                                </a:moveTo>
                                <a:lnTo>
                                  <a:pt x="8414" y="11596"/>
                                </a:lnTo>
                                <a:lnTo>
                                  <a:pt x="8414" y="11656"/>
                                </a:lnTo>
                                <a:lnTo>
                                  <a:pt x="8429" y="11656"/>
                                </a:lnTo>
                                <a:lnTo>
                                  <a:pt x="8429" y="11596"/>
                                </a:lnTo>
                                <a:moveTo>
                                  <a:pt x="8429" y="11491"/>
                                </a:moveTo>
                                <a:lnTo>
                                  <a:pt x="8414" y="11491"/>
                                </a:lnTo>
                                <a:lnTo>
                                  <a:pt x="8414" y="11551"/>
                                </a:lnTo>
                                <a:lnTo>
                                  <a:pt x="8429" y="11551"/>
                                </a:lnTo>
                                <a:lnTo>
                                  <a:pt x="8429" y="11491"/>
                                </a:lnTo>
                                <a:moveTo>
                                  <a:pt x="8429" y="11386"/>
                                </a:moveTo>
                                <a:lnTo>
                                  <a:pt x="8414" y="11386"/>
                                </a:lnTo>
                                <a:lnTo>
                                  <a:pt x="8414" y="11446"/>
                                </a:lnTo>
                                <a:lnTo>
                                  <a:pt x="8429" y="11446"/>
                                </a:lnTo>
                                <a:lnTo>
                                  <a:pt x="8429" y="11386"/>
                                </a:lnTo>
                                <a:moveTo>
                                  <a:pt x="8429" y="11281"/>
                                </a:moveTo>
                                <a:lnTo>
                                  <a:pt x="8414" y="11281"/>
                                </a:lnTo>
                                <a:lnTo>
                                  <a:pt x="8414" y="11341"/>
                                </a:lnTo>
                                <a:lnTo>
                                  <a:pt x="8429" y="11341"/>
                                </a:lnTo>
                                <a:lnTo>
                                  <a:pt x="8429" y="11281"/>
                                </a:lnTo>
                                <a:moveTo>
                                  <a:pt x="8429" y="11176"/>
                                </a:moveTo>
                                <a:lnTo>
                                  <a:pt x="8414" y="11176"/>
                                </a:lnTo>
                                <a:lnTo>
                                  <a:pt x="8414" y="11236"/>
                                </a:lnTo>
                                <a:lnTo>
                                  <a:pt x="8429" y="11236"/>
                                </a:lnTo>
                                <a:lnTo>
                                  <a:pt x="8429" y="11176"/>
                                </a:lnTo>
                                <a:moveTo>
                                  <a:pt x="8429" y="11071"/>
                                </a:moveTo>
                                <a:lnTo>
                                  <a:pt x="8414" y="11071"/>
                                </a:lnTo>
                                <a:lnTo>
                                  <a:pt x="8414" y="11131"/>
                                </a:lnTo>
                                <a:lnTo>
                                  <a:pt x="8429" y="11131"/>
                                </a:lnTo>
                                <a:lnTo>
                                  <a:pt x="8429" y="11071"/>
                                </a:lnTo>
                                <a:moveTo>
                                  <a:pt x="8429" y="10966"/>
                                </a:moveTo>
                                <a:lnTo>
                                  <a:pt x="8414" y="10966"/>
                                </a:lnTo>
                                <a:lnTo>
                                  <a:pt x="8414" y="11026"/>
                                </a:lnTo>
                                <a:lnTo>
                                  <a:pt x="8429" y="11026"/>
                                </a:lnTo>
                                <a:lnTo>
                                  <a:pt x="8429" y="10966"/>
                                </a:lnTo>
                                <a:moveTo>
                                  <a:pt x="8429" y="10861"/>
                                </a:moveTo>
                                <a:lnTo>
                                  <a:pt x="8414" y="10861"/>
                                </a:lnTo>
                                <a:lnTo>
                                  <a:pt x="8414" y="10921"/>
                                </a:lnTo>
                                <a:lnTo>
                                  <a:pt x="8429" y="10921"/>
                                </a:lnTo>
                                <a:lnTo>
                                  <a:pt x="8429" y="10861"/>
                                </a:lnTo>
                                <a:moveTo>
                                  <a:pt x="8429" y="10756"/>
                                </a:moveTo>
                                <a:lnTo>
                                  <a:pt x="8414" y="10756"/>
                                </a:lnTo>
                                <a:lnTo>
                                  <a:pt x="8414" y="10816"/>
                                </a:lnTo>
                                <a:lnTo>
                                  <a:pt x="8429" y="10816"/>
                                </a:lnTo>
                                <a:lnTo>
                                  <a:pt x="8429" y="10756"/>
                                </a:lnTo>
                                <a:moveTo>
                                  <a:pt x="8429" y="10651"/>
                                </a:moveTo>
                                <a:lnTo>
                                  <a:pt x="8414" y="10651"/>
                                </a:lnTo>
                                <a:lnTo>
                                  <a:pt x="8414" y="10711"/>
                                </a:lnTo>
                                <a:lnTo>
                                  <a:pt x="8429" y="10711"/>
                                </a:lnTo>
                                <a:lnTo>
                                  <a:pt x="8429" y="10651"/>
                                </a:lnTo>
                                <a:moveTo>
                                  <a:pt x="8429" y="10546"/>
                                </a:moveTo>
                                <a:lnTo>
                                  <a:pt x="8414" y="10546"/>
                                </a:lnTo>
                                <a:lnTo>
                                  <a:pt x="8414" y="10606"/>
                                </a:lnTo>
                                <a:lnTo>
                                  <a:pt x="8429" y="10606"/>
                                </a:lnTo>
                                <a:lnTo>
                                  <a:pt x="8429" y="10546"/>
                                </a:lnTo>
                                <a:moveTo>
                                  <a:pt x="8429" y="10441"/>
                                </a:moveTo>
                                <a:lnTo>
                                  <a:pt x="8414" y="10441"/>
                                </a:lnTo>
                                <a:lnTo>
                                  <a:pt x="8414" y="10501"/>
                                </a:lnTo>
                                <a:lnTo>
                                  <a:pt x="8429" y="10501"/>
                                </a:lnTo>
                                <a:lnTo>
                                  <a:pt x="8429" y="10441"/>
                                </a:lnTo>
                                <a:moveTo>
                                  <a:pt x="8429" y="10336"/>
                                </a:moveTo>
                                <a:lnTo>
                                  <a:pt x="8414" y="10336"/>
                                </a:lnTo>
                                <a:lnTo>
                                  <a:pt x="8414" y="10396"/>
                                </a:lnTo>
                                <a:lnTo>
                                  <a:pt x="8429" y="10396"/>
                                </a:lnTo>
                                <a:lnTo>
                                  <a:pt x="8429" y="10336"/>
                                </a:lnTo>
                                <a:moveTo>
                                  <a:pt x="8429" y="10231"/>
                                </a:moveTo>
                                <a:lnTo>
                                  <a:pt x="8414" y="10231"/>
                                </a:lnTo>
                                <a:lnTo>
                                  <a:pt x="8414" y="10291"/>
                                </a:lnTo>
                                <a:lnTo>
                                  <a:pt x="8429" y="10291"/>
                                </a:lnTo>
                                <a:lnTo>
                                  <a:pt x="8429" y="10231"/>
                                </a:lnTo>
                                <a:moveTo>
                                  <a:pt x="8429" y="10126"/>
                                </a:moveTo>
                                <a:lnTo>
                                  <a:pt x="8414" y="10126"/>
                                </a:lnTo>
                                <a:lnTo>
                                  <a:pt x="8414" y="10186"/>
                                </a:lnTo>
                                <a:lnTo>
                                  <a:pt x="8429" y="10186"/>
                                </a:lnTo>
                                <a:lnTo>
                                  <a:pt x="8429" y="10126"/>
                                </a:lnTo>
                                <a:moveTo>
                                  <a:pt x="8429" y="10021"/>
                                </a:moveTo>
                                <a:lnTo>
                                  <a:pt x="8414" y="10021"/>
                                </a:lnTo>
                                <a:lnTo>
                                  <a:pt x="8414" y="10081"/>
                                </a:lnTo>
                                <a:lnTo>
                                  <a:pt x="8429" y="10081"/>
                                </a:lnTo>
                                <a:lnTo>
                                  <a:pt x="8429" y="10021"/>
                                </a:lnTo>
                                <a:moveTo>
                                  <a:pt x="8429" y="9916"/>
                                </a:moveTo>
                                <a:lnTo>
                                  <a:pt x="8414" y="9916"/>
                                </a:lnTo>
                                <a:lnTo>
                                  <a:pt x="8414" y="9976"/>
                                </a:lnTo>
                                <a:lnTo>
                                  <a:pt x="8429" y="9976"/>
                                </a:lnTo>
                                <a:lnTo>
                                  <a:pt x="8429" y="9916"/>
                                </a:lnTo>
                                <a:moveTo>
                                  <a:pt x="8429" y="9811"/>
                                </a:moveTo>
                                <a:lnTo>
                                  <a:pt x="8414" y="9811"/>
                                </a:lnTo>
                                <a:lnTo>
                                  <a:pt x="8414" y="9871"/>
                                </a:lnTo>
                                <a:lnTo>
                                  <a:pt x="8429" y="9871"/>
                                </a:lnTo>
                                <a:lnTo>
                                  <a:pt x="8429" y="9811"/>
                                </a:lnTo>
                                <a:moveTo>
                                  <a:pt x="8429" y="9706"/>
                                </a:moveTo>
                                <a:lnTo>
                                  <a:pt x="8414" y="9706"/>
                                </a:lnTo>
                                <a:lnTo>
                                  <a:pt x="8414" y="9766"/>
                                </a:lnTo>
                                <a:lnTo>
                                  <a:pt x="8429" y="9766"/>
                                </a:lnTo>
                                <a:lnTo>
                                  <a:pt x="8429" y="9706"/>
                                </a:lnTo>
                                <a:moveTo>
                                  <a:pt x="8429" y="9601"/>
                                </a:moveTo>
                                <a:lnTo>
                                  <a:pt x="8414" y="9601"/>
                                </a:lnTo>
                                <a:lnTo>
                                  <a:pt x="8414" y="9661"/>
                                </a:lnTo>
                                <a:lnTo>
                                  <a:pt x="8429" y="9661"/>
                                </a:lnTo>
                                <a:lnTo>
                                  <a:pt x="8429" y="9601"/>
                                </a:lnTo>
                                <a:moveTo>
                                  <a:pt x="8429" y="9496"/>
                                </a:moveTo>
                                <a:lnTo>
                                  <a:pt x="8414" y="9496"/>
                                </a:lnTo>
                                <a:lnTo>
                                  <a:pt x="8414" y="9556"/>
                                </a:lnTo>
                                <a:lnTo>
                                  <a:pt x="8429" y="9556"/>
                                </a:lnTo>
                                <a:lnTo>
                                  <a:pt x="8429" y="9496"/>
                                </a:lnTo>
                                <a:moveTo>
                                  <a:pt x="8429" y="9391"/>
                                </a:moveTo>
                                <a:lnTo>
                                  <a:pt x="8414" y="9391"/>
                                </a:lnTo>
                                <a:lnTo>
                                  <a:pt x="8414" y="9451"/>
                                </a:lnTo>
                                <a:lnTo>
                                  <a:pt x="8429" y="9451"/>
                                </a:lnTo>
                                <a:lnTo>
                                  <a:pt x="8429" y="9391"/>
                                </a:lnTo>
                                <a:moveTo>
                                  <a:pt x="8429" y="9286"/>
                                </a:moveTo>
                                <a:lnTo>
                                  <a:pt x="8414" y="9286"/>
                                </a:lnTo>
                                <a:lnTo>
                                  <a:pt x="8414" y="9346"/>
                                </a:lnTo>
                                <a:lnTo>
                                  <a:pt x="8429" y="9346"/>
                                </a:lnTo>
                                <a:lnTo>
                                  <a:pt x="8429" y="9286"/>
                                </a:lnTo>
                                <a:moveTo>
                                  <a:pt x="8429" y="9181"/>
                                </a:moveTo>
                                <a:lnTo>
                                  <a:pt x="8414" y="9181"/>
                                </a:lnTo>
                                <a:lnTo>
                                  <a:pt x="8414" y="9241"/>
                                </a:lnTo>
                                <a:lnTo>
                                  <a:pt x="8429" y="9241"/>
                                </a:lnTo>
                                <a:lnTo>
                                  <a:pt x="8429" y="9181"/>
                                </a:lnTo>
                                <a:moveTo>
                                  <a:pt x="8429" y="9076"/>
                                </a:moveTo>
                                <a:lnTo>
                                  <a:pt x="8414" y="9076"/>
                                </a:lnTo>
                                <a:lnTo>
                                  <a:pt x="8414" y="9136"/>
                                </a:lnTo>
                                <a:lnTo>
                                  <a:pt x="8429" y="9136"/>
                                </a:lnTo>
                                <a:lnTo>
                                  <a:pt x="8429" y="9076"/>
                                </a:lnTo>
                                <a:moveTo>
                                  <a:pt x="8429" y="8971"/>
                                </a:moveTo>
                                <a:lnTo>
                                  <a:pt x="8414" y="8971"/>
                                </a:lnTo>
                                <a:lnTo>
                                  <a:pt x="8414" y="9031"/>
                                </a:lnTo>
                                <a:lnTo>
                                  <a:pt x="8429" y="9031"/>
                                </a:lnTo>
                                <a:lnTo>
                                  <a:pt x="8429" y="8971"/>
                                </a:lnTo>
                                <a:moveTo>
                                  <a:pt x="8429" y="8866"/>
                                </a:moveTo>
                                <a:lnTo>
                                  <a:pt x="8414" y="8866"/>
                                </a:lnTo>
                                <a:lnTo>
                                  <a:pt x="8414" y="8926"/>
                                </a:lnTo>
                                <a:lnTo>
                                  <a:pt x="8429" y="8926"/>
                                </a:lnTo>
                                <a:lnTo>
                                  <a:pt x="8429" y="8866"/>
                                </a:lnTo>
                                <a:moveTo>
                                  <a:pt x="8429" y="8761"/>
                                </a:moveTo>
                                <a:lnTo>
                                  <a:pt x="8414" y="8761"/>
                                </a:lnTo>
                                <a:lnTo>
                                  <a:pt x="8414" y="8821"/>
                                </a:lnTo>
                                <a:lnTo>
                                  <a:pt x="8429" y="8821"/>
                                </a:lnTo>
                                <a:lnTo>
                                  <a:pt x="8429" y="8761"/>
                                </a:lnTo>
                                <a:moveTo>
                                  <a:pt x="8429" y="8656"/>
                                </a:moveTo>
                                <a:lnTo>
                                  <a:pt x="8414" y="8656"/>
                                </a:lnTo>
                                <a:lnTo>
                                  <a:pt x="8414" y="8716"/>
                                </a:lnTo>
                                <a:lnTo>
                                  <a:pt x="8429" y="8716"/>
                                </a:lnTo>
                                <a:lnTo>
                                  <a:pt x="8429" y="8656"/>
                                </a:lnTo>
                                <a:moveTo>
                                  <a:pt x="8429" y="8551"/>
                                </a:moveTo>
                                <a:lnTo>
                                  <a:pt x="8414" y="8551"/>
                                </a:lnTo>
                                <a:lnTo>
                                  <a:pt x="8414" y="8611"/>
                                </a:lnTo>
                                <a:lnTo>
                                  <a:pt x="8429" y="8611"/>
                                </a:lnTo>
                                <a:lnTo>
                                  <a:pt x="8429" y="8551"/>
                                </a:lnTo>
                                <a:moveTo>
                                  <a:pt x="8429" y="8446"/>
                                </a:moveTo>
                                <a:lnTo>
                                  <a:pt x="8414" y="8446"/>
                                </a:lnTo>
                                <a:lnTo>
                                  <a:pt x="8414" y="8506"/>
                                </a:lnTo>
                                <a:lnTo>
                                  <a:pt x="8429" y="8506"/>
                                </a:lnTo>
                                <a:lnTo>
                                  <a:pt x="8429" y="8446"/>
                                </a:lnTo>
                                <a:moveTo>
                                  <a:pt x="8429" y="8341"/>
                                </a:moveTo>
                                <a:lnTo>
                                  <a:pt x="8414" y="8341"/>
                                </a:lnTo>
                                <a:lnTo>
                                  <a:pt x="8414" y="8401"/>
                                </a:lnTo>
                                <a:lnTo>
                                  <a:pt x="8429" y="8401"/>
                                </a:lnTo>
                                <a:lnTo>
                                  <a:pt x="8429" y="8341"/>
                                </a:lnTo>
                                <a:moveTo>
                                  <a:pt x="8429" y="8236"/>
                                </a:moveTo>
                                <a:lnTo>
                                  <a:pt x="8414" y="8236"/>
                                </a:lnTo>
                                <a:lnTo>
                                  <a:pt x="8414" y="8296"/>
                                </a:lnTo>
                                <a:lnTo>
                                  <a:pt x="8429" y="8296"/>
                                </a:lnTo>
                                <a:lnTo>
                                  <a:pt x="8429" y="8236"/>
                                </a:lnTo>
                                <a:moveTo>
                                  <a:pt x="8429" y="8131"/>
                                </a:moveTo>
                                <a:lnTo>
                                  <a:pt x="8414" y="8131"/>
                                </a:lnTo>
                                <a:lnTo>
                                  <a:pt x="8414" y="8191"/>
                                </a:lnTo>
                                <a:lnTo>
                                  <a:pt x="8429" y="8191"/>
                                </a:lnTo>
                                <a:lnTo>
                                  <a:pt x="8429" y="8131"/>
                                </a:lnTo>
                                <a:moveTo>
                                  <a:pt x="8429" y="8026"/>
                                </a:moveTo>
                                <a:lnTo>
                                  <a:pt x="8414" y="8026"/>
                                </a:lnTo>
                                <a:lnTo>
                                  <a:pt x="8414" y="8086"/>
                                </a:lnTo>
                                <a:lnTo>
                                  <a:pt x="8429" y="8086"/>
                                </a:lnTo>
                                <a:lnTo>
                                  <a:pt x="8429" y="8026"/>
                                </a:lnTo>
                                <a:moveTo>
                                  <a:pt x="8429" y="7921"/>
                                </a:moveTo>
                                <a:lnTo>
                                  <a:pt x="8414" y="7921"/>
                                </a:lnTo>
                                <a:lnTo>
                                  <a:pt x="8414" y="7981"/>
                                </a:lnTo>
                                <a:lnTo>
                                  <a:pt x="8429" y="7981"/>
                                </a:lnTo>
                                <a:lnTo>
                                  <a:pt x="8429" y="7921"/>
                                </a:lnTo>
                                <a:moveTo>
                                  <a:pt x="8429" y="7816"/>
                                </a:moveTo>
                                <a:lnTo>
                                  <a:pt x="8414" y="7816"/>
                                </a:lnTo>
                                <a:lnTo>
                                  <a:pt x="8414" y="7876"/>
                                </a:lnTo>
                                <a:lnTo>
                                  <a:pt x="8429" y="7876"/>
                                </a:lnTo>
                                <a:lnTo>
                                  <a:pt x="8429" y="7816"/>
                                </a:lnTo>
                                <a:moveTo>
                                  <a:pt x="8429" y="7711"/>
                                </a:moveTo>
                                <a:lnTo>
                                  <a:pt x="8414" y="7711"/>
                                </a:lnTo>
                                <a:lnTo>
                                  <a:pt x="8414" y="7771"/>
                                </a:lnTo>
                                <a:lnTo>
                                  <a:pt x="8429" y="7771"/>
                                </a:lnTo>
                                <a:lnTo>
                                  <a:pt x="8429" y="7711"/>
                                </a:lnTo>
                                <a:moveTo>
                                  <a:pt x="8429" y="7606"/>
                                </a:moveTo>
                                <a:lnTo>
                                  <a:pt x="8414" y="7606"/>
                                </a:lnTo>
                                <a:lnTo>
                                  <a:pt x="8414" y="7666"/>
                                </a:lnTo>
                                <a:lnTo>
                                  <a:pt x="8429" y="7666"/>
                                </a:lnTo>
                                <a:lnTo>
                                  <a:pt x="8429" y="7606"/>
                                </a:lnTo>
                                <a:moveTo>
                                  <a:pt x="8429" y="7501"/>
                                </a:moveTo>
                                <a:lnTo>
                                  <a:pt x="8414" y="7501"/>
                                </a:lnTo>
                                <a:lnTo>
                                  <a:pt x="8414" y="7561"/>
                                </a:lnTo>
                                <a:lnTo>
                                  <a:pt x="8429" y="7561"/>
                                </a:lnTo>
                                <a:lnTo>
                                  <a:pt x="8429" y="7501"/>
                                </a:lnTo>
                                <a:moveTo>
                                  <a:pt x="8429" y="7396"/>
                                </a:moveTo>
                                <a:lnTo>
                                  <a:pt x="8414" y="7396"/>
                                </a:lnTo>
                                <a:lnTo>
                                  <a:pt x="8414" y="7456"/>
                                </a:lnTo>
                                <a:lnTo>
                                  <a:pt x="8429" y="7456"/>
                                </a:lnTo>
                                <a:lnTo>
                                  <a:pt x="8429" y="7396"/>
                                </a:lnTo>
                                <a:moveTo>
                                  <a:pt x="8429" y="7291"/>
                                </a:moveTo>
                                <a:lnTo>
                                  <a:pt x="8414" y="7291"/>
                                </a:lnTo>
                                <a:lnTo>
                                  <a:pt x="8414" y="7351"/>
                                </a:lnTo>
                                <a:lnTo>
                                  <a:pt x="8429" y="7351"/>
                                </a:lnTo>
                                <a:lnTo>
                                  <a:pt x="8429" y="7291"/>
                                </a:lnTo>
                                <a:moveTo>
                                  <a:pt x="8429" y="7186"/>
                                </a:moveTo>
                                <a:lnTo>
                                  <a:pt x="8414" y="7186"/>
                                </a:lnTo>
                                <a:lnTo>
                                  <a:pt x="8414" y="7246"/>
                                </a:lnTo>
                                <a:lnTo>
                                  <a:pt x="8429" y="7246"/>
                                </a:lnTo>
                                <a:lnTo>
                                  <a:pt x="8429" y="7186"/>
                                </a:lnTo>
                                <a:moveTo>
                                  <a:pt x="8429" y="7081"/>
                                </a:moveTo>
                                <a:lnTo>
                                  <a:pt x="8414" y="7081"/>
                                </a:lnTo>
                                <a:lnTo>
                                  <a:pt x="8414" y="7141"/>
                                </a:lnTo>
                                <a:lnTo>
                                  <a:pt x="8429" y="7141"/>
                                </a:lnTo>
                                <a:lnTo>
                                  <a:pt x="8429" y="7081"/>
                                </a:lnTo>
                                <a:moveTo>
                                  <a:pt x="8429" y="6976"/>
                                </a:moveTo>
                                <a:lnTo>
                                  <a:pt x="8414" y="6976"/>
                                </a:lnTo>
                                <a:lnTo>
                                  <a:pt x="8414" y="7036"/>
                                </a:lnTo>
                                <a:lnTo>
                                  <a:pt x="8429" y="7036"/>
                                </a:lnTo>
                                <a:lnTo>
                                  <a:pt x="8429" y="6976"/>
                                </a:lnTo>
                                <a:moveTo>
                                  <a:pt x="8429" y="6871"/>
                                </a:moveTo>
                                <a:lnTo>
                                  <a:pt x="8414" y="6871"/>
                                </a:lnTo>
                                <a:lnTo>
                                  <a:pt x="8414" y="6931"/>
                                </a:lnTo>
                                <a:lnTo>
                                  <a:pt x="8429" y="6931"/>
                                </a:lnTo>
                                <a:lnTo>
                                  <a:pt x="8429" y="6871"/>
                                </a:lnTo>
                                <a:moveTo>
                                  <a:pt x="8429" y="6766"/>
                                </a:moveTo>
                                <a:lnTo>
                                  <a:pt x="8414" y="6766"/>
                                </a:lnTo>
                                <a:lnTo>
                                  <a:pt x="8414" y="6826"/>
                                </a:lnTo>
                                <a:lnTo>
                                  <a:pt x="8429" y="6826"/>
                                </a:lnTo>
                                <a:lnTo>
                                  <a:pt x="8429" y="6766"/>
                                </a:lnTo>
                                <a:moveTo>
                                  <a:pt x="8429" y="6661"/>
                                </a:moveTo>
                                <a:lnTo>
                                  <a:pt x="8414" y="6661"/>
                                </a:lnTo>
                                <a:lnTo>
                                  <a:pt x="8414" y="6721"/>
                                </a:lnTo>
                                <a:lnTo>
                                  <a:pt x="8429" y="6721"/>
                                </a:lnTo>
                                <a:lnTo>
                                  <a:pt x="8429" y="6661"/>
                                </a:lnTo>
                                <a:moveTo>
                                  <a:pt x="8429" y="6556"/>
                                </a:moveTo>
                                <a:lnTo>
                                  <a:pt x="8414" y="6556"/>
                                </a:lnTo>
                                <a:lnTo>
                                  <a:pt x="8414" y="6616"/>
                                </a:lnTo>
                                <a:lnTo>
                                  <a:pt x="8429" y="6616"/>
                                </a:lnTo>
                                <a:lnTo>
                                  <a:pt x="8429" y="6556"/>
                                </a:lnTo>
                                <a:moveTo>
                                  <a:pt x="8429" y="6451"/>
                                </a:moveTo>
                                <a:lnTo>
                                  <a:pt x="8414" y="6451"/>
                                </a:lnTo>
                                <a:lnTo>
                                  <a:pt x="8414" y="6511"/>
                                </a:lnTo>
                                <a:lnTo>
                                  <a:pt x="8429" y="6511"/>
                                </a:lnTo>
                                <a:lnTo>
                                  <a:pt x="8429" y="6451"/>
                                </a:lnTo>
                                <a:moveTo>
                                  <a:pt x="8429" y="6346"/>
                                </a:moveTo>
                                <a:lnTo>
                                  <a:pt x="8414" y="6346"/>
                                </a:lnTo>
                                <a:lnTo>
                                  <a:pt x="8414" y="6406"/>
                                </a:lnTo>
                                <a:lnTo>
                                  <a:pt x="8429" y="6406"/>
                                </a:lnTo>
                                <a:lnTo>
                                  <a:pt x="8429" y="6346"/>
                                </a:lnTo>
                                <a:moveTo>
                                  <a:pt x="8429" y="6241"/>
                                </a:moveTo>
                                <a:lnTo>
                                  <a:pt x="8414" y="6241"/>
                                </a:lnTo>
                                <a:lnTo>
                                  <a:pt x="8414" y="6301"/>
                                </a:lnTo>
                                <a:lnTo>
                                  <a:pt x="8429" y="6301"/>
                                </a:lnTo>
                                <a:lnTo>
                                  <a:pt x="8429" y="6241"/>
                                </a:lnTo>
                                <a:moveTo>
                                  <a:pt x="8429" y="6136"/>
                                </a:moveTo>
                                <a:lnTo>
                                  <a:pt x="8414" y="6136"/>
                                </a:lnTo>
                                <a:lnTo>
                                  <a:pt x="8414" y="6196"/>
                                </a:lnTo>
                                <a:lnTo>
                                  <a:pt x="8429" y="6196"/>
                                </a:lnTo>
                                <a:lnTo>
                                  <a:pt x="8429" y="6136"/>
                                </a:lnTo>
                                <a:moveTo>
                                  <a:pt x="8429" y="6031"/>
                                </a:moveTo>
                                <a:lnTo>
                                  <a:pt x="8414" y="6031"/>
                                </a:lnTo>
                                <a:lnTo>
                                  <a:pt x="8414" y="6091"/>
                                </a:lnTo>
                                <a:lnTo>
                                  <a:pt x="8429" y="6091"/>
                                </a:lnTo>
                                <a:lnTo>
                                  <a:pt x="8429" y="6031"/>
                                </a:lnTo>
                                <a:moveTo>
                                  <a:pt x="8429" y="5926"/>
                                </a:moveTo>
                                <a:lnTo>
                                  <a:pt x="8414" y="5926"/>
                                </a:lnTo>
                                <a:lnTo>
                                  <a:pt x="8414" y="5986"/>
                                </a:lnTo>
                                <a:lnTo>
                                  <a:pt x="8429" y="5986"/>
                                </a:lnTo>
                                <a:lnTo>
                                  <a:pt x="8429" y="5926"/>
                                </a:lnTo>
                                <a:moveTo>
                                  <a:pt x="8429" y="5821"/>
                                </a:moveTo>
                                <a:lnTo>
                                  <a:pt x="8414" y="5821"/>
                                </a:lnTo>
                                <a:lnTo>
                                  <a:pt x="8414" y="5881"/>
                                </a:lnTo>
                                <a:lnTo>
                                  <a:pt x="8429" y="5881"/>
                                </a:lnTo>
                                <a:lnTo>
                                  <a:pt x="8429" y="5821"/>
                                </a:lnTo>
                                <a:moveTo>
                                  <a:pt x="8429" y="5716"/>
                                </a:moveTo>
                                <a:lnTo>
                                  <a:pt x="8414" y="5716"/>
                                </a:lnTo>
                                <a:lnTo>
                                  <a:pt x="8414" y="5776"/>
                                </a:lnTo>
                                <a:lnTo>
                                  <a:pt x="8429" y="5776"/>
                                </a:lnTo>
                                <a:lnTo>
                                  <a:pt x="8429" y="5716"/>
                                </a:lnTo>
                                <a:moveTo>
                                  <a:pt x="8429" y="5611"/>
                                </a:moveTo>
                                <a:lnTo>
                                  <a:pt x="8414" y="5611"/>
                                </a:lnTo>
                                <a:lnTo>
                                  <a:pt x="8414" y="5671"/>
                                </a:lnTo>
                                <a:lnTo>
                                  <a:pt x="8429" y="5671"/>
                                </a:lnTo>
                                <a:lnTo>
                                  <a:pt x="8429" y="5611"/>
                                </a:lnTo>
                                <a:moveTo>
                                  <a:pt x="8429" y="5506"/>
                                </a:moveTo>
                                <a:lnTo>
                                  <a:pt x="8414" y="5506"/>
                                </a:lnTo>
                                <a:lnTo>
                                  <a:pt x="8414" y="5566"/>
                                </a:lnTo>
                                <a:lnTo>
                                  <a:pt x="8429" y="5566"/>
                                </a:lnTo>
                                <a:lnTo>
                                  <a:pt x="8429" y="5506"/>
                                </a:lnTo>
                                <a:moveTo>
                                  <a:pt x="8429" y="5401"/>
                                </a:moveTo>
                                <a:lnTo>
                                  <a:pt x="8414" y="5401"/>
                                </a:lnTo>
                                <a:lnTo>
                                  <a:pt x="8414" y="5461"/>
                                </a:lnTo>
                                <a:lnTo>
                                  <a:pt x="8429" y="5461"/>
                                </a:lnTo>
                                <a:lnTo>
                                  <a:pt x="8429" y="5401"/>
                                </a:lnTo>
                                <a:moveTo>
                                  <a:pt x="8429" y="5296"/>
                                </a:moveTo>
                                <a:lnTo>
                                  <a:pt x="8414" y="5296"/>
                                </a:lnTo>
                                <a:lnTo>
                                  <a:pt x="8414" y="5356"/>
                                </a:lnTo>
                                <a:lnTo>
                                  <a:pt x="8429" y="5356"/>
                                </a:lnTo>
                                <a:lnTo>
                                  <a:pt x="8429" y="5296"/>
                                </a:lnTo>
                                <a:moveTo>
                                  <a:pt x="8429" y="5191"/>
                                </a:moveTo>
                                <a:lnTo>
                                  <a:pt x="8414" y="5191"/>
                                </a:lnTo>
                                <a:lnTo>
                                  <a:pt x="8414" y="5251"/>
                                </a:lnTo>
                                <a:lnTo>
                                  <a:pt x="8429" y="5251"/>
                                </a:lnTo>
                                <a:lnTo>
                                  <a:pt x="8429" y="5191"/>
                                </a:lnTo>
                                <a:moveTo>
                                  <a:pt x="8429" y="5086"/>
                                </a:moveTo>
                                <a:lnTo>
                                  <a:pt x="8414" y="5086"/>
                                </a:lnTo>
                                <a:lnTo>
                                  <a:pt x="8414" y="5146"/>
                                </a:lnTo>
                                <a:lnTo>
                                  <a:pt x="8429" y="5146"/>
                                </a:lnTo>
                                <a:lnTo>
                                  <a:pt x="8429" y="5086"/>
                                </a:lnTo>
                                <a:moveTo>
                                  <a:pt x="8429" y="4981"/>
                                </a:moveTo>
                                <a:lnTo>
                                  <a:pt x="8414" y="4981"/>
                                </a:lnTo>
                                <a:lnTo>
                                  <a:pt x="8414" y="5041"/>
                                </a:lnTo>
                                <a:lnTo>
                                  <a:pt x="8429" y="5041"/>
                                </a:lnTo>
                                <a:lnTo>
                                  <a:pt x="8429" y="4981"/>
                                </a:lnTo>
                                <a:moveTo>
                                  <a:pt x="8429" y="4876"/>
                                </a:moveTo>
                                <a:lnTo>
                                  <a:pt x="8414" y="4876"/>
                                </a:lnTo>
                                <a:lnTo>
                                  <a:pt x="8414" y="4936"/>
                                </a:lnTo>
                                <a:lnTo>
                                  <a:pt x="8429" y="4936"/>
                                </a:lnTo>
                                <a:lnTo>
                                  <a:pt x="8429" y="4876"/>
                                </a:lnTo>
                                <a:moveTo>
                                  <a:pt x="8429" y="4771"/>
                                </a:moveTo>
                                <a:lnTo>
                                  <a:pt x="8414" y="4771"/>
                                </a:lnTo>
                                <a:lnTo>
                                  <a:pt x="8414" y="4831"/>
                                </a:lnTo>
                                <a:lnTo>
                                  <a:pt x="8429" y="4831"/>
                                </a:lnTo>
                                <a:lnTo>
                                  <a:pt x="8429" y="4771"/>
                                </a:lnTo>
                                <a:moveTo>
                                  <a:pt x="8429" y="4666"/>
                                </a:moveTo>
                                <a:lnTo>
                                  <a:pt x="8414" y="4666"/>
                                </a:lnTo>
                                <a:lnTo>
                                  <a:pt x="8414" y="4726"/>
                                </a:lnTo>
                                <a:lnTo>
                                  <a:pt x="8429" y="4726"/>
                                </a:lnTo>
                                <a:lnTo>
                                  <a:pt x="8429" y="4666"/>
                                </a:lnTo>
                                <a:moveTo>
                                  <a:pt x="8429" y="4561"/>
                                </a:moveTo>
                                <a:lnTo>
                                  <a:pt x="8414" y="4561"/>
                                </a:lnTo>
                                <a:lnTo>
                                  <a:pt x="8414" y="4621"/>
                                </a:lnTo>
                                <a:lnTo>
                                  <a:pt x="8429" y="4621"/>
                                </a:lnTo>
                                <a:lnTo>
                                  <a:pt x="8429" y="4561"/>
                                </a:lnTo>
                                <a:moveTo>
                                  <a:pt x="8429" y="4456"/>
                                </a:moveTo>
                                <a:lnTo>
                                  <a:pt x="8414" y="4456"/>
                                </a:lnTo>
                                <a:lnTo>
                                  <a:pt x="8414" y="4516"/>
                                </a:lnTo>
                                <a:lnTo>
                                  <a:pt x="8429" y="4516"/>
                                </a:lnTo>
                                <a:lnTo>
                                  <a:pt x="8429" y="4456"/>
                                </a:lnTo>
                                <a:moveTo>
                                  <a:pt x="8429" y="4351"/>
                                </a:moveTo>
                                <a:lnTo>
                                  <a:pt x="8414" y="4351"/>
                                </a:lnTo>
                                <a:lnTo>
                                  <a:pt x="8414" y="4411"/>
                                </a:lnTo>
                                <a:lnTo>
                                  <a:pt x="8429" y="4411"/>
                                </a:lnTo>
                                <a:lnTo>
                                  <a:pt x="8429" y="4351"/>
                                </a:lnTo>
                                <a:moveTo>
                                  <a:pt x="8429" y="4246"/>
                                </a:moveTo>
                                <a:lnTo>
                                  <a:pt x="8414" y="4246"/>
                                </a:lnTo>
                                <a:lnTo>
                                  <a:pt x="8414" y="4306"/>
                                </a:lnTo>
                                <a:lnTo>
                                  <a:pt x="8429" y="4306"/>
                                </a:lnTo>
                                <a:lnTo>
                                  <a:pt x="8429" y="4246"/>
                                </a:lnTo>
                                <a:moveTo>
                                  <a:pt x="8429" y="4141"/>
                                </a:moveTo>
                                <a:lnTo>
                                  <a:pt x="8414" y="4141"/>
                                </a:lnTo>
                                <a:lnTo>
                                  <a:pt x="8414" y="4201"/>
                                </a:lnTo>
                                <a:lnTo>
                                  <a:pt x="8429" y="4201"/>
                                </a:lnTo>
                                <a:lnTo>
                                  <a:pt x="8429" y="4141"/>
                                </a:lnTo>
                                <a:moveTo>
                                  <a:pt x="8429" y="4036"/>
                                </a:moveTo>
                                <a:lnTo>
                                  <a:pt x="8414" y="4036"/>
                                </a:lnTo>
                                <a:lnTo>
                                  <a:pt x="8414" y="4096"/>
                                </a:lnTo>
                                <a:lnTo>
                                  <a:pt x="8429" y="4096"/>
                                </a:lnTo>
                                <a:lnTo>
                                  <a:pt x="8429" y="4036"/>
                                </a:lnTo>
                                <a:moveTo>
                                  <a:pt x="8429" y="3931"/>
                                </a:moveTo>
                                <a:lnTo>
                                  <a:pt x="8414" y="3931"/>
                                </a:lnTo>
                                <a:lnTo>
                                  <a:pt x="8414" y="3991"/>
                                </a:lnTo>
                                <a:lnTo>
                                  <a:pt x="8429" y="3991"/>
                                </a:lnTo>
                                <a:lnTo>
                                  <a:pt x="8429" y="3931"/>
                                </a:lnTo>
                                <a:moveTo>
                                  <a:pt x="8429" y="3826"/>
                                </a:moveTo>
                                <a:lnTo>
                                  <a:pt x="8414" y="3826"/>
                                </a:lnTo>
                                <a:lnTo>
                                  <a:pt x="8414" y="3886"/>
                                </a:lnTo>
                                <a:lnTo>
                                  <a:pt x="8429" y="3886"/>
                                </a:lnTo>
                                <a:lnTo>
                                  <a:pt x="8429" y="3826"/>
                                </a:lnTo>
                                <a:moveTo>
                                  <a:pt x="8429" y="3721"/>
                                </a:moveTo>
                                <a:lnTo>
                                  <a:pt x="8414" y="3721"/>
                                </a:lnTo>
                                <a:lnTo>
                                  <a:pt x="8414" y="3781"/>
                                </a:lnTo>
                                <a:lnTo>
                                  <a:pt x="8429" y="3781"/>
                                </a:lnTo>
                                <a:lnTo>
                                  <a:pt x="8429" y="3721"/>
                                </a:lnTo>
                                <a:moveTo>
                                  <a:pt x="8429" y="3616"/>
                                </a:moveTo>
                                <a:lnTo>
                                  <a:pt x="8414" y="3616"/>
                                </a:lnTo>
                                <a:lnTo>
                                  <a:pt x="8414" y="3676"/>
                                </a:lnTo>
                                <a:lnTo>
                                  <a:pt x="8429" y="3676"/>
                                </a:lnTo>
                                <a:lnTo>
                                  <a:pt x="8429" y="3616"/>
                                </a:lnTo>
                                <a:moveTo>
                                  <a:pt x="8429" y="3511"/>
                                </a:moveTo>
                                <a:lnTo>
                                  <a:pt x="8414" y="3511"/>
                                </a:lnTo>
                                <a:lnTo>
                                  <a:pt x="8414" y="3571"/>
                                </a:lnTo>
                                <a:lnTo>
                                  <a:pt x="8429" y="3571"/>
                                </a:lnTo>
                                <a:lnTo>
                                  <a:pt x="8429" y="3511"/>
                                </a:lnTo>
                                <a:moveTo>
                                  <a:pt x="8429" y="3406"/>
                                </a:moveTo>
                                <a:lnTo>
                                  <a:pt x="8414" y="3406"/>
                                </a:lnTo>
                                <a:lnTo>
                                  <a:pt x="8414" y="3466"/>
                                </a:lnTo>
                                <a:lnTo>
                                  <a:pt x="8429" y="3466"/>
                                </a:lnTo>
                                <a:lnTo>
                                  <a:pt x="8429" y="3406"/>
                                </a:lnTo>
                                <a:moveTo>
                                  <a:pt x="8429" y="3301"/>
                                </a:moveTo>
                                <a:lnTo>
                                  <a:pt x="8414" y="3301"/>
                                </a:lnTo>
                                <a:lnTo>
                                  <a:pt x="8414" y="3361"/>
                                </a:lnTo>
                                <a:lnTo>
                                  <a:pt x="8429" y="3361"/>
                                </a:lnTo>
                                <a:lnTo>
                                  <a:pt x="8429" y="3301"/>
                                </a:lnTo>
                                <a:moveTo>
                                  <a:pt x="8429" y="3196"/>
                                </a:moveTo>
                                <a:lnTo>
                                  <a:pt x="8414" y="3196"/>
                                </a:lnTo>
                                <a:lnTo>
                                  <a:pt x="8414" y="3256"/>
                                </a:lnTo>
                                <a:lnTo>
                                  <a:pt x="8429" y="3256"/>
                                </a:lnTo>
                                <a:lnTo>
                                  <a:pt x="8429" y="3196"/>
                                </a:lnTo>
                                <a:moveTo>
                                  <a:pt x="8429" y="3091"/>
                                </a:moveTo>
                                <a:lnTo>
                                  <a:pt x="8414" y="3091"/>
                                </a:lnTo>
                                <a:lnTo>
                                  <a:pt x="8414" y="3151"/>
                                </a:lnTo>
                                <a:lnTo>
                                  <a:pt x="8429" y="3151"/>
                                </a:lnTo>
                                <a:lnTo>
                                  <a:pt x="8429" y="3091"/>
                                </a:lnTo>
                                <a:moveTo>
                                  <a:pt x="8429" y="2986"/>
                                </a:moveTo>
                                <a:lnTo>
                                  <a:pt x="8414" y="2986"/>
                                </a:lnTo>
                                <a:lnTo>
                                  <a:pt x="8414" y="3046"/>
                                </a:lnTo>
                                <a:lnTo>
                                  <a:pt x="8429" y="3046"/>
                                </a:lnTo>
                                <a:lnTo>
                                  <a:pt x="8429" y="2986"/>
                                </a:lnTo>
                                <a:moveTo>
                                  <a:pt x="8429" y="2881"/>
                                </a:moveTo>
                                <a:lnTo>
                                  <a:pt x="8414" y="2881"/>
                                </a:lnTo>
                                <a:lnTo>
                                  <a:pt x="8414" y="2941"/>
                                </a:lnTo>
                                <a:lnTo>
                                  <a:pt x="8429" y="2941"/>
                                </a:lnTo>
                                <a:lnTo>
                                  <a:pt x="8429" y="2881"/>
                                </a:lnTo>
                                <a:moveTo>
                                  <a:pt x="8429" y="2776"/>
                                </a:moveTo>
                                <a:lnTo>
                                  <a:pt x="8414" y="2776"/>
                                </a:lnTo>
                                <a:lnTo>
                                  <a:pt x="8414" y="2836"/>
                                </a:lnTo>
                                <a:lnTo>
                                  <a:pt x="8429" y="2836"/>
                                </a:lnTo>
                                <a:lnTo>
                                  <a:pt x="8429" y="2776"/>
                                </a:lnTo>
                                <a:moveTo>
                                  <a:pt x="8429" y="2671"/>
                                </a:moveTo>
                                <a:lnTo>
                                  <a:pt x="8414" y="2671"/>
                                </a:lnTo>
                                <a:lnTo>
                                  <a:pt x="8414" y="2731"/>
                                </a:lnTo>
                                <a:lnTo>
                                  <a:pt x="8429" y="2731"/>
                                </a:lnTo>
                                <a:lnTo>
                                  <a:pt x="8429" y="2671"/>
                                </a:lnTo>
                                <a:moveTo>
                                  <a:pt x="8429" y="2566"/>
                                </a:moveTo>
                                <a:lnTo>
                                  <a:pt x="8414" y="2566"/>
                                </a:lnTo>
                                <a:lnTo>
                                  <a:pt x="8414" y="2626"/>
                                </a:lnTo>
                                <a:lnTo>
                                  <a:pt x="8429" y="2626"/>
                                </a:lnTo>
                                <a:lnTo>
                                  <a:pt x="8429" y="2566"/>
                                </a:lnTo>
                                <a:moveTo>
                                  <a:pt x="8429" y="2461"/>
                                </a:moveTo>
                                <a:lnTo>
                                  <a:pt x="8414" y="2461"/>
                                </a:lnTo>
                                <a:lnTo>
                                  <a:pt x="8414" y="2521"/>
                                </a:lnTo>
                                <a:lnTo>
                                  <a:pt x="8429" y="2521"/>
                                </a:lnTo>
                                <a:lnTo>
                                  <a:pt x="8429" y="2461"/>
                                </a:lnTo>
                                <a:moveTo>
                                  <a:pt x="8429" y="2356"/>
                                </a:moveTo>
                                <a:lnTo>
                                  <a:pt x="8414" y="2356"/>
                                </a:lnTo>
                                <a:lnTo>
                                  <a:pt x="8414" y="2416"/>
                                </a:lnTo>
                                <a:lnTo>
                                  <a:pt x="8429" y="2416"/>
                                </a:lnTo>
                                <a:lnTo>
                                  <a:pt x="8429" y="2356"/>
                                </a:lnTo>
                                <a:moveTo>
                                  <a:pt x="8429" y="2251"/>
                                </a:moveTo>
                                <a:lnTo>
                                  <a:pt x="8414" y="2251"/>
                                </a:lnTo>
                                <a:lnTo>
                                  <a:pt x="8414" y="2311"/>
                                </a:lnTo>
                                <a:lnTo>
                                  <a:pt x="8429" y="2311"/>
                                </a:lnTo>
                                <a:lnTo>
                                  <a:pt x="8429" y="2251"/>
                                </a:lnTo>
                                <a:moveTo>
                                  <a:pt x="8429" y="2146"/>
                                </a:moveTo>
                                <a:lnTo>
                                  <a:pt x="8414" y="2146"/>
                                </a:lnTo>
                                <a:lnTo>
                                  <a:pt x="8414" y="2206"/>
                                </a:lnTo>
                                <a:lnTo>
                                  <a:pt x="8429" y="2206"/>
                                </a:lnTo>
                                <a:lnTo>
                                  <a:pt x="8429" y="2146"/>
                                </a:lnTo>
                                <a:moveTo>
                                  <a:pt x="8429" y="2041"/>
                                </a:moveTo>
                                <a:lnTo>
                                  <a:pt x="8414" y="2041"/>
                                </a:lnTo>
                                <a:lnTo>
                                  <a:pt x="8414" y="2101"/>
                                </a:lnTo>
                                <a:lnTo>
                                  <a:pt x="8429" y="2101"/>
                                </a:lnTo>
                                <a:lnTo>
                                  <a:pt x="8429" y="2041"/>
                                </a:lnTo>
                                <a:moveTo>
                                  <a:pt x="8429" y="1936"/>
                                </a:moveTo>
                                <a:lnTo>
                                  <a:pt x="8414" y="1936"/>
                                </a:lnTo>
                                <a:lnTo>
                                  <a:pt x="8414" y="1996"/>
                                </a:lnTo>
                                <a:lnTo>
                                  <a:pt x="8429" y="1996"/>
                                </a:lnTo>
                                <a:lnTo>
                                  <a:pt x="8429" y="1936"/>
                                </a:lnTo>
                                <a:moveTo>
                                  <a:pt x="8429" y="1831"/>
                                </a:moveTo>
                                <a:lnTo>
                                  <a:pt x="8414" y="1831"/>
                                </a:lnTo>
                                <a:lnTo>
                                  <a:pt x="8414" y="1891"/>
                                </a:lnTo>
                                <a:lnTo>
                                  <a:pt x="8429" y="1891"/>
                                </a:lnTo>
                                <a:lnTo>
                                  <a:pt x="8429" y="1831"/>
                                </a:lnTo>
                                <a:moveTo>
                                  <a:pt x="8429" y="1726"/>
                                </a:moveTo>
                                <a:lnTo>
                                  <a:pt x="8414" y="1726"/>
                                </a:lnTo>
                                <a:lnTo>
                                  <a:pt x="8414" y="1786"/>
                                </a:lnTo>
                                <a:lnTo>
                                  <a:pt x="8429" y="1786"/>
                                </a:lnTo>
                                <a:lnTo>
                                  <a:pt x="8429" y="1726"/>
                                </a:lnTo>
                                <a:moveTo>
                                  <a:pt x="8429" y="1621"/>
                                </a:moveTo>
                                <a:lnTo>
                                  <a:pt x="8414" y="1621"/>
                                </a:lnTo>
                                <a:lnTo>
                                  <a:pt x="8414" y="1681"/>
                                </a:lnTo>
                                <a:lnTo>
                                  <a:pt x="8429" y="1681"/>
                                </a:lnTo>
                                <a:lnTo>
                                  <a:pt x="8429" y="1621"/>
                                </a:lnTo>
                                <a:moveTo>
                                  <a:pt x="8429" y="1516"/>
                                </a:moveTo>
                                <a:lnTo>
                                  <a:pt x="8414" y="1516"/>
                                </a:lnTo>
                                <a:lnTo>
                                  <a:pt x="8414" y="1576"/>
                                </a:lnTo>
                                <a:lnTo>
                                  <a:pt x="8429" y="1576"/>
                                </a:lnTo>
                                <a:lnTo>
                                  <a:pt x="8429" y="1516"/>
                                </a:lnTo>
                                <a:moveTo>
                                  <a:pt x="8429" y="1411"/>
                                </a:moveTo>
                                <a:lnTo>
                                  <a:pt x="8414" y="1411"/>
                                </a:lnTo>
                                <a:lnTo>
                                  <a:pt x="8414" y="1471"/>
                                </a:lnTo>
                                <a:lnTo>
                                  <a:pt x="8429" y="1471"/>
                                </a:lnTo>
                                <a:lnTo>
                                  <a:pt x="8429" y="1411"/>
                                </a:lnTo>
                                <a:moveTo>
                                  <a:pt x="8429" y="1306"/>
                                </a:moveTo>
                                <a:lnTo>
                                  <a:pt x="8414" y="1306"/>
                                </a:lnTo>
                                <a:lnTo>
                                  <a:pt x="8414" y="1366"/>
                                </a:lnTo>
                                <a:lnTo>
                                  <a:pt x="8429" y="1366"/>
                                </a:lnTo>
                                <a:lnTo>
                                  <a:pt x="8429" y="1306"/>
                                </a:lnTo>
                                <a:moveTo>
                                  <a:pt x="8429" y="1201"/>
                                </a:moveTo>
                                <a:lnTo>
                                  <a:pt x="8414" y="1201"/>
                                </a:lnTo>
                                <a:lnTo>
                                  <a:pt x="8414" y="1261"/>
                                </a:lnTo>
                                <a:lnTo>
                                  <a:pt x="8429" y="1261"/>
                                </a:lnTo>
                                <a:lnTo>
                                  <a:pt x="8429" y="1201"/>
                                </a:lnTo>
                                <a:moveTo>
                                  <a:pt x="8429" y="1096"/>
                                </a:moveTo>
                                <a:lnTo>
                                  <a:pt x="8414" y="1096"/>
                                </a:lnTo>
                                <a:lnTo>
                                  <a:pt x="8414" y="1156"/>
                                </a:lnTo>
                                <a:lnTo>
                                  <a:pt x="8429" y="1156"/>
                                </a:lnTo>
                                <a:lnTo>
                                  <a:pt x="8429" y="1096"/>
                                </a:lnTo>
                                <a:moveTo>
                                  <a:pt x="8429" y="991"/>
                                </a:moveTo>
                                <a:lnTo>
                                  <a:pt x="8414" y="991"/>
                                </a:lnTo>
                                <a:lnTo>
                                  <a:pt x="8414" y="1051"/>
                                </a:lnTo>
                                <a:lnTo>
                                  <a:pt x="8429" y="1051"/>
                                </a:lnTo>
                                <a:lnTo>
                                  <a:pt x="8429" y="991"/>
                                </a:lnTo>
                                <a:moveTo>
                                  <a:pt x="8429" y="886"/>
                                </a:moveTo>
                                <a:lnTo>
                                  <a:pt x="8414" y="886"/>
                                </a:lnTo>
                                <a:lnTo>
                                  <a:pt x="8414" y="946"/>
                                </a:lnTo>
                                <a:lnTo>
                                  <a:pt x="8429" y="946"/>
                                </a:lnTo>
                                <a:lnTo>
                                  <a:pt x="8429" y="886"/>
                                </a:lnTo>
                                <a:moveTo>
                                  <a:pt x="8429" y="781"/>
                                </a:moveTo>
                                <a:lnTo>
                                  <a:pt x="8414" y="781"/>
                                </a:lnTo>
                                <a:lnTo>
                                  <a:pt x="8414" y="841"/>
                                </a:lnTo>
                                <a:lnTo>
                                  <a:pt x="8429" y="841"/>
                                </a:lnTo>
                                <a:lnTo>
                                  <a:pt x="8429" y="781"/>
                                </a:lnTo>
                                <a:moveTo>
                                  <a:pt x="8429" y="676"/>
                                </a:moveTo>
                                <a:lnTo>
                                  <a:pt x="8414" y="676"/>
                                </a:lnTo>
                                <a:lnTo>
                                  <a:pt x="8414" y="736"/>
                                </a:lnTo>
                                <a:lnTo>
                                  <a:pt x="8429" y="736"/>
                                </a:lnTo>
                                <a:lnTo>
                                  <a:pt x="8429" y="676"/>
                                </a:lnTo>
                                <a:moveTo>
                                  <a:pt x="8429" y="571"/>
                                </a:moveTo>
                                <a:lnTo>
                                  <a:pt x="8414" y="571"/>
                                </a:lnTo>
                                <a:lnTo>
                                  <a:pt x="8414" y="631"/>
                                </a:lnTo>
                                <a:lnTo>
                                  <a:pt x="8429" y="631"/>
                                </a:lnTo>
                                <a:lnTo>
                                  <a:pt x="8429" y="571"/>
                                </a:lnTo>
                                <a:moveTo>
                                  <a:pt x="8429" y="466"/>
                                </a:moveTo>
                                <a:lnTo>
                                  <a:pt x="8414" y="466"/>
                                </a:lnTo>
                                <a:lnTo>
                                  <a:pt x="8414" y="526"/>
                                </a:lnTo>
                                <a:lnTo>
                                  <a:pt x="8429" y="526"/>
                                </a:lnTo>
                                <a:lnTo>
                                  <a:pt x="8429" y="466"/>
                                </a:lnTo>
                                <a:moveTo>
                                  <a:pt x="8429" y="361"/>
                                </a:moveTo>
                                <a:lnTo>
                                  <a:pt x="8414" y="361"/>
                                </a:lnTo>
                                <a:lnTo>
                                  <a:pt x="8414" y="421"/>
                                </a:lnTo>
                                <a:lnTo>
                                  <a:pt x="8429" y="421"/>
                                </a:lnTo>
                                <a:lnTo>
                                  <a:pt x="8429" y="361"/>
                                </a:lnTo>
                                <a:moveTo>
                                  <a:pt x="8429" y="256"/>
                                </a:moveTo>
                                <a:lnTo>
                                  <a:pt x="8414" y="256"/>
                                </a:lnTo>
                                <a:lnTo>
                                  <a:pt x="8414" y="316"/>
                                </a:lnTo>
                                <a:lnTo>
                                  <a:pt x="8429" y="316"/>
                                </a:lnTo>
                                <a:lnTo>
                                  <a:pt x="8429" y="256"/>
                                </a:lnTo>
                                <a:moveTo>
                                  <a:pt x="8429" y="151"/>
                                </a:moveTo>
                                <a:lnTo>
                                  <a:pt x="8414" y="151"/>
                                </a:lnTo>
                                <a:lnTo>
                                  <a:pt x="8414" y="211"/>
                                </a:lnTo>
                                <a:lnTo>
                                  <a:pt x="8429" y="211"/>
                                </a:lnTo>
                                <a:lnTo>
                                  <a:pt x="8429" y="151"/>
                                </a:lnTo>
                                <a:moveTo>
                                  <a:pt x="8429" y="46"/>
                                </a:moveTo>
                                <a:lnTo>
                                  <a:pt x="8414" y="46"/>
                                </a:lnTo>
                                <a:lnTo>
                                  <a:pt x="8414" y="106"/>
                                </a:lnTo>
                                <a:lnTo>
                                  <a:pt x="8429" y="106"/>
                                </a:lnTo>
                                <a:lnTo>
                                  <a:pt x="8429" y="46"/>
                                </a:lnTo>
                                <a:moveTo>
                                  <a:pt x="8475" y="9367"/>
                                </a:moveTo>
                                <a:lnTo>
                                  <a:pt x="8460" y="9367"/>
                                </a:lnTo>
                                <a:lnTo>
                                  <a:pt x="8460" y="9382"/>
                                </a:lnTo>
                                <a:lnTo>
                                  <a:pt x="8475" y="9382"/>
                                </a:lnTo>
                                <a:lnTo>
                                  <a:pt x="8475" y="9367"/>
                                </a:lnTo>
                              </a:path>
                            </a:pathLst>
                          </a:custGeom>
                          <a:solidFill>
                            <a:srgbClr val="000000"/>
                          </a:solidFill>
                          <a:ln>
                            <a:noFill/>
                          </a:ln>
                        </wps:spPr>
                        <wps:bodyPr upright="1"/>
                      </wps:wsp>
                    </wpg:wgp>
                  </a:graphicData>
                </a:graphic>
              </wp:anchor>
            </w:drawing>
          </mc:Choice>
          <mc:Fallback>
            <w:pict>
              <v:group id="组合 2" o:spid="_x0000_s1026" o:spt="203" style="position:absolute;left:0pt;margin-left:92.05pt;margin-top:91.3pt;height:627.2pt;width:424.65pt;mso-position-horizontal-relative:page;mso-position-vertical-relative:page;z-index:-271080448;mso-width-relative:page;mso-height-relative:page;" coordorigin="1841,1827" coordsize="8493,12544" o:gfxdata="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">
                <o:lock v:ext="edit" aspectratio="f"/>
                <v:shape id="图片 3" o:spid="_x0000_s1026" o:spt="75" type="#_x0000_t75" style="position:absolute;left:5978;top:6091;height:374;width:120;" filled="f" o:preferrelative="t" stroked="f" coordsize="21600,21600" o:gfxdata="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3/4+5AAAA2wAA&#10;AA8AAAAAAAAAAQAgAAAAIgAAAGRycy9kb3ducmV2LnhtbFBLAQIUABQAAAAIAIdO4kAzLwWeOwAA&#10;ADkAAAAQAAAAAAAAAAEAIAAAAAgBAABkcnMvc2hhcGV4bWwueG1sUEsFBgAAAAAGAAYAWwEAALID&#10;AAAAAA==&#10;">
                  <v:fill on="f" focussize="0,0"/>
                  <v:stroke on="f"/>
                  <v:imagedata r:id="rId30" o:title=""/>
                  <o:lock v:ext="edit" aspectratio="t"/>
                </v:shape>
                <v:shape id="任意多边形 4" o:spid="_x0000_s1026" o:spt="100" style="position:absolute;left:3830;top:2086;height:2308;width:4520;" fillcolor="#000000" filled="t" stroked="f" coordsize="4520,2308" o:gfxdata="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OZDq5AAAA2wAA&#10;AA8AAAAAAAAAAQAgAAAAIgAAAGRycy9kb3ducmV2LnhtbFBLAQIUABQAAAAIAIdO4kAzLwWeOwAA&#10;ADkAAAAQAAAAAAAAAAEAIAAAAAgBAABkcnMvc2hhcGV4bWwueG1sUEsFBgAAAAAGAAYAWwEAALID&#10;AAAAAA==&#10;" path="m4485,985l4470,985,4470,1000,4470,2292,15,2292,15,1000,4470,1000,4470,985,2213,985,2257,898,2272,867,2219,868,2219,567,2204,567,2204,868,2152,868,2211,985,0,985,0,2307,4485,2307,4485,2300,4485,2292,4485,1000,4485,993,4485,985m4520,0l4505,0,4505,15,4505,508,32,508,32,15,4505,15,4505,0,17,0,17,523,4520,523,4520,516,4520,508,4520,15,4520,8,4520,0e">
                  <v:fill on="t" focussize="0,0"/>
                  <v:stroke on="f"/>
                  <v:imagedata o:title=""/>
                  <o:lock v:ext="edit" aspectratio="f"/>
                </v:shape>
                <v:shape id="图片 5" o:spid="_x0000_s1026" o:spt="75" type="#_x0000_t75" style="position:absolute;left:5978;top:4400;height:374;width:120;" filled="f" o:preferrelative="t" stroked="f" coordsize="21600,21600" o:gfxdata="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Usc68AAAA&#10;2wAAAA8AAAAAAAAAAQAgAAAAIgAAAGRycy9kb3ducmV2LnhtbFBLAQIUABQAAAAIAIdO4kAzLwWe&#10;OwAAADkAAAAQAAAAAAAAAAEAIAAAAAsBAABkcnMvc2hhcGV4bWwueG1sUEsFBgAAAAAGAAYAWwEA&#10;ALUDAAAAAA==&#10;">
                  <v:fill on="f" focussize="0,0"/>
                  <v:stroke on="f"/>
                  <v:imagedata r:id="rId31" o:title=""/>
                  <o:lock v:ext="edit" aspectratio="t"/>
                </v:shape>
                <v:shape id="任意多边形 6" o:spid="_x0000_s1026" o:spt="100" style="position:absolute;left:3804;top:4782;height:2196;width:4485;" fillcolor="#000000" filled="t" stroked="f" coordsize="4485,2196" o:gfxdata="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MnrKugAAANsA&#10;AAAPAAAAAAAAAAEAIAAAACIAAABkcnMvZG93bnJldi54bWxQSwECFAAUAAAACACHTuJAMy8FnjsA&#10;AAA5AAAAEAAAAAAAAAABACAAAAAJAQAAZHJzL3NoYXBleG1sLnhtbFBLBQYAAAAABgAGAFsBAACz&#10;AwAAAAA=&#10;" path="m3149,1672l3134,1672,3134,1687,3134,2180,1214,2180,1214,1687,3134,1687,3134,1672,1199,1672,1199,2195,3149,2195,3149,2188,3149,2180,3149,1687,3149,1680,3149,1672m4485,0l4470,0,4470,15,4470,1307,15,1307,15,15,4470,15,4470,0,0,0,0,1322,4485,1322,4485,1315,4485,1307,4485,15,4485,8,4485,0e">
                  <v:fill on="t" focussize="0,0"/>
                  <v:stroke on="f"/>
                  <v:imagedata o:title=""/>
                  <o:lock v:ext="edit" aspectratio="f"/>
                </v:shape>
                <v:shape id="任意多边形 7" o:spid="_x0000_s1026" o:spt="100" style="position:absolute;left:1841;top:7193;height:16;width:8415;" fillcolor="#000000" filled="t" stroked="f" coordsize="8415,16" o:gfxdata="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TvsvQAA&#10;ANsAAAAPAAAAAAAAAAEAIAAAACIAAABkcnMvZG93bnJldi54bWxQSwECFAAUAAAACACHTuJAMy8F&#10;njsAAAA5AAAAEAAAAAAAAAABACAAAAAMAQAAZHJzL3NoYXBleG1sLnhtbFBLBQYAAAAABgAGAFsB&#10;AAC2AwAAAAA=&#10;" path="m60,0l0,0,0,15,60,15,60,0m165,0l105,0,105,15,165,15,165,0m270,0l210,0,210,15,270,15,270,0m375,0l315,0,315,15,375,15,375,0m480,0l420,0,420,15,480,15,480,0m585,0l525,0,525,15,585,15,585,0m690,0l630,0,630,15,690,15,690,0m795,0l735,0,735,15,795,15,795,0m900,0l840,0,840,15,900,15,900,0m1005,0l945,0,945,15,1005,15,1005,0m1110,0l1050,0,1050,15,1110,15,1110,0m1215,0l1155,0,1155,15,1215,15,1215,0m1320,0l1260,0,1260,15,1320,15,1320,0m1425,0l1365,0,1365,15,1425,15,1425,0m1530,1l1470,0,1470,15,1530,16,1530,1m1635,1l1575,1,1575,16,1635,16,1635,1m1740,1l1680,1,1680,16,1740,16,1740,1m1845,1l1785,1,1785,16,1845,16,1845,1m1950,1l1890,1,1890,16,1950,16,1950,1m2055,1l1995,1,1995,16,2055,16,2055,1m2160,1l2100,1,2100,16,2160,16,2160,1m2265,1l2205,1,2205,16,2265,16,2265,1m2370,1l2310,1,2310,16,2370,16,2370,1m2475,1l2415,1,2415,16,2475,16,2475,1m2580,1l2520,1,2520,16,2580,16,2580,1m2685,1l2625,1,2625,16,2685,16,2685,1m2790,1l2730,1,2730,16,2790,16,2790,1m2895,1l2835,1,2835,16,2895,16,2895,1m3000,1l2940,1,2940,16,3000,16,3000,1m3105,1l3045,1,3045,16,3105,16,3105,1m3210,1l3150,1,3150,16,3210,16,3210,1m3315,1l3255,1,3255,16,3315,16,3315,1m3420,1l3360,1,3360,16,3420,16,3420,1m3525,1l3465,1,3465,16,3525,16,3525,1m3630,1l3570,1,3570,16,3630,16,3630,1m3735,1l3675,1,3675,16,3735,16,3735,1m3840,1l3780,1,3780,16,3840,16,3840,1m3945,1l3885,1,3885,16,3945,16,3945,1m4050,1l3990,1,3990,16,4050,16,4050,1m4155,1l4095,1,4095,16,4155,16,4155,1m4260,1l4200,1,4200,16,4260,16,4260,1m4365,1l4305,1,4305,16,4365,16,4365,1m4470,1l4410,1,4410,16,4470,16,4470,1m4575,1l4515,1,4515,16,4575,16,4575,1m4680,1l4620,1,4620,16,4680,16,4680,1m4785,1l4725,1,4725,16,4785,16,4785,1m4890,1l4830,1,4830,16,4890,16,4890,1m4995,1l4935,1,4935,16,4995,16,4995,1m5100,1l5040,1,5040,16,5100,16,5100,1m5205,1l5145,1,5145,16,5205,16,5205,1m5310,1l5250,1,5250,16,5310,16,5310,1m5415,1l5355,1,5355,16,5415,16,5415,1m5520,1l5460,1,5460,16,5520,16,5520,1m5625,1l5565,1,5565,16,5625,16,5625,1m5730,1l5670,1,5670,16,5730,16,5730,1m5835,1l5775,1,5775,16,5835,16,5835,1m5940,1l5880,1,5880,16,5940,16,5940,1m6045,1l5985,1,5985,16,6045,16,6045,1m6150,1l6090,1,6090,16,6150,16,6150,1m6255,1l6195,1,6195,16,6255,16,6255,1m6360,1l6300,1,6300,16,6360,16,6360,1m6465,1l6405,1,6405,16,6465,16,6465,1m6570,1l6510,1,6510,16,6570,16,6570,1m6675,1l6615,1,6615,16,6675,16,6675,1m6780,1l6720,1,6720,16,6780,16,6780,1m6885,1l6825,1,6825,16,6885,16,6885,1m6990,1l6930,1,6930,16,6990,16,6990,1m7095,1l7035,1,7035,16,7095,16,7095,1m7200,1l7140,1,7140,16,7200,16,7200,1m7305,1l7245,1,7245,16,7305,16,7305,1m7410,1l7350,1,7350,16,7410,16,7410,1m7515,1l7455,1,7455,16,7515,16,7515,1m7620,1l7560,1,7560,16,7620,16,7620,1m7725,1l7665,1,7665,16,7725,16,7725,1m7830,1l7770,1,7770,16,7830,16,7830,1m7935,1l7875,1,7875,16,7935,16,7935,1m8040,1l7980,1,7980,16,8040,16,8040,1m8145,1l8085,1,8085,16,8145,16,8145,1m8250,1l8190,1,8190,16,8250,16,8250,1m8355,1l8295,1,8295,16,8355,16,8355,1m8415,1l8400,1,8400,16,8415,16,8415,1e">
                  <v:fill on="t" focussize="0,0"/>
                  <v:stroke on="f"/>
                  <v:imagedata o:title=""/>
                  <o:lock v:ext="edit" aspectratio="f"/>
                </v:shape>
                <v:shape id="任意多边形 8" o:spid="_x0000_s1026" o:spt="100" style="position:absolute;left:5936;top:7014;height:562;width:120;" fillcolor="#000000" filled="t" stroked="f" coordsize="120,562" o:gfxdata="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rodK5AAAA2wAA&#10;AA8AAAAAAAAAAQAgAAAAIgAAAGRycy9kb3ducmV2LnhtbFBLAQIUABQAAAAIAIdO4kAzLwWeOwAA&#10;ADkAAAAQAAAAAAAAAAEAIAAAAAgBAABkcnMvc2hhcGV4bWwueG1sUEsFBgAAAAAGAAYAWwEAALID&#10;AAAAAA==&#10;" path="m68,441l53,441,58,0,73,0,68,441xm59,561l0,440,53,441,53,471,68,471,105,471,59,561xm68,471l53,471,53,441,68,441,68,471xm105,471l68,471,68,441,120,442,105,471xe">
                  <v:fill on="t" focussize="0,0"/>
                  <v:stroke on="f"/>
                  <v:imagedata o:title=""/>
                  <o:lock v:ext="edit" aspectratio="f"/>
                </v:shape>
                <v:line id="直线 9" o:spid="_x0000_s1026" o:spt="20" style="position:absolute;left:4406;top:7557;height:514;width:0;" filled="f" stroked="t" coordsize="21600,21600" o:gfxdata="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Q/Fm8AAAA&#10;2w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line id="直线 10" o:spid="_x0000_s1026" o:spt="20" style="position:absolute;left:7333;top:7575;height:515;width:0;" filled="f" stroked="t" coordsize="21600,21600" o:gfxdata="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DzbC5AAAA2wAA&#10;AA8AAAAAAAAAAQAgAAAAIgAAAGRycy9kb3ducmV2LnhtbFBLAQIUABQAAAAIAIdO4kAzLwWeOwAA&#10;ADkAAAAQAAAAAAAAAAEAIAAAAAgBAABkcnMvc2hhcGV4bWwueG1sUEsFBgAAAAAGAAYAWwEAALID&#10;AAAAAA==&#10;">
                  <v:fill on="f" focussize="0,0"/>
                  <v:stroke weight="0.8pt" color="#000000" joinstyle="round"/>
                  <v:imagedata o:title=""/>
                  <o:lock v:ext="edit" aspectratio="f"/>
                </v:line>
                <v:line id="直线 11" o:spid="_x0000_s1026" o:spt="20" style="position:absolute;left:4391;top:7574;height:0;width:2940;" filled="f" stroked="t" coordsize="21600,21600" o:gfxdata="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bFdrtwAAANsAAAAP&#10;AAAAAAAAAAEAIAAAACIAAABkcnMvZG93bnJldi54bWxQSwECFAAUAAAACACHTuJAMy8FnjsAAAA5&#10;AAAAEAAAAAAAAAABACAAAAAGAQAAZHJzL3NoYXBleG1sLnhtbFBLBQYAAAAABgAGAFsBAACwAwAA&#10;AAA=&#10;">
                  <v:fill on="f" focussize="0,0"/>
                  <v:stroke weight="0.8pt" color="#000000" joinstyle="round"/>
                  <v:imagedata o:title=""/>
                  <o:lock v:ext="edit" aspectratio="f"/>
                </v:line>
                <v:line id="直线 12" o:spid="_x0000_s1026" o:spt="20" style="position:absolute;left:4420;top:9005;height:431;width:0;" filled="f" stroked="t" coordsize="21600,21600" o:gfxdata="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IPLwugAAANsA&#10;AAAPAAAAAAAAAAEAIAAAACIAAABkcnMvZG93bnJldi54bWxQSwECFAAUAAAACACHTuJAMy8FnjsA&#10;AAA5AAAAEAAAAAAAAAABACAAAAAJAQAAZHJzL3NoYXBleG1sLnhtbFBLBQYAAAAABgAGAFsBAACz&#10;AwAAAAA=&#10;">
                  <v:fill on="f" focussize="0,0"/>
                  <v:stroke weight="0.8pt" color="#000000" joinstyle="round"/>
                  <v:imagedata o:title=""/>
                  <o:lock v:ext="edit" aspectratio="f"/>
                </v:line>
                <v:shape id="任意多边形 13" o:spid="_x0000_s1026" o:spt="100" style="position:absolute;left:3390;top:8067;height:944;width:2057;" fillcolor="#000000" filled="t" stroked="f" coordsize="2057,944" o:gfxdata="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2+i68AAAA&#10;2wAAAA8AAAAAAAAAAQAgAAAAIgAAAGRycy9kb3ducmV2LnhtbFBLAQIUABQAAAAIAIdO4kAzLwWe&#10;OwAAADkAAAAQAAAAAAAAAAEAIAAAAAsBAABkcnMvc2hhcGV4bWwueG1sUEsFBgAAAAAGAAYAWwEA&#10;ALUDAAAAAA==&#10;" path="m2057,944l0,944,0,0,2057,0,2057,8,15,8,7,15,15,15,15,929,7,929,15,937,2057,937,2057,944xm15,15l7,15,15,8,15,15xm2042,15l15,15,15,8,2042,8,2042,15xm2042,937l2042,8,2049,15,2057,15,2057,929,2049,929,2042,937xm2057,15l2049,15,2042,8,2057,8,2057,15xm15,937l7,929,15,929,15,937xm2042,937l15,937,15,929,2042,929,2042,937xm2057,937l2042,937,2049,929,2057,929,2057,937xe">
                  <v:fill on="t" focussize="0,0"/>
                  <v:stroke on="f"/>
                  <v:imagedata o:title=""/>
                  <o:lock v:ext="edit" aspectratio="f"/>
                </v:shape>
                <v:line id="直线 14" o:spid="_x0000_s1026" o:spt="20" style="position:absolute;left:7361;top:9031;height:431;width:0;" filled="f" stroked="t" coordsize="21600,21600" o:gfxdata="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7JHLsAAADb&#10;AAAADwAAAAAAAAABACAAAAAiAAAAZHJzL2Rvd25yZXYueG1sUEsBAhQAFAAAAAgAh07iQDMvBZ47&#10;AAAAOQAAABAAAAAAAAAAAQAgAAAACgEAAGRycy9zaGFwZXhtbC54bWxQSwUGAAAAAAYABgBbAQAA&#10;tAMAAAAA&#10;">
                  <v:fill on="f" focussize="0,0"/>
                  <v:stroke weight="0.8pt" color="#000000" joinstyle="round"/>
                  <v:imagedata o:title=""/>
                  <o:lock v:ext="edit" aspectratio="f"/>
                </v:line>
                <v:shape id="任意多边形 15" o:spid="_x0000_s1026" o:spt="100" style="position:absolute;left:5913;top:8081;height:1829;width:2077;" fillcolor="#000000" filled="t" stroked="f" coordsize="2077,1829" o:gfxdata="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a3e2/&#10;AAAA2wAAAA8AAAAAAAAAAQAgAAAAIgAAAGRycy9kb3ducmV2LnhtbFBLAQIUABQAAAAIAIdO4kAz&#10;LwWeOwAAADkAAAAQAAAAAAAAAAEAIAAAAA4BAABkcnMvc2hhcGV4bWwueG1sUEsFBgAAAAAGAAYA&#10;WwEAALgDAAAAAA==&#10;" path="m120,1709l67,1709,67,1348,52,1348,52,1709,0,1709,60,1829,105,1739,120,1709m2077,0l2062,0,2062,15,2062,942,762,942,762,15,2062,15,2062,0,747,0,747,957,2077,957,2077,949,2077,942,2077,15,2077,7,2077,0e">
                  <v:fill on="t" focussize="0,0"/>
                  <v:stroke on="f"/>
                  <v:imagedata o:title=""/>
                  <o:lock v:ext="edit" aspectratio="f"/>
                </v:shape>
                <v:line id="直线 16" o:spid="_x0000_s1026" o:spt="20" style="position:absolute;left:4403;top:9431;height:0;width:2940;" filled="f" stroked="t" coordsize="21600,21600" o:gfxdata="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TzvQAA&#10;ANs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17" o:spid="_x0000_s1026" o:spt="100" style="position:absolute;left:1858;top:1826;height:12544;width:8476;" fillcolor="#000000" filled="t" stroked="f" coordsize="8476,12544" o:gfxdata="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T4+q8AAAA&#10;2wAAAA8AAAAAAAAAAQAgAAAAIgAAAGRycy9kb3ducmV2LnhtbFBLAQIUABQAAAAIAIdO4kAzLwWe&#10;OwAAADkAAAAQAAAAAAAAAAEAIAAAAAsBAABkcnMvc2hhcGV4bWwueG1sUEsFBgAAAAAGAAYAWwEA&#10;ALUDAAAAAA==&#10;" path="m15,12383l0,12383,0,12443,15,12443,15,12383m15,12278l0,12278,0,12338,15,12338,15,12278m15,12173l0,12173,0,12233,15,12233,15,12173m15,12068l0,12068,0,12128,15,12128,15,12068m15,11963l0,11963,0,12023,15,12023,15,11963m15,11858l0,11858,0,11918,15,11918,15,11858m15,11753l0,11753,0,11813,15,11813,15,11753m15,11648l0,11648,0,11708,15,11708,15,11648m15,11543l0,11543,0,11603,15,11603,15,11543m15,11438l0,11438,0,11498,15,11498,15,11438m15,11333l0,11333,0,11393,15,11393,15,11333m15,11228l0,11228,0,11288,15,11288,15,11228m15,11123l0,11123,0,11183,15,11183,15,11123m15,11018l0,11018,0,11078,15,11078,15,11018m15,10913l0,10913,0,10973,15,10973,15,10913m15,10808l0,10808,0,10868,15,10868,15,10808m15,10703l0,10703,0,10763,15,10763,15,10703m15,10598l0,10598,0,10658,15,10658,15,10598m15,10493l0,10493,0,10553,15,10553,15,10493m15,10388l0,10388,0,10448,15,10448,15,10388m15,10283l0,10283,0,10343,15,10343,15,10283m15,10178l0,10178,0,10238,15,10238,15,10178m15,10073l0,10073,0,10133,15,10133,15,10073m15,9968l0,9968,0,10028,15,10028,15,9968m15,9863l0,9863,0,9923,15,9923,15,9863m15,9758l0,9758,0,9818,15,9818,15,9758m15,9653l0,9653,0,9713,15,9713,15,9653m15,9548l0,9548,0,9608,15,9608,15,9548m15,9443l0,9443,0,9503,15,9503,15,9443m15,9338l0,9338,0,9398,15,9398,15,9338m15,9233l0,9233,0,9293,15,9293,15,9233m15,9128l0,9128,0,9188,15,9188,15,9128m15,9023l0,9023,0,9083,15,9083,15,9023m15,8918l0,8918,0,8978,15,8978,15,8918m15,8813l0,8813,0,8873,15,8873,15,8813m15,8708l0,8708,0,8768,15,8768,15,8708m15,8603l0,8603,0,8663,15,8663,15,8603m15,8498l0,8498,0,8558,15,8558,15,8498m15,8393l0,8393,0,8453,15,8453,15,8393m15,8288l0,8288,0,8348,15,8348,15,8288m15,8183l0,8183,0,8243,15,8243,15,8183m15,8078l0,8078,0,8138,15,8138,15,8078m15,7973l0,7973,0,8033,15,8033,15,7973m15,7868l0,7868,0,7928,15,7928,15,7868m15,7763l0,7763,0,7823,15,7823,15,7763m15,7658l0,7658,0,7718,15,7718,15,7658m15,7553l0,7553,0,7613,15,7613,15,7553m15,7448l0,7448,0,7508,15,7508,15,7448m15,7343l0,7343,0,7403,15,7403,15,7343m15,7238l0,7238,0,7298,15,7298,15,7238m15,7133l0,7133,0,7193,15,7193,15,7133m15,7028l0,7028,0,7088,15,7088,15,7028m15,6923l0,6923,0,6983,15,6983,15,6923m15,6818l0,6818,0,6878,15,6878,15,6818m15,6713l0,6713,0,6773,15,6773,15,6713m15,6608l0,6608,0,6668,15,6668,15,6608m15,6503l0,6503,0,6563,15,6563,15,6503m15,6398l0,6398,0,6458,15,6458,15,6398m15,6293l0,6293,0,6353,15,6353,15,6293m15,6188l0,6188,0,6248,15,6248,15,6188m15,6083l0,6083,0,6143,15,6143,15,6083m15,5978l0,5978,0,6038,15,6038,15,5978m15,5873l0,5873,0,5933,15,5933,15,5873m15,5768l0,5768,0,5828,15,5828,15,5768m15,5663l0,5663,0,5723,15,5723,15,5663m15,5558l0,5558,0,5618,15,5618,15,5558m15,5453l0,5453,0,5513,15,5513,15,5453m15,5348l0,5348,0,5408,15,5408,15,5348m15,5243l0,5243,0,5303,15,5303,15,5243m15,5138l0,5138,0,5198,15,5198,15,5138m15,5033l0,5033,0,5093,15,5093,15,5033m15,4928l0,4928,0,4988,15,4988,15,4928m15,4823l0,4823,0,4883,15,4883,15,4823m15,4718l0,4718,0,4778,15,4778,15,4718m15,4613l0,4613,0,4673,15,4673,15,4613m15,4508l0,4508,0,4568,15,4568,15,4508m15,4403l0,4403,0,4463,15,4463,15,4403m15,4298l0,4298,0,4358,15,4358,15,4298m15,4193l0,4193,0,4253,15,4253,15,4193m15,4088l0,4088,0,4148,15,4148,15,4088m15,3983l0,3983,0,4043,15,4043,15,3983m15,3878l0,3878,0,3938,15,3938,15,3878m15,3773l0,3773,0,3833,15,3833,15,3773m15,3668l0,3668,0,3728,15,3728,15,3668m15,3563l0,3563,0,3623,15,3623,15,3563m15,3458l0,3458,0,3518,15,3518,15,3458m15,3353l0,3353,0,3413,15,3413,15,3353m15,3248l0,3248,0,3308,15,3308,15,3248m15,3143l0,3143,0,3203,15,3203,15,3143m15,3038l0,3038,0,3098,15,3098,15,3038m15,2933l0,2933,0,2993,15,2993,15,2933m15,2828l0,2828,0,2888,15,2888,15,2828m15,2723l0,2723,0,2783,15,2783,15,2723m15,2618l0,2618,0,2678,15,2678,15,2618m15,2513l0,2513,0,2573,15,2573,15,2513m15,2408l0,2408,0,2468,15,2468,15,2408m15,2303l0,2303,0,2363,15,2363,15,2303m15,2198l0,2198,0,2258,15,2258,15,2198m15,2093l0,2093,0,2153,15,2153,15,2093m15,1988l0,1988,0,2048,15,2048,15,1988m15,1883l0,1883,0,1943,15,1943,15,1883m15,1778l0,1778,0,1838,15,1838,15,1778m15,1673l0,1673,0,1733,15,1733,15,1673m15,1568l0,1568,0,1628,15,1628,15,1568m15,1463l0,1463,0,1523,15,1523,15,1463m15,1358l0,1358,0,1418,15,1418,15,1358m15,1253l0,1253,0,1313,15,1313,15,1253m15,1148l0,1148,0,1208,15,1208,15,1148m15,1043l0,1043,0,1103,15,1103,15,1043m15,938l0,938,0,998,15,998,15,938m15,833l0,833,0,893,15,893,15,833m15,728l0,728,0,788,15,788,15,728m15,623l0,623,0,683,15,683,15,623m15,518l0,518,0,578,15,578,15,518m15,413l0,413,0,473,15,473,15,413m15,308l0,308,0,368,15,368,15,308m15,203l0,203,0,263,15,263,15,203m15,98l0,98,0,158,15,158,15,98m18,12530l15,12530,15,12488,0,12488,0,12545,18,12545,18,12537,18,12530m22,0l0,0,0,53,15,53,15,15,22,15,22,8,22,0m120,9366l60,9366,60,9381,120,9381,120,9366m123,12530l63,12530,63,12545,123,12545,123,12530m127,0l67,0,67,15,127,15,127,0m225,9366l165,9366,165,9381,225,9381,225,9366m228,12530l168,12530,168,12545,228,12545,228,12530m232,0l172,0,172,15,232,15,232,0m330,9366l270,9366,270,9381,330,9381,330,9366m333,12530l273,12530,273,12545,333,12545,333,12530m337,0l277,0,277,15,337,15,337,0m435,9366l375,9366,375,9381,435,9381,435,9366m438,12530l378,12530,378,12545,438,12545,438,12530m442,0l382,0,382,15,442,15,442,0m540,9366l480,9366,480,9381,540,9381,540,9366m543,12530l483,12530,483,12545,543,12545,543,12530m547,0l487,0,487,15,547,15,547,0m645,9366l585,9366,585,9381,645,9381,645,9366m648,12530l588,12530,588,12545,648,12545,648,12530m652,0l592,0,592,15,652,15,652,0m750,9366l690,9366,690,9381,750,9381,750,9366m753,12530l693,12530,693,12545,753,12545,753,12530m757,0l697,0,697,15,757,15,757,0m855,9366l795,9366,795,9381,855,9381,855,9366m858,12530l798,12530,798,12545,858,12545,858,12530m862,0l802,0,802,15,862,15,862,0m960,9366l900,9366,900,9381,960,9381,960,9366m963,12530l903,12530,903,12545,963,12545,963,12530m967,0l907,0,907,15,967,15,967,0m1065,9366l1005,9366,1005,9381,1065,9381,1065,9366m1068,12530l1008,12530,1008,12545,1068,12545,1068,12530m1072,0l1012,0,1012,15,1072,15,1072,0m1170,9366l1110,9366,1110,9381,1170,9381,1170,9366m1173,12530l1113,12530,1113,12545,1173,12545,1173,12530m1177,0l1117,0,1117,15,1177,15,1177,0m1275,9366l1215,9366,1215,9381,1275,9381,1275,9366m1278,12530l1218,12530,1218,12545,1278,12545,1278,12530m1282,0l1222,0,1222,15,1282,15,1282,0m1380,9366l1320,9366,1320,9381,1380,9381,1380,9366m1383,12530l1323,12530,1323,12545,1383,12545,1383,12530m1387,0l1327,0,1327,15,1387,15,1387,0m1485,9366l1425,9366,1425,9381,1485,9381,1485,9366m1488,12530l1428,12530,1428,12545,1488,12545,1488,12530m1492,0l1432,0,1432,15,1492,15,1492,0m1590,9366l1530,9366,1530,9381,1590,9381,1590,9366m1593,12530l1533,12530,1533,12545,1593,12545,1593,12530m1597,0l1537,0,1537,15,1597,15,1597,0m1695,9366l1635,9366,1635,9381,1695,9381,1695,9366m1698,12530l1638,12530,1638,12545,1698,12545,1698,12530m1702,0l1642,0,1642,15,1702,15,1702,0m1800,9366l1740,9366,1740,9381,1800,9381,1800,9366m1803,12530l1743,12530,1743,12545,1803,12545,1803,12530m1807,0l1747,0,1747,15,1807,15,1807,0m1905,9366l1845,9366,1845,9381,1905,9381,1905,9366m1908,12530l1848,12530,1848,12545,1908,12545,1908,12530m1912,0l1852,0,1852,15,1912,15,1912,0m2010,9366l1950,9366,1950,9381,2010,9381,2010,9366m2013,12530l1953,12530,1953,12545,2013,12545,2013,12530m2017,0l1957,0,1957,15,2017,15,2017,0m2115,9366l2055,9366,2055,9381,2115,9381,2115,9366m2118,12530l2058,12530,2058,12545,2118,12545,2118,12530m2122,0l2062,0,2062,15,2122,15,2122,0m2220,9366l2160,9366,2160,9381,2220,9381,2220,9366m2223,12530l2163,12530,2163,12545,2223,12545,2223,12530m2227,0l2167,0,2167,15,2227,15,2227,0m2325,9366l2265,9366,2265,9381,2325,9381,2325,9366m2328,12530l2268,12530,2268,12545,2328,12545,2328,12530m2332,0l2272,0,2272,15,2332,15,2332,0m2430,9366l2370,9366,2370,9381,2430,9381,2430,9366m2433,12530l2373,12530,2373,12545,2433,12545,2433,12530m2437,0l2377,0,2377,15,2437,15,2437,0m2535,9366l2475,9366,2475,9381,2535,9381,2535,9366m2538,12530l2478,12530,2478,12545,2538,12545,2538,12530m2542,0l2482,0,2482,15,2542,15,2542,0m2640,9366l2580,9366,2580,9381,2640,9381,2640,9366m2643,12530l2583,12530,2583,12545,2643,12545,2643,12530m2647,0l2587,0,2587,15,2647,15,2647,0m2745,9366l2685,9366,2685,9381,2745,9381,2745,9366m2748,12530l2688,12530,2688,12545,2748,12545,2748,12530m2752,0l2692,0,2692,15,2752,15,2752,0m2850,9367l2790,9366,2790,9381,2850,9382,2850,9367m2853,12530l2793,12530,2793,12545,2853,12545,2853,12530m2857,0l2797,0,2797,15,2857,15,2857,0m2955,9367l2895,9367,2895,9382,2955,9382,2955,9367m2958,12530l2898,12530,2898,12545,2958,12545,2958,12530m2962,0l2902,0,2902,15,2962,15,2962,0m3060,9367l3000,9367,3000,9382,3060,9382,3060,9367m3063,12530l3003,12530,3003,12545,3063,12545,3063,12530m3067,0l3007,0,3007,15,3067,15,3067,0m3165,9367l3105,9367,3105,9382,3165,9382,3165,9367m3168,12530l3108,12530,3108,12545,3168,12545,3168,12530m3172,0l3112,0,3112,15,3172,15,3172,0m3270,9367l3210,9367,3210,9382,3270,9382,3270,9367m3273,12530l3213,12530,3213,12545,3273,12545,3273,12530m3277,0l3217,0,3217,15,3277,15,3277,0m3375,9367l3315,9367,3315,9382,3375,9382,3375,9367m3378,12530l3318,12530,3318,12545,3378,12545,3378,12530m3382,0l3322,0,3322,15,3382,15,3382,0m3480,9367l3420,9367,3420,9382,3480,9382,3480,9367m3483,12530l3423,12530,3423,12545,3483,12545,3483,12530m3487,0l3427,0,3427,15,3487,15,3487,0m3585,9367l3525,9367,3525,9382,3585,9382,3585,9367m3588,12530l3528,12530,3528,12545,3588,12545,3588,12530m3592,0l3532,0,3532,15,3592,15,3592,0m3690,9367l3630,9367,3630,9382,3690,9382,3690,9367m3693,12530l3633,12530,3633,12545,3693,12545,3693,12530m3697,0l3637,0,3637,15,3697,15,3697,0m3795,9367l3735,9367,3735,9382,3795,9382,3795,9367m3798,12530l3738,12530,3738,12545,3798,12545,3798,12530m3802,0l3742,0,3742,15,3802,15,3802,0m3900,9367l3840,9367,3840,9382,3900,9382,3900,9367m3903,12530l3843,12530,3843,12545,3903,12545,3903,12530m3907,0l3847,0,3847,15,3907,15,3907,0m4005,9367l3945,9367,3945,9382,4005,9382,4005,9367m4008,12530l3948,12530,3948,12545,4008,12545,4008,12530m4012,0l3952,0,3952,15,4012,15,4012,0m4113,12530l4053,12530,4053,12545,4113,12545,4113,12530m4117,0l4057,0,4057,15,4117,15,4117,0m4215,9367l4155,9367,4155,9382,4215,9382,4215,9367m4218,12530l4158,12530,4158,12545,4218,12545,4218,12530m4222,0l4162,0,4162,15,4222,15,4222,0m4320,9367l4260,9367,4260,9382,4320,9382,4320,9367m4323,12530l4263,12530,4263,12545,4323,12545,4323,12530m4327,0l4267,0,4267,15,4327,15,4327,0m4425,9367l4365,9367,4365,9382,4425,9382,4425,9367m4428,12530l4368,12530,4368,12545,4428,12545,4428,12530m4432,0l4372,0,4372,15,4432,15,4432,0m4530,9367l4470,9367,4470,9382,4530,9382,4530,9367m4533,12530l4473,12530,4473,12545,4533,12545,4533,12530m4537,0l4477,0,4477,15,4537,15,4537,0m4635,9367l4575,9367,4575,9382,4635,9382,4635,9367m4638,12530l4578,12530,4578,12545,4638,12545,4638,12530m4642,0l4582,0,4582,15,4642,15,4642,0m4740,9367l4680,9367,4680,9382,4740,9382,4740,9367m4743,12530l4683,12530,4683,12545,4743,12545,4743,12530m4747,0l4687,0,4687,15,4747,15,4747,0m4845,9367l4785,9367,4785,9382,4845,9382,4845,9367m4848,12530l4788,12530,4788,12545,4848,12545,4848,12530m4852,0l4792,0,4792,15,4852,15,4852,0m4950,9367l4890,9367,4890,9382,4950,9382,4950,9367m4953,12530l4893,12530,4893,12545,4953,12545,4953,12530m4957,0l4897,0,4897,15,4957,15,4957,0m5055,9367l4995,9367,4995,9382,5055,9382,5055,9367m5058,12530l4998,12530,4998,12545,5058,12545,5058,12530m5062,0l5002,0,5002,15,5062,15,5062,0m5160,9367l5100,9367,5100,9382,5160,9382,5160,9367m5163,12530l5103,12530,5103,12545,5163,12545,5163,12530m5167,0l5107,0,5107,15,5167,15,5167,0m5265,9367l5205,9367,5205,9382,5265,9382,5265,9367m5268,12530l5208,12530,5208,12545,5268,12545,5268,12530m5272,0l5212,0,5212,15,5272,15,5272,0m5370,9367l5310,9367,5310,9382,5370,9382,5370,9367m5373,12530l5313,12530,5313,12545,5373,12545,5373,12530m5377,0l5317,0,5317,15,5377,15,5377,0m5475,9367l5415,9367,5415,9382,5475,9382,5475,9367m5478,12530l5418,12530,5418,12545,5478,12545,5478,12530m5482,0l5422,0,5422,15,5482,15,5482,0m5501,11641l5486,11641,5486,11656,5486,12140,2592,12140,2592,11656,5486,11656,5486,11641,4082,11641,4120,11565,4135,11535,4082,11535,4082,11217,4067,11217,4067,11535,4015,11535,4068,11641,2577,11641,2577,12155,5501,12155,5501,12147,5501,12140,5501,11656,5501,11648,5501,11641m5580,9367l5520,9367,5520,9382,5580,9382,5580,9367m5583,12530l5523,12530,5523,12545,5583,12545,5583,12530m5587,0l5527,0,5527,15,5587,15,5587,0m5685,9367l5625,9367,5625,9382,5685,9382,5685,9367m5688,12530l5628,12530,5628,12545,5688,12545,5688,12530m5692,0l5632,0,5632,15,5692,15,5692,0m5790,9367l5730,9367,5730,9382,5790,9382,5790,9367m5793,12530l5733,12530,5733,12545,5793,12545,5793,12530m5797,0l5737,0,5737,15,5797,15,5797,0m5895,9367l5835,9367,5835,9382,5895,9382,5895,9367m5898,12530l5838,12530,5838,12545,5898,12545,5898,12530m5902,0l5842,0,5842,15,5902,15,5902,0m6000,9367l5940,9367,5940,9382,6000,9382,6000,9367m6003,12530l5943,12530,5943,12545,6003,12545,6003,12530m6004,8066l5989,8066,5989,8081,5989,9146,2119,9146,2119,8081,5989,8081,5989,8066,2104,8066,2104,9161,6004,9161,6004,9153,6004,9146,6004,8081,6004,8073,6004,8066m6007,0l5947,0,5947,15,6007,15,6007,0m6105,9367l6045,9367,6045,9382,6105,9382,6105,9367m6108,12530l6048,12530,6048,12545,6108,12545,6108,12530m6112,0l6052,0,6052,15,6112,15,6112,0m6154,9627l6139,9627,6139,9642,6139,11189,1984,11189,1984,9642,4063,9642,4076,9669,4089,9642,6139,9642,6139,9627,4097,9627,4121,9579,4136,9549,4083,9549,4083,9382,4110,9382,4110,9367,4083,9367,4083,9188,4068,9188,4068,9367,4050,9367,4050,9382,4068,9382,4068,9549,4016,9549,4055,9627,1969,9627,1969,11204,6154,11204,6154,11196,6154,11189,6154,9642,6154,9634,6154,9627m6210,9367l6150,9367,6150,9382,6210,9382,6210,9367m6213,12530l6153,12530,6153,12545,6213,12545,6213,12530m6217,0l6157,0,6157,15,6217,15,6217,0m6315,9367l6255,9367,6255,9382,6315,9382,6315,9367m6318,12530l6258,12530,6258,12545,6318,12545,6318,12530m6322,0l6262,0,6262,15,6322,15,6322,0m6420,9367l6360,9367,6360,9382,6420,9382,6420,9367m6423,12530l6363,12530,6363,12545,6423,12545,6423,12530m6427,0l6367,0,6367,15,6427,15,6427,0m6525,9367l6465,9367,6465,9382,6525,9382,6525,9367m6528,12530l6468,12530,6468,12545,6528,12545,6528,12530m6532,0l6472,0,6472,15,6532,15,6532,0m6630,9367l6570,9367,6570,9382,6630,9382,6630,9367m6633,12530l6573,12530,6573,12545,6633,12545,6633,12530m6637,0l6577,0,6577,15,6637,15,6637,0m6735,9367l6675,9367,6675,9382,6735,9382,6735,9367m6738,12530l6678,12530,6678,12545,6738,12545,6738,12530m6742,0l6682,0,6682,15,6742,15,6742,0m6840,9367l6780,9367,6780,9382,6840,9382,6840,9367m6843,12530l6783,12530,6783,12545,6843,12545,6843,12530m6847,0l6787,0,6787,15,6847,15,6847,0m6945,9367l6885,9367,6885,9382,6945,9382,6945,9367m6948,12530l6888,12530,6888,12545,6948,12545,6948,12530m6952,0l6892,0,6892,15,6952,15,6952,0m7050,9367l6990,9367,6990,9382,7050,9382,7050,9367m7053,12530l6993,12530,6993,12545,7053,12545,7053,12530m7057,0l6997,0,6997,15,7057,15,7057,0m7155,9367l7095,9367,7095,9382,7155,9382,7155,9367m7158,12530l7098,12530,7098,12545,7158,12545,7158,12530m7162,0l7102,0,7102,15,7162,15,7162,0m7260,9367l7200,9367,7200,9382,7260,9382,7260,9367m7263,12530l7203,12530,7203,12545,7263,12545,7263,12530m7267,0l7207,0,7207,15,7267,15,7267,0m7365,9367l7305,9367,7305,9382,7365,9382,7365,9367m7368,12530l7308,12530,7308,12545,7368,12545,7368,12530m7372,0l7312,0,7312,15,7372,15,7372,0m7470,9367l7410,9367,7410,9382,7470,9382,7470,9367m7473,12530l7413,12530,7413,12545,7473,12545,7473,12530m7477,0l7417,0,7417,15,7477,15,7477,0m7575,9367l7515,9367,7515,9382,7575,9382,7575,9367m7578,12530l7518,12530,7518,12545,7578,12545,7578,12530m7582,0l7522,0,7522,15,7582,15,7582,0m7680,9367l7620,9367,7620,9382,7680,9382,7680,9367m7683,12530l7623,12530,7623,12545,7683,12545,7683,12530m7687,0l7627,0,7627,15,7687,15,7687,0m7785,9367l7725,9367,7725,9382,7785,9382,7785,9367m7788,12530l7728,12530,7728,12545,7788,12545,7788,12530m7792,0l7732,0,7732,15,7792,15,7792,0m7890,9367l7830,9367,7830,9382,7890,9382,7890,9367m7893,12530l7833,12530,7833,12545,7893,12545,7893,12530m7897,0l7837,0,7837,15,7897,15,7897,0m7995,9367l7935,9367,7935,9382,7995,9382,7995,9367m7998,12530l7938,12530,7938,12545,7998,12545,7998,12530m8002,0l7942,0,7942,15,8002,15,8002,0m8100,9367l8040,9367,8040,9382,8100,9382,8100,9367m8103,12530l8043,12530,8043,12545,8103,12545,8103,12530m8107,0l8047,0,8047,15,8107,15,8107,0m8205,9367l8145,9367,8145,9382,8205,9382,8205,9367m8208,12530l8148,12530,8148,12545,8208,12545,8208,12530m8212,0l8152,0,8152,15,8212,15,8212,0m8310,9367l8250,9367,8250,9382,8310,9382,8310,9367m8313,12530l8253,12530,8253,12545,8313,12545,8313,12530m8317,0l8257,0,8257,15,8317,15,8317,0m8415,9367l8355,9367,8355,9382,8415,9382,8415,9367m8418,12530l8358,12530,8358,12545,8418,12545,8418,12530m8422,0l8362,0,8362,15,8422,15,8422,0m8429,12436l8414,12436,8414,12496,8429,12496,8429,12436m8429,12331l8414,12331,8414,12391,8429,12391,8429,12331m8429,12226l8414,12226,8414,12286,8429,12286,8429,12226m8429,12121l8414,12121,8414,12181,8429,12181,8429,12121m8429,12016l8414,12016,8414,12076,8429,12076,8429,12016m8429,11911l8414,11911,8414,11971,8429,11971,8429,11911m8429,11806l8414,11806,8414,11866,8429,11866,8429,11806m8429,11701l8414,11701,8414,11761,8429,11761,8429,11701m8429,11596l8414,11596,8414,11656,8429,11656,8429,11596m8429,11491l8414,11491,8414,11551,8429,11551,8429,11491m8429,11386l8414,11386,8414,11446,8429,11446,8429,11386m8429,11281l8414,11281,8414,11341,8429,11341,8429,11281m8429,11176l8414,11176,8414,11236,8429,11236,8429,11176m8429,11071l8414,11071,8414,11131,8429,11131,8429,11071m8429,10966l8414,10966,8414,11026,8429,11026,8429,10966m8429,10861l8414,10861,8414,10921,8429,10921,8429,10861m8429,10756l8414,10756,8414,10816,8429,10816,8429,10756m8429,10651l8414,10651,8414,10711,8429,10711,8429,10651m8429,10546l8414,10546,8414,10606,8429,10606,8429,10546m8429,10441l8414,10441,8414,10501,8429,10501,8429,10441m8429,10336l8414,10336,8414,10396,8429,10396,8429,10336m8429,10231l8414,10231,8414,10291,8429,10291,8429,10231m8429,10126l8414,10126,8414,10186,8429,10186,8429,10126m8429,10021l8414,10021,8414,10081,8429,10081,8429,10021m8429,9916l8414,9916,8414,9976,8429,9976,8429,9916m8429,9811l8414,9811,8414,9871,8429,9871,8429,9811m8429,9706l8414,9706,8414,9766,8429,9766,8429,9706m8429,9601l8414,9601,8414,9661,8429,9661,8429,9601m8429,9496l8414,9496,8414,9556,8429,9556,8429,9496m8429,9391l8414,9391,8414,9451,8429,9451,8429,9391m8429,9286l8414,9286,8414,9346,8429,9346,8429,9286m8429,9181l8414,9181,8414,9241,8429,9241,8429,9181m8429,9076l8414,9076,8414,9136,8429,9136,8429,9076m8429,8971l8414,8971,8414,9031,8429,9031,8429,8971m8429,8866l8414,8866,8414,8926,8429,8926,8429,8866m8429,8761l8414,8761,8414,8821,8429,8821,8429,8761m8429,8656l8414,8656,8414,8716,8429,8716,8429,8656m8429,8551l8414,8551,8414,8611,8429,8611,8429,8551m8429,8446l8414,8446,8414,8506,8429,8506,8429,8446m8429,8341l8414,8341,8414,8401,8429,8401,8429,8341m8429,8236l8414,8236,8414,8296,8429,8296,8429,8236m8429,8131l8414,8131,8414,8191,8429,8191,8429,8131m8429,8026l8414,8026,8414,8086,8429,8086,8429,8026m8429,7921l8414,7921,8414,7981,8429,7981,8429,7921m8429,7816l8414,7816,8414,7876,8429,7876,8429,7816m8429,7711l8414,7711,8414,7771,8429,7771,8429,7711m8429,7606l8414,7606,8414,7666,8429,7666,8429,7606m8429,7501l8414,7501,8414,7561,8429,7561,8429,7501m8429,7396l8414,7396,8414,7456,8429,7456,8429,7396m8429,7291l8414,7291,8414,7351,8429,7351,8429,7291m8429,7186l8414,7186,8414,7246,8429,7246,8429,7186m8429,7081l8414,7081,8414,7141,8429,7141,8429,7081m8429,6976l8414,6976,8414,7036,8429,7036,8429,6976m8429,6871l8414,6871,8414,6931,8429,6931,8429,6871m8429,6766l8414,6766,8414,6826,8429,6826,8429,6766m8429,6661l8414,6661,8414,6721,8429,6721,8429,6661m8429,6556l8414,6556,8414,6616,8429,6616,8429,6556m8429,6451l8414,6451,8414,6511,8429,6511,8429,6451m8429,6346l8414,6346,8414,6406,8429,6406,8429,6346m8429,6241l8414,6241,8414,6301,8429,6301,8429,6241m8429,6136l8414,6136,8414,6196,8429,6196,8429,6136m8429,6031l8414,6031,8414,6091,8429,6091,8429,6031m8429,5926l8414,5926,8414,5986,8429,5986,8429,5926m8429,5821l8414,5821,8414,5881,8429,5881,8429,5821m8429,5716l8414,5716,8414,5776,8429,5776,8429,5716m8429,5611l8414,5611,8414,5671,8429,5671,8429,5611m8429,5506l8414,5506,8414,5566,8429,5566,8429,5506m8429,5401l8414,5401,8414,5461,8429,5461,8429,5401m8429,5296l8414,5296,8414,5356,8429,5356,8429,5296m8429,5191l8414,5191,8414,5251,8429,5251,8429,5191m8429,5086l8414,5086,8414,5146,8429,5146,8429,5086m8429,4981l8414,4981,8414,5041,8429,5041,8429,4981m8429,4876l8414,4876,8414,4936,8429,4936,8429,4876m8429,4771l8414,4771,8414,4831,8429,4831,8429,4771m8429,4666l8414,4666,8414,4726,8429,4726,8429,4666m8429,4561l8414,4561,8414,4621,8429,4621,8429,4561m8429,4456l8414,4456,8414,4516,8429,4516,8429,4456m8429,4351l8414,4351,8414,4411,8429,4411,8429,4351m8429,4246l8414,4246,8414,4306,8429,4306,8429,4246m8429,4141l8414,4141,8414,4201,8429,4201,8429,4141m8429,4036l8414,4036,8414,4096,8429,4096,8429,4036m8429,3931l8414,3931,8414,3991,8429,3991,8429,3931m8429,3826l8414,3826,8414,3886,8429,3886,8429,3826m8429,3721l8414,3721,8414,3781,8429,3781,8429,3721m8429,3616l8414,3616,8414,3676,8429,3676,8429,3616m8429,3511l8414,3511,8414,3571,8429,3571,8429,3511m8429,3406l8414,3406,8414,3466,8429,3466,8429,3406m8429,3301l8414,3301,8414,3361,8429,3361,8429,3301m8429,3196l8414,3196,8414,3256,8429,3256,8429,3196m8429,3091l8414,3091,8414,3151,8429,3151,8429,3091m8429,2986l8414,2986,8414,3046,8429,3046,8429,2986m8429,2881l8414,2881,8414,2941,8429,2941,8429,2881m8429,2776l8414,2776,8414,2836,8429,2836,8429,2776m8429,2671l8414,2671,8414,2731,8429,2731,8429,2671m8429,2566l8414,2566,8414,2626,8429,2626,8429,2566m8429,2461l8414,2461,8414,2521,8429,2521,8429,2461m8429,2356l8414,2356,8414,2416,8429,2416,8429,2356m8429,2251l8414,2251,8414,2311,8429,2311,8429,2251m8429,2146l8414,2146,8414,2206,8429,2206,8429,2146m8429,2041l8414,2041,8414,2101,8429,2101,8429,2041m8429,1936l8414,1936,8414,1996,8429,1996,8429,1936m8429,1831l8414,1831,8414,1891,8429,1891,8429,1831m8429,1726l8414,1726,8414,1786,8429,1786,8429,1726m8429,1621l8414,1621,8414,1681,8429,1681,8429,1621m8429,1516l8414,1516,8414,1576,8429,1576,8429,1516m8429,1411l8414,1411,8414,1471,8429,1471,8429,1411m8429,1306l8414,1306,8414,1366,8429,1366,8429,1306m8429,1201l8414,1201,8414,1261,8429,1261,8429,1201m8429,1096l8414,1096,8414,1156,8429,1156,8429,1096m8429,991l8414,991,8414,1051,8429,1051,8429,991m8429,886l8414,886,8414,946,8429,946,8429,886m8429,781l8414,781,8414,841,8429,841,8429,781m8429,676l8414,676,8414,736,8429,736,8429,676m8429,571l8414,571,8414,631,8429,631,8429,571m8429,466l8414,466,8414,526,8429,526,8429,466m8429,361l8414,361,8414,421,8429,421,8429,361m8429,256l8414,256,8414,316,8429,316,8429,256m8429,151l8414,151,8414,211,8429,211,8429,151m8429,46l8414,46,8414,106,8429,106,8429,46m8475,9367l8460,9367,8460,9382,8475,9382,8475,9367e">
                  <v:fill on="t" focussize="0,0"/>
                  <v:stroke on="f"/>
                  <v:imagedata o:title=""/>
                  <o:lock v:ext="edit" aspectratio="f"/>
                </v:shape>
              </v:group>
            </w:pict>
          </mc:Fallback>
        </mc:AlternateContent>
      </w:r>
      <w:r>
        <w:rPr>
          <w:sz w:val="21"/>
        </w:rPr>
        <w:t>各环境要素环境影响预测与评价</w:t>
      </w:r>
    </w:p>
    <w:p>
      <w:pPr>
        <w:pStyle w:val="17"/>
        <w:numPr>
          <w:ilvl w:val="3"/>
          <w:numId w:val="1"/>
        </w:numPr>
        <w:tabs>
          <w:tab w:val="left" w:pos="3492"/>
        </w:tabs>
        <w:spacing w:before="52" w:after="0" w:line="240" w:lineRule="auto"/>
        <w:ind w:left="3492" w:right="0" w:hanging="212"/>
        <w:jc w:val="left"/>
        <w:rPr>
          <w:sz w:val="21"/>
        </w:rPr>
      </w:pPr>
      <w:r>
        <w:rPr>
          <w:sz w:val="21"/>
        </w:rPr>
        <w:t>各专题环境影响分析与评价</w:t>
      </w:r>
    </w:p>
    <w:p>
      <w:pPr>
        <w:pStyle w:val="7"/>
        <w:ind w:left="0"/>
        <w:rPr>
          <w:sz w:val="20"/>
        </w:rPr>
      </w:pPr>
    </w:p>
    <w:p>
      <w:pPr>
        <w:pStyle w:val="7"/>
        <w:ind w:left="0"/>
        <w:rPr>
          <w:sz w:val="20"/>
        </w:rPr>
      </w:pPr>
    </w:p>
    <w:p>
      <w:pPr>
        <w:pStyle w:val="7"/>
        <w:ind w:left="0"/>
        <w:rPr>
          <w:sz w:val="20"/>
        </w:rPr>
      </w:pPr>
    </w:p>
    <w:p>
      <w:pPr>
        <w:pStyle w:val="7"/>
        <w:spacing w:before="4"/>
        <w:ind w:left="0"/>
        <w:rPr>
          <w:sz w:val="18"/>
        </w:rPr>
      </w:pPr>
    </w:p>
    <w:p>
      <w:pPr>
        <w:tabs>
          <w:tab w:val="left" w:pos="2726"/>
        </w:tabs>
        <w:spacing w:before="0"/>
        <w:ind w:left="760" w:right="0" w:firstLine="0"/>
        <w:jc w:val="left"/>
        <w:rPr>
          <w:sz w:val="21"/>
        </w:rPr>
      </w:pPr>
      <w:r>
        <w:rPr>
          <w:position w:val="-4"/>
          <w:sz w:val="21"/>
        </w:rPr>
        <w:t>第</w:t>
      </w:r>
      <w:r>
        <w:rPr>
          <w:position w:val="-4"/>
          <w:sz w:val="21"/>
        </w:rPr>
        <w:tab/>
      </w:r>
      <w:r>
        <w:rPr>
          <w:rFonts w:ascii="Times New Roman" w:eastAsia="Times New Roman"/>
          <w:sz w:val="21"/>
        </w:rPr>
        <w:t>1</w:t>
      </w:r>
      <w:r>
        <w:rPr>
          <w:sz w:val="21"/>
        </w:rPr>
        <w:t>提出环境保护措施，进行技术经济论证</w:t>
      </w:r>
    </w:p>
    <w:p>
      <w:pPr>
        <w:tabs>
          <w:tab w:val="left" w:pos="2726"/>
        </w:tabs>
        <w:spacing w:before="41"/>
        <w:ind w:left="760" w:right="0" w:firstLine="0"/>
        <w:jc w:val="left"/>
        <w:rPr>
          <w:sz w:val="21"/>
        </w:rPr>
      </w:pPr>
      <w:r>
        <w:rPr>
          <w:sz w:val="21"/>
        </w:rPr>
        <w:t>三</w:t>
      </w:r>
      <w:r>
        <w:rPr>
          <w:sz w:val="21"/>
        </w:rPr>
        <w:tab/>
      </w:r>
      <w:r>
        <w:rPr>
          <w:rFonts w:ascii="Times New Roman" w:eastAsia="Times New Roman"/>
          <w:sz w:val="21"/>
        </w:rPr>
        <w:t>2</w:t>
      </w:r>
      <w:r>
        <w:rPr>
          <w:sz w:val="21"/>
        </w:rPr>
        <w:t>给出污染物排放清单</w:t>
      </w:r>
    </w:p>
    <w:p>
      <w:pPr>
        <w:tabs>
          <w:tab w:val="left" w:pos="2726"/>
        </w:tabs>
        <w:spacing w:before="45" w:line="235" w:lineRule="auto"/>
        <w:ind w:left="760" w:right="3601" w:firstLine="0"/>
        <w:jc w:val="left"/>
        <w:rPr>
          <w:sz w:val="21"/>
        </w:rPr>
      </w:pPr>
      <w:r>
        <w:rPr>
          <w:position w:val="5"/>
          <w:sz w:val="21"/>
        </w:rPr>
        <w:t>阶</w:t>
      </w:r>
      <w:r>
        <w:rPr>
          <w:position w:val="5"/>
          <w:sz w:val="21"/>
        </w:rPr>
        <w:tab/>
      </w:r>
      <w:r>
        <w:rPr>
          <w:rFonts w:ascii="Times New Roman" w:eastAsia="Times New Roman"/>
          <w:sz w:val="21"/>
        </w:rPr>
        <w:t>3</w:t>
      </w:r>
      <w:r>
        <w:rPr>
          <w:sz w:val="21"/>
        </w:rPr>
        <w:t>给出建设项目环境影响评价结</w:t>
      </w:r>
      <w:r>
        <w:rPr>
          <w:spacing w:val="-10"/>
          <w:sz w:val="21"/>
        </w:rPr>
        <w:t>论</w:t>
      </w:r>
      <w:r>
        <w:rPr>
          <w:sz w:val="21"/>
        </w:rPr>
        <w:t>段</w:t>
      </w:r>
    </w:p>
    <w:p>
      <w:pPr>
        <w:pStyle w:val="7"/>
        <w:ind w:left="0"/>
        <w:rPr>
          <w:sz w:val="20"/>
        </w:rPr>
      </w:pPr>
    </w:p>
    <w:p>
      <w:pPr>
        <w:pStyle w:val="7"/>
        <w:spacing w:before="4"/>
        <w:ind w:left="0"/>
        <w:rPr>
          <w:sz w:val="17"/>
        </w:rPr>
      </w:pPr>
    </w:p>
    <w:p>
      <w:pPr>
        <w:spacing w:before="70"/>
        <w:ind w:left="0" w:right="152" w:firstLine="0"/>
        <w:jc w:val="center"/>
        <w:rPr>
          <w:sz w:val="21"/>
        </w:rPr>
      </w:pPr>
      <w:r>
        <w:rPr>
          <w:sz w:val="21"/>
        </w:rPr>
        <w:t>编制环境影响报告书（表）</w:t>
      </w:r>
    </w:p>
    <w:p>
      <w:pPr>
        <w:pStyle w:val="7"/>
        <w:ind w:left="0"/>
        <w:rPr>
          <w:sz w:val="20"/>
        </w:rPr>
      </w:pPr>
    </w:p>
    <w:p>
      <w:pPr>
        <w:pStyle w:val="7"/>
        <w:ind w:left="0"/>
        <w:rPr>
          <w:sz w:val="20"/>
        </w:rPr>
      </w:pPr>
    </w:p>
    <w:p>
      <w:pPr>
        <w:pStyle w:val="7"/>
        <w:spacing w:before="1"/>
        <w:ind w:left="0"/>
        <w:rPr>
          <w:sz w:val="19"/>
        </w:rPr>
      </w:pPr>
    </w:p>
    <w:p>
      <w:pPr>
        <w:pStyle w:val="7"/>
        <w:bidi w:val="0"/>
        <w:jc w:val="center"/>
      </w:pPr>
      <w:r>
        <w:t>图1.3-1</w:t>
      </w:r>
      <w:r>
        <w:tab/>
      </w:r>
      <w:r>
        <w:t>环境影响评价工作程序图</w:t>
      </w:r>
    </w:p>
    <w:p>
      <w:pPr>
        <w:spacing w:after="0"/>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sectPr>
      </w:pPr>
    </w:p>
    <w:p>
      <w:pPr>
        <w:pStyle w:val="7"/>
        <w:spacing w:before="4"/>
        <w:ind w:left="0"/>
        <w:rPr>
          <w:b/>
          <w:sz w:val="8"/>
        </w:rPr>
      </w:pPr>
    </w:p>
    <w:p>
      <w:pPr>
        <w:pStyle w:val="3"/>
        <w:numPr>
          <w:ilvl w:val="1"/>
          <w:numId w:val="1"/>
        </w:numPr>
        <w:tabs>
          <w:tab w:val="left" w:pos="1100"/>
        </w:tabs>
        <w:spacing w:before="64" w:after="0" w:line="240" w:lineRule="auto"/>
        <w:ind w:left="1099" w:right="0" w:hanging="560"/>
        <w:jc w:val="both"/>
      </w:pPr>
      <w:bookmarkStart w:id="14" w:name="1.4 分析判定相关情况"/>
      <w:bookmarkEnd w:id="14"/>
      <w:bookmarkStart w:id="15" w:name="1.4 分析判定相关情况"/>
      <w:bookmarkEnd w:id="15"/>
      <w:bookmarkStart w:id="16" w:name="_Toc8663"/>
      <w:r>
        <w:t>分析判定相关情况</w:t>
      </w:r>
      <w:bookmarkEnd w:id="16"/>
    </w:p>
    <w:p>
      <w:pPr>
        <w:pStyle w:val="7"/>
        <w:spacing w:before="3"/>
        <w:ind w:left="0"/>
        <w:rPr>
          <w:b/>
        </w:rPr>
      </w:pPr>
    </w:p>
    <w:p>
      <w:pPr>
        <w:pStyle w:val="4"/>
        <w:numPr>
          <w:ilvl w:val="2"/>
          <w:numId w:val="2"/>
        </w:numPr>
        <w:bidi w:val="0"/>
      </w:pPr>
      <w:bookmarkStart w:id="17" w:name="_Toc3897"/>
      <w:r>
        <w:t>产业政策符合性分析</w:t>
      </w:r>
      <w:bookmarkEnd w:id="17"/>
    </w:p>
    <w:p>
      <w:pPr>
        <w:pStyle w:val="7"/>
        <w:spacing w:before="160" w:line="364" w:lineRule="auto"/>
        <w:ind w:right="577" w:firstLine="480"/>
        <w:jc w:val="both"/>
        <w:rPr>
          <w:color w:val="0000FF"/>
        </w:rPr>
      </w:pPr>
      <w:r>
        <w:rPr>
          <w:color w:val="0000FF"/>
          <w:spacing w:val="-2"/>
        </w:rPr>
        <w:t>本项目为标准化规模养殖项目，属于国家发展和改革委员会第</w:t>
      </w:r>
      <w:r>
        <w:rPr>
          <w:rFonts w:ascii="Times New Roman" w:hAnsi="Times New Roman" w:eastAsia="Times New Roman"/>
          <w:color w:val="0000FF"/>
        </w:rPr>
        <w:t>29</w:t>
      </w:r>
      <w:r>
        <w:rPr>
          <w:color w:val="0000FF"/>
          <w:spacing w:val="-4"/>
        </w:rPr>
        <w:t>号令《产</w:t>
      </w:r>
      <w:r>
        <w:rPr>
          <w:color w:val="0000FF"/>
          <w:spacing w:val="-2"/>
        </w:rPr>
        <w:t>业结构调整指导目录》</w:t>
      </w:r>
      <w:r>
        <w:rPr>
          <w:color w:val="0000FF"/>
        </w:rPr>
        <w:t>（</w:t>
      </w:r>
      <w:r>
        <w:rPr>
          <w:rFonts w:ascii="Times New Roman" w:hAnsi="Times New Roman" w:eastAsia="Times New Roman"/>
          <w:color w:val="0000FF"/>
        </w:rPr>
        <w:t>2019</w:t>
      </w:r>
      <w:r>
        <w:rPr>
          <w:color w:val="0000FF"/>
        </w:rPr>
        <w:t>年本</w:t>
      </w:r>
      <w:r>
        <w:rPr>
          <w:color w:val="0000FF"/>
          <w:spacing w:val="-5"/>
        </w:rPr>
        <w:t>）</w:t>
      </w:r>
      <w:r>
        <w:rPr>
          <w:color w:val="0000FF"/>
          <w:spacing w:val="-3"/>
        </w:rPr>
        <w:t>鼓励类，为农林业中的“</w:t>
      </w:r>
      <w:r>
        <w:rPr>
          <w:rFonts w:ascii="Times New Roman" w:hAnsi="Times New Roman" w:eastAsia="Times New Roman"/>
          <w:color w:val="0000FF"/>
        </w:rPr>
        <w:t>4</w:t>
      </w:r>
      <w:r>
        <w:rPr>
          <w:color w:val="0000FF"/>
          <w:spacing w:val="-5"/>
        </w:rPr>
        <w:t>、畜禽标准化规</w:t>
      </w:r>
      <w:r>
        <w:rPr>
          <w:color w:val="0000FF"/>
          <w:spacing w:val="-8"/>
        </w:rPr>
        <w:t>模养殖技术开发与应用”，属于“当前国家重点鼓励发展的产业、产品和技术目</w:t>
      </w:r>
      <w:r>
        <w:rPr>
          <w:color w:val="0000FF"/>
        </w:rPr>
        <w:t>录”中的第一类（农业），因此本项目符合国家产业政策。</w:t>
      </w:r>
    </w:p>
    <w:p>
      <w:pPr>
        <w:pStyle w:val="5"/>
        <w:numPr>
          <w:ilvl w:val="2"/>
          <w:numId w:val="2"/>
        </w:numPr>
        <w:tabs>
          <w:tab w:val="left" w:pos="1140"/>
        </w:tabs>
        <w:spacing w:before="2" w:after="0" w:line="240" w:lineRule="auto"/>
        <w:ind w:left="1140" w:right="0" w:hanging="600"/>
        <w:jc w:val="both"/>
        <w:outlineLvl w:val="2"/>
      </w:pPr>
      <w:bookmarkStart w:id="18" w:name="_Toc18158"/>
      <w:r>
        <w:t>规划符合性分析</w:t>
      </w:r>
      <w:bookmarkEnd w:id="18"/>
    </w:p>
    <w:p>
      <w:pPr>
        <w:pStyle w:val="17"/>
        <w:numPr>
          <w:ilvl w:val="3"/>
          <w:numId w:val="2"/>
        </w:numPr>
        <w:tabs>
          <w:tab w:val="left" w:pos="1621"/>
        </w:tabs>
        <w:spacing w:before="161" w:after="0" w:line="240" w:lineRule="auto"/>
        <w:ind w:left="1621" w:right="0" w:hanging="601"/>
        <w:jc w:val="left"/>
        <w:rPr>
          <w:color w:val="0000FF"/>
          <w:sz w:val="24"/>
        </w:rPr>
      </w:pPr>
      <w:r>
        <w:rPr>
          <w:color w:val="0000FF"/>
          <w:spacing w:val="-5"/>
          <w:sz w:val="24"/>
        </w:rPr>
        <w:t>《新疆维吾尔自治区畜牧业现代化“十三五”发展规划》符合性分析；</w:t>
      </w:r>
    </w:p>
    <w:p>
      <w:pPr>
        <w:pStyle w:val="7"/>
        <w:spacing w:before="160" w:line="364" w:lineRule="auto"/>
        <w:ind w:right="457" w:firstLine="480"/>
        <w:rPr>
          <w:color w:val="0000FF"/>
        </w:rPr>
      </w:pPr>
      <w:r>
        <w:rPr>
          <w:color w:val="0000FF"/>
          <w:spacing w:val="-6"/>
        </w:rPr>
        <w:t>《新疆维吾尔自治区畜牧业现代化“十三五”发展规划》提出“十三五”期</w:t>
      </w:r>
      <w:r>
        <w:rPr>
          <w:color w:val="0000FF"/>
          <w:spacing w:val="-11"/>
        </w:rPr>
        <w:t>间以供给侧结构性改革为主线，以变革创新、可持续发展和全产业链建设统揽全</w:t>
      </w:r>
      <w:r>
        <w:rPr>
          <w:color w:val="0000FF"/>
          <w:spacing w:val="-16"/>
        </w:rPr>
        <w:t>局，全面推进传统畜牧业改造提升和现代畜牧业开拓创新。遵循现代化发展规律，</w:t>
      </w:r>
      <w:r>
        <w:rPr>
          <w:color w:val="0000FF"/>
          <w:spacing w:val="-5"/>
        </w:rPr>
        <w:t>以结构调整和科技创新为动力，以培育发展大产业、大品牌、大市场为目标，加</w:t>
      </w:r>
      <w:r>
        <w:rPr>
          <w:color w:val="0000FF"/>
          <w:spacing w:val="-11"/>
        </w:rPr>
        <w:t>快构建新型畜牧业产业体系、生产体系和经营体系，强化生产保障体系建设。推</w:t>
      </w:r>
      <w:r>
        <w:rPr>
          <w:color w:val="0000FF"/>
          <w:spacing w:val="-14"/>
        </w:rPr>
        <w:t>进产业精准脱贫，把畜牧业提质增效和农牧民增收放到更加突出位置，尽快走出</w:t>
      </w:r>
      <w:r>
        <w:rPr>
          <w:color w:val="0000FF"/>
          <w:spacing w:val="-15"/>
        </w:rPr>
        <w:t>一条产出高效、产品安全、资源节约、环境友好的具有新疆特色的畜牧业化现代</w:t>
      </w:r>
      <w:r>
        <w:rPr>
          <w:color w:val="0000FF"/>
          <w:spacing w:val="-11"/>
        </w:rPr>
        <w:t>道路，促进新疆畜牧业转型升级和民生持续改善，为新疆农牧区经济平稳健康发展和社会稳定和谐提供有力支撑。</w:t>
      </w:r>
    </w:p>
    <w:p>
      <w:pPr>
        <w:pStyle w:val="7"/>
        <w:spacing w:before="6" w:line="364" w:lineRule="auto"/>
        <w:ind w:right="485" w:firstLine="480"/>
        <w:rPr>
          <w:color w:val="0000FF"/>
        </w:rPr>
      </w:pPr>
      <w:r>
        <w:rPr>
          <w:color w:val="0000FF"/>
          <w:spacing w:val="-10"/>
        </w:rPr>
        <w:t>“十三五”期间，新疆畜牧业力争在畜产品市场保供、生态环境保护、畜牧</w:t>
      </w:r>
      <w:r>
        <w:rPr>
          <w:color w:val="0000FF"/>
          <w:spacing w:val="-13"/>
        </w:rPr>
        <w:t>生产基础保障、畜牧产业融合、畜牧业物质装备和提高动物防疫、畜产品质量安</w:t>
      </w:r>
      <w:r>
        <w:rPr>
          <w:color w:val="0000FF"/>
          <w:spacing w:val="-16"/>
        </w:rPr>
        <w:t>全水平等重点领域取得显著进展。到</w:t>
      </w:r>
      <w:r>
        <w:rPr>
          <w:rFonts w:ascii="Times New Roman" w:hAnsi="Times New Roman" w:eastAsia="Times New Roman"/>
          <w:color w:val="0000FF"/>
        </w:rPr>
        <w:t>2020</w:t>
      </w:r>
      <w:r>
        <w:rPr>
          <w:color w:val="0000FF"/>
        </w:rPr>
        <w:t>年，构建起更加健全的现代畜牧业产</w:t>
      </w:r>
      <w:r>
        <w:rPr>
          <w:color w:val="0000FF"/>
          <w:spacing w:val="-10"/>
        </w:rPr>
        <w:t>业体系、生产体系、经营体系，和强有力的生产保障体系。全区畜牧业产值达到</w:t>
      </w:r>
      <w:r>
        <w:rPr>
          <w:rFonts w:ascii="Times New Roman" w:hAnsi="Times New Roman" w:eastAsia="Times New Roman"/>
          <w:color w:val="0000FF"/>
          <w:spacing w:val="-10"/>
        </w:rPr>
        <w:t>800</w:t>
      </w:r>
      <w:r>
        <w:rPr>
          <w:color w:val="0000FF"/>
          <w:spacing w:val="-15"/>
        </w:rPr>
        <w:t>亿元以上，年均增长</w:t>
      </w:r>
      <w:r>
        <w:rPr>
          <w:rFonts w:ascii="Times New Roman" w:hAnsi="Times New Roman" w:eastAsia="Times New Roman"/>
          <w:color w:val="0000FF"/>
          <w:spacing w:val="-8"/>
        </w:rPr>
        <w:t>4.2%</w:t>
      </w:r>
      <w:r>
        <w:rPr>
          <w:color w:val="0000FF"/>
          <w:spacing w:val="-8"/>
        </w:rPr>
        <w:t>，农牧民来自畜牧业年均增收</w:t>
      </w:r>
      <w:r>
        <w:rPr>
          <w:rFonts w:ascii="Times New Roman" w:hAnsi="Times New Roman" w:eastAsia="Times New Roman"/>
          <w:color w:val="0000FF"/>
        </w:rPr>
        <w:t>400</w:t>
      </w:r>
      <w:r>
        <w:rPr>
          <w:color w:val="0000FF"/>
          <w:spacing w:val="-6"/>
        </w:rPr>
        <w:t>元以上，全区畜</w:t>
      </w:r>
      <w:r>
        <w:rPr>
          <w:color w:val="0000FF"/>
        </w:rPr>
        <w:t>牧业现代化发展水平明显提高。继续推动畜牧业发展重心由草原牧区向农区转</w:t>
      </w:r>
      <w:r>
        <w:rPr>
          <w:color w:val="0000FF"/>
          <w:spacing w:val="-10"/>
        </w:rPr>
        <w:t>移，严格禁养区、禁牧区管理，突出农牧结合部、重点特色乡镇、规模牧业定居点、畜牧养殖园区等养殖环境容量较大区域发展。以天山北坡经济带为主，着力</w:t>
      </w:r>
      <w:r>
        <w:rPr>
          <w:color w:val="0000FF"/>
          <w:spacing w:val="-11"/>
        </w:rPr>
        <w:t>打造和培育新疆现代畜牧业转型升级驱动带，构筑疆内畜牧业产业核心发展区，</w:t>
      </w:r>
      <w:r>
        <w:rPr>
          <w:color w:val="0000FF"/>
          <w:spacing w:val="-5"/>
        </w:rPr>
        <w:t>带动全区现代畜牧业加速转型升级。统筹南疆畜牧业优势区域发展，因地制宜建设特色畜牧业发展区。</w:t>
      </w:r>
    </w:p>
    <w:p>
      <w:pPr>
        <w:pStyle w:val="7"/>
        <w:spacing w:before="6"/>
        <w:ind w:left="1020"/>
        <w:rPr>
          <w:color w:val="0000FF"/>
        </w:rPr>
      </w:pPr>
      <w:r>
        <w:rPr>
          <w:color w:val="0000FF"/>
        </w:rPr>
        <w:t>畜禽产业布局及发展方向：以天山北坡、昌吉州东部、哈密地区、焉耆盆地</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rPr>
          <w:color w:val="0000FF"/>
        </w:rPr>
      </w:pPr>
      <w:r>
        <w:rPr>
          <w:color w:val="0000FF"/>
          <w:spacing w:val="-1"/>
        </w:rPr>
        <w:t>以及南北疆中心城市为主，通过畜禽种业龙头企业拉动猪禽产业向育种、养殖、</w:t>
      </w:r>
      <w:r>
        <w:rPr>
          <w:color w:val="0000FF"/>
          <w:spacing w:val="-9"/>
        </w:rPr>
        <w:t>加工、销售一体化方向发展，全面提升畜禽产业生产水平。发挥南疆特禽养殖市</w:t>
      </w:r>
      <w:r>
        <w:rPr>
          <w:color w:val="0000FF"/>
          <w:spacing w:val="-12"/>
        </w:rPr>
        <w:t>场潜力大、投资少、见效快和助农增收脱贫作用明显的优势，统筹推动南疆特禽产业发展。</w:t>
      </w:r>
    </w:p>
    <w:p>
      <w:pPr>
        <w:pStyle w:val="7"/>
        <w:spacing w:before="2" w:line="364" w:lineRule="auto"/>
        <w:ind w:right="577" w:firstLine="480"/>
        <w:jc w:val="both"/>
        <w:rPr>
          <w:color w:val="0000FF"/>
        </w:rPr>
      </w:pPr>
      <w:r>
        <w:rPr>
          <w:color w:val="0000FF"/>
          <w:spacing w:val="-5"/>
        </w:rPr>
        <w:t>本项目肉羊养殖基地位于新疆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color w:val="0000FF"/>
          <w:szCs w:val="21"/>
          <w:lang w:eastAsia="zh-CN"/>
        </w:rPr>
        <w:t>阿拉买提</w:t>
      </w:r>
      <w:r>
        <w:rPr>
          <w:rFonts w:hint="eastAsia"/>
          <w:color w:val="0000FF"/>
          <w:szCs w:val="21"/>
          <w:lang w:val="en-US" w:eastAsia="zh-CN"/>
        </w:rPr>
        <w:t>17</w:t>
      </w:r>
      <w:r>
        <w:rPr>
          <w:rFonts w:hint="eastAsia" w:ascii="宋体" w:hAnsi="宋体"/>
          <w:color w:val="0000FF"/>
          <w:szCs w:val="21"/>
        </w:rPr>
        <w:t>村</w:t>
      </w:r>
      <w:r>
        <w:rPr>
          <w:color w:val="0000FF"/>
          <w:spacing w:val="-5"/>
        </w:rPr>
        <w:t>，是</w:t>
      </w:r>
      <w:r>
        <w:rPr>
          <w:rFonts w:hint="eastAsia"/>
          <w:color w:val="0000FF"/>
          <w:spacing w:val="-5"/>
          <w:lang w:val="en-US" w:eastAsia="zh-CN"/>
        </w:rPr>
        <w:t>莎车</w:t>
      </w:r>
      <w:r>
        <w:rPr>
          <w:color w:val="0000FF"/>
          <w:spacing w:val="-5"/>
        </w:rPr>
        <w:t>县精</w:t>
      </w:r>
      <w:r>
        <w:rPr>
          <w:color w:val="0000FF"/>
          <w:spacing w:val="-8"/>
        </w:rPr>
        <w:t>准扶贫项目的一部分，项目与当地贫困户建立长效的增收机制，可促进贫困地区</w:t>
      </w:r>
      <w:r>
        <w:rPr>
          <w:color w:val="0000FF"/>
          <w:spacing w:val="-9"/>
        </w:rPr>
        <w:t>农民增收致富。项目集约化养殖方式，可推进传统畜牧业的改造提升。因此，本</w:t>
      </w:r>
      <w:r>
        <w:rPr>
          <w:color w:val="0000FF"/>
          <w:spacing w:val="-8"/>
        </w:rPr>
        <w:t>项目的建设符合《新疆维吾尔自治区畜牧业现代化“十三五”发展规划》的相关</w:t>
      </w:r>
      <w:r>
        <w:rPr>
          <w:color w:val="0000FF"/>
        </w:rPr>
        <w:t>要求。</w:t>
      </w:r>
    </w:p>
    <w:p>
      <w:pPr>
        <w:pStyle w:val="17"/>
        <w:numPr>
          <w:ilvl w:val="3"/>
          <w:numId w:val="2"/>
        </w:numPr>
        <w:tabs>
          <w:tab w:val="left" w:pos="1621"/>
        </w:tabs>
        <w:spacing w:before="3" w:after="0" w:line="240" w:lineRule="auto"/>
        <w:ind w:left="1621" w:right="0" w:hanging="601"/>
        <w:jc w:val="left"/>
        <w:rPr>
          <w:color w:val="0000FF"/>
          <w:sz w:val="24"/>
        </w:rPr>
      </w:pPr>
      <w:r>
        <w:rPr>
          <w:color w:val="0000FF"/>
          <w:sz w:val="24"/>
        </w:rPr>
        <w:t>《新疆规模化畜禽养殖污染防治“十三五”规划》符合性分析；</w:t>
      </w:r>
    </w:p>
    <w:p>
      <w:pPr>
        <w:pStyle w:val="7"/>
        <w:spacing w:before="161" w:line="364" w:lineRule="auto"/>
        <w:ind w:right="577" w:firstLine="480"/>
        <w:jc w:val="both"/>
        <w:rPr>
          <w:color w:val="0000FF"/>
        </w:rPr>
      </w:pPr>
      <w:r>
        <w:rPr>
          <w:color w:val="0000FF"/>
          <w:spacing w:val="-7"/>
        </w:rPr>
        <w:t>《新疆规模化畜禽养殖污染防治“十三五”规划》指出，各畜禽养殖单位应</w:t>
      </w:r>
      <w:r>
        <w:rPr>
          <w:color w:val="0000FF"/>
          <w:spacing w:val="-12"/>
        </w:rPr>
        <w:t>根据养殖种类、养殖规模、粪污收集方式以及当地的地理环境条件和废水排放去</w:t>
      </w:r>
      <w:r>
        <w:rPr>
          <w:color w:val="0000FF"/>
          <w:spacing w:val="-10"/>
        </w:rPr>
        <w:t>向等因素，因地制宜发展生态养殖模式，优先考虑资源综合利用，合理确定畜禽</w:t>
      </w:r>
      <w:r>
        <w:rPr>
          <w:color w:val="0000FF"/>
          <w:spacing w:val="-11"/>
        </w:rPr>
        <w:t>养殖污染防治措施。鼓励发展专业化集中式畜禽养殖粪污能源化利用和肥料化利</w:t>
      </w:r>
      <w:r>
        <w:rPr>
          <w:color w:val="0000FF"/>
          <w:spacing w:val="-12"/>
        </w:rPr>
        <w:t>用，加大对粪污水处理、有机肥加工和发酵产物综合利用产业政策的扶持和资金</w:t>
      </w:r>
      <w:r>
        <w:rPr>
          <w:color w:val="0000FF"/>
          <w:spacing w:val="-10"/>
        </w:rPr>
        <w:t>补贴力度，支持畜禽养殖粪污的社会化集中处理和规模化利用，加快建立循环经</w:t>
      </w:r>
      <w:r>
        <w:rPr>
          <w:color w:val="0000FF"/>
        </w:rPr>
        <w:t>济产业链。</w:t>
      </w:r>
    </w:p>
    <w:p>
      <w:pPr>
        <w:pStyle w:val="7"/>
        <w:spacing w:before="4" w:line="364" w:lineRule="auto"/>
        <w:ind w:right="575" w:firstLine="480"/>
        <w:jc w:val="both"/>
        <w:rPr>
          <w:color w:val="0000FF"/>
        </w:rPr>
      </w:pPr>
      <w:r>
        <w:rPr>
          <w:color w:val="0000FF"/>
          <w:spacing w:val="-8"/>
        </w:rPr>
        <w:t>本项目属于集约化养殖项目。项目粪污采用干清粪工艺，羊粪、废弃垫料人</w:t>
      </w:r>
      <w:r>
        <w:rPr>
          <w:color w:val="0000FF"/>
          <w:spacing w:val="-9"/>
        </w:rPr>
        <w:t>工清理后运往堆肥厂，羊尿进入垫料层，清运至堆肥厂与羊粪一起发酵生产有机</w:t>
      </w:r>
      <w:r>
        <w:rPr>
          <w:color w:val="0000FF"/>
          <w:spacing w:val="-10"/>
        </w:rPr>
        <w:t>肥。羊粪发酵后用作有机肥厂生产原料，有机肥最终外售给农户回用于农田。因</w:t>
      </w:r>
      <w:r>
        <w:rPr>
          <w:color w:val="0000FF"/>
          <w:spacing w:val="-7"/>
        </w:rPr>
        <w:t>此，本项目能够形成“畜禽</w:t>
      </w:r>
      <w:r>
        <w:rPr>
          <w:rFonts w:ascii="Times New Roman" w:hAnsi="Times New Roman" w:eastAsia="Times New Roman"/>
          <w:color w:val="0000FF"/>
        </w:rPr>
        <w:t>-</w:t>
      </w:r>
      <w:r>
        <w:rPr>
          <w:color w:val="0000FF"/>
        </w:rPr>
        <w:t>粪便</w:t>
      </w:r>
      <w:r>
        <w:rPr>
          <w:rFonts w:ascii="Times New Roman" w:hAnsi="Times New Roman" w:eastAsia="Times New Roman"/>
          <w:color w:val="0000FF"/>
        </w:rPr>
        <w:t>-</w:t>
      </w:r>
      <w:r>
        <w:rPr>
          <w:color w:val="0000FF"/>
        </w:rPr>
        <w:t>肥料</w:t>
      </w:r>
      <w:r>
        <w:rPr>
          <w:rFonts w:ascii="Times New Roman" w:hAnsi="Times New Roman" w:eastAsia="Times New Roman"/>
          <w:color w:val="0000FF"/>
        </w:rPr>
        <w:t>-</w:t>
      </w:r>
      <w:r>
        <w:rPr>
          <w:color w:val="0000FF"/>
          <w:spacing w:val="-10"/>
        </w:rPr>
        <w:t>农田”的良性循环，符合《新疆规模化畜</w:t>
      </w:r>
      <w:r>
        <w:rPr>
          <w:color w:val="0000FF"/>
        </w:rPr>
        <w:t>禽养殖污染防治“十三五”规划》。</w:t>
      </w:r>
    </w:p>
    <w:p>
      <w:pPr>
        <w:pStyle w:val="17"/>
        <w:numPr>
          <w:ilvl w:val="3"/>
          <w:numId w:val="2"/>
        </w:numPr>
        <w:tabs>
          <w:tab w:val="left" w:pos="1621"/>
        </w:tabs>
        <w:spacing w:before="3" w:after="0" w:line="364" w:lineRule="auto"/>
        <w:ind w:left="540" w:right="572" w:firstLine="480"/>
        <w:jc w:val="both"/>
        <w:rPr>
          <w:color w:val="0000FF"/>
          <w:sz w:val="24"/>
        </w:rPr>
      </w:pPr>
      <w:r>
        <w:rPr>
          <w:color w:val="0000FF"/>
          <w:spacing w:val="-6"/>
          <w:sz w:val="24"/>
        </w:rPr>
        <w:t>《自治区畜牧行业“十三五”脱贫攻坚实施计划</w:t>
      </w:r>
      <w:r>
        <w:rPr>
          <w:color w:val="0000FF"/>
          <w:sz w:val="24"/>
        </w:rPr>
        <w:t>（</w:t>
      </w:r>
      <w:r>
        <w:rPr>
          <w:rFonts w:ascii="Times New Roman" w:hAnsi="Times New Roman" w:eastAsia="Times New Roman"/>
          <w:color w:val="0000FF"/>
          <w:sz w:val="24"/>
        </w:rPr>
        <w:t>2016-2020</w:t>
      </w:r>
      <w:r>
        <w:rPr>
          <w:color w:val="0000FF"/>
          <w:sz w:val="24"/>
        </w:rPr>
        <w:t>年</w:t>
      </w:r>
      <w:r>
        <w:rPr>
          <w:color w:val="0000FF"/>
          <w:spacing w:val="-17"/>
          <w:sz w:val="24"/>
        </w:rPr>
        <w:t>）》</w:t>
      </w:r>
      <w:r>
        <w:rPr>
          <w:color w:val="0000FF"/>
          <w:spacing w:val="-4"/>
          <w:sz w:val="24"/>
        </w:rPr>
        <w:t>符合性分析；</w:t>
      </w:r>
    </w:p>
    <w:p>
      <w:pPr>
        <w:pStyle w:val="7"/>
        <w:spacing w:before="1" w:line="364" w:lineRule="auto"/>
        <w:ind w:right="457" w:firstLine="480"/>
      </w:pPr>
      <w:r>
        <w:rPr>
          <w:color w:val="0000FF"/>
          <w:spacing w:val="-6"/>
        </w:rPr>
        <w:t>《自治区畜牧行业“十三五”脱贫攻坚实施计划</w:t>
      </w:r>
      <w:r>
        <w:rPr>
          <w:color w:val="0000FF"/>
        </w:rPr>
        <w:t>（</w:t>
      </w:r>
      <w:r>
        <w:rPr>
          <w:rFonts w:ascii="Times New Roman" w:hAnsi="Times New Roman" w:eastAsia="Times New Roman"/>
          <w:color w:val="0000FF"/>
        </w:rPr>
        <w:t>2016-2020</w:t>
      </w:r>
      <w:r>
        <w:rPr>
          <w:color w:val="0000FF"/>
        </w:rPr>
        <w:t>年</w:t>
      </w:r>
      <w:r>
        <w:rPr>
          <w:color w:val="0000FF"/>
          <w:spacing w:val="-22"/>
        </w:rPr>
        <w:t>）</w:t>
      </w:r>
      <w:r>
        <w:rPr>
          <w:color w:val="0000FF"/>
          <w:spacing w:val="-9"/>
        </w:rPr>
        <w:t>》中提出：</w:t>
      </w:r>
      <w:r>
        <w:rPr>
          <w:color w:val="0000FF"/>
          <w:spacing w:val="-8"/>
        </w:rPr>
        <w:t>通过计划的实施，使畜牧业在全区脱贫攻坚中的作用充分发挥，宜牧贫困区域的</w:t>
      </w:r>
      <w:r>
        <w:rPr>
          <w:color w:val="0000FF"/>
          <w:spacing w:val="-13"/>
        </w:rPr>
        <w:t>农民可支配收入中来自畜牧业的收入显著增加，畜牧业产业化经营促农增收作用日益凸显，贫困农牧户生活条件明显改观，贫困区域畜牧业发展基础保障条件得</w:t>
      </w:r>
      <w:r>
        <w:rPr>
          <w:color w:val="0000FF"/>
          <w:spacing w:val="-17"/>
        </w:rPr>
        <w:t>到完善，草原生态环境明显改善。通过畜牧业全产业链建设和关联产业融合发展，</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jc w:val="both"/>
        <w:rPr>
          <w:color w:val="0000FF"/>
        </w:rPr>
      </w:pPr>
      <w:r>
        <w:rPr>
          <w:color w:val="0000FF"/>
        </w:rPr>
        <w:t>带动</w:t>
      </w:r>
      <w:r>
        <w:rPr>
          <w:rFonts w:ascii="Times New Roman" w:eastAsia="Times New Roman"/>
          <w:color w:val="0000FF"/>
        </w:rPr>
        <w:t>2</w:t>
      </w:r>
      <w:r>
        <w:rPr>
          <w:color w:val="0000FF"/>
        </w:rPr>
        <w:t>万人以上贫困劳动力就业，实现年人均收入</w:t>
      </w:r>
      <w:r>
        <w:rPr>
          <w:rFonts w:ascii="Times New Roman" w:eastAsia="Times New Roman"/>
          <w:color w:val="0000FF"/>
        </w:rPr>
        <w:t>2</w:t>
      </w:r>
      <w:r>
        <w:rPr>
          <w:color w:val="0000FF"/>
        </w:rPr>
        <w:t>万元以上。</w:t>
      </w:r>
    </w:p>
    <w:p>
      <w:pPr>
        <w:pStyle w:val="7"/>
        <w:spacing w:before="161" w:line="364" w:lineRule="auto"/>
        <w:ind w:right="577" w:firstLine="480"/>
        <w:jc w:val="both"/>
        <w:rPr>
          <w:color w:val="0000FF"/>
        </w:rPr>
      </w:pPr>
      <w:r>
        <w:rPr>
          <w:color w:val="0000FF"/>
          <w:spacing w:val="-4"/>
        </w:rPr>
        <w:t>项目实施后可实现年标</w:t>
      </w:r>
      <w:r>
        <w:rPr>
          <w:rFonts w:hint="eastAsia" w:ascii="Times New Roman" w:hAnsi="Times New Roman" w:eastAsia="宋体" w:cs="Times New Roman"/>
          <w:color w:val="0000FF"/>
          <w:sz w:val="24"/>
          <w:lang w:val="en-US" w:eastAsia="zh-CN"/>
        </w:rPr>
        <w:t>年出栏种公羊4万余只</w:t>
      </w:r>
      <w:r>
        <w:rPr>
          <w:color w:val="0000FF"/>
          <w:spacing w:val="-11"/>
        </w:rPr>
        <w:t>，可辐射带动周边</w:t>
      </w:r>
      <w:r>
        <w:rPr>
          <w:rFonts w:ascii="Times New Roman" w:eastAsia="Times New Roman"/>
          <w:color w:val="0000FF"/>
        </w:rPr>
        <w:t>1000</w:t>
      </w:r>
      <w:r>
        <w:rPr>
          <w:color w:val="0000FF"/>
          <w:spacing w:val="-8"/>
        </w:rPr>
        <w:t>人就</w:t>
      </w:r>
      <w:r>
        <w:rPr>
          <w:color w:val="0000FF"/>
          <w:spacing w:val="-12"/>
        </w:rPr>
        <w:t>业，其中贫困户就业不低于</w:t>
      </w:r>
      <w:r>
        <w:rPr>
          <w:rFonts w:ascii="Times New Roman" w:eastAsia="Times New Roman"/>
          <w:color w:val="0000FF"/>
          <w:spacing w:val="-10"/>
        </w:rPr>
        <w:t>30%</w:t>
      </w:r>
      <w:r>
        <w:rPr>
          <w:color w:val="0000FF"/>
          <w:spacing w:val="-23"/>
        </w:rPr>
        <w:t>，计</w:t>
      </w:r>
      <w:r>
        <w:rPr>
          <w:rFonts w:ascii="Times New Roman" w:eastAsia="Times New Roman"/>
          <w:color w:val="0000FF"/>
        </w:rPr>
        <w:t>300</w:t>
      </w:r>
      <w:r>
        <w:rPr>
          <w:color w:val="0000FF"/>
          <w:spacing w:val="-8"/>
        </w:rPr>
        <w:t>人。通过带动周边群众积极参与羊产业</w:t>
      </w:r>
      <w:r>
        <w:rPr>
          <w:color w:val="0000FF"/>
        </w:rPr>
        <w:t>养殖，对养殖户提供技术支持和销售路径等方式实现农牧民稳定增收。</w:t>
      </w:r>
    </w:p>
    <w:p>
      <w:pPr>
        <w:pStyle w:val="7"/>
        <w:spacing w:before="1" w:line="364" w:lineRule="auto"/>
        <w:ind w:right="457" w:firstLine="480"/>
        <w:jc w:val="both"/>
        <w:rPr>
          <w:color w:val="0000FF"/>
        </w:rPr>
      </w:pPr>
      <w:r>
        <w:rPr>
          <w:color w:val="0000FF"/>
          <w:spacing w:val="-12"/>
        </w:rPr>
        <w:t>项目能够带动当地贫困农牧民的经济收入，符合《自治区畜牧行业“十三五”</w:t>
      </w:r>
      <w:r>
        <w:rPr>
          <w:color w:val="0000FF"/>
        </w:rPr>
        <w:t>脱贫攻坚实施计划（</w:t>
      </w:r>
      <w:r>
        <w:rPr>
          <w:rFonts w:ascii="Times New Roman" w:hAnsi="Times New Roman" w:eastAsia="Times New Roman"/>
          <w:color w:val="0000FF"/>
        </w:rPr>
        <w:t>2016-2020</w:t>
      </w:r>
      <w:r>
        <w:rPr>
          <w:color w:val="0000FF"/>
        </w:rPr>
        <w:t>年）》。</w:t>
      </w:r>
    </w:p>
    <w:p>
      <w:pPr>
        <w:numPr>
          <w:ilvl w:val="0"/>
          <w:numId w:val="0"/>
        </w:numPr>
        <w:spacing w:line="360" w:lineRule="auto"/>
        <w:ind w:left="0" w:leftChars="0" w:right="0" w:rightChars="0" w:firstLine="240" w:firstLineChars="1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w:t>
      </w:r>
      <w:r>
        <w:rPr>
          <w:rFonts w:hint="default" w:ascii="Times New Roman" w:hAnsi="Times New Roman" w:eastAsia="宋体" w:cs="Times New Roman"/>
          <w:color w:val="0000FF"/>
          <w:sz w:val="24"/>
          <w:lang w:val="en-US" w:eastAsia="zh-CN"/>
        </w:rPr>
        <w:t>4</w:t>
      </w:r>
      <w:r>
        <w:rPr>
          <w:rFonts w:hint="default" w:ascii="Times New Roman" w:hAnsi="Times New Roman" w:eastAsia="宋体" w:cs="Times New Roman"/>
          <w:color w:val="0000FF"/>
          <w:sz w:val="24"/>
        </w:rPr>
        <w:t>）三线一单符合性</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firstLine="480" w:firstLineChars="200"/>
        <w:textAlignment w:val="auto"/>
        <w:rPr>
          <w:rFonts w:hint="default"/>
          <w:color w:val="0000FF"/>
          <w:lang w:val="en-US" w:eastAsia="zh-CN"/>
        </w:rPr>
      </w:pPr>
      <w:r>
        <w:rPr>
          <w:rFonts w:hint="default"/>
          <w:color w:val="0000FF"/>
          <w:lang w:val="en-US" w:eastAsia="zh-CN"/>
        </w:rPr>
        <w:t>根据国家环保部《“十三五”环境影响评价改革实施方案》的要求，以改善环境质量为核心，以全面提高环评有效性为主，以创新体制机制为动力，以“生态保护红线、环境质量底线、资源利用上线和环境准入负面清单”（以下简称“三线一单”）为手段，强化空间、总量、准入环境管理，划框子、定规则、查落实、强基础，不断改进和完善依法、科学、公开、廉洁、高效的环评管理体系。</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rPr>
      </w:pPr>
      <w:r>
        <w:rPr>
          <w:rFonts w:hint="default"/>
          <w:color w:val="0000FF"/>
          <w:lang w:val="en-US" w:eastAsia="zh-CN"/>
        </w:rPr>
        <w:t>生态保护红线：本项目位于莎车县</w:t>
      </w:r>
      <w:r>
        <w:rPr>
          <w:rFonts w:hint="eastAsia"/>
          <w:color w:val="0000FF"/>
          <w:lang w:val="en-US" w:eastAsia="zh-CN"/>
        </w:rPr>
        <w:t>阿拉买提</w:t>
      </w:r>
      <w:r>
        <w:rPr>
          <w:rFonts w:hint="default"/>
          <w:color w:val="0000FF"/>
          <w:lang w:val="en-US" w:eastAsia="zh-CN"/>
        </w:rPr>
        <w:t>乡国有未利用地</w:t>
      </w:r>
      <w:r>
        <w:rPr>
          <w:rFonts w:hint="default"/>
          <w:color w:val="0000FF"/>
        </w:rPr>
        <w:t>，周围无自然保护区、饮用水源保护区等生态保护目标，符合生态红线保护要求。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lang w:eastAsia="zh-CN"/>
        </w:rPr>
      </w:pPr>
      <w:r>
        <w:rPr>
          <w:rFonts w:hint="default"/>
          <w:color w:val="0000FF"/>
        </w:rPr>
        <w:t>环境质量底线</w:t>
      </w:r>
      <w:r>
        <w:rPr>
          <w:rFonts w:hint="default"/>
          <w:color w:val="0000FF"/>
          <w:lang w:eastAsia="zh-CN"/>
        </w:rPr>
        <w:t>：现状监测结果表明，项目所在区域环境空气、地表水、</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lang w:eastAsia="zh-CN"/>
        </w:rPr>
      </w:pPr>
      <w:r>
        <w:rPr>
          <w:rFonts w:hint="default"/>
          <w:color w:val="0000FF"/>
          <w:lang w:eastAsia="zh-CN"/>
        </w:rPr>
        <w:t>噪声、土壤等均符合相应的环境质量标准，环境质量现状良好。本项目为</w:t>
      </w:r>
      <w:r>
        <w:rPr>
          <w:rFonts w:hint="default"/>
          <w:color w:val="0000FF"/>
          <w:lang w:val="en-US" w:eastAsia="zh-CN"/>
        </w:rPr>
        <w:t>种羊良种繁育</w:t>
      </w:r>
      <w:r>
        <w:rPr>
          <w:rFonts w:hint="default"/>
          <w:color w:val="0000FF"/>
          <w:lang w:eastAsia="zh-CN"/>
        </w:rPr>
        <w:t>项目，在做好污染防治措施，确保污染物稳定达标排放的前提下，不会突破所在区域的环境质量底线。</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rPr>
      </w:pPr>
      <w:r>
        <w:rPr>
          <w:rFonts w:hint="default"/>
          <w:color w:val="0000FF"/>
          <w:lang w:val="en-US" w:eastAsia="zh-CN"/>
        </w:rPr>
        <w:t>资源利用上线：本项目为种羊良种繁育项目，涉及的资源主要为水</w:t>
      </w:r>
      <w:r>
        <w:rPr>
          <w:rFonts w:hint="default"/>
          <w:color w:val="0000FF"/>
        </w:rPr>
        <w:t>项目资源消耗量相对区域资源利用总量较少，符合资源利用上线要求。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lang w:val="en-US" w:eastAsia="zh-CN"/>
        </w:rPr>
      </w:pPr>
      <w:r>
        <w:rPr>
          <w:rFonts w:hint="default"/>
          <w:color w:val="0000FF"/>
        </w:rPr>
        <w:t>环境准入负面清单</w:t>
      </w:r>
      <w:r>
        <w:rPr>
          <w:rFonts w:hint="default"/>
          <w:color w:val="0000FF"/>
          <w:lang w:eastAsia="zh-CN"/>
        </w:rPr>
        <w:t>：本工程列入2017年6月自治区发展和改革委员会发布的“新疆维吾尔自治区28个国家重点生态功能区县（市）产业准入负面清单”</w:t>
      </w:r>
      <w:r>
        <w:rPr>
          <w:rFonts w:hint="default"/>
          <w:color w:val="0000FF"/>
          <w:lang w:val="en-US" w:eastAsia="zh-CN"/>
        </w:rPr>
        <w:t>中的</w:t>
      </w:r>
      <w:bookmarkStart w:id="19" w:name="_Toc478633048"/>
      <w:r>
        <w:rPr>
          <w:rFonts w:hint="default"/>
          <w:color w:val="0000FF"/>
          <w:lang w:val="en-US" w:eastAsia="zh-CN"/>
        </w:rPr>
        <w:t>莎车县产业</w:t>
      </w:r>
      <w:bookmarkEnd w:id="19"/>
      <w:r>
        <w:rPr>
          <w:rFonts w:hint="default"/>
          <w:color w:val="0000FF"/>
          <w:lang w:val="en-US" w:eastAsia="zh-CN"/>
        </w:rPr>
        <w:t>准入负面清单中</w:t>
      </w:r>
      <w:r>
        <w:rPr>
          <w:rFonts w:hint="default"/>
          <w:color w:val="0000FF"/>
        </w:rPr>
        <w:t>A农、林、牧、渔业03畜牧业、031牲畜饲养、0314羊的饲养</w:t>
      </w:r>
      <w:r>
        <w:rPr>
          <w:rFonts w:hint="default"/>
          <w:color w:val="0000FF"/>
          <w:lang w:eastAsia="zh-CN"/>
        </w:rPr>
        <w:t>。</w:t>
      </w:r>
      <w:r>
        <w:rPr>
          <w:rFonts w:hint="default"/>
          <w:color w:val="0000FF"/>
        </w:rPr>
        <w:t>现有主导产业</w:t>
      </w:r>
      <w:r>
        <w:rPr>
          <w:rFonts w:hint="default"/>
          <w:color w:val="0000FF"/>
          <w:lang w:val="en-US" w:eastAsia="zh-CN"/>
        </w:rPr>
        <w:t>中的</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rPr>
      </w:pPr>
      <w:r>
        <w:rPr>
          <w:rFonts w:hint="default"/>
          <w:color w:val="0000FF"/>
        </w:rPr>
        <w:t>1.禁止放牧，2019年12月31日前全部实现舍饲养殖。</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rPr>
      </w:pPr>
      <w:r>
        <w:rPr>
          <w:rFonts w:hint="default"/>
          <w:color w:val="0000FF"/>
        </w:rPr>
        <w:t>2.以草定畜，羊畜载量限制在20万只羊单位。</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rPr>
      </w:pPr>
      <w:r>
        <w:rPr>
          <w:rFonts w:hint="default"/>
          <w:color w:val="0000FF"/>
        </w:rPr>
        <w:t>3.禁止在达木斯乡40万亩范围内放牧，</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color w:val="0000FF"/>
          <w:lang w:val="en-US" w:eastAsia="zh-CN"/>
        </w:rPr>
      </w:pPr>
      <w:r>
        <w:rPr>
          <w:rFonts w:hint="default"/>
          <w:color w:val="0000FF"/>
        </w:rPr>
        <w:t>4.养殖区建设区域在全县30个乡镇安居富民点内。</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rPr>
      </w:pPr>
      <w:r>
        <w:rPr>
          <w:rFonts w:hint="default"/>
          <w:color w:val="0000FF"/>
        </w:rPr>
        <w:t>5.2019年12月31日前完成所有养殖小区牲畜排泄物集中处理设施建设</w:t>
      </w:r>
      <w:r>
        <w:rPr>
          <w:rFonts w:hint="default"/>
        </w:rPr>
        <w:t>。</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rFonts w:hint="default"/>
          <w:lang w:val="en-US" w:eastAsia="zh-CN"/>
        </w:rPr>
      </w:pPr>
    </w:p>
    <w:p>
      <w:pPr>
        <w:pStyle w:val="5"/>
        <w:numPr>
          <w:ilvl w:val="2"/>
          <w:numId w:val="2"/>
        </w:numPr>
        <w:tabs>
          <w:tab w:val="left" w:pos="1140"/>
        </w:tabs>
        <w:spacing w:before="2" w:after="0" w:line="240" w:lineRule="auto"/>
        <w:ind w:left="1140" w:right="0" w:hanging="600"/>
        <w:jc w:val="both"/>
        <w:outlineLvl w:val="2"/>
      </w:pPr>
      <w:bookmarkStart w:id="20" w:name="_Toc31538"/>
      <w:r>
        <w:t>选址合理性分析</w:t>
      </w:r>
      <w:bookmarkEnd w:id="20"/>
    </w:p>
    <w:p>
      <w:pPr>
        <w:pStyle w:val="17"/>
        <w:numPr>
          <w:ilvl w:val="0"/>
          <w:numId w:val="3"/>
        </w:numPr>
        <w:tabs>
          <w:tab w:val="left" w:pos="1621"/>
        </w:tabs>
        <w:spacing w:before="160" w:after="0" w:line="240" w:lineRule="auto"/>
        <w:ind w:left="1621" w:right="0" w:hanging="601"/>
        <w:jc w:val="left"/>
        <w:rPr>
          <w:color w:val="0000FF"/>
          <w:sz w:val="24"/>
        </w:rPr>
      </w:pPr>
      <w:r>
        <w:rPr>
          <w:color w:val="0000FF"/>
          <w:sz w:val="24"/>
        </w:rPr>
        <w:t>《畜禽规模养殖污染防治条例》选址合理性分析；</w:t>
      </w:r>
    </w:p>
    <w:p>
      <w:pPr>
        <w:pStyle w:val="7"/>
        <w:spacing w:before="161" w:line="364" w:lineRule="auto"/>
        <w:ind w:right="455" w:firstLine="480"/>
        <w:rPr>
          <w:color w:val="0000FF"/>
        </w:rPr>
      </w:pPr>
      <w:r>
        <w:rPr>
          <w:color w:val="0000FF"/>
          <w:spacing w:val="-7"/>
        </w:rPr>
        <w:t>根据《畜禽规模养殖污染防治条例》</w:t>
      </w:r>
      <w:r>
        <w:rPr>
          <w:color w:val="0000FF"/>
        </w:rPr>
        <w:t>（</w:t>
      </w:r>
      <w:r>
        <w:rPr>
          <w:color w:val="0000FF"/>
          <w:spacing w:val="-10"/>
        </w:rPr>
        <w:t>国务院令第</w:t>
      </w:r>
      <w:r>
        <w:rPr>
          <w:rFonts w:ascii="Times New Roman" w:eastAsia="Times New Roman"/>
          <w:color w:val="0000FF"/>
        </w:rPr>
        <w:t>643</w:t>
      </w:r>
      <w:r>
        <w:rPr>
          <w:color w:val="0000FF"/>
        </w:rPr>
        <w:t>号</w:t>
      </w:r>
      <w:r>
        <w:rPr>
          <w:color w:val="0000FF"/>
          <w:spacing w:val="-20"/>
        </w:rPr>
        <w:t>），</w:t>
      </w:r>
      <w:r>
        <w:rPr>
          <w:color w:val="0000FF"/>
        </w:rPr>
        <w:t>禁止在下列区</w:t>
      </w:r>
      <w:r>
        <w:rPr>
          <w:color w:val="0000FF"/>
          <w:spacing w:val="-6"/>
        </w:rPr>
        <w:t>域内建设畜禽养殖场、养殖小区：</w:t>
      </w:r>
      <w:r>
        <w:rPr>
          <w:color w:val="0000FF"/>
          <w:spacing w:val="-30"/>
        </w:rPr>
        <w:t>（</w:t>
      </w:r>
      <w:r>
        <w:rPr>
          <w:color w:val="0000FF"/>
        </w:rPr>
        <w:t>一</w:t>
      </w:r>
      <w:r>
        <w:rPr>
          <w:color w:val="0000FF"/>
          <w:spacing w:val="-29"/>
        </w:rPr>
        <w:t>）</w:t>
      </w:r>
      <w:r>
        <w:rPr>
          <w:color w:val="0000FF"/>
          <w:spacing w:val="-6"/>
        </w:rPr>
        <w:t>饮用水水源保护区，风景名胜区；</w:t>
      </w:r>
      <w:r>
        <w:rPr>
          <w:color w:val="0000FF"/>
          <w:spacing w:val="-30"/>
        </w:rPr>
        <w:t>（</w:t>
      </w:r>
      <w:r>
        <w:rPr>
          <w:color w:val="0000FF"/>
        </w:rPr>
        <w:t>二</w:t>
      </w:r>
      <w:r>
        <w:rPr>
          <w:color w:val="0000FF"/>
          <w:spacing w:val="-16"/>
        </w:rPr>
        <w:t>）</w:t>
      </w:r>
      <w:r>
        <w:rPr>
          <w:color w:val="0000FF"/>
          <w:spacing w:val="-2"/>
        </w:rPr>
        <w:t>自然保护区的核心区和缓冲区；</w:t>
      </w:r>
      <w:r>
        <w:rPr>
          <w:color w:val="0000FF"/>
          <w:spacing w:val="-25"/>
        </w:rPr>
        <w:t>（</w:t>
      </w:r>
      <w:r>
        <w:rPr>
          <w:color w:val="0000FF"/>
        </w:rPr>
        <w:t>三</w:t>
      </w:r>
      <w:r>
        <w:rPr>
          <w:color w:val="0000FF"/>
          <w:spacing w:val="-22"/>
        </w:rPr>
        <w:t>）</w:t>
      </w:r>
      <w:r>
        <w:rPr>
          <w:color w:val="0000FF"/>
          <w:spacing w:val="-4"/>
        </w:rPr>
        <w:t>城镇居民区、文化教育科学研究区等人口</w:t>
      </w:r>
      <w:r>
        <w:rPr>
          <w:color w:val="0000FF"/>
          <w:spacing w:val="-6"/>
        </w:rPr>
        <w:t>集中区域；</w:t>
      </w:r>
      <w:r>
        <w:rPr>
          <w:color w:val="0000FF"/>
          <w:spacing w:val="-14"/>
        </w:rPr>
        <w:t>（</w:t>
      </w:r>
      <w:r>
        <w:rPr>
          <w:color w:val="0000FF"/>
        </w:rPr>
        <w:t>四</w:t>
      </w:r>
      <w:r>
        <w:rPr>
          <w:color w:val="0000FF"/>
          <w:spacing w:val="-15"/>
        </w:rPr>
        <w:t>）</w:t>
      </w:r>
      <w:r>
        <w:rPr>
          <w:color w:val="0000FF"/>
          <w:spacing w:val="-6"/>
        </w:rPr>
        <w:t>法律、法规规定的其他禁止养殖区域。新建、改建、扩建畜禽</w:t>
      </w:r>
      <w:r>
        <w:rPr>
          <w:color w:val="0000FF"/>
          <w:spacing w:val="-11"/>
        </w:rPr>
        <w:t>养殖场、养殖小区，应当符合畜牧业发展规划、畜禽养殖污染防治规划，满足动物防疫条件，并进行环境影响评价。</w:t>
      </w:r>
    </w:p>
    <w:p>
      <w:pPr>
        <w:pStyle w:val="7"/>
        <w:spacing w:before="3" w:line="364" w:lineRule="auto"/>
        <w:ind w:right="457" w:firstLine="480"/>
      </w:pPr>
      <w:r>
        <w:rPr>
          <w:color w:val="0000FF"/>
          <w:spacing w:val="-3"/>
        </w:rPr>
        <w:t>本项目区附近均为</w:t>
      </w:r>
      <w:r>
        <w:rPr>
          <w:rFonts w:hint="eastAsia"/>
          <w:color w:val="0000FF"/>
          <w:spacing w:val="-3"/>
          <w:lang w:val="en-US" w:eastAsia="zh-CN"/>
        </w:rPr>
        <w:t>荒地</w:t>
      </w:r>
      <w:r>
        <w:rPr>
          <w:color w:val="0000FF"/>
          <w:spacing w:val="-3"/>
        </w:rPr>
        <w:t>，距离最近居住区</w:t>
      </w:r>
      <w:r>
        <w:rPr>
          <w:color w:val="0000FF"/>
        </w:rPr>
        <w:t>（村庄</w:t>
      </w:r>
      <w:r>
        <w:rPr>
          <w:color w:val="0000FF"/>
          <w:spacing w:val="-15"/>
        </w:rPr>
        <w:t>）</w:t>
      </w:r>
      <w:r>
        <w:rPr>
          <w:color w:val="0000FF"/>
          <w:spacing w:val="-7"/>
        </w:rPr>
        <w:t>位于项目区</w:t>
      </w:r>
      <w:r>
        <w:rPr>
          <w:rFonts w:hint="eastAsia"/>
          <w:color w:val="0000FF"/>
          <w:spacing w:val="-7"/>
          <w:lang w:val="en-US" w:eastAsia="zh-CN"/>
        </w:rPr>
        <w:t>南</w:t>
      </w:r>
      <w:r>
        <w:rPr>
          <w:color w:val="0000FF"/>
          <w:spacing w:val="-7"/>
        </w:rPr>
        <w:t>侧约</w:t>
      </w:r>
      <w:r>
        <w:rPr>
          <w:rFonts w:hint="eastAsia" w:ascii="Times New Roman"/>
          <w:color w:val="0000FF"/>
          <w:lang w:val="en-US" w:eastAsia="zh-CN"/>
        </w:rPr>
        <w:t>2</w:t>
      </w:r>
      <w:r>
        <w:rPr>
          <w:rFonts w:ascii="Times New Roman" w:eastAsia="Times New Roman"/>
          <w:color w:val="0000FF"/>
        </w:rPr>
        <w:t>km</w:t>
      </w:r>
      <w:r>
        <w:rPr>
          <w:color w:val="0000FF"/>
          <w:spacing w:val="-7"/>
        </w:rPr>
        <w:t>处，项目</w:t>
      </w:r>
      <w:r>
        <w:rPr>
          <w:rFonts w:hint="eastAsia"/>
          <w:color w:val="0000FF"/>
          <w:spacing w:val="-7"/>
          <w:lang w:val="en-US" w:eastAsia="zh-CN"/>
        </w:rPr>
        <w:t>西</w:t>
      </w:r>
      <w:r>
        <w:rPr>
          <w:color w:val="0000FF"/>
          <w:spacing w:val="-7"/>
        </w:rPr>
        <w:t>侧距</w:t>
      </w:r>
      <w:r>
        <w:rPr>
          <w:rFonts w:hint="eastAsia" w:ascii="Times New Roman"/>
          <w:color w:val="0000FF"/>
          <w:lang w:val="en-US" w:eastAsia="zh-CN"/>
        </w:rPr>
        <w:t>X499</w:t>
      </w:r>
      <w:r>
        <w:rPr>
          <w:rFonts w:hint="eastAsia" w:eastAsia="宋体"/>
          <w:color w:val="0000FF"/>
          <w:spacing w:val="-15"/>
          <w:lang w:val="en-US" w:eastAsia="zh-CN"/>
        </w:rPr>
        <w:t>县</w:t>
      </w:r>
      <w:r>
        <w:rPr>
          <w:color w:val="0000FF"/>
          <w:spacing w:val="-15"/>
        </w:rPr>
        <w:t>道约</w:t>
      </w:r>
      <w:r>
        <w:rPr>
          <w:rFonts w:hint="eastAsia" w:ascii="Times New Roman" w:eastAsia="宋体"/>
          <w:color w:val="0000FF"/>
          <w:lang w:val="en-US" w:eastAsia="zh-CN"/>
        </w:rPr>
        <w:t>520</w:t>
      </w:r>
      <w:r>
        <w:rPr>
          <w:rFonts w:ascii="Times New Roman" w:eastAsia="Times New Roman"/>
          <w:color w:val="0000FF"/>
        </w:rPr>
        <w:t>m</w:t>
      </w:r>
      <w:r>
        <w:rPr>
          <w:color w:val="0000FF"/>
        </w:rPr>
        <w:t>，不在</w:t>
      </w:r>
      <w:r>
        <w:rPr>
          <w:rFonts w:hint="eastAsia"/>
          <w:color w:val="0000FF"/>
          <w:lang w:val="en-US" w:eastAsia="zh-CN"/>
        </w:rPr>
        <w:t>莎车</w:t>
      </w:r>
      <w:r>
        <w:rPr>
          <w:color w:val="0000FF"/>
        </w:rPr>
        <w:t>县划定的畜禽养殖禁养区内，项目远离上述禁建区，且建设符合畜牧业发展规划和畜禽养殖污染防治规划，因此，</w:t>
      </w:r>
      <w:r>
        <w:rPr>
          <w:color w:val="0000FF"/>
          <w:spacing w:val="-14"/>
        </w:rPr>
        <w:t>本项目符合《畜禽规模养殖污染防治条例》</w:t>
      </w:r>
      <w:r>
        <w:rPr>
          <w:color w:val="0000FF"/>
        </w:rPr>
        <w:t>（</w:t>
      </w:r>
      <w:r>
        <w:rPr>
          <w:color w:val="0000FF"/>
          <w:spacing w:val="-11"/>
        </w:rPr>
        <w:t>国务院令第</w:t>
      </w:r>
      <w:r>
        <w:rPr>
          <w:rFonts w:ascii="Times New Roman" w:eastAsia="Times New Roman"/>
          <w:color w:val="0000FF"/>
        </w:rPr>
        <w:t>643</w:t>
      </w:r>
      <w:r>
        <w:rPr>
          <w:color w:val="0000FF"/>
        </w:rPr>
        <w:t>号</w:t>
      </w:r>
      <w:r>
        <w:rPr>
          <w:color w:val="0000FF"/>
          <w:spacing w:val="-53"/>
        </w:rPr>
        <w:t>）</w:t>
      </w:r>
      <w:r>
        <w:rPr>
          <w:color w:val="0000FF"/>
          <w:spacing w:val="-3"/>
        </w:rPr>
        <w:t>中的选址要求。</w:t>
      </w:r>
    </w:p>
    <w:p>
      <w:pPr>
        <w:pStyle w:val="17"/>
        <w:numPr>
          <w:ilvl w:val="0"/>
          <w:numId w:val="3"/>
        </w:numPr>
        <w:tabs>
          <w:tab w:val="left" w:pos="1621"/>
        </w:tabs>
        <w:spacing w:before="3" w:after="0" w:line="240" w:lineRule="auto"/>
        <w:ind w:left="1621" w:right="0" w:hanging="601"/>
        <w:jc w:val="left"/>
        <w:rPr>
          <w:color w:val="0000FF"/>
          <w:sz w:val="24"/>
        </w:rPr>
      </w:pPr>
      <w:r>
        <w:rPr>
          <w:color w:val="0000FF"/>
          <w:sz w:val="24"/>
        </w:rPr>
        <w:t>《畜禽养殖业污染防治技术规范》选址合理性分析；</w:t>
      </w:r>
    </w:p>
    <w:p>
      <w:pPr>
        <w:pStyle w:val="7"/>
        <w:spacing w:before="160" w:line="364" w:lineRule="auto"/>
        <w:ind w:right="575" w:firstLine="480"/>
        <w:jc w:val="both"/>
        <w:rPr>
          <w:color w:val="0000FF"/>
        </w:rPr>
      </w:pPr>
      <w:r>
        <w:rPr>
          <w:color w:val="0000FF"/>
        </w:rPr>
        <w:t>根据《畜禽养殖业污染防治技术规范》（</w:t>
      </w:r>
      <w:r>
        <w:rPr>
          <w:rFonts w:ascii="Times New Roman" w:eastAsia="Times New Roman"/>
          <w:color w:val="0000FF"/>
        </w:rPr>
        <w:t>HJ/T81-2001</w:t>
      </w:r>
      <w:r>
        <w:rPr>
          <w:color w:val="0000FF"/>
        </w:rPr>
        <w:t>），畜禽养殖业禁止</w:t>
      </w:r>
      <w:r>
        <w:rPr>
          <w:color w:val="0000FF"/>
          <w:spacing w:val="-7"/>
        </w:rPr>
        <w:t>建在：</w:t>
      </w:r>
      <w:r>
        <w:rPr>
          <w:color w:val="0000FF"/>
          <w:spacing w:val="-20"/>
        </w:rPr>
        <w:t>（</w:t>
      </w:r>
      <w:r>
        <w:rPr>
          <w:color w:val="0000FF"/>
        </w:rPr>
        <w:t>一</w:t>
      </w:r>
      <w:r>
        <w:rPr>
          <w:color w:val="0000FF"/>
          <w:spacing w:val="-20"/>
        </w:rPr>
        <w:t>）</w:t>
      </w:r>
      <w:r>
        <w:rPr>
          <w:color w:val="0000FF"/>
          <w:spacing w:val="-5"/>
        </w:rPr>
        <w:t>生活饮用水水源保护区、风景名胜区、自然保护区的核心区及缓冲</w:t>
      </w:r>
      <w:r>
        <w:rPr>
          <w:color w:val="0000FF"/>
          <w:spacing w:val="-6"/>
        </w:rPr>
        <w:t>区；</w:t>
      </w:r>
      <w:r>
        <w:rPr>
          <w:color w:val="0000FF"/>
          <w:spacing w:val="-12"/>
        </w:rPr>
        <w:t>（</w:t>
      </w:r>
      <w:r>
        <w:rPr>
          <w:color w:val="0000FF"/>
        </w:rPr>
        <w:t>二</w:t>
      </w:r>
      <w:r>
        <w:rPr>
          <w:color w:val="0000FF"/>
          <w:spacing w:val="-12"/>
        </w:rPr>
        <w:t>）</w:t>
      </w:r>
      <w:r>
        <w:rPr>
          <w:color w:val="0000FF"/>
          <w:spacing w:val="-7"/>
        </w:rPr>
        <w:t>城市和城镇居民区，包括文教科研区、医疗区、商业区、工业区、游</w:t>
      </w:r>
      <w:r>
        <w:rPr>
          <w:color w:val="0000FF"/>
          <w:spacing w:val="-2"/>
        </w:rPr>
        <w:t>览区等人口集中的地区；</w:t>
      </w:r>
      <w:r>
        <w:rPr>
          <w:color w:val="0000FF"/>
          <w:spacing w:val="-16"/>
        </w:rPr>
        <w:t>（</w:t>
      </w:r>
      <w:r>
        <w:rPr>
          <w:color w:val="0000FF"/>
        </w:rPr>
        <w:t>三</w:t>
      </w:r>
      <w:r>
        <w:rPr>
          <w:color w:val="0000FF"/>
          <w:spacing w:val="-17"/>
        </w:rPr>
        <w:t>）</w:t>
      </w:r>
      <w:r>
        <w:rPr>
          <w:color w:val="0000FF"/>
          <w:spacing w:val="-1"/>
        </w:rPr>
        <w:t>县级人民政府依法划定的禁养区域；</w:t>
      </w:r>
      <w:r>
        <w:rPr>
          <w:color w:val="0000FF"/>
          <w:spacing w:val="-16"/>
        </w:rPr>
        <w:t>（</w:t>
      </w:r>
      <w:r>
        <w:rPr>
          <w:color w:val="0000FF"/>
        </w:rPr>
        <w:t>四</w:t>
      </w:r>
      <w:r>
        <w:rPr>
          <w:color w:val="0000FF"/>
          <w:spacing w:val="-17"/>
        </w:rPr>
        <w:t>）</w:t>
      </w:r>
      <w:r>
        <w:rPr>
          <w:color w:val="0000FF"/>
          <w:spacing w:val="-7"/>
        </w:rPr>
        <w:t>国家</w:t>
      </w:r>
      <w:r>
        <w:rPr>
          <w:color w:val="0000FF"/>
          <w:spacing w:val="-10"/>
        </w:rPr>
        <w:t>或地方法律、法规规定需特殊保护的其它区域。若在禁建区域附近建设的，应设</w:t>
      </w:r>
      <w:r>
        <w:rPr>
          <w:color w:val="0000FF"/>
          <w:spacing w:val="-6"/>
        </w:rPr>
        <w:t>在禁建区域常年主导风向的下风向或侧风向处，厂界与禁建区域边界的最小距离</w:t>
      </w:r>
      <w:r>
        <w:rPr>
          <w:color w:val="0000FF"/>
        </w:rPr>
        <w:t>不得小于</w:t>
      </w:r>
      <w:r>
        <w:rPr>
          <w:rFonts w:ascii="Times New Roman" w:eastAsia="Times New Roman"/>
          <w:color w:val="0000FF"/>
        </w:rPr>
        <w:t>500m</w:t>
      </w:r>
      <w:r>
        <w:rPr>
          <w:color w:val="0000FF"/>
        </w:rPr>
        <w:t>。</w:t>
      </w:r>
    </w:p>
    <w:p>
      <w:pPr>
        <w:pStyle w:val="7"/>
        <w:spacing w:before="160" w:line="364" w:lineRule="auto"/>
        <w:ind w:right="485" w:firstLine="480"/>
        <w:rPr>
          <w:color w:val="0000FF"/>
        </w:rPr>
      </w:pPr>
      <w:r>
        <w:rPr>
          <w:color w:val="0000FF"/>
          <w:spacing w:val="-4"/>
        </w:rPr>
        <w:t>本项目建设地点位于</w:t>
      </w:r>
      <w:r>
        <w:rPr>
          <w:color w:val="0000FF"/>
          <w:spacing w:val="-5"/>
        </w:rPr>
        <w:t>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color w:val="0000FF"/>
          <w:szCs w:val="21"/>
          <w:lang w:eastAsia="zh-CN"/>
        </w:rPr>
        <w:t>阿拉买提</w:t>
      </w:r>
      <w:r>
        <w:rPr>
          <w:rFonts w:hint="eastAsia"/>
          <w:color w:val="0000FF"/>
          <w:szCs w:val="21"/>
          <w:lang w:val="en-US" w:eastAsia="zh-CN"/>
        </w:rPr>
        <w:t>17</w:t>
      </w:r>
      <w:r>
        <w:rPr>
          <w:rFonts w:hint="eastAsia" w:ascii="宋体" w:hAnsi="宋体"/>
          <w:color w:val="0000FF"/>
          <w:szCs w:val="21"/>
        </w:rPr>
        <w:t>村</w:t>
      </w:r>
      <w:r>
        <w:rPr>
          <w:color w:val="0000FF"/>
          <w:spacing w:val="-4"/>
        </w:rPr>
        <w:t>，距离</w:t>
      </w:r>
      <w:r>
        <w:rPr>
          <w:rFonts w:hint="eastAsia"/>
          <w:color w:val="0000FF"/>
          <w:spacing w:val="-4"/>
          <w:lang w:val="en-US" w:eastAsia="zh-CN"/>
        </w:rPr>
        <w:t>托万巴格托格克拉村</w:t>
      </w:r>
      <w:r>
        <w:rPr>
          <w:color w:val="0000FF"/>
          <w:spacing w:val="-11"/>
        </w:rPr>
        <w:t>居住区约</w:t>
      </w:r>
      <w:r>
        <w:rPr>
          <w:rFonts w:hint="eastAsia"/>
          <w:color w:val="0000FF"/>
          <w:spacing w:val="-11"/>
          <w:lang w:val="en-US" w:eastAsia="zh-CN"/>
        </w:rPr>
        <w:t xml:space="preserve">2 </w:t>
      </w:r>
      <w:r>
        <w:rPr>
          <w:rFonts w:ascii="Times New Roman" w:eastAsia="Times New Roman"/>
          <w:color w:val="0000FF"/>
        </w:rPr>
        <w:t>km</w:t>
      </w:r>
      <w:r>
        <w:rPr>
          <w:color w:val="0000FF"/>
          <w:spacing w:val="-7"/>
        </w:rPr>
        <w:t>，项目区</w:t>
      </w:r>
      <w:r>
        <w:rPr>
          <w:rFonts w:hint="eastAsia"/>
          <w:color w:val="0000FF"/>
          <w:spacing w:val="-7"/>
          <w:lang w:val="en-US" w:eastAsia="zh-CN"/>
        </w:rPr>
        <w:t>西侧距X499县道约520</w:t>
      </w:r>
      <w:r>
        <w:rPr>
          <w:rFonts w:ascii="Times New Roman" w:eastAsia="Times New Roman"/>
          <w:color w:val="0000FF"/>
        </w:rPr>
        <w:t>m</w:t>
      </w:r>
      <w:r>
        <w:rPr>
          <w:color w:val="0000FF"/>
        </w:rPr>
        <w:t>，</w:t>
      </w:r>
      <w:r>
        <w:rPr>
          <w:rFonts w:hint="eastAsia"/>
          <w:color w:val="0000FF"/>
          <w:lang w:val="en-US" w:eastAsia="zh-CN"/>
        </w:rPr>
        <w:t>莎车</w:t>
      </w:r>
      <w:r>
        <w:rPr>
          <w:color w:val="0000FF"/>
        </w:rPr>
        <w:t>县常年主导风向为</w:t>
      </w:r>
      <w:r>
        <w:rPr>
          <w:color w:val="0000FF"/>
          <w:spacing w:val="-1"/>
        </w:rPr>
        <w:t>西风，选址位于禁养区侧风向。本项目拟建地无生活饮用水水源保护区、</w:t>
      </w:r>
      <w:r>
        <w:rPr>
          <w:color w:val="0000FF"/>
          <w:spacing w:val="-9"/>
        </w:rPr>
        <w:t>风景名胜区、自然保护区等敏感她区；位于农村地区，原址为一般耕地和天然牧</w:t>
      </w:r>
      <w:r>
        <w:rPr>
          <w:color w:val="0000FF"/>
          <w:spacing w:val="-8"/>
        </w:rPr>
        <w:t>草地，已划拨的方式作为</w:t>
      </w:r>
      <w:r>
        <w:rPr>
          <w:rFonts w:hint="eastAsia"/>
          <w:color w:val="0000FF"/>
          <w:spacing w:val="-8"/>
          <w:lang w:val="en-US" w:eastAsia="zh-CN"/>
        </w:rPr>
        <w:t>莎车</w:t>
      </w:r>
      <w:r>
        <w:rPr>
          <w:color w:val="0000FF"/>
          <w:spacing w:val="-8"/>
        </w:rPr>
        <w:t>县农业农村局羊圈用地</w:t>
      </w:r>
      <w:r>
        <w:rPr>
          <w:color w:val="0000FF"/>
        </w:rPr>
        <w:t>（设施农用地</w:t>
      </w:r>
      <w:r>
        <w:rPr>
          <w:color w:val="0000FF"/>
          <w:spacing w:val="-24"/>
        </w:rPr>
        <w:t>），</w:t>
      </w:r>
      <w:r>
        <w:rPr>
          <w:color w:val="0000FF"/>
        </w:rPr>
        <w:t>所在地不</w:t>
      </w:r>
      <w:r>
        <w:rPr>
          <w:color w:val="0000FF"/>
          <w:spacing w:val="-7"/>
        </w:rPr>
        <w:t>属于人口集中地区；不属于</w:t>
      </w:r>
      <w:r>
        <w:rPr>
          <w:rFonts w:hint="eastAsia"/>
          <w:color w:val="0000FF"/>
          <w:spacing w:val="-7"/>
          <w:lang w:val="en-US" w:eastAsia="zh-CN"/>
        </w:rPr>
        <w:t>莎车</w:t>
      </w:r>
      <w:r>
        <w:rPr>
          <w:color w:val="0000FF"/>
          <w:spacing w:val="-7"/>
        </w:rPr>
        <w:t>县划定的禁养区域；不属于国家或地方法律、法</w:t>
      </w:r>
      <w:r>
        <w:rPr>
          <w:color w:val="0000FF"/>
          <w:spacing w:val="-9"/>
        </w:rPr>
        <w:t>规规定的特殊保护的区域</w:t>
      </w:r>
      <w:r>
        <w:rPr>
          <w:color w:val="0000FF"/>
        </w:rPr>
        <w:t>（</w:t>
      </w:r>
      <w:r>
        <w:rPr>
          <w:color w:val="0000FF"/>
          <w:spacing w:val="-3"/>
        </w:rPr>
        <w:t>未占用基本农田；未在生态红线内</w:t>
      </w:r>
      <w:r>
        <w:rPr>
          <w:color w:val="0000FF"/>
          <w:spacing w:val="-24"/>
        </w:rPr>
        <w:t>）；</w:t>
      </w:r>
      <w:r>
        <w:rPr>
          <w:color w:val="0000FF"/>
        </w:rPr>
        <w:t>用地区边界外</w:t>
      </w:r>
      <w:r>
        <w:rPr>
          <w:rFonts w:ascii="Times New Roman" w:eastAsia="Times New Roman"/>
          <w:color w:val="0000FF"/>
        </w:rPr>
        <w:t>500m</w:t>
      </w:r>
      <w:r>
        <w:rPr>
          <w:color w:val="0000FF"/>
          <w:spacing w:val="6"/>
        </w:rPr>
        <w:t>范围内无禁建区。因此，本项目符合《畜禽养殖业污染防治技术规范》</w:t>
      </w:r>
    </w:p>
    <w:p>
      <w:pPr>
        <w:pStyle w:val="7"/>
        <w:spacing w:before="5"/>
        <w:rPr>
          <w:color w:val="0000FF"/>
        </w:rPr>
      </w:pPr>
      <w:r>
        <w:rPr>
          <w:color w:val="0000FF"/>
        </w:rPr>
        <w:t>（</w:t>
      </w:r>
      <w:r>
        <w:rPr>
          <w:rFonts w:ascii="Times New Roman" w:eastAsia="Times New Roman"/>
          <w:color w:val="0000FF"/>
        </w:rPr>
        <w:t>HJ/T81-2001</w:t>
      </w:r>
      <w:r>
        <w:rPr>
          <w:color w:val="0000FF"/>
        </w:rPr>
        <w:t>）中的选址要求。</w:t>
      </w:r>
    </w:p>
    <w:p>
      <w:pPr>
        <w:pStyle w:val="17"/>
        <w:numPr>
          <w:ilvl w:val="0"/>
          <w:numId w:val="3"/>
        </w:numPr>
        <w:tabs>
          <w:tab w:val="left" w:pos="1621"/>
        </w:tabs>
        <w:spacing w:before="161" w:after="0" w:line="240" w:lineRule="auto"/>
        <w:ind w:left="1621" w:right="0" w:hanging="601"/>
        <w:jc w:val="left"/>
        <w:rPr>
          <w:color w:val="0000FF"/>
          <w:sz w:val="24"/>
        </w:rPr>
      </w:pPr>
      <w:r>
        <w:rPr>
          <w:color w:val="0000FF"/>
          <w:sz w:val="24"/>
        </w:rPr>
        <w:t>《动物防疫条件审查办法》选址合理性分析；</w:t>
      </w:r>
    </w:p>
    <w:p>
      <w:pPr>
        <w:pStyle w:val="7"/>
        <w:spacing w:before="160" w:line="364" w:lineRule="auto"/>
        <w:ind w:right="577" w:firstLine="480"/>
        <w:jc w:val="both"/>
        <w:rPr>
          <w:color w:val="0000FF"/>
        </w:rPr>
      </w:pPr>
      <w:r>
        <w:rPr>
          <w:color w:val="0000FF"/>
          <w:spacing w:val="-1"/>
        </w:rPr>
        <w:t>根据《动物防疫条件审查办法》第二章饲养场、养殖小区动物防疫条件中</w:t>
      </w:r>
      <w:r>
        <w:rPr>
          <w:color w:val="0000FF"/>
          <w:spacing w:val="-2"/>
        </w:rPr>
        <w:t>动物饲养场选址应当符合第五条：</w:t>
      </w:r>
      <w:r>
        <w:rPr>
          <w:color w:val="0000FF"/>
          <w:spacing w:val="-25"/>
        </w:rPr>
        <w:t>（</w:t>
      </w:r>
      <w:r>
        <w:rPr>
          <w:color w:val="0000FF"/>
        </w:rPr>
        <w:t>一</w:t>
      </w:r>
      <w:r>
        <w:rPr>
          <w:color w:val="0000FF"/>
          <w:spacing w:val="-22"/>
        </w:rPr>
        <w:t>）</w:t>
      </w:r>
      <w:r>
        <w:rPr>
          <w:color w:val="0000FF"/>
          <w:spacing w:val="-4"/>
        </w:rPr>
        <w:t>距离生活饮用水源地、动物屠宰加工场所、动物和动物产品集贸市场</w:t>
      </w:r>
      <w:r>
        <w:rPr>
          <w:rFonts w:ascii="Times New Roman" w:eastAsia="Times New Roman"/>
          <w:color w:val="0000FF"/>
        </w:rPr>
        <w:t>500</w:t>
      </w:r>
      <w:r>
        <w:rPr>
          <w:color w:val="0000FF"/>
          <w:spacing w:val="-6"/>
        </w:rPr>
        <w:t>米以上；距离种畜禽场</w:t>
      </w:r>
      <w:r>
        <w:rPr>
          <w:rFonts w:ascii="Times New Roman" w:eastAsia="Times New Roman"/>
          <w:color w:val="0000FF"/>
        </w:rPr>
        <w:t>1000</w:t>
      </w:r>
      <w:r>
        <w:rPr>
          <w:color w:val="0000FF"/>
          <w:spacing w:val="-2"/>
        </w:rPr>
        <w:t>米以上；距离动</w:t>
      </w:r>
    </w:p>
    <w:p>
      <w:pPr>
        <w:pStyle w:val="7"/>
        <w:spacing w:before="2"/>
        <w:jc w:val="both"/>
        <w:rPr>
          <w:color w:val="0000FF"/>
        </w:rPr>
      </w:pPr>
      <w:r>
        <w:rPr>
          <w:color w:val="0000FF"/>
        </w:rPr>
        <w:t>物诊疗场所</w:t>
      </w:r>
      <w:r>
        <w:rPr>
          <w:rFonts w:ascii="Times New Roman" w:eastAsia="Times New Roman"/>
          <w:color w:val="0000FF"/>
        </w:rPr>
        <w:t>200</w:t>
      </w:r>
      <w:r>
        <w:rPr>
          <w:color w:val="0000FF"/>
        </w:rPr>
        <w:t>米以上；动物饲养场（养殖小区）之间距离不少于</w:t>
      </w:r>
      <w:r>
        <w:rPr>
          <w:rFonts w:ascii="Times New Roman" w:eastAsia="Times New Roman"/>
          <w:color w:val="0000FF"/>
        </w:rPr>
        <w:t>500</w:t>
      </w:r>
      <w:r>
        <w:rPr>
          <w:color w:val="0000FF"/>
        </w:rPr>
        <w:t>米；（二）</w:t>
      </w:r>
    </w:p>
    <w:p>
      <w:pPr>
        <w:pStyle w:val="7"/>
        <w:spacing w:before="160"/>
        <w:jc w:val="both"/>
        <w:rPr>
          <w:color w:val="0000FF"/>
        </w:rPr>
      </w:pPr>
      <w:r>
        <w:rPr>
          <w:color w:val="0000FF"/>
        </w:rPr>
        <w:t>距离动物隔离场所、无害化处理场所</w:t>
      </w:r>
      <w:r>
        <w:rPr>
          <w:rFonts w:ascii="Times New Roman" w:eastAsia="Times New Roman"/>
          <w:color w:val="0000FF"/>
        </w:rPr>
        <w:t>3000</w:t>
      </w:r>
      <w:r>
        <w:rPr>
          <w:color w:val="0000FF"/>
        </w:rPr>
        <w:t>米以上；（三）距离城镇居民区、文</w:t>
      </w:r>
    </w:p>
    <w:p>
      <w:pPr>
        <w:pStyle w:val="7"/>
        <w:spacing w:before="161"/>
        <w:jc w:val="both"/>
        <w:rPr>
          <w:color w:val="0000FF"/>
        </w:rPr>
      </w:pPr>
      <w:r>
        <w:rPr>
          <w:color w:val="0000FF"/>
        </w:rPr>
        <w:t>化教育科研等人口集中区域及公路、铁路等主要交通干线</w:t>
      </w:r>
      <w:r>
        <w:rPr>
          <w:rFonts w:ascii="Times New Roman" w:eastAsia="Times New Roman"/>
          <w:color w:val="0000FF"/>
        </w:rPr>
        <w:t>500</w:t>
      </w:r>
      <w:r>
        <w:rPr>
          <w:color w:val="0000FF"/>
        </w:rPr>
        <w:t>米以上。</w:t>
      </w:r>
    </w:p>
    <w:p>
      <w:pPr>
        <w:pStyle w:val="7"/>
        <w:spacing w:before="160" w:line="364" w:lineRule="auto"/>
        <w:ind w:right="575" w:firstLine="480"/>
        <w:jc w:val="both"/>
        <w:rPr>
          <w:color w:val="0000FF"/>
        </w:rPr>
      </w:pPr>
      <w:r>
        <w:rPr>
          <w:color w:val="0000FF"/>
          <w:spacing w:val="-5"/>
        </w:rPr>
        <w:t>本项目建设地点位于新疆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color w:val="0000FF"/>
          <w:szCs w:val="21"/>
          <w:lang w:eastAsia="zh-CN"/>
        </w:rPr>
        <w:t>阿拉买提</w:t>
      </w:r>
      <w:r>
        <w:rPr>
          <w:rFonts w:hint="eastAsia"/>
          <w:color w:val="0000FF"/>
          <w:szCs w:val="21"/>
          <w:lang w:val="en-US" w:eastAsia="zh-CN"/>
        </w:rPr>
        <w:t>17</w:t>
      </w:r>
      <w:r>
        <w:rPr>
          <w:rFonts w:hint="eastAsia" w:ascii="宋体" w:hAnsi="宋体"/>
          <w:color w:val="0000FF"/>
          <w:szCs w:val="21"/>
        </w:rPr>
        <w:t>村</w:t>
      </w:r>
      <w:r>
        <w:rPr>
          <w:color w:val="0000FF"/>
          <w:spacing w:val="-5"/>
        </w:rPr>
        <w:t>，距离</w:t>
      </w:r>
      <w:r>
        <w:rPr>
          <w:rFonts w:hint="eastAsia"/>
          <w:color w:val="0000FF"/>
          <w:spacing w:val="-4"/>
          <w:lang w:val="en-US" w:eastAsia="zh-CN"/>
        </w:rPr>
        <w:t>托万巴格托格克拉村</w:t>
      </w:r>
      <w:r>
        <w:rPr>
          <w:color w:val="0000FF"/>
          <w:spacing w:val="-11"/>
        </w:rPr>
        <w:t>居住区约</w:t>
      </w:r>
      <w:r>
        <w:rPr>
          <w:rFonts w:hint="eastAsia"/>
          <w:color w:val="0000FF"/>
          <w:spacing w:val="-11"/>
          <w:lang w:val="en-US" w:eastAsia="zh-CN"/>
        </w:rPr>
        <w:t>2</w:t>
      </w:r>
      <w:r>
        <w:rPr>
          <w:rFonts w:ascii="Times New Roman" w:eastAsia="Times New Roman"/>
          <w:color w:val="0000FF"/>
        </w:rPr>
        <w:t>km</w:t>
      </w:r>
      <w:r>
        <w:rPr>
          <w:color w:val="0000FF"/>
          <w:spacing w:val="-13"/>
        </w:rPr>
        <w:t>。项目区周围</w:t>
      </w:r>
      <w:r>
        <w:rPr>
          <w:rFonts w:ascii="Times New Roman" w:eastAsia="Times New Roman"/>
          <w:color w:val="0000FF"/>
        </w:rPr>
        <w:t>3.0km</w:t>
      </w:r>
      <w:r>
        <w:rPr>
          <w:color w:val="0000FF"/>
          <w:spacing w:val="-3"/>
        </w:rPr>
        <w:t>范围内无生活饮用水源地、动物屠宰加</w:t>
      </w:r>
      <w:r>
        <w:rPr>
          <w:color w:val="0000FF"/>
          <w:spacing w:val="-8"/>
        </w:rPr>
        <w:t>工场所、动物和动物产品集贸市场、种畜禽场、动物诊疗场所、动物饲养场</w:t>
      </w:r>
      <w:r>
        <w:rPr>
          <w:color w:val="0000FF"/>
        </w:rPr>
        <w:t>（</w:t>
      </w:r>
      <w:r>
        <w:rPr>
          <w:color w:val="0000FF"/>
          <w:spacing w:val="-12"/>
        </w:rPr>
        <w:t>养</w:t>
      </w:r>
      <w:r>
        <w:rPr>
          <w:color w:val="0000FF"/>
        </w:rPr>
        <w:t>殖小区</w:t>
      </w:r>
      <w:r>
        <w:rPr>
          <w:color w:val="0000FF"/>
          <w:spacing w:val="-24"/>
        </w:rPr>
        <w:t>）</w:t>
      </w:r>
      <w:r>
        <w:rPr>
          <w:color w:val="0000FF"/>
          <w:spacing w:val="-11"/>
        </w:rPr>
        <w:t>、动物隔离场所和无害化处理场，周边</w:t>
      </w:r>
      <w:r>
        <w:rPr>
          <w:rFonts w:ascii="Times New Roman" w:eastAsia="Times New Roman"/>
          <w:color w:val="0000FF"/>
        </w:rPr>
        <w:t>0.5km</w:t>
      </w:r>
      <w:r>
        <w:rPr>
          <w:color w:val="0000FF"/>
          <w:spacing w:val="-5"/>
        </w:rPr>
        <w:t>范围内无城镇居民区、文</w:t>
      </w:r>
      <w:r>
        <w:rPr>
          <w:color w:val="0000FF"/>
          <w:spacing w:val="-7"/>
        </w:rPr>
        <w:t>化教育科研等人口集中区域，无公路、铁路等主要交通干线。因此，本项目符合</w:t>
      </w:r>
    </w:p>
    <w:p>
      <w:pPr>
        <w:pStyle w:val="7"/>
        <w:spacing w:before="3"/>
        <w:rPr>
          <w:color w:val="0000FF"/>
        </w:rPr>
      </w:pPr>
      <w:r>
        <w:rPr>
          <w:color w:val="0000FF"/>
        </w:rPr>
        <w:t>《动物防疫条件审查办法》中动物饲养场选址要求。</w:t>
      </w:r>
    </w:p>
    <w:p>
      <w:pPr>
        <w:pStyle w:val="17"/>
        <w:numPr>
          <w:ilvl w:val="0"/>
          <w:numId w:val="3"/>
        </w:numPr>
        <w:tabs>
          <w:tab w:val="left" w:pos="1621"/>
        </w:tabs>
        <w:spacing w:before="161" w:after="0" w:line="240" w:lineRule="auto"/>
        <w:ind w:left="1621" w:right="0" w:hanging="601"/>
        <w:jc w:val="left"/>
        <w:rPr>
          <w:sz w:val="24"/>
        </w:rPr>
      </w:pPr>
      <w:r>
        <w:rPr>
          <w:rFonts w:hint="eastAsia"/>
          <w:color w:val="0000FF"/>
          <w:sz w:val="24"/>
          <w:lang w:val="en-US" w:eastAsia="zh-CN"/>
        </w:rPr>
        <w:t>莎车</w:t>
      </w:r>
      <w:r>
        <w:rPr>
          <w:color w:val="0000FF"/>
          <w:sz w:val="24"/>
        </w:rPr>
        <w:t>县畜禽养殖禁养区</w:t>
      </w:r>
      <w:r>
        <w:rPr>
          <w:sz w:val="24"/>
        </w:rPr>
        <w:t>；</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39" w:right="455" w:firstLine="480"/>
        <w:textAlignment w:val="auto"/>
        <w:rPr>
          <w:color w:val="0000FF"/>
        </w:rPr>
      </w:pPr>
      <w:r>
        <w:rPr>
          <w:rFonts w:hint="eastAsia"/>
          <w:color w:val="0000FF"/>
          <w:lang w:val="en-US" w:eastAsia="zh-CN"/>
        </w:rPr>
        <w:t>莎车</w:t>
      </w:r>
      <w:r>
        <w:rPr>
          <w:color w:val="0000FF"/>
        </w:rPr>
        <w:t>县畜禽养殖禁养区的划定如下：（一）集中式饮用水水源保护区范围：</w:t>
      </w:r>
      <w:r>
        <w:rPr>
          <w:color w:val="0000FF"/>
          <w:spacing w:val="-7"/>
        </w:rPr>
        <w:t>水源一级保护区、二级保护区；</w:t>
      </w:r>
      <w:r>
        <w:rPr>
          <w:color w:val="0000FF"/>
          <w:spacing w:val="-33"/>
        </w:rPr>
        <w:t>（</w:t>
      </w:r>
      <w:r>
        <w:rPr>
          <w:color w:val="0000FF"/>
        </w:rPr>
        <w:t>二</w:t>
      </w:r>
      <w:r>
        <w:rPr>
          <w:color w:val="0000FF"/>
          <w:spacing w:val="-34"/>
        </w:rPr>
        <w:t>）</w:t>
      </w:r>
      <w:r>
        <w:rPr>
          <w:color w:val="0000FF"/>
          <w:spacing w:val="-5"/>
        </w:rPr>
        <w:t>公路交通距主要交通主干</w:t>
      </w:r>
      <w:r>
        <w:rPr>
          <w:rFonts w:ascii="Times New Roman" w:eastAsia="Times New Roman"/>
          <w:color w:val="0000FF"/>
        </w:rPr>
        <w:t>1000m</w:t>
      </w:r>
      <w:r>
        <w:rPr>
          <w:color w:val="0000FF"/>
          <w:spacing w:val="-17"/>
        </w:rPr>
        <w:t>范围</w:t>
      </w:r>
      <w:r>
        <w:rPr>
          <w:color w:val="0000FF"/>
        </w:rPr>
        <w:t>（两</w:t>
      </w:r>
      <w:r>
        <w:rPr>
          <w:color w:val="0000FF"/>
          <w:spacing w:val="-29"/>
        </w:rPr>
        <w:t>侧</w:t>
      </w:r>
      <w:r>
        <w:rPr>
          <w:rFonts w:ascii="Times New Roman" w:eastAsia="Times New Roman"/>
          <w:color w:val="0000FF"/>
          <w:spacing w:val="-11"/>
        </w:rPr>
        <w:t>500m</w:t>
      </w:r>
      <w:r>
        <w:rPr>
          <w:color w:val="0000FF"/>
          <w:spacing w:val="-11"/>
        </w:rPr>
        <w:t>）：</w:t>
      </w:r>
      <w:r>
        <w:rPr>
          <w:rFonts w:ascii="Times New Roman" w:eastAsia="Times New Roman"/>
          <w:color w:val="0000FF"/>
          <w:spacing w:val="-11"/>
        </w:rPr>
        <w:t>315</w:t>
      </w:r>
      <w:r>
        <w:rPr>
          <w:color w:val="0000FF"/>
          <w:spacing w:val="-6"/>
        </w:rPr>
        <w:t>国道保护范围内；</w:t>
      </w:r>
      <w:r>
        <w:rPr>
          <w:color w:val="0000FF"/>
          <w:spacing w:val="-46"/>
        </w:rPr>
        <w:t>（</w:t>
      </w:r>
      <w:r>
        <w:rPr>
          <w:color w:val="0000FF"/>
        </w:rPr>
        <w:t>三</w:t>
      </w:r>
      <w:r>
        <w:rPr>
          <w:color w:val="0000FF"/>
          <w:spacing w:val="-44"/>
        </w:rPr>
        <w:t>）</w:t>
      </w:r>
      <w:r>
        <w:rPr>
          <w:color w:val="0000FF"/>
          <w:spacing w:val="-5"/>
        </w:rPr>
        <w:t>城镇规划与乡镇规划区外延</w:t>
      </w:r>
      <w:r>
        <w:rPr>
          <w:rFonts w:ascii="Times New Roman" w:eastAsia="Times New Roman"/>
          <w:color w:val="0000FF"/>
        </w:rPr>
        <w:t>500m</w:t>
      </w:r>
      <w:r>
        <w:rPr>
          <w:color w:val="0000FF"/>
          <w:spacing w:val="-5"/>
        </w:rPr>
        <w:t>范围；</w:t>
      </w:r>
      <w:r>
        <w:rPr>
          <w:color w:val="0000FF"/>
        </w:rPr>
        <w:t>（四</w:t>
      </w:r>
      <w:r>
        <w:rPr>
          <w:color w:val="0000FF"/>
          <w:spacing w:val="-20"/>
        </w:rPr>
        <w:t>）</w:t>
      </w:r>
      <w:r>
        <w:rPr>
          <w:color w:val="0000FF"/>
          <w:spacing w:val="-10"/>
        </w:rPr>
        <w:t>其他行政村、自然村人口聚集区、规划住宅区及学校、医院等公共场所及周边外延</w:t>
      </w:r>
      <w:r>
        <w:rPr>
          <w:rFonts w:ascii="Times New Roman" w:eastAsia="Times New Roman"/>
          <w:color w:val="0000FF"/>
        </w:rPr>
        <w:t>500m</w:t>
      </w:r>
      <w:r>
        <w:rPr>
          <w:color w:val="0000FF"/>
          <w:spacing w:val="-5"/>
        </w:rPr>
        <w:t>范围内的区域；乡村小学、幼儿园、卫生院</w:t>
      </w:r>
      <w:r>
        <w:rPr>
          <w:color w:val="0000FF"/>
        </w:rPr>
        <w:t>（所</w:t>
      </w:r>
      <w:r>
        <w:rPr>
          <w:color w:val="0000FF"/>
          <w:spacing w:val="-8"/>
        </w:rPr>
        <w:t>）</w:t>
      </w:r>
      <w:r>
        <w:rPr>
          <w:color w:val="0000FF"/>
          <w:spacing w:val="-5"/>
        </w:rPr>
        <w:t>、农家乐及</w:t>
      </w:r>
      <w:r>
        <w:rPr>
          <w:color w:val="0000FF"/>
          <w:spacing w:val="-7"/>
        </w:rPr>
        <w:t>休闲生态园等周边</w:t>
      </w:r>
      <w:r>
        <w:rPr>
          <w:rFonts w:ascii="Times New Roman" w:eastAsia="Times New Roman"/>
          <w:color w:val="0000FF"/>
        </w:rPr>
        <w:t>500m</w:t>
      </w:r>
      <w:r>
        <w:rPr>
          <w:color w:val="0000FF"/>
          <w:spacing w:val="-1"/>
        </w:rPr>
        <w:t>范围内不得新建养殖场</w:t>
      </w:r>
      <w:r>
        <w:rPr>
          <w:color w:val="0000FF"/>
        </w:rPr>
        <w:t>（小区</w:t>
      </w:r>
      <w:r>
        <w:rPr>
          <w:color w:val="0000FF"/>
          <w:spacing w:val="-8"/>
        </w:rPr>
        <w:t>）；</w:t>
      </w:r>
      <w:r>
        <w:rPr>
          <w:color w:val="0000FF"/>
          <w:spacing w:val="-4"/>
        </w:rPr>
        <w:t>各镇</w:t>
      </w:r>
      <w:r>
        <w:rPr>
          <w:color w:val="0000FF"/>
        </w:rPr>
        <w:t>（街道</w:t>
      </w:r>
      <w:r>
        <w:rPr>
          <w:color w:val="0000FF"/>
          <w:spacing w:val="-10"/>
        </w:rPr>
        <w:t>）</w:t>
      </w:r>
      <w:r>
        <w:rPr>
          <w:color w:val="0000FF"/>
          <w:spacing w:val="-5"/>
        </w:rPr>
        <w:t>交通主</w:t>
      </w:r>
      <w:r>
        <w:rPr>
          <w:color w:val="0000FF"/>
          <w:spacing w:val="-12"/>
        </w:rPr>
        <w:t>干线两侧</w:t>
      </w:r>
      <w:r>
        <w:rPr>
          <w:rFonts w:ascii="Times New Roman" w:eastAsia="Times New Roman"/>
          <w:color w:val="0000FF"/>
        </w:rPr>
        <w:t>500m</w:t>
      </w:r>
      <w:r>
        <w:rPr>
          <w:color w:val="0000FF"/>
        </w:rPr>
        <w:t>不得新建养殖场（小区）。</w:t>
      </w:r>
    </w:p>
    <w:p>
      <w:pPr>
        <w:pStyle w:val="7"/>
        <w:spacing w:before="1" w:line="364" w:lineRule="auto"/>
        <w:ind w:right="575" w:firstLine="480"/>
        <w:jc w:val="both"/>
        <w:rPr>
          <w:color w:val="0000FF"/>
        </w:rPr>
      </w:pPr>
      <w:r>
        <w:rPr>
          <w:color w:val="0000FF"/>
          <w:spacing w:val="-11"/>
        </w:rPr>
        <w:t>本项目距</w:t>
      </w:r>
      <w:r>
        <w:rPr>
          <w:rFonts w:hint="eastAsia"/>
          <w:color w:val="0000FF"/>
          <w:spacing w:val="-11"/>
          <w:lang w:val="en-US" w:eastAsia="zh-CN"/>
        </w:rPr>
        <w:t>X499县道约520m</w:t>
      </w:r>
      <w:r>
        <w:rPr>
          <w:color w:val="0000FF"/>
          <w:spacing w:val="-4"/>
        </w:rPr>
        <w:t>，满足与公路主干道相距大于</w:t>
      </w:r>
      <w:r>
        <w:rPr>
          <w:rFonts w:ascii="Times New Roman" w:eastAsia="Times New Roman"/>
          <w:color w:val="0000FF"/>
        </w:rPr>
        <w:t>500m</w:t>
      </w:r>
      <w:r>
        <w:rPr>
          <w:color w:val="0000FF"/>
        </w:rPr>
        <w:t>的距离要求；</w:t>
      </w:r>
      <w:r>
        <w:rPr>
          <w:color w:val="0000FF"/>
          <w:spacing w:val="-5"/>
        </w:rPr>
        <w:t>项目远离水源一级保护区、二级保护区、乡村小学、幼儿园、卫生院</w:t>
      </w:r>
      <w:r>
        <w:rPr>
          <w:color w:val="0000FF"/>
        </w:rPr>
        <w:t>（所</w:t>
      </w:r>
      <w:r>
        <w:rPr>
          <w:color w:val="0000FF"/>
          <w:spacing w:val="-12"/>
        </w:rPr>
        <w:t>）</w:t>
      </w:r>
      <w:r>
        <w:rPr>
          <w:color w:val="0000FF"/>
          <w:spacing w:val="-16"/>
        </w:rPr>
        <w:t>、农</w:t>
      </w:r>
      <w:r>
        <w:rPr>
          <w:color w:val="0000FF"/>
          <w:spacing w:val="-12"/>
        </w:rPr>
        <w:t>家乐及休闲生态园，距离项目最近的居民区为位于</w:t>
      </w:r>
      <w:r>
        <w:rPr>
          <w:rFonts w:hint="eastAsia"/>
          <w:color w:val="0000FF"/>
          <w:spacing w:val="-12"/>
          <w:lang w:val="en-US" w:eastAsia="zh-CN"/>
        </w:rPr>
        <w:t>南</w:t>
      </w:r>
      <w:r>
        <w:rPr>
          <w:color w:val="0000FF"/>
          <w:spacing w:val="-12"/>
        </w:rPr>
        <w:t>侧</w:t>
      </w:r>
      <w:r>
        <w:rPr>
          <w:rFonts w:hint="eastAsia" w:ascii="Times New Roman"/>
          <w:color w:val="0000FF"/>
          <w:lang w:val="en-US" w:eastAsia="zh-CN"/>
        </w:rPr>
        <w:t>2</w:t>
      </w:r>
      <w:r>
        <w:rPr>
          <w:rFonts w:ascii="Times New Roman" w:eastAsia="Times New Roman"/>
          <w:color w:val="0000FF"/>
        </w:rPr>
        <w:t>km</w:t>
      </w:r>
      <w:r>
        <w:rPr>
          <w:color w:val="0000FF"/>
          <w:spacing w:val="-2"/>
        </w:rPr>
        <w:t>处的</w:t>
      </w:r>
      <w:r>
        <w:rPr>
          <w:rFonts w:hint="eastAsia"/>
          <w:color w:val="0000FF"/>
          <w:spacing w:val="-4"/>
          <w:lang w:val="en-US" w:eastAsia="zh-CN"/>
        </w:rPr>
        <w:t>托万巴格托格克拉村</w:t>
      </w:r>
      <w:r>
        <w:rPr>
          <w:color w:val="0000FF"/>
          <w:spacing w:val="-8"/>
        </w:rPr>
        <w:t>居民区，满足与环境敏感目标相距大于</w:t>
      </w:r>
      <w:r>
        <w:rPr>
          <w:rFonts w:ascii="Times New Roman" w:eastAsia="Times New Roman"/>
          <w:color w:val="0000FF"/>
        </w:rPr>
        <w:t>500m</w:t>
      </w:r>
      <w:r>
        <w:rPr>
          <w:color w:val="0000FF"/>
          <w:spacing w:val="-5"/>
        </w:rPr>
        <w:t>的距离要求；且项目位于</w:t>
      </w:r>
      <w:r>
        <w:rPr>
          <w:rFonts w:hint="eastAsia"/>
          <w:color w:val="0000FF"/>
          <w:spacing w:val="-5"/>
          <w:lang w:eastAsia="zh-CN"/>
        </w:rPr>
        <w:t>莎车</w:t>
      </w:r>
      <w:r>
        <w:rPr>
          <w:color w:val="0000FF"/>
          <w:spacing w:val="-5"/>
        </w:rPr>
        <w:t>县</w:t>
      </w:r>
      <w:r>
        <w:rPr>
          <w:color w:val="0000FF"/>
        </w:rPr>
        <w:t>乡镇规划范围内。因此，本项目选址不属于</w:t>
      </w:r>
      <w:r>
        <w:rPr>
          <w:rFonts w:hint="eastAsia"/>
          <w:color w:val="0000FF"/>
          <w:lang w:eastAsia="zh-CN"/>
        </w:rPr>
        <w:t>莎车</w:t>
      </w:r>
      <w:r>
        <w:rPr>
          <w:color w:val="0000FF"/>
        </w:rPr>
        <w:t>县划定的禁养区范围。</w:t>
      </w:r>
    </w:p>
    <w:p>
      <w:pPr>
        <w:pStyle w:val="7"/>
        <w:spacing w:before="3" w:line="364" w:lineRule="auto"/>
        <w:ind w:right="577" w:firstLine="480"/>
        <w:rPr>
          <w:color w:val="0000FF"/>
        </w:rPr>
      </w:pPr>
      <w:r>
        <w:rPr>
          <w:color w:val="0000FF"/>
          <w:spacing w:val="-10"/>
        </w:rPr>
        <w:t>综上所述，本项目建设地点不涉及国家法规、标准规范限定的禁建区，也不</w:t>
      </w:r>
      <w:r>
        <w:rPr>
          <w:color w:val="0000FF"/>
        </w:rPr>
        <w:t>在</w:t>
      </w:r>
      <w:r>
        <w:rPr>
          <w:rFonts w:hint="eastAsia"/>
          <w:color w:val="0000FF"/>
          <w:lang w:eastAsia="zh-CN"/>
        </w:rPr>
        <w:t>莎车</w:t>
      </w:r>
      <w:r>
        <w:rPr>
          <w:color w:val="0000FF"/>
        </w:rPr>
        <w:t>县划定的禁养区内，因此，项目选址合理可行。</w:t>
      </w:r>
    </w:p>
    <w:p>
      <w:pPr>
        <w:pStyle w:val="5"/>
        <w:numPr>
          <w:ilvl w:val="2"/>
          <w:numId w:val="2"/>
        </w:numPr>
        <w:tabs>
          <w:tab w:val="left" w:pos="1140"/>
        </w:tabs>
        <w:spacing w:before="1" w:after="0" w:line="240" w:lineRule="auto"/>
        <w:ind w:left="1140" w:right="0" w:hanging="600"/>
        <w:jc w:val="left"/>
        <w:outlineLvl w:val="2"/>
      </w:pPr>
      <w:bookmarkStart w:id="21" w:name="_Toc31598"/>
      <w:r>
        <w:t>项目建设的可行性分析</w:t>
      </w:r>
      <w:bookmarkEnd w:id="21"/>
    </w:p>
    <w:p>
      <w:pPr>
        <w:pStyle w:val="7"/>
        <w:spacing w:before="161" w:line="364" w:lineRule="auto"/>
        <w:ind w:right="455" w:firstLine="480"/>
        <w:rPr>
          <w:color w:val="0000FF"/>
        </w:rPr>
      </w:pPr>
      <w:r>
        <w:rPr>
          <w:color w:val="0000FF"/>
          <w:spacing w:val="-4"/>
        </w:rPr>
        <w:t>项目配套建设畜禽粪便和畜禽尸体处理等综合利用和无害化处理设施；畜禽粪便收集后运至堆肥厂采用高温堆肥发酵处理方式对固体粪污进行无害化处理。</w:t>
      </w:r>
      <w:r>
        <w:rPr>
          <w:color w:val="0000FF"/>
          <w:spacing w:val="-17"/>
        </w:rPr>
        <w:t>根据养殖场内地形，基地场地排水采用无组织排水，地表雨水均排入周围绿化带。</w:t>
      </w:r>
      <w:r>
        <w:rPr>
          <w:color w:val="0000FF"/>
          <w:spacing w:val="-4"/>
        </w:rPr>
        <w:t>养殖场每栋羊舍地面为混凝土地面，上端覆盖</w:t>
      </w:r>
      <w:r>
        <w:rPr>
          <w:rFonts w:ascii="Times New Roman" w:eastAsia="Times New Roman"/>
          <w:color w:val="0000FF"/>
        </w:rPr>
        <w:t>35cm</w:t>
      </w:r>
      <w:r>
        <w:rPr>
          <w:color w:val="0000FF"/>
          <w:spacing w:val="-4"/>
        </w:rPr>
        <w:t>厚垫料，羊排泄的尿液被垫</w:t>
      </w:r>
      <w:r>
        <w:rPr>
          <w:color w:val="0000FF"/>
          <w:spacing w:val="-17"/>
        </w:rPr>
        <w:t>料吸收、蒸发吸收，项目定期对垫料层和粪便进行清理更换，羊舍不进行水冲洗，</w:t>
      </w:r>
      <w:r>
        <w:rPr>
          <w:color w:val="0000FF"/>
          <w:spacing w:val="-6"/>
        </w:rPr>
        <w:t>不产生羊舍冲洗废水。垫料层与羊粪一起进入堆肥厂堆肥发酵，不外排。</w:t>
      </w:r>
      <w:r>
        <w:rPr>
          <w:rFonts w:hint="eastAsia"/>
          <w:color w:val="0000FF"/>
          <w:spacing w:val="-6"/>
          <w:lang w:val="en-US" w:eastAsia="zh-CN"/>
        </w:rPr>
        <w:t>本项目员工产生的生活废水和生活垃圾由</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color w:val="0000FF"/>
          <w:spacing w:val="-6"/>
          <w:lang w:val="en-US" w:eastAsia="zh-CN"/>
        </w:rPr>
        <w:t>和站内设垃圾堆放装置处理</w:t>
      </w:r>
      <w:r>
        <w:rPr>
          <w:color w:val="0000FF"/>
          <w:spacing w:val="-12"/>
        </w:rPr>
        <w:t>；病死羊及分娩物通过厂内无害化处理车间进行无害化处理。</w:t>
      </w:r>
    </w:p>
    <w:p>
      <w:pPr>
        <w:pStyle w:val="7"/>
        <w:spacing w:before="4"/>
        <w:ind w:left="1020"/>
        <w:rPr>
          <w:color w:val="0000FF"/>
        </w:rPr>
      </w:pPr>
      <w:r>
        <w:rPr>
          <w:color w:val="0000FF"/>
        </w:rPr>
        <w:t>项目的建设符合《新疆维吾尔自治区畜牧业现代化“十三五”发展规划》、</w:t>
      </w:r>
    </w:p>
    <w:p>
      <w:pPr>
        <w:pStyle w:val="7"/>
        <w:spacing w:before="161" w:line="364" w:lineRule="auto"/>
        <w:ind w:right="457"/>
        <w:rPr>
          <w:color w:val="0000FF"/>
        </w:rPr>
      </w:pPr>
      <w:r>
        <w:rPr>
          <w:color w:val="0000FF"/>
          <w:spacing w:val="-12"/>
        </w:rPr>
        <w:t>《新疆规模化畜禽养殖污染防治“十三五”规划》和《自治区畜牧行业“十三五”</w:t>
      </w:r>
      <w:r>
        <w:rPr>
          <w:color w:val="0000FF"/>
        </w:rPr>
        <w:t>脱贫攻坚实施计划（</w:t>
      </w:r>
      <w:r>
        <w:rPr>
          <w:rFonts w:ascii="Times New Roman" w:hAnsi="Times New Roman" w:eastAsia="Times New Roman"/>
          <w:color w:val="0000FF"/>
        </w:rPr>
        <w:t>2016-2020</w:t>
      </w:r>
      <w:r>
        <w:rPr>
          <w:color w:val="0000FF"/>
        </w:rPr>
        <w:t>年）》等规划要求。项目选址符合《中华人民共</w:t>
      </w:r>
      <w:r>
        <w:rPr>
          <w:color w:val="0000FF"/>
          <w:spacing w:val="-9"/>
        </w:rPr>
        <w:t>和国畜牧法》、《畜禽养殖业污染治理工程技术规范》、《畜禽养殖业污染防治</w:t>
      </w:r>
      <w:r>
        <w:rPr>
          <w:color w:val="0000FF"/>
          <w:spacing w:val="-12"/>
        </w:rPr>
        <w:t>技术规范》、《畜禽规模养殖污染防治条例》、《动物防疫条件审查办法》等相关要求。项目建设地点不涉及国家法规、标准规范限定的禁建区，不在</w:t>
      </w:r>
      <w:r>
        <w:rPr>
          <w:rFonts w:hint="eastAsia"/>
          <w:color w:val="0000FF"/>
          <w:spacing w:val="-12"/>
          <w:lang w:eastAsia="zh-CN"/>
        </w:rPr>
        <w:t>莎车</w:t>
      </w:r>
      <w:r>
        <w:rPr>
          <w:color w:val="0000FF"/>
          <w:spacing w:val="-12"/>
        </w:rPr>
        <w:t>县划定的禁养区内。因此，本项目建设可行。</w:t>
      </w:r>
    </w:p>
    <w:p>
      <w:pPr>
        <w:pStyle w:val="3"/>
        <w:numPr>
          <w:ilvl w:val="1"/>
          <w:numId w:val="1"/>
        </w:numPr>
        <w:tabs>
          <w:tab w:val="left" w:pos="1100"/>
        </w:tabs>
        <w:spacing w:before="156" w:after="0" w:line="240" w:lineRule="auto"/>
        <w:ind w:left="1099" w:right="0" w:hanging="560"/>
        <w:jc w:val="left"/>
      </w:pPr>
      <w:bookmarkStart w:id="22" w:name="1.5 关注的主要环境问题及环境影响"/>
      <w:bookmarkEnd w:id="22"/>
      <w:bookmarkStart w:id="23" w:name="_bookmark5"/>
      <w:bookmarkEnd w:id="23"/>
      <w:bookmarkStart w:id="24" w:name="_Toc22029"/>
      <w:r>
        <w:t>关注的主要环境问题及环境影响</w:t>
      </w:r>
      <w:bookmarkEnd w:id="24"/>
    </w:p>
    <w:p>
      <w:pPr>
        <w:pStyle w:val="7"/>
        <w:spacing w:before="3"/>
        <w:ind w:left="0"/>
        <w:rPr>
          <w:b/>
        </w:rPr>
      </w:pPr>
    </w:p>
    <w:p>
      <w:pPr>
        <w:pStyle w:val="7"/>
        <w:spacing w:before="1" w:line="364" w:lineRule="auto"/>
        <w:ind w:right="365" w:firstLine="480"/>
        <w:rPr>
          <w:color w:val="0000FF"/>
        </w:rPr>
      </w:pPr>
      <w:r>
        <w:rPr>
          <w:color w:val="0000FF"/>
          <w:spacing w:val="-3"/>
        </w:rPr>
        <w:t>畜禽养殖业产生的污染物主要包括固体污染物</w:t>
      </w:r>
      <w:r>
        <w:rPr>
          <w:color w:val="0000FF"/>
        </w:rPr>
        <w:t>（</w:t>
      </w:r>
      <w:r>
        <w:rPr>
          <w:color w:val="0000FF"/>
          <w:spacing w:val="-7"/>
        </w:rPr>
        <w:t>粪便、病死畜禽尸体和分娩物</w:t>
      </w:r>
      <w:r>
        <w:rPr>
          <w:color w:val="0000FF"/>
          <w:spacing w:val="-15"/>
        </w:rPr>
        <w:t>）</w:t>
      </w:r>
      <w:r>
        <w:rPr>
          <w:color w:val="0000FF"/>
          <w:spacing w:val="-7"/>
        </w:rPr>
        <w:t>、水污染物</w:t>
      </w:r>
      <w:r>
        <w:rPr>
          <w:color w:val="0000FF"/>
        </w:rPr>
        <w:t>（</w:t>
      </w:r>
      <w:r>
        <w:rPr>
          <w:color w:val="0000FF"/>
          <w:spacing w:val="-3"/>
        </w:rPr>
        <w:t>养殖场废水、尿液</w:t>
      </w:r>
      <w:r>
        <w:rPr>
          <w:color w:val="0000FF"/>
          <w:spacing w:val="-15"/>
        </w:rPr>
        <w:t>）</w:t>
      </w:r>
      <w:r>
        <w:rPr>
          <w:color w:val="0000FF"/>
          <w:spacing w:val="-3"/>
        </w:rPr>
        <w:t>和大气污染物</w:t>
      </w:r>
      <w:r>
        <w:rPr>
          <w:color w:val="0000FF"/>
        </w:rPr>
        <w:t>（</w:t>
      </w:r>
      <w:r>
        <w:rPr>
          <w:color w:val="0000FF"/>
          <w:spacing w:val="-3"/>
        </w:rPr>
        <w:t>恶臭气体、硫化氢和氨</w:t>
      </w:r>
      <w:r>
        <w:rPr>
          <w:color w:val="0000FF"/>
          <w:spacing w:val="-15"/>
        </w:rPr>
        <w:t>）。</w:t>
      </w:r>
      <w:r>
        <w:rPr>
          <w:color w:val="0000FF"/>
          <w:spacing w:val="-9"/>
        </w:rPr>
        <w:t>其中，养殖废水和粪便是主要污染物，具有产生量大、成份复杂等特点，其产</w:t>
      </w:r>
      <w:r>
        <w:rPr>
          <w:rFonts w:hint="eastAsia"/>
          <w:color w:val="0000FF"/>
          <w:spacing w:val="-9"/>
          <w:lang w:val="en-US" w:eastAsia="zh-CN"/>
        </w:rPr>
        <w:t>生</w:t>
      </w:r>
      <w:r>
        <w:rPr>
          <w:color w:val="0000FF"/>
          <w:spacing w:val="-10"/>
        </w:rPr>
        <w:t>量、性质与畜禽养殖种类、养殖方式、养殖规模、生产工艺、管理水平、气候条</w:t>
      </w:r>
      <w:r>
        <w:rPr>
          <w:color w:val="0000FF"/>
          <w:spacing w:val="-9"/>
        </w:rPr>
        <w:t>件等有关。畜禽养殖污染物中含有丰富的有机质、氮、磷、钾等各种微量元素和</w:t>
      </w:r>
      <w:r>
        <w:rPr>
          <w:color w:val="0000FF"/>
          <w:spacing w:val="-10"/>
        </w:rPr>
        <w:t>活性物质，可被资源化利用。但若处理利用不当，可导致面源污染；畜禽养殖污</w:t>
      </w:r>
      <w:r>
        <w:rPr>
          <w:color w:val="0000FF"/>
          <w:spacing w:val="-7"/>
        </w:rPr>
        <w:t>染物含有大量寄生虫卵、病原微生物等病原体，易导致人畜疾病传播；同时，畜</w:t>
      </w:r>
      <w:r>
        <w:rPr>
          <w:color w:val="0000FF"/>
        </w:rPr>
        <w:t>禽养殖所产生的臭气如处理不当，也会对环境造成污染。</w:t>
      </w:r>
    </w:p>
    <w:p>
      <w:pPr>
        <w:pStyle w:val="7"/>
        <w:spacing w:before="3" w:line="364" w:lineRule="auto"/>
        <w:ind w:right="577" w:firstLine="480"/>
        <w:rPr>
          <w:color w:val="0000FF"/>
        </w:rPr>
      </w:pPr>
      <w:r>
        <w:rPr>
          <w:color w:val="0000FF"/>
          <w:spacing w:val="-7"/>
        </w:rPr>
        <w:t>本项目为标准化规模养殖项目，在环境影响评价时，其评价要点主要集中在</w:t>
      </w:r>
      <w:r>
        <w:rPr>
          <w:color w:val="0000FF"/>
        </w:rPr>
        <w:t>以下几个方面：</w:t>
      </w:r>
    </w:p>
    <w:p>
      <w:pPr>
        <w:pStyle w:val="17"/>
        <w:numPr>
          <w:ilvl w:val="0"/>
          <w:numId w:val="4"/>
        </w:numPr>
        <w:tabs>
          <w:tab w:val="left" w:pos="1621"/>
        </w:tabs>
        <w:spacing w:before="1" w:after="0" w:line="240" w:lineRule="auto"/>
        <w:ind w:left="1621" w:right="0" w:hanging="601"/>
        <w:jc w:val="left"/>
        <w:rPr>
          <w:color w:val="0000FF"/>
          <w:sz w:val="24"/>
        </w:rPr>
      </w:pPr>
      <w:r>
        <w:rPr>
          <w:color w:val="0000FF"/>
          <w:sz w:val="24"/>
        </w:rPr>
        <w:t>羊舍、堆肥厂的恶臭气体对环境造成的影响；</w:t>
      </w:r>
    </w:p>
    <w:p>
      <w:pPr>
        <w:pStyle w:val="17"/>
        <w:numPr>
          <w:ilvl w:val="0"/>
          <w:numId w:val="4"/>
        </w:numPr>
        <w:tabs>
          <w:tab w:val="left" w:pos="1621"/>
        </w:tabs>
        <w:spacing w:before="160" w:after="0" w:line="240" w:lineRule="auto"/>
        <w:ind w:left="1621" w:right="0" w:hanging="601"/>
        <w:jc w:val="left"/>
        <w:rPr>
          <w:color w:val="0000FF"/>
          <w:sz w:val="24"/>
        </w:rPr>
      </w:pPr>
      <w:r>
        <w:rPr>
          <w:color w:val="0000FF"/>
          <w:sz w:val="24"/>
        </w:rPr>
        <w:t>项目养殖废水处置措施合理性及其对水环境的影响；</w:t>
      </w:r>
    </w:p>
    <w:p>
      <w:pPr>
        <w:pStyle w:val="17"/>
        <w:numPr>
          <w:ilvl w:val="0"/>
          <w:numId w:val="4"/>
        </w:numPr>
        <w:tabs>
          <w:tab w:val="left" w:pos="1623"/>
        </w:tabs>
        <w:spacing w:before="161" w:after="0" w:line="364" w:lineRule="auto"/>
        <w:ind w:left="540" w:right="577" w:firstLine="480"/>
        <w:jc w:val="left"/>
        <w:rPr>
          <w:color w:val="0000FF"/>
          <w:sz w:val="24"/>
        </w:rPr>
      </w:pPr>
      <w:r>
        <w:rPr>
          <w:color w:val="0000FF"/>
          <w:spacing w:val="-1"/>
          <w:sz w:val="24"/>
        </w:rPr>
        <w:t>羊粪、病死羊尸体和生活垃圾等固体废弃物在项目区的存储、处置以</w:t>
      </w:r>
      <w:r>
        <w:rPr>
          <w:color w:val="0000FF"/>
          <w:sz w:val="24"/>
        </w:rPr>
        <w:t>及粪便的综合利用可行性；</w:t>
      </w:r>
    </w:p>
    <w:p>
      <w:pPr>
        <w:pStyle w:val="17"/>
        <w:numPr>
          <w:ilvl w:val="0"/>
          <w:numId w:val="4"/>
        </w:numPr>
        <w:tabs>
          <w:tab w:val="left" w:pos="1621"/>
        </w:tabs>
        <w:spacing w:before="1" w:after="0" w:line="240" w:lineRule="auto"/>
        <w:ind w:left="1621" w:right="0" w:hanging="601"/>
        <w:jc w:val="left"/>
        <w:rPr>
          <w:color w:val="0000FF"/>
          <w:sz w:val="24"/>
        </w:rPr>
      </w:pPr>
      <w:r>
        <w:rPr>
          <w:color w:val="0000FF"/>
          <w:sz w:val="24"/>
        </w:rPr>
        <w:t>本项目与产业规划的符合性。</w:t>
      </w:r>
    </w:p>
    <w:p>
      <w:pPr>
        <w:pStyle w:val="7"/>
        <w:spacing w:before="161" w:line="364" w:lineRule="auto"/>
        <w:ind w:right="577" w:firstLine="480"/>
        <w:jc w:val="both"/>
        <w:rPr>
          <w:color w:val="0000FF"/>
        </w:rPr>
      </w:pPr>
      <w:r>
        <w:rPr>
          <w:color w:val="0000FF"/>
          <w:spacing w:val="-7"/>
        </w:rPr>
        <w:t>针对上述分析与评价结果，提出相应的粪便污染综合治理、恶臭控制、防疫</w:t>
      </w:r>
      <w:r>
        <w:rPr>
          <w:color w:val="0000FF"/>
          <w:spacing w:val="-6"/>
        </w:rPr>
        <w:t>与尸体无害化处理等环境保护措施。根据现场踏勘和工程分析结果，确定本项目</w:t>
      </w:r>
      <w:r>
        <w:rPr>
          <w:color w:val="0000FF"/>
          <w:spacing w:val="-4"/>
        </w:rPr>
        <w:t>运营期应关注的主要环境问题为恶臭、固体废物</w:t>
      </w:r>
      <w:r>
        <w:rPr>
          <w:color w:val="0000FF"/>
        </w:rPr>
        <w:t>（羊粪和病死羊</w:t>
      </w:r>
      <w:r>
        <w:rPr>
          <w:color w:val="0000FF"/>
          <w:spacing w:val="-32"/>
        </w:rPr>
        <w:t>）</w:t>
      </w:r>
      <w:r>
        <w:rPr>
          <w:color w:val="0000FF"/>
          <w:spacing w:val="-3"/>
        </w:rPr>
        <w:t>的处理对环境</w:t>
      </w:r>
      <w:r>
        <w:rPr>
          <w:color w:val="0000FF"/>
        </w:rPr>
        <w:t>的影响。</w:t>
      </w:r>
    </w:p>
    <w:p>
      <w:pPr>
        <w:pStyle w:val="3"/>
        <w:numPr>
          <w:ilvl w:val="1"/>
          <w:numId w:val="1"/>
        </w:numPr>
        <w:tabs>
          <w:tab w:val="left" w:pos="1100"/>
        </w:tabs>
        <w:spacing w:before="155" w:after="0" w:line="240" w:lineRule="auto"/>
        <w:ind w:left="1099" w:right="0" w:hanging="560"/>
        <w:jc w:val="left"/>
      </w:pPr>
      <w:bookmarkStart w:id="25" w:name="_bookmark6"/>
      <w:bookmarkEnd w:id="25"/>
      <w:bookmarkStart w:id="26" w:name="1.6 环境影响评价的主要结论"/>
      <w:bookmarkEnd w:id="26"/>
      <w:bookmarkStart w:id="27" w:name="_Toc23786"/>
      <w:r>
        <w:t>环境影响评价的主要结论</w:t>
      </w:r>
      <w:bookmarkEnd w:id="27"/>
    </w:p>
    <w:p>
      <w:pPr>
        <w:pStyle w:val="7"/>
        <w:spacing w:before="3"/>
        <w:ind w:left="0"/>
        <w:rPr>
          <w:b/>
          <w:color w:val="0000FF"/>
        </w:rPr>
      </w:pPr>
    </w:p>
    <w:p>
      <w:pPr>
        <w:pStyle w:val="7"/>
        <w:spacing w:line="364" w:lineRule="auto"/>
        <w:ind w:right="485" w:firstLine="480"/>
        <w:rPr>
          <w:color w:val="0000FF"/>
        </w:rPr>
      </w:pPr>
      <w:r>
        <w:rPr>
          <w:color w:val="0000FF"/>
          <w:spacing w:val="2"/>
        </w:rPr>
        <w:t>本项目建设符合国家产业政策，符合环境功能区划和自治区畜牧业发展规</w:t>
      </w:r>
      <w:r>
        <w:rPr>
          <w:color w:val="0000FF"/>
          <w:spacing w:val="1"/>
        </w:rPr>
        <w:t>划。项目选址及总平面布置基本合理，满足清洁生产总体要求，公众总体支持。</w:t>
      </w:r>
      <w:r>
        <w:rPr>
          <w:color w:val="0000FF"/>
          <w:spacing w:val="-4"/>
        </w:rPr>
        <w:t>项目建设过程中需严格执行国家相关法律法规，认真落实环境保护“三同时”制</w:t>
      </w:r>
      <w:r>
        <w:rPr>
          <w:color w:val="0000FF"/>
          <w:spacing w:val="-10"/>
        </w:rPr>
        <w:t>度，严格落实设计和环评报告提出的污染防治措施和环境保护措施，并加强环保</w:t>
      </w:r>
      <w:r>
        <w:rPr>
          <w:color w:val="0000FF"/>
          <w:spacing w:val="-14"/>
        </w:rPr>
        <w:t>设施的运行维护和管理，保证各种环保设施的正常运行和污染物长期稳定达标排</w:t>
      </w:r>
      <w:r>
        <w:rPr>
          <w:color w:val="0000FF"/>
          <w:spacing w:val="-10"/>
        </w:rPr>
        <w:t>放。在确保全场环保设施的正常运行，严格实施风险防范措施，落实本评价中提</w:t>
      </w:r>
      <w:r>
        <w:rPr>
          <w:color w:val="0000FF"/>
          <w:spacing w:val="-11"/>
        </w:rPr>
        <w:t>出的各项污染防治措施的前提下，从环境保护的角度分析，项目建设是可行的。</w:t>
      </w:r>
    </w:p>
    <w:p>
      <w:pPr>
        <w:spacing w:after="0" w:line="364" w:lineRule="auto"/>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7"/>
        <w:outlineLvl w:val="0"/>
      </w:pPr>
      <w:bookmarkStart w:id="28" w:name="_Toc18968"/>
      <w:r>
        <w:t>第二章</w:t>
      </w:r>
      <w:r>
        <w:tab/>
      </w:r>
      <w:bookmarkStart w:id="29" w:name="第二章 总则"/>
      <w:bookmarkEnd w:id="29"/>
      <w:r>
        <w:t>总则</w:t>
      </w:r>
      <w:bookmarkEnd w:id="28"/>
    </w:p>
    <w:p>
      <w:pPr>
        <w:pStyle w:val="4"/>
        <w:numPr>
          <w:ilvl w:val="1"/>
          <w:numId w:val="5"/>
        </w:numPr>
        <w:tabs>
          <w:tab w:val="left" w:pos="1100"/>
        </w:tabs>
        <w:spacing w:before="265" w:after="0" w:line="240" w:lineRule="auto"/>
        <w:ind w:left="1099" w:right="0" w:hanging="560"/>
        <w:jc w:val="left"/>
        <w:outlineLvl w:val="1"/>
      </w:pPr>
      <w:bookmarkStart w:id="30" w:name="2.1 评价目的及原则"/>
      <w:bookmarkEnd w:id="30"/>
      <w:bookmarkStart w:id="31" w:name="_bookmark8"/>
      <w:bookmarkEnd w:id="31"/>
      <w:bookmarkStart w:id="32" w:name="_Toc27501"/>
      <w:r>
        <w:t>评价目的及原则</w:t>
      </w:r>
      <w:bookmarkEnd w:id="32"/>
    </w:p>
    <w:p>
      <w:pPr>
        <w:pStyle w:val="7"/>
        <w:spacing w:before="9"/>
        <w:ind w:left="0"/>
        <w:rPr>
          <w:b/>
          <w:sz w:val="14"/>
        </w:rPr>
      </w:pPr>
    </w:p>
    <w:p>
      <w:pPr>
        <w:pStyle w:val="2"/>
        <w:numPr>
          <w:ilvl w:val="2"/>
          <w:numId w:val="5"/>
        </w:numPr>
        <w:tabs>
          <w:tab w:val="left" w:pos="1140"/>
        </w:tabs>
        <w:spacing w:before="77" w:after="0" w:line="240" w:lineRule="auto"/>
        <w:ind w:left="1140" w:right="0" w:hanging="600"/>
        <w:jc w:val="left"/>
        <w:outlineLvl w:val="2"/>
        <w:rPr>
          <w:rFonts w:ascii="Times New Roman" w:eastAsia="Times New Roman"/>
        </w:rPr>
      </w:pPr>
      <w:bookmarkStart w:id="33" w:name="_Toc16963"/>
      <w:r>
        <w:t>评价目的</w:t>
      </w:r>
      <w:bookmarkEnd w:id="33"/>
    </w:p>
    <w:p>
      <w:pPr>
        <w:pStyle w:val="7"/>
        <w:spacing w:before="160"/>
        <w:ind w:left="1020"/>
        <w:rPr>
          <w:color w:val="0000FF"/>
        </w:rPr>
      </w:pPr>
      <w:r>
        <w:rPr>
          <w:color w:val="0000FF"/>
        </w:rPr>
        <w:t>根据《中华人民共和国环境影响评价法》，《建设项目环境保护管理条例》</w:t>
      </w:r>
    </w:p>
    <w:p>
      <w:pPr>
        <w:pStyle w:val="7"/>
        <w:spacing w:before="163" w:line="367" w:lineRule="auto"/>
        <w:ind w:right="577"/>
        <w:jc w:val="both"/>
        <w:rPr>
          <w:color w:val="0000FF"/>
        </w:rPr>
      </w:pPr>
      <w:r>
        <w:rPr>
          <w:color w:val="0000FF"/>
        </w:rPr>
        <w:t>（</w:t>
      </w:r>
      <w:r>
        <w:rPr>
          <w:color w:val="0000FF"/>
          <w:spacing w:val="-5"/>
        </w:rPr>
        <w:t>中华人民共和国国务院令第</w:t>
      </w:r>
      <w:r>
        <w:rPr>
          <w:rFonts w:ascii="Times New Roman" w:eastAsia="Times New Roman"/>
          <w:color w:val="0000FF"/>
        </w:rPr>
        <w:t>253</w:t>
      </w:r>
      <w:r>
        <w:rPr>
          <w:color w:val="0000FF"/>
        </w:rPr>
        <w:t>号</w:t>
      </w:r>
      <w:r>
        <w:rPr>
          <w:color w:val="0000FF"/>
          <w:spacing w:val="-48"/>
        </w:rPr>
        <w:t>）</w:t>
      </w:r>
      <w:r>
        <w:rPr>
          <w:color w:val="0000FF"/>
          <w:spacing w:val="-8"/>
        </w:rPr>
        <w:t>的有关规定，环境影响评价是项目建设环境管理的重要环节之一，是项目前期可行性研究的重要组成部分。本次评价工作</w:t>
      </w:r>
      <w:r>
        <w:rPr>
          <w:color w:val="0000FF"/>
        </w:rPr>
        <w:t>的主要目的是：</w:t>
      </w:r>
    </w:p>
    <w:p>
      <w:pPr>
        <w:pStyle w:val="17"/>
        <w:numPr>
          <w:ilvl w:val="3"/>
          <w:numId w:val="5"/>
        </w:numPr>
        <w:tabs>
          <w:tab w:val="left" w:pos="1621"/>
        </w:tabs>
        <w:spacing w:before="0" w:after="0" w:line="367" w:lineRule="auto"/>
        <w:ind w:left="540" w:right="485" w:firstLine="480"/>
        <w:jc w:val="left"/>
        <w:rPr>
          <w:color w:val="0000FF"/>
          <w:sz w:val="24"/>
        </w:rPr>
      </w:pPr>
      <w:r>
        <w:rPr>
          <w:color w:val="0000FF"/>
          <w:sz w:val="24"/>
        </w:rPr>
        <w:t>通过对项目区现场勘察、调研，以及当地环境资料的收集、分析，弄</w:t>
      </w:r>
      <w:r>
        <w:rPr>
          <w:color w:val="0000FF"/>
          <w:spacing w:val="-1"/>
          <w:sz w:val="24"/>
        </w:rPr>
        <w:t>清评价区域的大气环境、水环境、生态环境、社会环境和噪声等环境质量现状，</w:t>
      </w:r>
      <w:r>
        <w:rPr>
          <w:color w:val="0000FF"/>
          <w:spacing w:val="-6"/>
          <w:sz w:val="24"/>
        </w:rPr>
        <w:t>为评价建设项目的环境影响程度和范围，以及项目投产后的竣工环境保护验收提供依据；</w:t>
      </w:r>
    </w:p>
    <w:p>
      <w:pPr>
        <w:pStyle w:val="17"/>
        <w:numPr>
          <w:ilvl w:val="3"/>
          <w:numId w:val="5"/>
        </w:numPr>
        <w:tabs>
          <w:tab w:val="left" w:pos="1621"/>
        </w:tabs>
        <w:spacing w:before="0" w:after="0" w:line="367" w:lineRule="auto"/>
        <w:ind w:left="540" w:right="580" w:firstLine="480"/>
        <w:jc w:val="left"/>
        <w:rPr>
          <w:color w:val="0000FF"/>
          <w:sz w:val="24"/>
        </w:rPr>
      </w:pPr>
      <w:r>
        <w:rPr>
          <w:color w:val="0000FF"/>
          <w:spacing w:val="-1"/>
          <w:sz w:val="24"/>
        </w:rPr>
        <w:t>掌握本项目排污状况，查清评价区环境现状，预测和评价本项目实施</w:t>
      </w:r>
      <w:r>
        <w:rPr>
          <w:color w:val="0000FF"/>
          <w:sz w:val="24"/>
        </w:rPr>
        <w:t>对评价区环境影响的范围和程度；</w:t>
      </w:r>
    </w:p>
    <w:p>
      <w:pPr>
        <w:pStyle w:val="17"/>
        <w:numPr>
          <w:ilvl w:val="3"/>
          <w:numId w:val="5"/>
        </w:numPr>
        <w:tabs>
          <w:tab w:val="left" w:pos="1621"/>
        </w:tabs>
        <w:spacing w:before="0" w:after="0" w:line="367" w:lineRule="auto"/>
        <w:ind w:left="540" w:right="580" w:firstLine="480"/>
        <w:jc w:val="left"/>
        <w:rPr>
          <w:color w:val="0000FF"/>
          <w:sz w:val="24"/>
        </w:rPr>
      </w:pPr>
      <w:r>
        <w:rPr>
          <w:color w:val="0000FF"/>
          <w:spacing w:val="-1"/>
          <w:sz w:val="24"/>
        </w:rPr>
        <w:t>依据国家有关法律法规以及技术规范的要求，结合本地自然、社会环</w:t>
      </w:r>
      <w:r>
        <w:rPr>
          <w:color w:val="0000FF"/>
          <w:sz w:val="24"/>
        </w:rPr>
        <w:t>境特征，提出为减轻不利环境影响应采取的措施，并制定环境保护行动计划；</w:t>
      </w:r>
    </w:p>
    <w:p>
      <w:pPr>
        <w:pStyle w:val="17"/>
        <w:numPr>
          <w:ilvl w:val="3"/>
          <w:numId w:val="5"/>
        </w:numPr>
        <w:tabs>
          <w:tab w:val="left" w:pos="1621"/>
        </w:tabs>
        <w:spacing w:before="0" w:after="0" w:line="367" w:lineRule="auto"/>
        <w:ind w:left="540" w:right="577" w:firstLine="480"/>
        <w:jc w:val="left"/>
        <w:rPr>
          <w:color w:val="0000FF"/>
          <w:sz w:val="24"/>
        </w:rPr>
      </w:pPr>
      <w:r>
        <w:rPr>
          <w:color w:val="0000FF"/>
          <w:spacing w:val="-1"/>
          <w:sz w:val="24"/>
        </w:rPr>
        <w:t>评价项目对“达标排放和污染物排放总量控制”原则的符合性，并论</w:t>
      </w:r>
      <w:r>
        <w:rPr>
          <w:color w:val="0000FF"/>
          <w:sz w:val="24"/>
        </w:rPr>
        <w:t>证本项目建设方案的环境可行性；</w:t>
      </w:r>
    </w:p>
    <w:p>
      <w:pPr>
        <w:pStyle w:val="17"/>
        <w:numPr>
          <w:ilvl w:val="3"/>
          <w:numId w:val="5"/>
        </w:numPr>
        <w:tabs>
          <w:tab w:val="left" w:pos="1621"/>
        </w:tabs>
        <w:spacing w:before="0" w:after="0" w:line="367" w:lineRule="auto"/>
        <w:ind w:left="540" w:right="457" w:firstLine="480"/>
        <w:jc w:val="left"/>
        <w:rPr>
          <w:color w:val="0000FF"/>
          <w:sz w:val="24"/>
        </w:rPr>
      </w:pPr>
      <w:r>
        <w:rPr>
          <w:color w:val="0000FF"/>
          <w:sz w:val="24"/>
        </w:rPr>
        <w:t>通过对项目建设和生产运行过程中可能发生的风险事故进行分析、预</w:t>
      </w:r>
      <w:r>
        <w:rPr>
          <w:color w:val="0000FF"/>
          <w:spacing w:val="-16"/>
          <w:sz w:val="24"/>
        </w:rPr>
        <w:t>测、并提出切实可行的事故应急预案和事故防范、减缓措施，确保项目环境安全；</w:t>
      </w:r>
    </w:p>
    <w:p>
      <w:pPr>
        <w:pStyle w:val="17"/>
        <w:numPr>
          <w:ilvl w:val="3"/>
          <w:numId w:val="5"/>
        </w:numPr>
        <w:tabs>
          <w:tab w:val="left" w:pos="1621"/>
        </w:tabs>
        <w:spacing w:before="0" w:after="0" w:line="367" w:lineRule="auto"/>
        <w:ind w:left="540" w:right="577" w:firstLine="480"/>
        <w:jc w:val="both"/>
        <w:rPr>
          <w:color w:val="0000FF"/>
          <w:sz w:val="24"/>
        </w:rPr>
      </w:pPr>
      <w:r>
        <w:rPr>
          <w:color w:val="0000FF"/>
          <w:spacing w:val="-1"/>
          <w:sz w:val="24"/>
        </w:rPr>
        <w:t>通过本次评价工作，为建设项目开发建设、生产、环境管理和环境污</w:t>
      </w:r>
      <w:r>
        <w:rPr>
          <w:color w:val="0000FF"/>
          <w:spacing w:val="-11"/>
          <w:sz w:val="24"/>
        </w:rPr>
        <w:t>染防治提供科学依据，最大限度地降低本项目建设过程中对周围环境产生的不利</w:t>
      </w:r>
      <w:r>
        <w:rPr>
          <w:color w:val="0000FF"/>
          <w:sz w:val="24"/>
        </w:rPr>
        <w:t>影响，促进本项目实现经济效益、社会效益和环境效益相统一。</w:t>
      </w:r>
    </w:p>
    <w:p>
      <w:pPr>
        <w:pStyle w:val="2"/>
        <w:numPr>
          <w:ilvl w:val="2"/>
          <w:numId w:val="5"/>
        </w:numPr>
        <w:tabs>
          <w:tab w:val="left" w:pos="1140"/>
        </w:tabs>
        <w:spacing w:before="0" w:after="0" w:line="305" w:lineRule="exact"/>
        <w:ind w:left="1140" w:right="0" w:hanging="600"/>
        <w:jc w:val="left"/>
        <w:outlineLvl w:val="2"/>
        <w:rPr>
          <w:rFonts w:ascii="Times New Roman" w:eastAsia="Times New Roman"/>
        </w:rPr>
      </w:pPr>
      <w:bookmarkStart w:id="34" w:name="_Toc27890"/>
      <w:r>
        <w:t>评价原则</w:t>
      </w:r>
      <w:bookmarkEnd w:id="34"/>
    </w:p>
    <w:p>
      <w:pPr>
        <w:pStyle w:val="7"/>
        <w:spacing w:before="157" w:line="367" w:lineRule="auto"/>
        <w:ind w:right="575" w:firstLine="480"/>
        <w:jc w:val="both"/>
        <w:rPr>
          <w:color w:val="0000FF"/>
        </w:rPr>
      </w:pPr>
      <w:r>
        <w:rPr>
          <w:color w:val="0000FF"/>
        </w:rPr>
        <w:t>根据《建设项目环境影响评价技术导则</w:t>
      </w:r>
      <w:r>
        <w:rPr>
          <w:rFonts w:ascii="Times New Roman" w:hAnsi="Times New Roman" w:eastAsia="Times New Roman"/>
          <w:color w:val="0000FF"/>
        </w:rPr>
        <w:t>•</w:t>
      </w:r>
      <w:r>
        <w:rPr>
          <w:color w:val="0000FF"/>
        </w:rPr>
        <w:t>总纲》（</w:t>
      </w:r>
      <w:r>
        <w:rPr>
          <w:rFonts w:ascii="Times New Roman" w:hAnsi="Times New Roman" w:eastAsia="Times New Roman"/>
          <w:color w:val="0000FF"/>
        </w:rPr>
        <w:t>HJ 2.1-2016</w:t>
      </w:r>
      <w:r>
        <w:rPr>
          <w:color w:val="0000FF"/>
        </w:rPr>
        <w:t>）中的有关规</w:t>
      </w:r>
      <w:r>
        <w:rPr>
          <w:color w:val="0000FF"/>
          <w:spacing w:val="-10"/>
        </w:rPr>
        <w:t>定，突出环境影响评价的源头预防作用，坚持保护和改善环境质量。本次评价工</w:t>
      </w:r>
      <w:r>
        <w:rPr>
          <w:color w:val="0000FF"/>
        </w:rPr>
        <w:t>作原则是：</w:t>
      </w:r>
    </w:p>
    <w:p>
      <w:pPr>
        <w:pStyle w:val="17"/>
        <w:numPr>
          <w:ilvl w:val="0"/>
          <w:numId w:val="6"/>
        </w:numPr>
        <w:tabs>
          <w:tab w:val="left" w:pos="1621"/>
        </w:tabs>
        <w:spacing w:before="0" w:after="0" w:line="307" w:lineRule="exact"/>
        <w:ind w:left="1621" w:right="0" w:hanging="601"/>
        <w:jc w:val="left"/>
        <w:rPr>
          <w:color w:val="0000FF"/>
          <w:sz w:val="24"/>
        </w:rPr>
      </w:pPr>
      <w:r>
        <w:rPr>
          <w:color w:val="0000FF"/>
          <w:sz w:val="24"/>
        </w:rPr>
        <w:t>依法评价</w:t>
      </w:r>
    </w:p>
    <w:p>
      <w:pPr>
        <w:pStyle w:val="7"/>
        <w:spacing w:before="161"/>
        <w:ind w:left="1020"/>
        <w:rPr>
          <w:color w:val="0000FF"/>
        </w:rPr>
      </w:pPr>
      <w:r>
        <w:rPr>
          <w:color w:val="0000FF"/>
        </w:rPr>
        <w:t>贯彻执行我国环境保护相关法律法规、标准、政策和规划等，优化项目建设，</w:t>
      </w:r>
    </w:p>
    <w:p>
      <w:pPr>
        <w:spacing w:after="0"/>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6"/>
        <w:ind w:left="0"/>
        <w:rPr>
          <w:color w:val="0000FF"/>
          <w:sz w:val="10"/>
        </w:rPr>
      </w:pPr>
    </w:p>
    <w:p>
      <w:pPr>
        <w:pStyle w:val="7"/>
        <w:spacing w:before="66"/>
        <w:rPr>
          <w:color w:val="0000FF"/>
        </w:rPr>
      </w:pPr>
      <w:r>
        <w:rPr>
          <w:color w:val="0000FF"/>
        </w:rPr>
        <w:t>服务环境管理。</w:t>
      </w:r>
    </w:p>
    <w:p>
      <w:pPr>
        <w:pStyle w:val="17"/>
        <w:numPr>
          <w:ilvl w:val="0"/>
          <w:numId w:val="6"/>
        </w:numPr>
        <w:tabs>
          <w:tab w:val="left" w:pos="1621"/>
        </w:tabs>
        <w:spacing w:before="161" w:after="0" w:line="240" w:lineRule="auto"/>
        <w:ind w:left="1621" w:right="0" w:hanging="601"/>
        <w:jc w:val="left"/>
        <w:rPr>
          <w:color w:val="0000FF"/>
          <w:sz w:val="24"/>
        </w:rPr>
      </w:pPr>
      <w:r>
        <w:rPr>
          <w:color w:val="0000FF"/>
          <w:sz w:val="24"/>
        </w:rPr>
        <w:t>科学评价</w:t>
      </w:r>
    </w:p>
    <w:p>
      <w:pPr>
        <w:pStyle w:val="7"/>
        <w:spacing w:before="163"/>
        <w:ind w:left="1020"/>
        <w:rPr>
          <w:color w:val="0000FF"/>
        </w:rPr>
      </w:pPr>
      <w:r>
        <w:rPr>
          <w:color w:val="0000FF"/>
        </w:rPr>
        <w:t>规范环境影响评价方法，科学分析项目建设对环境质量的影响。</w:t>
      </w:r>
    </w:p>
    <w:p>
      <w:pPr>
        <w:pStyle w:val="17"/>
        <w:numPr>
          <w:ilvl w:val="0"/>
          <w:numId w:val="6"/>
        </w:numPr>
        <w:tabs>
          <w:tab w:val="left" w:pos="1621"/>
        </w:tabs>
        <w:spacing w:before="163" w:after="0" w:line="240" w:lineRule="auto"/>
        <w:ind w:left="1621" w:right="0" w:hanging="601"/>
        <w:jc w:val="left"/>
        <w:rPr>
          <w:color w:val="0000FF"/>
          <w:sz w:val="24"/>
        </w:rPr>
      </w:pPr>
      <w:r>
        <w:rPr>
          <w:color w:val="0000FF"/>
          <w:sz w:val="24"/>
        </w:rPr>
        <w:t>突出重点</w:t>
      </w:r>
    </w:p>
    <w:p>
      <w:pPr>
        <w:pStyle w:val="7"/>
        <w:spacing w:before="162" w:line="367" w:lineRule="auto"/>
        <w:ind w:right="577" w:firstLine="480"/>
        <w:jc w:val="both"/>
        <w:rPr>
          <w:color w:val="0000FF"/>
        </w:rPr>
      </w:pPr>
      <w:r>
        <w:rPr>
          <w:color w:val="0000FF"/>
          <w:spacing w:val="-6"/>
        </w:rPr>
        <w:t>根据建设项目的工程内容及其特点，明确与环境要素间的作用效应关系，根据规划环境影响评价结论和审查意见，充分利用符合时效的数据资料及成果，对</w:t>
      </w:r>
      <w:r>
        <w:rPr>
          <w:color w:val="0000FF"/>
        </w:rPr>
        <w:t>建设项目主要环境影响予以重点分析和评价。</w:t>
      </w:r>
    </w:p>
    <w:p>
      <w:pPr>
        <w:pStyle w:val="4"/>
        <w:numPr>
          <w:ilvl w:val="1"/>
          <w:numId w:val="5"/>
        </w:numPr>
        <w:tabs>
          <w:tab w:val="left" w:pos="1100"/>
        </w:tabs>
        <w:spacing w:before="45" w:after="0" w:line="240" w:lineRule="auto"/>
        <w:ind w:left="1099" w:right="0" w:hanging="560"/>
        <w:jc w:val="left"/>
        <w:outlineLvl w:val="1"/>
      </w:pPr>
      <w:bookmarkStart w:id="35" w:name="2.2 编制依据"/>
      <w:bookmarkEnd w:id="35"/>
      <w:bookmarkStart w:id="36" w:name="_bookmark9"/>
      <w:bookmarkEnd w:id="36"/>
      <w:bookmarkStart w:id="37" w:name="_Toc59"/>
      <w:r>
        <w:t>编制依据</w:t>
      </w:r>
      <w:bookmarkEnd w:id="37"/>
    </w:p>
    <w:p>
      <w:pPr>
        <w:pStyle w:val="5"/>
        <w:numPr>
          <w:ilvl w:val="2"/>
          <w:numId w:val="5"/>
        </w:numPr>
        <w:tabs>
          <w:tab w:val="left" w:pos="1241"/>
        </w:tabs>
        <w:spacing w:before="223" w:after="0" w:line="240" w:lineRule="auto"/>
        <w:ind w:left="1240" w:right="0" w:hanging="701"/>
        <w:jc w:val="left"/>
        <w:outlineLvl w:val="2"/>
        <w:rPr>
          <w:rFonts w:ascii="Times New Roman" w:eastAsia="Times New Roman"/>
        </w:rPr>
      </w:pPr>
      <w:bookmarkStart w:id="38" w:name="2.2.1 环境保护法律法规"/>
      <w:bookmarkEnd w:id="38"/>
      <w:bookmarkStart w:id="39" w:name="2.2.1 环境保护法律法规"/>
      <w:bookmarkEnd w:id="39"/>
      <w:bookmarkStart w:id="40" w:name="_Toc27024"/>
      <w:r>
        <w:t>环境保护法律法规</w:t>
      </w:r>
      <w:bookmarkEnd w:id="40"/>
    </w:p>
    <w:p>
      <w:pPr>
        <w:pStyle w:val="17"/>
        <w:numPr>
          <w:ilvl w:val="0"/>
          <w:numId w:val="0"/>
        </w:numPr>
        <w:tabs>
          <w:tab w:val="left" w:pos="1621"/>
        </w:tabs>
        <w:spacing w:before="214"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1</w:t>
      </w:r>
      <w:r>
        <w:rPr>
          <w:rFonts w:hint="eastAsia"/>
          <w:color w:val="0000FF"/>
          <w:sz w:val="24"/>
          <w:lang w:eastAsia="zh-CN"/>
        </w:rPr>
        <w:t>）</w:t>
      </w:r>
      <w:r>
        <w:rPr>
          <w:color w:val="0000FF"/>
          <w:sz w:val="24"/>
        </w:rPr>
        <w:t>《中华人民共和国环境保护法》，</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628"/>
        </w:tabs>
        <w:spacing w:before="163" w:after="0" w:line="240" w:lineRule="auto"/>
        <w:ind w:left="1019" w:leftChars="0" w:right="0" w:rightChars="0"/>
        <w:jc w:val="left"/>
        <w:rPr>
          <w:rFonts w:ascii="Times New Roman" w:eastAsia="Times New Roman"/>
          <w:color w:val="0000FF"/>
          <w:sz w:val="24"/>
        </w:rPr>
      </w:pPr>
      <w:r>
        <w:rPr>
          <w:rFonts w:hint="eastAsia"/>
          <w:color w:val="0000FF"/>
          <w:sz w:val="24"/>
          <w:lang w:eastAsia="zh-CN"/>
        </w:rPr>
        <w:t>（</w:t>
      </w:r>
      <w:r>
        <w:rPr>
          <w:rFonts w:hint="eastAsia"/>
          <w:color w:val="0000FF"/>
          <w:sz w:val="24"/>
          <w:lang w:val="en-US" w:eastAsia="zh-CN"/>
        </w:rPr>
        <w:t>2</w:t>
      </w:r>
      <w:r>
        <w:rPr>
          <w:rFonts w:hint="eastAsia"/>
          <w:color w:val="0000FF"/>
          <w:sz w:val="24"/>
          <w:lang w:eastAsia="zh-CN"/>
        </w:rPr>
        <w:t>）</w:t>
      </w:r>
      <w:r>
        <w:rPr>
          <w:color w:val="0000FF"/>
          <w:sz w:val="24"/>
        </w:rPr>
        <w:t>《中华人民共和国环境影响评价法》（</w:t>
      </w:r>
      <w:r>
        <w:rPr>
          <w:rFonts w:ascii="Times New Roman" w:eastAsia="Times New Roman"/>
          <w:color w:val="0000FF"/>
          <w:sz w:val="24"/>
        </w:rPr>
        <w:t>2018</w:t>
      </w:r>
      <w:r>
        <w:rPr>
          <w:color w:val="0000FF"/>
          <w:sz w:val="24"/>
        </w:rPr>
        <w:t>年修），</w:t>
      </w:r>
      <w:r>
        <w:rPr>
          <w:rFonts w:ascii="Times New Roman" w:eastAsia="Times New Roman"/>
          <w:color w:val="0000FF"/>
          <w:sz w:val="24"/>
        </w:rPr>
        <w:t>2018</w:t>
      </w:r>
      <w:r>
        <w:rPr>
          <w:color w:val="0000FF"/>
          <w:spacing w:val="-28"/>
          <w:sz w:val="24"/>
        </w:rPr>
        <w:t>年</w:t>
      </w:r>
      <w:r>
        <w:rPr>
          <w:rFonts w:ascii="Times New Roman" w:eastAsia="Times New Roman"/>
          <w:color w:val="0000FF"/>
          <w:sz w:val="24"/>
        </w:rPr>
        <w:t>12</w:t>
      </w:r>
      <w:r>
        <w:rPr>
          <w:color w:val="0000FF"/>
          <w:spacing w:val="-29"/>
          <w:sz w:val="24"/>
        </w:rPr>
        <w:t>月</w:t>
      </w:r>
      <w:r>
        <w:rPr>
          <w:rFonts w:ascii="Times New Roman" w:eastAsia="Times New Roman"/>
          <w:color w:val="0000FF"/>
          <w:sz w:val="24"/>
        </w:rPr>
        <w:t>9</w:t>
      </w:r>
    </w:p>
    <w:p>
      <w:pPr>
        <w:pStyle w:val="7"/>
        <w:spacing w:before="163"/>
        <w:rPr>
          <w:color w:val="0000FF"/>
        </w:rPr>
      </w:pPr>
      <w:r>
        <w:rPr>
          <w:color w:val="0000FF"/>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3</w:t>
      </w:r>
      <w:r>
        <w:rPr>
          <w:rFonts w:hint="eastAsia"/>
          <w:color w:val="0000FF"/>
          <w:sz w:val="24"/>
          <w:lang w:eastAsia="zh-CN"/>
        </w:rPr>
        <w:t>）</w:t>
      </w:r>
      <w:r>
        <w:rPr>
          <w:color w:val="0000FF"/>
          <w:sz w:val="24"/>
        </w:rPr>
        <w:t>《中华人民共和国土地管理法》，</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8</w:t>
      </w:r>
      <w:r>
        <w:rPr>
          <w:color w:val="0000FF"/>
          <w:spacing w:val="-30"/>
          <w:sz w:val="24"/>
        </w:rPr>
        <w:t>月</w:t>
      </w:r>
      <w:r>
        <w:rPr>
          <w:rFonts w:ascii="Times New Roman" w:eastAsia="Times New Roman"/>
          <w:color w:val="0000FF"/>
          <w:sz w:val="24"/>
        </w:rPr>
        <w:t>28</w:t>
      </w:r>
      <w:r>
        <w:rPr>
          <w:color w:val="0000FF"/>
          <w:sz w:val="24"/>
        </w:rPr>
        <w:t>日；</w:t>
      </w:r>
    </w:p>
    <w:p>
      <w:pPr>
        <w:pStyle w:val="17"/>
        <w:numPr>
          <w:ilvl w:val="0"/>
          <w:numId w:val="0"/>
        </w:numPr>
        <w:tabs>
          <w:tab w:val="left" w:pos="1621"/>
        </w:tabs>
        <w:spacing w:before="160"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4</w:t>
      </w:r>
      <w:r>
        <w:rPr>
          <w:rFonts w:hint="eastAsia"/>
          <w:color w:val="0000FF"/>
          <w:sz w:val="24"/>
          <w:lang w:eastAsia="zh-CN"/>
        </w:rPr>
        <w:t>）</w:t>
      </w:r>
      <w:r>
        <w:rPr>
          <w:color w:val="0000FF"/>
          <w:sz w:val="24"/>
        </w:rPr>
        <w:t>《中华人民共和国农业法》，</w:t>
      </w:r>
      <w:r>
        <w:rPr>
          <w:rFonts w:ascii="Times New Roman" w:eastAsia="Times New Roman"/>
          <w:color w:val="0000FF"/>
          <w:sz w:val="24"/>
        </w:rPr>
        <w:t>2013</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5</w:t>
      </w:r>
      <w:r>
        <w:rPr>
          <w:rFonts w:hint="eastAsia"/>
          <w:color w:val="0000FF"/>
          <w:sz w:val="24"/>
          <w:lang w:eastAsia="zh-CN"/>
        </w:rPr>
        <w:t>）</w:t>
      </w:r>
      <w:r>
        <w:rPr>
          <w:color w:val="0000FF"/>
          <w:spacing w:val="-3"/>
          <w:sz w:val="24"/>
        </w:rPr>
        <w:t>《中华人民共和国畜牧法》</w:t>
      </w:r>
      <w:r>
        <w:rPr>
          <w:color w:val="0000FF"/>
          <w:sz w:val="24"/>
        </w:rPr>
        <w:t>（</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z w:val="24"/>
        </w:rPr>
        <w:t>月修正</w:t>
      </w:r>
      <w:r>
        <w:rPr>
          <w:color w:val="0000FF"/>
          <w:spacing w:val="-6"/>
          <w:sz w:val="24"/>
        </w:rPr>
        <w:t>），</w:t>
      </w:r>
      <w:r>
        <w:rPr>
          <w:rFonts w:ascii="Times New Roman" w:eastAsia="Times New Roman"/>
          <w:color w:val="0000FF"/>
          <w:spacing w:val="-6"/>
          <w:sz w:val="24"/>
        </w:rPr>
        <w:t>2015</w:t>
      </w:r>
      <w:r>
        <w:rPr>
          <w:color w:val="0000FF"/>
          <w:spacing w:val="-30"/>
          <w:sz w:val="24"/>
        </w:rPr>
        <w:t>年</w:t>
      </w:r>
      <w:r>
        <w:rPr>
          <w:rFonts w:ascii="Times New Roman" w:eastAsia="Times New Roman"/>
          <w:color w:val="0000FF"/>
          <w:sz w:val="24"/>
        </w:rPr>
        <w:t>4</w:t>
      </w:r>
      <w:r>
        <w:rPr>
          <w:color w:val="0000FF"/>
          <w:spacing w:val="-31"/>
          <w:sz w:val="24"/>
        </w:rPr>
        <w:t>月</w:t>
      </w:r>
      <w:r>
        <w:rPr>
          <w:rFonts w:ascii="Times New Roman" w:eastAsia="Times New Roman"/>
          <w:color w:val="0000FF"/>
          <w:sz w:val="24"/>
        </w:rPr>
        <w:t>24</w:t>
      </w:r>
      <w:r>
        <w:rPr>
          <w:color w:val="0000FF"/>
          <w:sz w:val="24"/>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6</w:t>
      </w:r>
      <w:r>
        <w:rPr>
          <w:rFonts w:hint="eastAsia"/>
          <w:color w:val="0000FF"/>
          <w:sz w:val="24"/>
          <w:lang w:eastAsia="zh-CN"/>
        </w:rPr>
        <w:t>）</w:t>
      </w:r>
      <w:r>
        <w:rPr>
          <w:color w:val="0000FF"/>
          <w:sz w:val="24"/>
        </w:rPr>
        <w:t>《中华人民共和国水污染防治法（</w:t>
      </w:r>
      <w:r>
        <w:rPr>
          <w:rFonts w:ascii="Times New Roman" w:eastAsia="Times New Roman"/>
          <w:color w:val="0000FF"/>
          <w:sz w:val="24"/>
        </w:rPr>
        <w:t>2017</w:t>
      </w:r>
      <w:r>
        <w:rPr>
          <w:color w:val="0000FF"/>
          <w:sz w:val="24"/>
        </w:rPr>
        <w:t>修）》，</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7</w:t>
      </w:r>
      <w:r>
        <w:rPr>
          <w:rFonts w:hint="eastAsia"/>
          <w:color w:val="0000FF"/>
          <w:sz w:val="24"/>
          <w:lang w:eastAsia="zh-CN"/>
        </w:rPr>
        <w:t>）</w:t>
      </w:r>
      <w:r>
        <w:rPr>
          <w:color w:val="0000FF"/>
          <w:sz w:val="24"/>
        </w:rPr>
        <w:t>《中华人民共和国固体废物污染环境防治法》，</w:t>
      </w:r>
      <w:r>
        <w:rPr>
          <w:rFonts w:ascii="Times New Roman" w:eastAsia="Times New Roman"/>
          <w:color w:val="0000FF"/>
          <w:sz w:val="24"/>
        </w:rPr>
        <w:t>2016</w:t>
      </w:r>
      <w:r>
        <w:rPr>
          <w:color w:val="0000FF"/>
          <w:spacing w:val="-30"/>
          <w:sz w:val="24"/>
        </w:rPr>
        <w:t>年</w:t>
      </w:r>
      <w:r>
        <w:rPr>
          <w:rFonts w:ascii="Times New Roman" w:eastAsia="Times New Roman"/>
          <w:color w:val="0000FF"/>
          <w:spacing w:val="-3"/>
          <w:sz w:val="24"/>
        </w:rPr>
        <w:t>11</w:t>
      </w:r>
      <w:r>
        <w:rPr>
          <w:color w:val="0000FF"/>
          <w:spacing w:val="-30"/>
          <w:sz w:val="24"/>
        </w:rPr>
        <w:t>月</w:t>
      </w:r>
      <w:r>
        <w:rPr>
          <w:rFonts w:ascii="Times New Roman" w:eastAsia="Times New Roman"/>
          <w:color w:val="0000FF"/>
          <w:sz w:val="24"/>
        </w:rPr>
        <w:t>7</w:t>
      </w:r>
      <w:r>
        <w:rPr>
          <w:color w:val="0000FF"/>
          <w:sz w:val="24"/>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8</w:t>
      </w:r>
      <w:r>
        <w:rPr>
          <w:rFonts w:hint="eastAsia"/>
          <w:color w:val="0000FF"/>
          <w:sz w:val="24"/>
          <w:lang w:eastAsia="zh-CN"/>
        </w:rPr>
        <w:t>）</w:t>
      </w:r>
      <w:r>
        <w:rPr>
          <w:color w:val="0000FF"/>
          <w:sz w:val="24"/>
        </w:rPr>
        <w:t>《中华人民共和国大气污染环境防治法》，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628"/>
        </w:tabs>
        <w:spacing w:before="163" w:after="0" w:line="240" w:lineRule="auto"/>
        <w:ind w:left="1019" w:leftChars="0" w:right="0" w:rightChars="0"/>
        <w:jc w:val="left"/>
        <w:rPr>
          <w:rFonts w:ascii="Times New Roman" w:eastAsia="Times New Roman"/>
          <w:color w:val="0000FF"/>
          <w:sz w:val="24"/>
        </w:rPr>
      </w:pPr>
      <w:r>
        <w:rPr>
          <w:rFonts w:hint="eastAsia"/>
          <w:color w:val="0000FF"/>
          <w:sz w:val="24"/>
          <w:lang w:eastAsia="zh-CN"/>
        </w:rPr>
        <w:t>（</w:t>
      </w:r>
      <w:r>
        <w:rPr>
          <w:rFonts w:hint="eastAsia"/>
          <w:color w:val="0000FF"/>
          <w:sz w:val="24"/>
          <w:lang w:val="en-US" w:eastAsia="zh-CN"/>
        </w:rPr>
        <w:t>9</w:t>
      </w:r>
      <w:r>
        <w:rPr>
          <w:rFonts w:hint="eastAsia"/>
          <w:color w:val="0000FF"/>
          <w:sz w:val="24"/>
          <w:lang w:eastAsia="zh-CN"/>
        </w:rPr>
        <w:t>）</w:t>
      </w:r>
      <w:r>
        <w:rPr>
          <w:color w:val="0000FF"/>
          <w:sz w:val="24"/>
        </w:rPr>
        <w:t>《中华人民共和国环境噪声污染防治法》（</w:t>
      </w:r>
      <w:r>
        <w:rPr>
          <w:rFonts w:ascii="Times New Roman" w:eastAsia="Times New Roman"/>
          <w:color w:val="0000FF"/>
          <w:sz w:val="24"/>
        </w:rPr>
        <w:t>2018</w:t>
      </w:r>
      <w:r>
        <w:rPr>
          <w:color w:val="0000FF"/>
          <w:sz w:val="24"/>
        </w:rPr>
        <w:t>年修），</w:t>
      </w:r>
      <w:r>
        <w:rPr>
          <w:rFonts w:ascii="Times New Roman" w:eastAsia="Times New Roman"/>
          <w:color w:val="0000FF"/>
          <w:sz w:val="24"/>
        </w:rPr>
        <w:t>2018</w:t>
      </w:r>
      <w:r>
        <w:rPr>
          <w:color w:val="0000FF"/>
          <w:spacing w:val="-29"/>
          <w:sz w:val="24"/>
        </w:rPr>
        <w:t>年</w:t>
      </w:r>
      <w:r>
        <w:rPr>
          <w:rFonts w:ascii="Times New Roman" w:eastAsia="Times New Roman"/>
          <w:color w:val="0000FF"/>
          <w:sz w:val="24"/>
        </w:rPr>
        <w:t>12</w:t>
      </w:r>
    </w:p>
    <w:p>
      <w:pPr>
        <w:pStyle w:val="7"/>
        <w:spacing w:before="160"/>
        <w:rPr>
          <w:color w:val="0000FF"/>
        </w:rPr>
      </w:pPr>
      <w:r>
        <w:rPr>
          <w:color w:val="0000FF"/>
        </w:rPr>
        <w:t>月</w:t>
      </w:r>
      <w:r>
        <w:rPr>
          <w:rFonts w:ascii="Times New Roman" w:eastAsia="Times New Roman"/>
          <w:color w:val="0000FF"/>
        </w:rPr>
        <w:t>29</w:t>
      </w:r>
      <w:r>
        <w:rPr>
          <w:color w:val="0000FF"/>
        </w:rPr>
        <w:t>日；</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10</w:t>
      </w:r>
      <w:r>
        <w:rPr>
          <w:rFonts w:hint="eastAsia"/>
          <w:color w:val="0000FF"/>
          <w:sz w:val="24"/>
          <w:lang w:eastAsia="zh-CN"/>
        </w:rPr>
        <w:t>）</w:t>
      </w:r>
      <w:r>
        <w:rPr>
          <w:color w:val="0000FF"/>
          <w:sz w:val="24"/>
        </w:rPr>
        <w:t>《中华人民共和国水法》，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7</w:t>
      </w:r>
      <w:r>
        <w:rPr>
          <w:color w:val="0000FF"/>
          <w:spacing w:val="-30"/>
          <w:sz w:val="24"/>
        </w:rPr>
        <w:t>月</w:t>
      </w:r>
      <w:r>
        <w:rPr>
          <w:rFonts w:ascii="Times New Roman" w:eastAsia="Times New Roman"/>
          <w:color w:val="0000FF"/>
          <w:sz w:val="24"/>
        </w:rPr>
        <w:t>2</w:t>
      </w:r>
      <w:r>
        <w:rPr>
          <w:color w:val="0000FF"/>
          <w:sz w:val="24"/>
        </w:rPr>
        <w:t>日修订；</w:t>
      </w:r>
    </w:p>
    <w:p>
      <w:pPr>
        <w:pStyle w:val="17"/>
        <w:numPr>
          <w:ilvl w:val="0"/>
          <w:numId w:val="0"/>
        </w:numPr>
        <w:tabs>
          <w:tab w:val="left" w:pos="1732"/>
        </w:tabs>
        <w:spacing w:before="163" w:after="0" w:line="240" w:lineRule="auto"/>
        <w:ind w:left="1019" w:leftChars="0" w:right="0" w:rightChars="0"/>
        <w:jc w:val="left"/>
        <w:rPr>
          <w:color w:val="0000FF"/>
          <w:sz w:val="24"/>
        </w:rPr>
      </w:pPr>
      <w:r>
        <w:rPr>
          <w:rFonts w:hint="eastAsia"/>
          <w:color w:val="0000FF"/>
          <w:sz w:val="24"/>
          <w:lang w:eastAsia="zh-CN"/>
        </w:rPr>
        <w:t>（</w:t>
      </w:r>
      <w:r>
        <w:rPr>
          <w:rFonts w:hint="eastAsia"/>
          <w:color w:val="0000FF"/>
          <w:sz w:val="24"/>
          <w:lang w:val="en-US" w:eastAsia="zh-CN"/>
        </w:rPr>
        <w:t>11</w:t>
      </w:r>
      <w:r>
        <w:rPr>
          <w:rFonts w:hint="eastAsia"/>
          <w:color w:val="0000FF"/>
          <w:sz w:val="24"/>
          <w:lang w:eastAsia="zh-CN"/>
        </w:rPr>
        <w:t>）</w:t>
      </w:r>
      <w:r>
        <w:rPr>
          <w:color w:val="0000FF"/>
          <w:sz w:val="24"/>
        </w:rPr>
        <w:t>《中华人民共和国水土保持法》，</w:t>
      </w:r>
      <w:r>
        <w:rPr>
          <w:rFonts w:ascii="Times New Roman" w:eastAsia="Times New Roman"/>
          <w:color w:val="0000FF"/>
          <w:sz w:val="24"/>
        </w:rPr>
        <w:t>2011</w:t>
      </w:r>
      <w:r>
        <w:rPr>
          <w:color w:val="0000FF"/>
          <w:spacing w:val="-30"/>
          <w:sz w:val="24"/>
        </w:rPr>
        <w:t>年</w:t>
      </w:r>
      <w:r>
        <w:rPr>
          <w:rFonts w:ascii="Times New Roman" w:eastAsia="Times New Roman"/>
          <w:color w:val="0000FF"/>
          <w:sz w:val="24"/>
        </w:rPr>
        <w:t>3</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12</w:t>
      </w:r>
      <w:r>
        <w:rPr>
          <w:rFonts w:hint="eastAsia"/>
          <w:color w:val="0000FF"/>
          <w:sz w:val="24"/>
          <w:lang w:eastAsia="zh-CN"/>
        </w:rPr>
        <w:t>）</w:t>
      </w:r>
      <w:r>
        <w:rPr>
          <w:color w:val="0000FF"/>
          <w:sz w:val="24"/>
        </w:rPr>
        <w:t>《中华人民共和国循环经济促进法》，</w:t>
      </w:r>
      <w:r>
        <w:rPr>
          <w:rFonts w:ascii="Times New Roman" w:eastAsia="Times New Roman"/>
          <w:color w:val="0000FF"/>
          <w:sz w:val="24"/>
        </w:rPr>
        <w:t>2009</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13</w:t>
      </w:r>
      <w:r>
        <w:rPr>
          <w:rFonts w:hint="eastAsia"/>
          <w:color w:val="0000FF"/>
          <w:sz w:val="24"/>
          <w:lang w:eastAsia="zh-CN"/>
        </w:rPr>
        <w:t>）</w:t>
      </w:r>
      <w:r>
        <w:rPr>
          <w:color w:val="0000FF"/>
          <w:sz w:val="24"/>
        </w:rPr>
        <w:t>《中华人民共和国节约能源法》，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7</w:t>
      </w:r>
      <w:r>
        <w:rPr>
          <w:color w:val="0000FF"/>
          <w:spacing w:val="-30"/>
          <w:sz w:val="24"/>
        </w:rPr>
        <w:t>月</w:t>
      </w:r>
      <w:r>
        <w:rPr>
          <w:rFonts w:ascii="Times New Roman" w:eastAsia="Times New Roman"/>
          <w:color w:val="0000FF"/>
          <w:sz w:val="24"/>
        </w:rPr>
        <w:t>2</w:t>
      </w:r>
      <w:r>
        <w:rPr>
          <w:color w:val="0000FF"/>
          <w:sz w:val="24"/>
        </w:rPr>
        <w:t>日修订；</w:t>
      </w:r>
    </w:p>
    <w:p>
      <w:pPr>
        <w:pStyle w:val="17"/>
        <w:numPr>
          <w:ilvl w:val="0"/>
          <w:numId w:val="0"/>
        </w:numPr>
        <w:tabs>
          <w:tab w:val="left" w:pos="1741"/>
        </w:tabs>
        <w:spacing w:before="163" w:after="0" w:line="364" w:lineRule="auto"/>
        <w:ind w:left="1020" w:leftChars="0" w:right="577" w:rightChars="0"/>
        <w:jc w:val="left"/>
        <w:rPr>
          <w:color w:val="0000FF"/>
          <w:sz w:val="24"/>
        </w:rPr>
      </w:pPr>
      <w:r>
        <w:rPr>
          <w:rFonts w:hint="eastAsia"/>
          <w:color w:val="0000FF"/>
          <w:sz w:val="24"/>
          <w:lang w:eastAsia="zh-CN"/>
        </w:rPr>
        <w:t>（</w:t>
      </w:r>
      <w:r>
        <w:rPr>
          <w:rFonts w:hint="eastAsia"/>
          <w:color w:val="0000FF"/>
          <w:sz w:val="24"/>
          <w:lang w:val="en-US" w:eastAsia="zh-CN"/>
        </w:rPr>
        <w:t>14</w:t>
      </w:r>
      <w:r>
        <w:rPr>
          <w:rFonts w:hint="eastAsia"/>
          <w:color w:val="0000FF"/>
          <w:sz w:val="24"/>
          <w:lang w:eastAsia="zh-CN"/>
        </w:rPr>
        <w:t>）</w:t>
      </w:r>
      <w:r>
        <w:rPr>
          <w:color w:val="0000FF"/>
          <w:spacing w:val="-7"/>
          <w:sz w:val="24"/>
        </w:rPr>
        <w:t>《中华人民共和国动物防疫法》，中华人民共和国主席令</w:t>
      </w:r>
      <w:r>
        <w:rPr>
          <w:color w:val="0000FF"/>
          <w:sz w:val="24"/>
        </w:rPr>
        <w:t>（第二十</w:t>
      </w:r>
      <w:r>
        <w:rPr>
          <w:color w:val="0000FF"/>
          <w:spacing w:val="-8"/>
          <w:sz w:val="24"/>
        </w:rPr>
        <w:t>四号</w:t>
      </w:r>
      <w:r>
        <w:rPr>
          <w:color w:val="0000FF"/>
          <w:sz w:val="24"/>
        </w:rPr>
        <w:t>），</w:t>
      </w:r>
      <w:r>
        <w:rPr>
          <w:rFonts w:ascii="Times New Roman" w:eastAsia="Times New Roman"/>
          <w:color w:val="0000FF"/>
          <w:sz w:val="24"/>
        </w:rPr>
        <w:t>2015</w:t>
      </w:r>
      <w:r>
        <w:rPr>
          <w:color w:val="0000FF"/>
          <w:sz w:val="24"/>
        </w:rPr>
        <w:t>年修正，</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pacing w:val="-30"/>
          <w:sz w:val="24"/>
        </w:rPr>
        <w:t>月</w:t>
      </w:r>
      <w:r>
        <w:rPr>
          <w:rFonts w:ascii="Times New Roman" w:eastAsia="Times New Roman"/>
          <w:color w:val="0000FF"/>
          <w:sz w:val="24"/>
        </w:rPr>
        <w:t>24</w:t>
      </w:r>
      <w:r>
        <w:rPr>
          <w:color w:val="0000FF"/>
          <w:sz w:val="24"/>
        </w:rPr>
        <w:t>日；</w:t>
      </w:r>
    </w:p>
    <w:p>
      <w:pPr>
        <w:pStyle w:val="17"/>
        <w:numPr>
          <w:ilvl w:val="0"/>
          <w:numId w:val="0"/>
        </w:numPr>
        <w:tabs>
          <w:tab w:val="left" w:pos="1741"/>
        </w:tabs>
        <w:spacing w:before="3"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15</w:t>
      </w:r>
      <w:r>
        <w:rPr>
          <w:rFonts w:hint="eastAsia"/>
          <w:color w:val="0000FF"/>
          <w:sz w:val="24"/>
          <w:lang w:eastAsia="zh-CN"/>
        </w:rPr>
        <w:t>）</w:t>
      </w:r>
      <w:r>
        <w:rPr>
          <w:color w:val="0000FF"/>
          <w:sz w:val="24"/>
        </w:rPr>
        <w:t>《中华人民共和国传染病防治法》，</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12</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741"/>
        </w:tabs>
        <w:spacing w:before="163" w:after="0" w:line="367" w:lineRule="auto"/>
        <w:ind w:left="1020" w:leftChars="0" w:right="577" w:rightChars="0"/>
        <w:jc w:val="left"/>
        <w:rPr>
          <w:color w:val="0000FF"/>
          <w:sz w:val="24"/>
        </w:rPr>
      </w:pPr>
      <w:r>
        <w:rPr>
          <w:rFonts w:hint="eastAsia"/>
          <w:color w:val="0000FF"/>
          <w:sz w:val="24"/>
          <w:lang w:eastAsia="zh-CN"/>
        </w:rPr>
        <w:t>（</w:t>
      </w:r>
      <w:r>
        <w:rPr>
          <w:rFonts w:hint="eastAsia"/>
          <w:color w:val="0000FF"/>
          <w:sz w:val="24"/>
          <w:lang w:val="en-US" w:eastAsia="zh-CN"/>
        </w:rPr>
        <w:t>16</w:t>
      </w:r>
      <w:r>
        <w:rPr>
          <w:rFonts w:hint="eastAsia"/>
          <w:color w:val="0000FF"/>
          <w:sz w:val="24"/>
          <w:lang w:eastAsia="zh-CN"/>
        </w:rPr>
        <w:t>）</w:t>
      </w:r>
      <w:r>
        <w:rPr>
          <w:color w:val="0000FF"/>
          <w:spacing w:val="-4"/>
          <w:sz w:val="24"/>
        </w:rPr>
        <w:t>《国务院关于印发大气污染防治行动计划的通知》，国发〔</w:t>
      </w:r>
      <w:r>
        <w:rPr>
          <w:rFonts w:ascii="Times New Roman" w:eastAsia="Times New Roman"/>
          <w:color w:val="0000FF"/>
          <w:sz w:val="24"/>
        </w:rPr>
        <w:t>2013</w:t>
      </w:r>
      <w:r>
        <w:rPr>
          <w:color w:val="0000FF"/>
          <w:spacing w:val="-17"/>
          <w:sz w:val="24"/>
        </w:rPr>
        <w:t>〕</w:t>
      </w:r>
      <w:r>
        <w:rPr>
          <w:rFonts w:ascii="Times New Roman" w:eastAsia="Times New Roman"/>
          <w:color w:val="0000FF"/>
          <w:spacing w:val="-7"/>
          <w:sz w:val="24"/>
        </w:rPr>
        <w:t>37</w:t>
      </w:r>
      <w:r>
        <w:rPr>
          <w:color w:val="0000FF"/>
          <w:sz w:val="24"/>
        </w:rPr>
        <w:t>号，</w:t>
      </w:r>
      <w:r>
        <w:rPr>
          <w:rFonts w:ascii="Times New Roman" w:eastAsia="Times New Roman"/>
          <w:color w:val="0000FF"/>
          <w:sz w:val="24"/>
        </w:rPr>
        <w:t>2013</w:t>
      </w:r>
      <w:r>
        <w:rPr>
          <w:color w:val="0000FF"/>
          <w:spacing w:val="-30"/>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10</w:t>
      </w:r>
      <w:r>
        <w:rPr>
          <w:color w:val="0000FF"/>
          <w:sz w:val="24"/>
        </w:rPr>
        <w:t>日；</w:t>
      </w:r>
    </w:p>
    <w:p>
      <w:pPr>
        <w:spacing w:after="0" w:line="367" w:lineRule="auto"/>
        <w:jc w:val="left"/>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17"/>
        <w:numPr>
          <w:ilvl w:val="0"/>
          <w:numId w:val="0"/>
        </w:numPr>
        <w:tabs>
          <w:tab w:val="left" w:pos="1755"/>
        </w:tabs>
        <w:spacing w:before="76" w:after="0" w:line="364" w:lineRule="auto"/>
        <w:ind w:left="1020" w:leftChars="0" w:right="581" w:rightChars="0"/>
        <w:jc w:val="left"/>
        <w:rPr>
          <w:color w:val="0000FF"/>
          <w:sz w:val="24"/>
        </w:rPr>
      </w:pPr>
      <w:r>
        <w:rPr>
          <w:rFonts w:hint="eastAsia"/>
          <w:color w:val="0000FF"/>
          <w:sz w:val="24"/>
          <w:lang w:eastAsia="zh-CN"/>
        </w:rPr>
        <w:t>（</w:t>
      </w:r>
      <w:r>
        <w:rPr>
          <w:rFonts w:hint="eastAsia"/>
          <w:color w:val="0000FF"/>
          <w:sz w:val="24"/>
          <w:lang w:val="en-US" w:eastAsia="zh-CN"/>
        </w:rPr>
        <w:t>17</w:t>
      </w:r>
      <w:r>
        <w:rPr>
          <w:rFonts w:hint="eastAsia"/>
          <w:color w:val="0000FF"/>
          <w:sz w:val="24"/>
          <w:lang w:eastAsia="zh-CN"/>
        </w:rPr>
        <w:t>）</w:t>
      </w:r>
      <w:r>
        <w:rPr>
          <w:color w:val="0000FF"/>
          <w:spacing w:val="4"/>
          <w:sz w:val="24"/>
        </w:rPr>
        <w:t>《国务院关于印发水污染防治行动计划的通知》，国发〔</w:t>
      </w:r>
      <w:r>
        <w:rPr>
          <w:rFonts w:ascii="Times New Roman" w:eastAsia="Times New Roman"/>
          <w:color w:val="0000FF"/>
          <w:sz w:val="24"/>
        </w:rPr>
        <w:t>2015</w:t>
      </w:r>
      <w:r>
        <w:rPr>
          <w:color w:val="0000FF"/>
          <w:sz w:val="24"/>
        </w:rPr>
        <w:t>〕</w:t>
      </w:r>
      <w:r>
        <w:rPr>
          <w:rFonts w:ascii="Times New Roman" w:eastAsia="Times New Roman"/>
          <w:color w:val="0000FF"/>
          <w:sz w:val="24"/>
        </w:rPr>
        <w:t>17</w:t>
      </w:r>
      <w:r>
        <w:rPr>
          <w:color w:val="0000FF"/>
          <w:sz w:val="24"/>
        </w:rPr>
        <w:t>号，</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pacing w:val="-30"/>
          <w:sz w:val="24"/>
        </w:rPr>
        <w:t>月</w:t>
      </w:r>
      <w:r>
        <w:rPr>
          <w:rFonts w:ascii="Times New Roman" w:eastAsia="Times New Roman"/>
          <w:color w:val="0000FF"/>
          <w:sz w:val="24"/>
        </w:rPr>
        <w:t>16</w:t>
      </w:r>
      <w:r>
        <w:rPr>
          <w:color w:val="0000FF"/>
          <w:sz w:val="24"/>
        </w:rPr>
        <w:t>；</w:t>
      </w:r>
    </w:p>
    <w:p>
      <w:pPr>
        <w:pStyle w:val="17"/>
        <w:numPr>
          <w:ilvl w:val="0"/>
          <w:numId w:val="0"/>
        </w:numPr>
        <w:tabs>
          <w:tab w:val="left" w:pos="1741"/>
        </w:tabs>
        <w:spacing w:before="4" w:after="0" w:line="367" w:lineRule="auto"/>
        <w:ind w:left="1020" w:leftChars="0" w:right="577" w:rightChars="0"/>
        <w:jc w:val="left"/>
        <w:rPr>
          <w:color w:val="0000FF"/>
          <w:sz w:val="24"/>
        </w:rPr>
      </w:pPr>
      <w:r>
        <w:rPr>
          <w:rFonts w:hint="eastAsia"/>
          <w:color w:val="0000FF"/>
          <w:spacing w:val="-4"/>
          <w:sz w:val="24"/>
          <w:lang w:eastAsia="zh-CN"/>
        </w:rPr>
        <w:t>（</w:t>
      </w:r>
      <w:r>
        <w:rPr>
          <w:rFonts w:hint="eastAsia"/>
          <w:color w:val="0000FF"/>
          <w:spacing w:val="-4"/>
          <w:sz w:val="24"/>
          <w:lang w:val="en-US" w:eastAsia="zh-CN"/>
        </w:rPr>
        <w:t>18</w:t>
      </w:r>
      <w:r>
        <w:rPr>
          <w:rFonts w:hint="eastAsia"/>
          <w:color w:val="0000FF"/>
          <w:spacing w:val="-4"/>
          <w:sz w:val="24"/>
          <w:lang w:eastAsia="zh-CN"/>
        </w:rPr>
        <w:t>）</w:t>
      </w:r>
      <w:r>
        <w:rPr>
          <w:color w:val="0000FF"/>
          <w:spacing w:val="-4"/>
          <w:sz w:val="24"/>
        </w:rPr>
        <w:t>《国务院关于印发土壤污染防治行动计划的通知》，国发〔</w:t>
      </w:r>
      <w:r>
        <w:rPr>
          <w:rFonts w:ascii="Times New Roman" w:eastAsia="Times New Roman"/>
          <w:color w:val="0000FF"/>
          <w:sz w:val="24"/>
        </w:rPr>
        <w:t>2016</w:t>
      </w:r>
      <w:r>
        <w:rPr>
          <w:color w:val="0000FF"/>
          <w:spacing w:val="-17"/>
          <w:sz w:val="24"/>
        </w:rPr>
        <w:t>〕</w:t>
      </w:r>
      <w:r>
        <w:rPr>
          <w:rFonts w:ascii="Times New Roman" w:eastAsia="Times New Roman"/>
          <w:color w:val="0000FF"/>
          <w:spacing w:val="-7"/>
          <w:sz w:val="24"/>
        </w:rPr>
        <w:t>31</w:t>
      </w:r>
      <w:r>
        <w:rPr>
          <w:color w:val="0000FF"/>
          <w:sz w:val="24"/>
        </w:rPr>
        <w:t>号，</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5</w:t>
      </w:r>
      <w:r>
        <w:rPr>
          <w:color w:val="0000FF"/>
          <w:spacing w:val="-30"/>
          <w:sz w:val="24"/>
        </w:rPr>
        <w:t>月</w:t>
      </w:r>
      <w:r>
        <w:rPr>
          <w:rFonts w:ascii="Times New Roman" w:eastAsia="Times New Roman"/>
          <w:color w:val="0000FF"/>
          <w:sz w:val="24"/>
        </w:rPr>
        <w:t>28</w:t>
      </w:r>
      <w:r>
        <w:rPr>
          <w:color w:val="0000FF"/>
          <w:sz w:val="24"/>
        </w:rPr>
        <w:t>日。</w:t>
      </w:r>
    </w:p>
    <w:p>
      <w:pPr>
        <w:pStyle w:val="5"/>
        <w:numPr>
          <w:ilvl w:val="2"/>
          <w:numId w:val="5"/>
        </w:numPr>
        <w:tabs>
          <w:tab w:val="left" w:pos="1241"/>
        </w:tabs>
        <w:spacing w:before="22" w:after="0" w:line="240" w:lineRule="auto"/>
        <w:ind w:left="1240" w:right="0" w:hanging="701"/>
        <w:jc w:val="left"/>
        <w:outlineLvl w:val="2"/>
        <w:rPr>
          <w:rFonts w:ascii="Times New Roman" w:eastAsia="Times New Roman"/>
        </w:rPr>
      </w:pPr>
      <w:bookmarkStart w:id="41" w:name="2.2.2 相关政策及部门规章"/>
      <w:bookmarkEnd w:id="41"/>
      <w:bookmarkStart w:id="42" w:name="2.2.2 相关政策及部门规章"/>
      <w:bookmarkEnd w:id="42"/>
      <w:bookmarkStart w:id="43" w:name="_Toc27764"/>
      <w:r>
        <w:t>相关政策及部门规章</w:t>
      </w:r>
      <w:bookmarkEnd w:id="43"/>
    </w:p>
    <w:p>
      <w:pPr>
        <w:pStyle w:val="17"/>
        <w:numPr>
          <w:ilvl w:val="0"/>
          <w:numId w:val="0"/>
        </w:numPr>
        <w:tabs>
          <w:tab w:val="left" w:pos="601"/>
        </w:tabs>
        <w:spacing w:before="212" w:after="0" w:line="240" w:lineRule="auto"/>
        <w:ind w:leftChars="0" w:right="577" w:rightChars="0" w:firstLine="864" w:firstLineChars="400"/>
        <w:jc w:val="both"/>
        <w:rPr>
          <w:rFonts w:ascii="Times New Roman" w:eastAsia="Times New Roman"/>
          <w:color w:val="0000FF"/>
          <w:sz w:val="24"/>
        </w:rPr>
      </w:pPr>
      <w:r>
        <w:rPr>
          <w:rFonts w:hint="eastAsia"/>
          <w:color w:val="0000FF"/>
          <w:spacing w:val="-12"/>
          <w:sz w:val="24"/>
          <w:lang w:val="en-US" w:eastAsia="zh-CN"/>
        </w:rPr>
        <w:t>（1）</w:t>
      </w:r>
      <w:r>
        <w:rPr>
          <w:color w:val="0000FF"/>
          <w:spacing w:val="-12"/>
          <w:sz w:val="24"/>
        </w:rPr>
        <w:t>《建设项目环境影响评价分类管理名录》，环境保护部令第</w:t>
      </w:r>
      <w:r>
        <w:rPr>
          <w:rFonts w:ascii="Times New Roman" w:eastAsia="Times New Roman"/>
          <w:color w:val="0000FF"/>
          <w:sz w:val="24"/>
        </w:rPr>
        <w:t>44</w:t>
      </w:r>
      <w:r>
        <w:rPr>
          <w:color w:val="0000FF"/>
          <w:sz w:val="24"/>
        </w:rPr>
        <w:t>号</w:t>
      </w:r>
      <w:r>
        <w:rPr>
          <w:color w:val="0000FF"/>
          <w:spacing w:val="-14"/>
          <w:sz w:val="24"/>
        </w:rPr>
        <w:t>，</w:t>
      </w:r>
      <w:r>
        <w:rPr>
          <w:rFonts w:ascii="Times New Roman" w:eastAsia="Times New Roman"/>
          <w:color w:val="0000FF"/>
          <w:spacing w:val="-14"/>
          <w:sz w:val="24"/>
        </w:rPr>
        <w:t>2017</w:t>
      </w:r>
    </w:p>
    <w:p>
      <w:pPr>
        <w:pStyle w:val="7"/>
        <w:spacing w:before="162"/>
        <w:ind w:left="0" w:right="577"/>
        <w:jc w:val="right"/>
        <w:rPr>
          <w:color w:val="0000FF"/>
        </w:rPr>
      </w:pPr>
      <w:r>
        <w:rPr>
          <w:color w:val="0000FF"/>
          <w:spacing w:val="-26"/>
        </w:rPr>
        <w:t>年</w:t>
      </w:r>
      <w:r>
        <w:rPr>
          <w:rFonts w:ascii="Times New Roman" w:eastAsia="Times New Roman"/>
          <w:color w:val="0000FF"/>
        </w:rPr>
        <w:t>9</w:t>
      </w:r>
      <w:r>
        <w:rPr>
          <w:color w:val="0000FF"/>
          <w:spacing w:val="-24"/>
        </w:rPr>
        <w:t>月</w:t>
      </w:r>
      <w:r>
        <w:rPr>
          <w:rFonts w:ascii="Times New Roman" w:eastAsia="Times New Roman"/>
          <w:color w:val="0000FF"/>
        </w:rPr>
        <w:t>1</w:t>
      </w:r>
      <w:r>
        <w:rPr>
          <w:color w:val="0000FF"/>
        </w:rPr>
        <w:t>日及《关于修改</w:t>
      </w:r>
      <w:r>
        <w:rPr>
          <w:rFonts w:ascii="Times New Roman" w:eastAsia="Times New Roman"/>
          <w:color w:val="0000FF"/>
          <w:spacing w:val="3"/>
        </w:rPr>
        <w:t>&lt;</w:t>
      </w:r>
      <w:r>
        <w:rPr>
          <w:color w:val="0000FF"/>
        </w:rPr>
        <w:t>建设项目环境影响评价分类管理名录</w:t>
      </w:r>
      <w:r>
        <w:rPr>
          <w:rFonts w:ascii="Times New Roman" w:eastAsia="Times New Roman"/>
          <w:color w:val="0000FF"/>
          <w:spacing w:val="3"/>
        </w:rPr>
        <w:t>&gt;</w:t>
      </w:r>
      <w:r>
        <w:rPr>
          <w:color w:val="0000FF"/>
        </w:rPr>
        <w:t>部分内容的决</w:t>
      </w:r>
    </w:p>
    <w:p>
      <w:pPr>
        <w:pStyle w:val="7"/>
        <w:spacing w:before="163"/>
        <w:rPr>
          <w:color w:val="0000FF"/>
        </w:rPr>
      </w:pPr>
      <w:r>
        <w:rPr>
          <w:color w:val="0000FF"/>
        </w:rPr>
        <w:t>定》（生态环境部令第</w:t>
      </w:r>
      <w:r>
        <w:rPr>
          <w:rFonts w:ascii="Times New Roman" w:eastAsia="Times New Roman"/>
          <w:color w:val="0000FF"/>
        </w:rPr>
        <w:t>1</w:t>
      </w:r>
      <w:r>
        <w:rPr>
          <w:color w:val="0000FF"/>
        </w:rPr>
        <w:t>号），</w:t>
      </w:r>
      <w:r>
        <w:rPr>
          <w:rFonts w:ascii="Times New Roman" w:eastAsia="Times New Roman"/>
          <w:color w:val="0000FF"/>
        </w:rPr>
        <w:t>2018</w:t>
      </w:r>
      <w:r>
        <w:rPr>
          <w:color w:val="0000FF"/>
        </w:rPr>
        <w:t>年</w:t>
      </w:r>
      <w:r>
        <w:rPr>
          <w:rFonts w:ascii="Times New Roman" w:eastAsia="Times New Roman"/>
          <w:color w:val="0000FF"/>
        </w:rPr>
        <w:t>4</w:t>
      </w:r>
      <w:r>
        <w:rPr>
          <w:color w:val="0000FF"/>
        </w:rPr>
        <w:t>月</w:t>
      </w:r>
      <w:r>
        <w:rPr>
          <w:rFonts w:ascii="Times New Roman" w:eastAsia="Times New Roman"/>
          <w:color w:val="0000FF"/>
        </w:rPr>
        <w:t>28</w:t>
      </w:r>
      <w:r>
        <w:rPr>
          <w:color w:val="0000FF"/>
        </w:rPr>
        <w:t>日；</w:t>
      </w:r>
    </w:p>
    <w:p>
      <w:pPr>
        <w:pStyle w:val="17"/>
        <w:numPr>
          <w:ilvl w:val="0"/>
          <w:numId w:val="0"/>
        </w:numPr>
        <w:tabs>
          <w:tab w:val="left" w:pos="1621"/>
        </w:tabs>
        <w:spacing w:before="163" w:after="0" w:line="367" w:lineRule="auto"/>
        <w:ind w:left="1020" w:leftChars="0" w:right="577" w:rightChars="0"/>
        <w:jc w:val="left"/>
        <w:rPr>
          <w:color w:val="0000FF"/>
          <w:sz w:val="24"/>
        </w:rPr>
      </w:pPr>
      <w:r>
        <w:rPr>
          <w:rFonts w:hint="eastAsia"/>
          <w:color w:val="0000FF"/>
          <w:spacing w:val="-12"/>
          <w:sz w:val="24"/>
          <w:lang w:val="en-US" w:eastAsia="zh-CN"/>
        </w:rPr>
        <w:t>（2）</w:t>
      </w:r>
      <w:r>
        <w:rPr>
          <w:color w:val="0000FF"/>
          <w:spacing w:val="-1"/>
          <w:sz w:val="24"/>
        </w:rPr>
        <w:t>《产业结构调整指导目录》</w:t>
      </w:r>
      <w:r>
        <w:rPr>
          <w:color w:val="0000FF"/>
          <w:sz w:val="24"/>
        </w:rPr>
        <w:t>（</w:t>
      </w:r>
      <w:r>
        <w:rPr>
          <w:rFonts w:ascii="Times New Roman" w:eastAsia="Times New Roman"/>
          <w:color w:val="0000FF"/>
          <w:sz w:val="24"/>
        </w:rPr>
        <w:t>2019</w:t>
      </w:r>
      <w:r>
        <w:rPr>
          <w:color w:val="0000FF"/>
          <w:sz w:val="24"/>
        </w:rPr>
        <w:t>年本</w:t>
      </w:r>
      <w:r>
        <w:rPr>
          <w:color w:val="0000FF"/>
          <w:spacing w:val="-7"/>
          <w:sz w:val="24"/>
        </w:rPr>
        <w:t>）</w:t>
      </w:r>
      <w:r>
        <w:rPr>
          <w:color w:val="0000FF"/>
          <w:spacing w:val="-5"/>
          <w:sz w:val="24"/>
        </w:rPr>
        <w:t>，国家发展和改革委员会令</w:t>
      </w:r>
      <w:r>
        <w:rPr>
          <w:color w:val="0000FF"/>
          <w:spacing w:val="-30"/>
          <w:sz w:val="24"/>
        </w:rPr>
        <w:t>第</w:t>
      </w:r>
      <w:r>
        <w:rPr>
          <w:rFonts w:ascii="Times New Roman" w:eastAsia="Times New Roman"/>
          <w:color w:val="0000FF"/>
          <w:sz w:val="24"/>
        </w:rPr>
        <w:t>29</w:t>
      </w:r>
      <w:r>
        <w:rPr>
          <w:color w:val="0000FF"/>
          <w:sz w:val="24"/>
        </w:rPr>
        <w:t>号，</w:t>
      </w:r>
      <w:r>
        <w:rPr>
          <w:rFonts w:ascii="Times New Roman" w:eastAsia="Times New Roman"/>
          <w:color w:val="0000FF"/>
          <w:sz w:val="24"/>
        </w:rPr>
        <w:t>2020</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0"/>
        </w:numPr>
        <w:tabs>
          <w:tab w:val="left" w:pos="1628"/>
        </w:tabs>
        <w:spacing w:before="0" w:after="0" w:line="364" w:lineRule="auto"/>
        <w:ind w:left="1020" w:leftChars="0" w:right="577" w:rightChars="0"/>
        <w:jc w:val="left"/>
        <w:rPr>
          <w:color w:val="0000FF"/>
          <w:sz w:val="24"/>
        </w:rPr>
      </w:pPr>
      <w:r>
        <w:rPr>
          <w:rFonts w:hint="eastAsia"/>
          <w:color w:val="0000FF"/>
          <w:spacing w:val="-12"/>
          <w:sz w:val="24"/>
          <w:lang w:val="en-US" w:eastAsia="zh-CN"/>
        </w:rPr>
        <w:t>（3）</w:t>
      </w:r>
      <w:r>
        <w:rPr>
          <w:color w:val="0000FF"/>
          <w:sz w:val="24"/>
        </w:rPr>
        <w:t>《关于加强西部地区环境影响评价工作的通知》环发〔</w:t>
      </w:r>
      <w:r>
        <w:rPr>
          <w:rFonts w:ascii="Times New Roman" w:eastAsia="Times New Roman"/>
          <w:color w:val="0000FF"/>
          <w:sz w:val="24"/>
        </w:rPr>
        <w:t>2011</w:t>
      </w:r>
      <w:r>
        <w:rPr>
          <w:color w:val="0000FF"/>
          <w:sz w:val="24"/>
        </w:rPr>
        <w:t>〕</w:t>
      </w:r>
      <w:r>
        <w:rPr>
          <w:rFonts w:ascii="Times New Roman" w:eastAsia="Times New Roman"/>
          <w:color w:val="0000FF"/>
          <w:sz w:val="24"/>
        </w:rPr>
        <w:t>150</w:t>
      </w:r>
      <w:r>
        <w:rPr>
          <w:color w:val="0000FF"/>
          <w:sz w:val="24"/>
        </w:rPr>
        <w:t>号文；</w:t>
      </w:r>
    </w:p>
    <w:p>
      <w:pPr>
        <w:pStyle w:val="17"/>
        <w:numPr>
          <w:ilvl w:val="0"/>
          <w:numId w:val="0"/>
        </w:numPr>
        <w:tabs>
          <w:tab w:val="left" w:pos="1621"/>
        </w:tabs>
        <w:spacing w:before="4" w:after="0" w:line="240" w:lineRule="auto"/>
        <w:ind w:left="1020" w:leftChars="0" w:right="0" w:rightChars="0"/>
        <w:jc w:val="left"/>
        <w:rPr>
          <w:color w:val="0000FF"/>
          <w:sz w:val="24"/>
        </w:rPr>
      </w:pPr>
      <w:r>
        <w:rPr>
          <w:rFonts w:hint="eastAsia"/>
          <w:color w:val="0000FF"/>
          <w:spacing w:val="-12"/>
          <w:sz w:val="24"/>
          <w:lang w:val="en-US" w:eastAsia="zh-CN"/>
        </w:rPr>
        <w:t>（4）</w:t>
      </w:r>
      <w:r>
        <w:rPr>
          <w:color w:val="0000FF"/>
          <w:spacing w:val="-7"/>
          <w:sz w:val="24"/>
        </w:rPr>
        <w:t>《关于进一步加强环境影响评价管理防范环境风险的通知》环发〔</w:t>
      </w:r>
      <w:r>
        <w:rPr>
          <w:rFonts w:ascii="Times New Roman" w:eastAsia="Times New Roman"/>
          <w:color w:val="0000FF"/>
          <w:sz w:val="24"/>
        </w:rPr>
        <w:t>2012</w:t>
      </w:r>
      <w:r>
        <w:rPr>
          <w:color w:val="0000FF"/>
          <w:sz w:val="24"/>
        </w:rPr>
        <w:t>〕</w:t>
      </w:r>
    </w:p>
    <w:p>
      <w:pPr>
        <w:pStyle w:val="7"/>
        <w:spacing w:before="163"/>
        <w:rPr>
          <w:color w:val="0000FF"/>
        </w:rPr>
      </w:pPr>
      <w:r>
        <w:rPr>
          <w:rFonts w:ascii="Times New Roman" w:eastAsia="Times New Roman"/>
          <w:color w:val="0000FF"/>
        </w:rPr>
        <w:t>77</w:t>
      </w:r>
      <w:r>
        <w:rPr>
          <w:color w:val="0000FF"/>
        </w:rPr>
        <w:t>号，</w:t>
      </w:r>
      <w:r>
        <w:rPr>
          <w:rFonts w:ascii="Times New Roman" w:eastAsia="Times New Roman"/>
          <w:color w:val="0000FF"/>
        </w:rPr>
        <w:t>2012</w:t>
      </w:r>
      <w:r>
        <w:rPr>
          <w:color w:val="0000FF"/>
        </w:rPr>
        <w:t>年</w:t>
      </w:r>
      <w:r>
        <w:rPr>
          <w:rFonts w:ascii="Times New Roman" w:eastAsia="Times New Roman"/>
          <w:color w:val="0000FF"/>
        </w:rPr>
        <w:t>7</w:t>
      </w:r>
      <w:r>
        <w:rPr>
          <w:color w:val="0000FF"/>
        </w:rPr>
        <w:t>月</w:t>
      </w:r>
      <w:r>
        <w:rPr>
          <w:rFonts w:ascii="Times New Roman" w:eastAsia="Times New Roman"/>
          <w:color w:val="0000FF"/>
        </w:rPr>
        <w:t>3</w:t>
      </w:r>
      <w:r>
        <w:rPr>
          <w:color w:val="0000FF"/>
        </w:rPr>
        <w:t>日；</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pacing w:val="-12"/>
          <w:sz w:val="24"/>
          <w:lang w:val="en-US" w:eastAsia="zh-CN"/>
        </w:rPr>
        <w:t>（5）</w:t>
      </w:r>
      <w:r>
        <w:rPr>
          <w:color w:val="0000FF"/>
          <w:spacing w:val="-3"/>
          <w:sz w:val="24"/>
        </w:rPr>
        <w:t>《关于切实加强风险防范严格环境影响评价管理的通知》环发〔</w:t>
      </w:r>
      <w:r>
        <w:rPr>
          <w:rFonts w:ascii="Times New Roman" w:eastAsia="Times New Roman"/>
          <w:color w:val="0000FF"/>
          <w:sz w:val="24"/>
        </w:rPr>
        <w:t>2012</w:t>
      </w:r>
      <w:r>
        <w:rPr>
          <w:color w:val="0000FF"/>
          <w:sz w:val="24"/>
        </w:rPr>
        <w:t>〕</w:t>
      </w:r>
    </w:p>
    <w:p>
      <w:pPr>
        <w:pStyle w:val="7"/>
        <w:spacing w:before="162"/>
        <w:rPr>
          <w:color w:val="0000FF"/>
        </w:rPr>
      </w:pPr>
      <w:r>
        <w:rPr>
          <w:rFonts w:ascii="Times New Roman" w:eastAsia="Times New Roman"/>
          <w:color w:val="0000FF"/>
        </w:rPr>
        <w:t>98</w:t>
      </w:r>
      <w:r>
        <w:rPr>
          <w:color w:val="0000FF"/>
        </w:rPr>
        <w:t>号文；</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pacing w:val="-12"/>
          <w:sz w:val="24"/>
          <w:lang w:val="en-US" w:eastAsia="zh-CN"/>
        </w:rPr>
        <w:t>（6）</w:t>
      </w:r>
      <w:r>
        <w:rPr>
          <w:color w:val="0000FF"/>
          <w:sz w:val="24"/>
        </w:rPr>
        <w:t>《环境影响评价公众参与暂行办法》（</w:t>
      </w:r>
      <w:r>
        <w:rPr>
          <w:color w:val="0000FF"/>
          <w:spacing w:val="-7"/>
          <w:sz w:val="24"/>
        </w:rPr>
        <w:t>生态环境部令第</w:t>
      </w:r>
      <w:r>
        <w:rPr>
          <w:rFonts w:ascii="Times New Roman" w:eastAsia="Times New Roman"/>
          <w:color w:val="0000FF"/>
          <w:sz w:val="24"/>
        </w:rPr>
        <w:t>4</w:t>
      </w:r>
      <w:r>
        <w:rPr>
          <w:color w:val="0000FF"/>
          <w:sz w:val="24"/>
        </w:rPr>
        <w:t>号）；</w:t>
      </w:r>
    </w:p>
    <w:p>
      <w:pPr>
        <w:pStyle w:val="17"/>
        <w:numPr>
          <w:ilvl w:val="0"/>
          <w:numId w:val="0"/>
        </w:numPr>
        <w:tabs>
          <w:tab w:val="left" w:pos="1621"/>
        </w:tabs>
        <w:spacing w:before="161" w:after="0" w:line="367" w:lineRule="auto"/>
        <w:ind w:left="1020" w:leftChars="0" w:right="577" w:rightChars="0"/>
        <w:jc w:val="left"/>
        <w:rPr>
          <w:color w:val="0000FF"/>
          <w:sz w:val="24"/>
        </w:rPr>
      </w:pPr>
      <w:r>
        <w:rPr>
          <w:rFonts w:hint="eastAsia"/>
          <w:color w:val="0000FF"/>
          <w:spacing w:val="-12"/>
          <w:sz w:val="24"/>
          <w:lang w:val="en-US" w:eastAsia="zh-CN"/>
        </w:rPr>
        <w:t>（7）</w:t>
      </w:r>
      <w:r>
        <w:rPr>
          <w:color w:val="0000FF"/>
          <w:spacing w:val="-1"/>
          <w:sz w:val="24"/>
        </w:rPr>
        <w:t>《国家危险废物名录》</w:t>
      </w:r>
      <w:r>
        <w:rPr>
          <w:color w:val="0000FF"/>
          <w:sz w:val="24"/>
        </w:rPr>
        <w:t>（</w:t>
      </w:r>
      <w:r>
        <w:rPr>
          <w:rFonts w:ascii="Times New Roman" w:eastAsia="Times New Roman"/>
          <w:color w:val="0000FF"/>
          <w:sz w:val="24"/>
        </w:rPr>
        <w:t>2016</w:t>
      </w:r>
      <w:r>
        <w:rPr>
          <w:color w:val="0000FF"/>
          <w:sz w:val="24"/>
        </w:rPr>
        <w:t>版</w:t>
      </w:r>
      <w:r>
        <w:rPr>
          <w:color w:val="0000FF"/>
          <w:spacing w:val="-7"/>
          <w:sz w:val="24"/>
        </w:rPr>
        <w:t>）</w:t>
      </w:r>
      <w:r>
        <w:rPr>
          <w:color w:val="0000FF"/>
          <w:spacing w:val="-4"/>
          <w:sz w:val="24"/>
        </w:rPr>
        <w:t>，中华人民共和国环境保护部联合国家发展和改革委员会、公安部修订，自</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8</w:t>
      </w:r>
      <w:r>
        <w:rPr>
          <w:color w:val="0000FF"/>
          <w:spacing w:val="-30"/>
          <w:sz w:val="24"/>
        </w:rPr>
        <w:t>月</w:t>
      </w:r>
      <w:r>
        <w:rPr>
          <w:rFonts w:ascii="Times New Roman" w:eastAsia="Times New Roman"/>
          <w:color w:val="0000FF"/>
          <w:sz w:val="24"/>
        </w:rPr>
        <w:t>1</w:t>
      </w:r>
      <w:r>
        <w:rPr>
          <w:color w:val="0000FF"/>
          <w:sz w:val="24"/>
        </w:rPr>
        <w:t>日起施行；</w:t>
      </w:r>
    </w:p>
    <w:p>
      <w:pPr>
        <w:pStyle w:val="7"/>
        <w:ind w:left="1020"/>
        <w:rPr>
          <w:color w:val="0000FF"/>
        </w:rPr>
      </w:pPr>
      <w:r>
        <w:rPr>
          <w:rFonts w:hint="eastAsia"/>
          <w:color w:val="0000FF"/>
          <w:spacing w:val="-12"/>
          <w:sz w:val="24"/>
          <w:lang w:val="en-US" w:eastAsia="zh-CN"/>
        </w:rPr>
        <w:t>（8）</w:t>
      </w:r>
      <w:r>
        <w:rPr>
          <w:color w:val="0000FF"/>
          <w:spacing w:val="23"/>
        </w:rPr>
        <w:t>关于发布《一般工业固体废物贮存、处置场污染控制标准》</w:t>
      </w:r>
    </w:p>
    <w:p>
      <w:pPr>
        <w:pStyle w:val="7"/>
        <w:spacing w:before="163"/>
        <w:rPr>
          <w:color w:val="0000FF"/>
        </w:rPr>
      </w:pPr>
      <w:r>
        <w:rPr>
          <w:color w:val="0000FF"/>
        </w:rPr>
        <w:t>（</w:t>
      </w:r>
      <w:r>
        <w:rPr>
          <w:rFonts w:ascii="Times New Roman" w:eastAsia="Times New Roman"/>
          <w:color w:val="0000FF"/>
        </w:rPr>
        <w:t>GB18599-2001</w:t>
      </w:r>
      <w:r>
        <w:rPr>
          <w:color w:val="0000FF"/>
        </w:rPr>
        <w:t>）</w:t>
      </w:r>
      <w:r>
        <w:rPr>
          <w:color w:val="0000FF"/>
          <w:spacing w:val="-21"/>
        </w:rPr>
        <w:t>等</w:t>
      </w:r>
      <w:r>
        <w:rPr>
          <w:rFonts w:ascii="Times New Roman" w:eastAsia="Times New Roman"/>
          <w:color w:val="0000FF"/>
        </w:rPr>
        <w:t>3</w:t>
      </w:r>
      <w:r>
        <w:rPr>
          <w:color w:val="0000FF"/>
        </w:rPr>
        <w:t>项国家污染物控制标准修改单的公告</w:t>
      </w:r>
      <w:r>
        <w:rPr>
          <w:color w:val="0000FF"/>
          <w:spacing w:val="4"/>
        </w:rPr>
        <w:t>（</w:t>
      </w:r>
      <w:r>
        <w:rPr>
          <w:color w:val="0000FF"/>
        </w:rPr>
        <w:t>环境保护部公告</w:t>
      </w:r>
    </w:p>
    <w:p>
      <w:pPr>
        <w:pStyle w:val="7"/>
        <w:spacing w:before="162"/>
        <w:rPr>
          <w:color w:val="0000FF"/>
        </w:rPr>
      </w:pPr>
      <w:r>
        <w:rPr>
          <w:rFonts w:ascii="Times New Roman" w:eastAsia="Times New Roman"/>
          <w:color w:val="0000FF"/>
        </w:rPr>
        <w:t>2013</w:t>
      </w:r>
      <w:r>
        <w:rPr>
          <w:color w:val="0000FF"/>
        </w:rPr>
        <w:t>年第</w:t>
      </w:r>
      <w:r>
        <w:rPr>
          <w:rFonts w:ascii="Times New Roman" w:eastAsia="Times New Roman"/>
          <w:color w:val="0000FF"/>
        </w:rPr>
        <w:t>36</w:t>
      </w:r>
      <w:r>
        <w:rPr>
          <w:color w:val="0000FF"/>
        </w:rPr>
        <w:t>号，</w:t>
      </w:r>
      <w:r>
        <w:rPr>
          <w:rFonts w:ascii="Times New Roman" w:eastAsia="Times New Roman"/>
          <w:color w:val="0000FF"/>
        </w:rPr>
        <w:t>2013</w:t>
      </w:r>
      <w:r>
        <w:rPr>
          <w:color w:val="0000FF"/>
        </w:rPr>
        <w:t>年</w:t>
      </w:r>
      <w:r>
        <w:rPr>
          <w:rFonts w:ascii="Times New Roman" w:eastAsia="Times New Roman"/>
          <w:color w:val="0000FF"/>
        </w:rPr>
        <w:t>6</w:t>
      </w:r>
      <w:r>
        <w:rPr>
          <w:color w:val="0000FF"/>
        </w:rPr>
        <w:t>月</w:t>
      </w:r>
      <w:r>
        <w:rPr>
          <w:rFonts w:ascii="Times New Roman" w:eastAsia="Times New Roman"/>
          <w:color w:val="0000FF"/>
        </w:rPr>
        <w:t>8</w:t>
      </w:r>
      <w:r>
        <w:rPr>
          <w:color w:val="0000FF"/>
        </w:rPr>
        <w:t>日起施行）；</w:t>
      </w:r>
    </w:p>
    <w:p>
      <w:pPr>
        <w:pStyle w:val="17"/>
        <w:numPr>
          <w:ilvl w:val="0"/>
          <w:numId w:val="0"/>
        </w:numPr>
        <w:tabs>
          <w:tab w:val="left" w:pos="1621"/>
        </w:tabs>
        <w:spacing w:before="163" w:after="0" w:line="240" w:lineRule="auto"/>
        <w:ind w:left="1020" w:leftChars="0" w:right="0" w:rightChars="0"/>
        <w:jc w:val="left"/>
        <w:rPr>
          <w:color w:val="0000FF"/>
          <w:sz w:val="24"/>
        </w:rPr>
      </w:pPr>
      <w:r>
        <w:rPr>
          <w:rFonts w:hint="eastAsia"/>
          <w:color w:val="0000FF"/>
          <w:spacing w:val="-12"/>
          <w:sz w:val="24"/>
          <w:lang w:val="en-US" w:eastAsia="zh-CN"/>
        </w:rPr>
        <w:t>（9）</w:t>
      </w:r>
      <w:r>
        <w:rPr>
          <w:color w:val="0000FF"/>
          <w:spacing w:val="-3"/>
          <w:sz w:val="24"/>
        </w:rPr>
        <w:t>《畜禽养殖污染防治管理办法》，国环〔</w:t>
      </w:r>
      <w:r>
        <w:rPr>
          <w:rFonts w:ascii="Times New Roman" w:eastAsia="Times New Roman"/>
          <w:color w:val="0000FF"/>
          <w:sz w:val="24"/>
        </w:rPr>
        <w:t>2011</w:t>
      </w:r>
      <w:r>
        <w:rPr>
          <w:color w:val="0000FF"/>
          <w:spacing w:val="-23"/>
          <w:sz w:val="24"/>
        </w:rPr>
        <w:t>〕第</w:t>
      </w:r>
      <w:r>
        <w:rPr>
          <w:rFonts w:ascii="Times New Roman" w:eastAsia="Times New Roman"/>
          <w:color w:val="0000FF"/>
          <w:sz w:val="24"/>
        </w:rPr>
        <w:t>9</w:t>
      </w:r>
      <w:r>
        <w:rPr>
          <w:color w:val="0000FF"/>
          <w:sz w:val="24"/>
        </w:rPr>
        <w:t>号，</w:t>
      </w:r>
      <w:r>
        <w:rPr>
          <w:rFonts w:ascii="Times New Roman" w:eastAsia="Times New Roman"/>
          <w:color w:val="0000FF"/>
          <w:sz w:val="24"/>
        </w:rPr>
        <w:t>2002</w:t>
      </w:r>
      <w:r>
        <w:rPr>
          <w:color w:val="0000FF"/>
          <w:spacing w:val="-31"/>
          <w:sz w:val="24"/>
        </w:rPr>
        <w:t>年</w:t>
      </w:r>
      <w:r>
        <w:rPr>
          <w:rFonts w:ascii="Times New Roman" w:eastAsia="Times New Roman"/>
          <w:color w:val="0000FF"/>
          <w:sz w:val="24"/>
        </w:rPr>
        <w:t>5</w:t>
      </w:r>
      <w:r>
        <w:rPr>
          <w:color w:val="0000FF"/>
          <w:sz w:val="24"/>
        </w:rPr>
        <w:t>月</w:t>
      </w:r>
    </w:p>
    <w:p>
      <w:pPr>
        <w:pStyle w:val="7"/>
        <w:spacing w:before="161"/>
        <w:rPr>
          <w:color w:val="0000FF"/>
        </w:rPr>
      </w:pPr>
      <w:r>
        <w:rPr>
          <w:rFonts w:ascii="Times New Roman" w:eastAsia="Times New Roman"/>
          <w:color w:val="0000FF"/>
        </w:rPr>
        <w:t>8</w:t>
      </w:r>
      <w:r>
        <w:rPr>
          <w:color w:val="0000FF"/>
        </w:rPr>
        <w:t>日；</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pacing w:val="-12"/>
          <w:sz w:val="24"/>
          <w:lang w:val="en-US" w:eastAsia="zh-CN"/>
        </w:rPr>
        <w:t>（10）</w:t>
      </w:r>
      <w:r>
        <w:rPr>
          <w:color w:val="0000FF"/>
          <w:spacing w:val="-2"/>
          <w:sz w:val="24"/>
        </w:rPr>
        <w:t>《关于发布</w:t>
      </w:r>
      <w:r>
        <w:rPr>
          <w:rFonts w:ascii="Times New Roman" w:eastAsia="Times New Roman"/>
          <w:color w:val="0000FF"/>
          <w:sz w:val="24"/>
        </w:rPr>
        <w:t>&lt;</w:t>
      </w:r>
      <w:r>
        <w:rPr>
          <w:color w:val="0000FF"/>
          <w:sz w:val="24"/>
        </w:rPr>
        <w:t>畜禽养殖业污染防治技术政策</w:t>
      </w:r>
      <w:r>
        <w:rPr>
          <w:rFonts w:ascii="Times New Roman" w:eastAsia="Times New Roman"/>
          <w:color w:val="0000FF"/>
          <w:sz w:val="24"/>
        </w:rPr>
        <w:t>&gt;</w:t>
      </w:r>
      <w:r>
        <w:rPr>
          <w:color w:val="0000FF"/>
          <w:spacing w:val="-1"/>
          <w:sz w:val="24"/>
        </w:rPr>
        <w:t>的通知》，环发〔</w:t>
      </w:r>
      <w:r>
        <w:rPr>
          <w:rFonts w:ascii="Times New Roman" w:eastAsia="Times New Roman"/>
          <w:color w:val="0000FF"/>
          <w:sz w:val="24"/>
        </w:rPr>
        <w:t>2010</w:t>
      </w:r>
      <w:r>
        <w:rPr>
          <w:color w:val="0000FF"/>
          <w:sz w:val="24"/>
        </w:rPr>
        <w:t>〕</w:t>
      </w:r>
    </w:p>
    <w:p>
      <w:pPr>
        <w:pStyle w:val="7"/>
        <w:spacing w:before="163"/>
        <w:rPr>
          <w:color w:val="0000FF"/>
        </w:rPr>
      </w:pPr>
      <w:r>
        <w:rPr>
          <w:rFonts w:ascii="Times New Roman" w:eastAsia="Times New Roman"/>
          <w:color w:val="0000FF"/>
        </w:rPr>
        <w:t>151</w:t>
      </w:r>
      <w:r>
        <w:rPr>
          <w:color w:val="0000FF"/>
        </w:rPr>
        <w:t>号，</w:t>
      </w:r>
      <w:r>
        <w:rPr>
          <w:rFonts w:ascii="Times New Roman" w:eastAsia="Times New Roman"/>
          <w:color w:val="0000FF"/>
        </w:rPr>
        <w:t>2010</w:t>
      </w:r>
      <w:r>
        <w:rPr>
          <w:color w:val="0000FF"/>
        </w:rPr>
        <w:t>年</w:t>
      </w:r>
      <w:r>
        <w:rPr>
          <w:rFonts w:ascii="Times New Roman" w:eastAsia="Times New Roman"/>
          <w:color w:val="0000FF"/>
        </w:rPr>
        <w:t>12</w:t>
      </w:r>
      <w:r>
        <w:rPr>
          <w:color w:val="0000FF"/>
        </w:rPr>
        <w:t>月；</w:t>
      </w:r>
    </w:p>
    <w:p>
      <w:pPr>
        <w:pStyle w:val="17"/>
        <w:numPr>
          <w:ilvl w:val="0"/>
          <w:numId w:val="0"/>
        </w:numPr>
        <w:tabs>
          <w:tab w:val="left" w:pos="1732"/>
        </w:tabs>
        <w:spacing w:before="163" w:after="0" w:line="240" w:lineRule="auto"/>
        <w:ind w:left="1019" w:leftChars="0" w:right="0" w:rightChars="0"/>
        <w:jc w:val="left"/>
        <w:rPr>
          <w:color w:val="0000FF"/>
          <w:sz w:val="24"/>
        </w:rPr>
      </w:pPr>
      <w:r>
        <w:rPr>
          <w:rFonts w:hint="eastAsia"/>
          <w:color w:val="0000FF"/>
          <w:spacing w:val="-12"/>
          <w:sz w:val="24"/>
          <w:lang w:val="en-US" w:eastAsia="zh-CN"/>
        </w:rPr>
        <w:t>（11）</w:t>
      </w:r>
      <w:r>
        <w:rPr>
          <w:color w:val="0000FF"/>
          <w:spacing w:val="-4"/>
          <w:sz w:val="24"/>
        </w:rPr>
        <w:t>《农业部关于加快推进畜禽标准化规模养殖的意见》</w:t>
      </w:r>
      <w:r>
        <w:rPr>
          <w:color w:val="0000FF"/>
          <w:sz w:val="24"/>
        </w:rPr>
        <w:t>（</w:t>
      </w:r>
      <w:r>
        <w:rPr>
          <w:color w:val="0000FF"/>
          <w:spacing w:val="-12"/>
          <w:sz w:val="24"/>
        </w:rPr>
        <w:t>农牧发〔</w:t>
      </w:r>
      <w:r>
        <w:rPr>
          <w:rFonts w:ascii="Times New Roman" w:eastAsia="Times New Roman"/>
          <w:color w:val="0000FF"/>
          <w:sz w:val="24"/>
        </w:rPr>
        <w:t>2010</w:t>
      </w:r>
      <w:r>
        <w:rPr>
          <w:color w:val="0000FF"/>
          <w:sz w:val="24"/>
        </w:rPr>
        <w:t>〕</w:t>
      </w:r>
    </w:p>
    <w:p>
      <w:pPr>
        <w:pStyle w:val="7"/>
        <w:spacing w:before="162"/>
        <w:rPr>
          <w:color w:val="0000FF"/>
        </w:rPr>
      </w:pPr>
      <w:r>
        <w:rPr>
          <w:rFonts w:ascii="Times New Roman" w:eastAsia="Times New Roman"/>
          <w:color w:val="0000FF"/>
        </w:rPr>
        <w:t>6</w:t>
      </w:r>
      <w:r>
        <w:rPr>
          <w:color w:val="0000FF"/>
        </w:rPr>
        <w:t>号）；</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pacing w:val="-12"/>
          <w:sz w:val="24"/>
          <w:lang w:val="en-US" w:eastAsia="zh-CN"/>
        </w:rPr>
        <w:t>（12）</w:t>
      </w:r>
      <w:r>
        <w:rPr>
          <w:color w:val="0000FF"/>
          <w:spacing w:val="-6"/>
          <w:sz w:val="24"/>
        </w:rPr>
        <w:t>《关于促进规模化畜禽养殖有关用地政策的通知》</w:t>
      </w:r>
      <w:r>
        <w:rPr>
          <w:color w:val="0000FF"/>
          <w:spacing w:val="-3"/>
          <w:sz w:val="24"/>
        </w:rPr>
        <w:t>（</w:t>
      </w:r>
      <w:r>
        <w:rPr>
          <w:color w:val="0000FF"/>
          <w:spacing w:val="-10"/>
          <w:sz w:val="24"/>
        </w:rPr>
        <w:t>国土资发〔</w:t>
      </w:r>
      <w:r>
        <w:rPr>
          <w:rFonts w:ascii="Times New Roman" w:eastAsia="Times New Roman"/>
          <w:color w:val="0000FF"/>
          <w:sz w:val="24"/>
        </w:rPr>
        <w:t>2007</w:t>
      </w:r>
      <w:r>
        <w:rPr>
          <w:color w:val="0000FF"/>
          <w:sz w:val="24"/>
        </w:rPr>
        <w:t>〕</w:t>
      </w:r>
    </w:p>
    <w:p>
      <w:pPr>
        <w:spacing w:after="0" w:line="240" w:lineRule="auto"/>
        <w:jc w:val="left"/>
        <w:rPr>
          <w:color w:val="0000FF"/>
          <w:sz w:val="24"/>
        </w:rPr>
        <w:sectPr>
          <w:footerReference r:id="rId10"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7"/>
        <w:spacing w:before="76"/>
        <w:rPr>
          <w:color w:val="0000FF"/>
        </w:rPr>
      </w:pPr>
      <w:r>
        <w:rPr>
          <w:rFonts w:ascii="Times New Roman" w:eastAsia="Times New Roman"/>
          <w:color w:val="0000FF"/>
        </w:rPr>
        <w:t>220</w:t>
      </w:r>
      <w:r>
        <w:rPr>
          <w:color w:val="0000FF"/>
        </w:rPr>
        <w:t>号；</w:t>
      </w:r>
    </w:p>
    <w:p>
      <w:pPr>
        <w:pStyle w:val="17"/>
        <w:numPr>
          <w:ilvl w:val="0"/>
          <w:numId w:val="0"/>
        </w:numPr>
        <w:tabs>
          <w:tab w:val="left" w:pos="1741"/>
        </w:tabs>
        <w:spacing w:before="161" w:after="0" w:line="240" w:lineRule="auto"/>
        <w:ind w:left="1020" w:leftChars="0" w:right="0" w:rightChars="0"/>
        <w:jc w:val="left"/>
        <w:rPr>
          <w:color w:val="0000FF"/>
          <w:sz w:val="24"/>
        </w:rPr>
      </w:pPr>
      <w:r>
        <w:rPr>
          <w:rFonts w:hint="eastAsia"/>
          <w:color w:val="0000FF"/>
          <w:spacing w:val="-12"/>
          <w:sz w:val="24"/>
          <w:lang w:val="en-US" w:eastAsia="zh-CN"/>
        </w:rPr>
        <w:t>（13）</w:t>
      </w:r>
      <w:r>
        <w:rPr>
          <w:color w:val="0000FF"/>
          <w:sz w:val="24"/>
        </w:rPr>
        <w:t>《国家突发重大动物疫情应急预案》；</w:t>
      </w:r>
    </w:p>
    <w:p>
      <w:pPr>
        <w:pStyle w:val="17"/>
        <w:numPr>
          <w:ilvl w:val="0"/>
          <w:numId w:val="0"/>
        </w:numPr>
        <w:tabs>
          <w:tab w:val="left" w:pos="1741"/>
        </w:tabs>
        <w:spacing w:before="162" w:after="0" w:line="240" w:lineRule="auto"/>
        <w:ind w:left="1020" w:leftChars="0" w:right="0" w:rightChars="0"/>
        <w:jc w:val="left"/>
        <w:rPr>
          <w:rFonts w:ascii="Times New Roman" w:eastAsia="Times New Roman"/>
          <w:color w:val="0000FF"/>
          <w:sz w:val="24"/>
        </w:rPr>
      </w:pPr>
      <w:r>
        <w:rPr>
          <w:rFonts w:hint="eastAsia"/>
          <w:color w:val="0000FF"/>
          <w:spacing w:val="-12"/>
          <w:sz w:val="24"/>
          <w:lang w:val="en-US" w:eastAsia="zh-CN"/>
        </w:rPr>
        <w:t>（14）</w:t>
      </w:r>
      <w:r>
        <w:rPr>
          <w:color w:val="0000FF"/>
          <w:spacing w:val="-3"/>
          <w:sz w:val="24"/>
        </w:rPr>
        <w:t>《重大动物疫情应急条例》</w:t>
      </w:r>
      <w:r>
        <w:rPr>
          <w:color w:val="0000FF"/>
          <w:sz w:val="24"/>
        </w:rPr>
        <w:t>（</w:t>
      </w:r>
      <w:r>
        <w:rPr>
          <w:color w:val="0000FF"/>
          <w:spacing w:val="-10"/>
          <w:sz w:val="24"/>
        </w:rPr>
        <w:t>国务院令第</w:t>
      </w:r>
      <w:r>
        <w:rPr>
          <w:rFonts w:ascii="Times New Roman" w:eastAsia="Times New Roman"/>
          <w:color w:val="0000FF"/>
          <w:sz w:val="24"/>
        </w:rPr>
        <w:t>450</w:t>
      </w:r>
      <w:r>
        <w:rPr>
          <w:color w:val="0000FF"/>
          <w:sz w:val="24"/>
        </w:rPr>
        <w:t>号</w:t>
      </w:r>
      <w:r>
        <w:rPr>
          <w:color w:val="0000FF"/>
          <w:spacing w:val="-5"/>
          <w:sz w:val="24"/>
        </w:rPr>
        <w:t>），</w:t>
      </w:r>
      <w:r>
        <w:rPr>
          <w:rFonts w:ascii="Times New Roman" w:eastAsia="Times New Roman"/>
          <w:color w:val="0000FF"/>
          <w:spacing w:val="-5"/>
          <w:sz w:val="24"/>
        </w:rPr>
        <w:t>2005</w:t>
      </w:r>
      <w:r>
        <w:rPr>
          <w:color w:val="0000FF"/>
          <w:spacing w:val="-30"/>
          <w:sz w:val="24"/>
        </w:rPr>
        <w:t>年</w:t>
      </w:r>
      <w:r>
        <w:rPr>
          <w:rFonts w:ascii="Times New Roman" w:eastAsia="Times New Roman"/>
          <w:color w:val="0000FF"/>
          <w:spacing w:val="-3"/>
          <w:sz w:val="24"/>
        </w:rPr>
        <w:t>11</w:t>
      </w:r>
      <w:r>
        <w:rPr>
          <w:color w:val="0000FF"/>
          <w:spacing w:val="-29"/>
          <w:sz w:val="24"/>
        </w:rPr>
        <w:t>月</w:t>
      </w:r>
      <w:r>
        <w:rPr>
          <w:rFonts w:ascii="Times New Roman" w:eastAsia="Times New Roman"/>
          <w:color w:val="0000FF"/>
          <w:sz w:val="24"/>
        </w:rPr>
        <w:t>18</w:t>
      </w:r>
    </w:p>
    <w:p>
      <w:pPr>
        <w:pStyle w:val="7"/>
        <w:spacing w:before="163"/>
        <w:rPr>
          <w:color w:val="0000FF"/>
        </w:rPr>
      </w:pPr>
      <w:r>
        <w:rPr>
          <w:color w:val="0000FF"/>
        </w:rPr>
        <w:t>日；</w:t>
      </w:r>
    </w:p>
    <w:p>
      <w:pPr>
        <w:pStyle w:val="17"/>
        <w:numPr>
          <w:ilvl w:val="0"/>
          <w:numId w:val="0"/>
        </w:numPr>
        <w:tabs>
          <w:tab w:val="left" w:pos="1752"/>
        </w:tabs>
        <w:spacing w:before="163" w:after="0" w:line="367" w:lineRule="auto"/>
        <w:ind w:left="1020" w:leftChars="0" w:right="577" w:rightChars="0"/>
        <w:jc w:val="left"/>
        <w:rPr>
          <w:color w:val="0000FF"/>
          <w:sz w:val="24"/>
        </w:rPr>
      </w:pPr>
      <w:r>
        <w:rPr>
          <w:rFonts w:hint="eastAsia"/>
          <w:color w:val="0000FF"/>
          <w:spacing w:val="-12"/>
          <w:sz w:val="24"/>
          <w:lang w:val="en-US" w:eastAsia="zh-CN"/>
        </w:rPr>
        <w:t>（15）</w:t>
      </w:r>
      <w:r>
        <w:rPr>
          <w:color w:val="0000FF"/>
          <w:sz w:val="24"/>
        </w:rPr>
        <w:t>《关于印发</w:t>
      </w:r>
      <w:r>
        <w:rPr>
          <w:rFonts w:ascii="Times New Roman" w:eastAsia="Times New Roman"/>
          <w:color w:val="0000FF"/>
          <w:spacing w:val="3"/>
          <w:sz w:val="24"/>
        </w:rPr>
        <w:t>&lt;</w:t>
      </w:r>
      <w:r>
        <w:rPr>
          <w:color w:val="0000FF"/>
          <w:sz w:val="24"/>
        </w:rPr>
        <w:t>病死及死因不明动物处置办法（</w:t>
      </w:r>
      <w:r>
        <w:rPr>
          <w:color w:val="0000FF"/>
          <w:spacing w:val="2"/>
          <w:sz w:val="24"/>
        </w:rPr>
        <w:t>试行）</w:t>
      </w:r>
      <w:r>
        <w:rPr>
          <w:rFonts w:ascii="Times New Roman" w:eastAsia="Times New Roman"/>
          <w:color w:val="0000FF"/>
          <w:spacing w:val="2"/>
          <w:sz w:val="24"/>
        </w:rPr>
        <w:t>&gt;</w:t>
      </w:r>
      <w:r>
        <w:rPr>
          <w:color w:val="0000FF"/>
          <w:sz w:val="24"/>
        </w:rPr>
        <w:t>的通知》，农医发〔</w:t>
      </w:r>
      <w:r>
        <w:rPr>
          <w:rFonts w:ascii="Times New Roman" w:eastAsia="Times New Roman"/>
          <w:color w:val="0000FF"/>
          <w:sz w:val="24"/>
        </w:rPr>
        <w:t>2005</w:t>
      </w:r>
      <w:r>
        <w:rPr>
          <w:color w:val="0000FF"/>
          <w:sz w:val="24"/>
        </w:rPr>
        <w:t>〕</w:t>
      </w:r>
      <w:r>
        <w:rPr>
          <w:rFonts w:ascii="Times New Roman" w:eastAsia="Times New Roman"/>
          <w:color w:val="0000FF"/>
          <w:sz w:val="24"/>
        </w:rPr>
        <w:t>25</w:t>
      </w:r>
      <w:r>
        <w:rPr>
          <w:color w:val="0000FF"/>
          <w:sz w:val="24"/>
        </w:rPr>
        <w:t>号；</w:t>
      </w:r>
    </w:p>
    <w:p>
      <w:pPr>
        <w:pStyle w:val="17"/>
        <w:numPr>
          <w:ilvl w:val="0"/>
          <w:numId w:val="0"/>
        </w:numPr>
        <w:tabs>
          <w:tab w:val="left" w:pos="1760"/>
        </w:tabs>
        <w:spacing w:before="0" w:after="0" w:line="240" w:lineRule="auto"/>
        <w:ind w:left="1019" w:leftChars="0" w:right="0" w:rightChars="0"/>
        <w:jc w:val="left"/>
        <w:rPr>
          <w:rFonts w:ascii="Times New Roman" w:eastAsia="Times New Roman"/>
          <w:color w:val="0000FF"/>
          <w:sz w:val="24"/>
        </w:rPr>
      </w:pPr>
      <w:r>
        <w:rPr>
          <w:rFonts w:hint="eastAsia"/>
          <w:color w:val="0000FF"/>
          <w:spacing w:val="-12"/>
          <w:sz w:val="24"/>
          <w:lang w:val="en-US" w:eastAsia="zh-CN"/>
        </w:rPr>
        <w:t>（16）</w:t>
      </w:r>
      <w:r>
        <w:rPr>
          <w:color w:val="0000FF"/>
          <w:spacing w:val="1"/>
          <w:sz w:val="24"/>
        </w:rPr>
        <w:t>《畜禽规模养殖污染防治条例》，中华人民共和国国务院令第</w:t>
      </w:r>
      <w:r>
        <w:rPr>
          <w:rFonts w:ascii="Times New Roman" w:eastAsia="Times New Roman"/>
          <w:color w:val="0000FF"/>
          <w:sz w:val="24"/>
        </w:rPr>
        <w:t>643</w:t>
      </w:r>
    </w:p>
    <w:p>
      <w:pPr>
        <w:pStyle w:val="7"/>
        <w:spacing w:before="161"/>
        <w:rPr>
          <w:color w:val="0000FF"/>
        </w:rPr>
      </w:pPr>
      <w:r>
        <w:rPr>
          <w:color w:val="0000FF"/>
        </w:rPr>
        <w:t>号，</w:t>
      </w:r>
      <w:r>
        <w:rPr>
          <w:rFonts w:ascii="Times New Roman" w:eastAsia="Times New Roman"/>
          <w:color w:val="0000FF"/>
        </w:rPr>
        <w:t>2014</w:t>
      </w:r>
      <w:r>
        <w:rPr>
          <w:color w:val="0000FF"/>
        </w:rPr>
        <w:t>年</w:t>
      </w:r>
      <w:r>
        <w:rPr>
          <w:rFonts w:ascii="Times New Roman" w:eastAsia="Times New Roman"/>
          <w:color w:val="0000FF"/>
        </w:rPr>
        <w:t>1</w:t>
      </w:r>
      <w:r>
        <w:rPr>
          <w:color w:val="0000FF"/>
        </w:rPr>
        <w:t>月</w:t>
      </w:r>
      <w:r>
        <w:rPr>
          <w:rFonts w:ascii="Times New Roman" w:eastAsia="Times New Roman"/>
          <w:color w:val="0000FF"/>
        </w:rPr>
        <w:t>1</w:t>
      </w:r>
      <w:r>
        <w:rPr>
          <w:color w:val="0000FF"/>
        </w:rPr>
        <w:t>日起施行；</w:t>
      </w:r>
    </w:p>
    <w:p>
      <w:pPr>
        <w:pStyle w:val="17"/>
        <w:numPr>
          <w:ilvl w:val="0"/>
          <w:numId w:val="0"/>
        </w:numPr>
        <w:tabs>
          <w:tab w:val="left" w:pos="1741"/>
        </w:tabs>
        <w:spacing w:before="162" w:after="0" w:line="240" w:lineRule="auto"/>
        <w:ind w:left="1020" w:leftChars="0" w:right="0" w:rightChars="0"/>
        <w:jc w:val="left"/>
        <w:rPr>
          <w:rFonts w:ascii="Times New Roman" w:eastAsia="Times New Roman"/>
          <w:color w:val="0000FF"/>
          <w:sz w:val="24"/>
        </w:rPr>
      </w:pPr>
      <w:r>
        <w:rPr>
          <w:rFonts w:hint="eastAsia"/>
          <w:color w:val="0000FF"/>
          <w:spacing w:val="-12"/>
          <w:sz w:val="24"/>
          <w:lang w:val="en-US" w:eastAsia="zh-CN"/>
        </w:rPr>
        <w:t>（17）</w:t>
      </w:r>
      <w:r>
        <w:rPr>
          <w:color w:val="0000FF"/>
          <w:spacing w:val="-9"/>
          <w:sz w:val="24"/>
        </w:rPr>
        <w:t>《饲料药物添加剂使用规范》，农业部公告第</w:t>
      </w:r>
      <w:r>
        <w:rPr>
          <w:rFonts w:ascii="Times New Roman" w:eastAsia="Times New Roman"/>
          <w:color w:val="0000FF"/>
          <w:sz w:val="24"/>
        </w:rPr>
        <w:t>168</w:t>
      </w:r>
      <w:r>
        <w:rPr>
          <w:color w:val="0000FF"/>
          <w:spacing w:val="-2"/>
          <w:sz w:val="24"/>
        </w:rPr>
        <w:t>号，</w:t>
      </w:r>
      <w:r>
        <w:rPr>
          <w:rFonts w:ascii="Times New Roman" w:eastAsia="Times New Roman"/>
          <w:color w:val="0000FF"/>
          <w:spacing w:val="-4"/>
          <w:sz w:val="24"/>
        </w:rPr>
        <w:t>2001</w:t>
      </w:r>
      <w:r>
        <w:rPr>
          <w:color w:val="0000FF"/>
          <w:spacing w:val="-31"/>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4</w:t>
      </w:r>
    </w:p>
    <w:p>
      <w:pPr>
        <w:pStyle w:val="7"/>
        <w:spacing w:before="163"/>
        <w:rPr>
          <w:color w:val="0000FF"/>
        </w:rPr>
      </w:pPr>
      <w:r>
        <w:rPr>
          <w:color w:val="0000FF"/>
        </w:rPr>
        <w:t>日；</w:t>
      </w:r>
    </w:p>
    <w:p>
      <w:pPr>
        <w:pStyle w:val="17"/>
        <w:numPr>
          <w:ilvl w:val="0"/>
          <w:numId w:val="0"/>
        </w:numPr>
        <w:tabs>
          <w:tab w:val="left" w:pos="1741"/>
        </w:tabs>
        <w:spacing w:before="163" w:after="0" w:line="367" w:lineRule="auto"/>
        <w:ind w:left="1020" w:leftChars="0" w:right="605" w:rightChars="0"/>
        <w:jc w:val="left"/>
        <w:rPr>
          <w:color w:val="0000FF"/>
          <w:sz w:val="24"/>
        </w:rPr>
      </w:pPr>
      <w:r>
        <w:rPr>
          <w:rFonts w:hint="eastAsia"/>
          <w:color w:val="0000FF"/>
          <w:spacing w:val="-12"/>
          <w:sz w:val="24"/>
          <w:lang w:val="en-US" w:eastAsia="zh-CN"/>
        </w:rPr>
        <w:t>（18）</w:t>
      </w:r>
      <w:r>
        <w:rPr>
          <w:color w:val="0000FF"/>
          <w:sz w:val="24"/>
        </w:rPr>
        <w:t>《关于病害动物无害化处理有关意见的复函》（环办函〔</w:t>
      </w:r>
      <w:r>
        <w:rPr>
          <w:rFonts w:ascii="Times New Roman" w:eastAsia="Times New Roman"/>
          <w:color w:val="0000FF"/>
          <w:sz w:val="24"/>
        </w:rPr>
        <w:t>2014</w:t>
      </w:r>
      <w:r>
        <w:rPr>
          <w:color w:val="0000FF"/>
          <w:sz w:val="24"/>
        </w:rPr>
        <w:t>〕</w:t>
      </w:r>
      <w:r>
        <w:rPr>
          <w:rFonts w:ascii="Times New Roman" w:eastAsia="Times New Roman"/>
          <w:color w:val="0000FF"/>
          <w:spacing w:val="-7"/>
          <w:sz w:val="24"/>
        </w:rPr>
        <w:t>789</w:t>
      </w:r>
      <w:r>
        <w:rPr>
          <w:color w:val="0000FF"/>
          <w:sz w:val="24"/>
        </w:rPr>
        <w:t>号）；</w:t>
      </w:r>
    </w:p>
    <w:p>
      <w:pPr>
        <w:pStyle w:val="17"/>
        <w:numPr>
          <w:ilvl w:val="0"/>
          <w:numId w:val="0"/>
        </w:numPr>
        <w:tabs>
          <w:tab w:val="left" w:pos="1741"/>
        </w:tabs>
        <w:spacing w:before="0" w:after="0" w:line="364" w:lineRule="auto"/>
        <w:ind w:left="1020" w:leftChars="0" w:right="577" w:rightChars="0"/>
        <w:jc w:val="left"/>
        <w:rPr>
          <w:color w:val="0000FF"/>
          <w:sz w:val="24"/>
        </w:rPr>
      </w:pPr>
      <w:r>
        <w:rPr>
          <w:rFonts w:hint="eastAsia"/>
          <w:color w:val="0000FF"/>
          <w:spacing w:val="-12"/>
          <w:sz w:val="24"/>
          <w:lang w:val="en-US" w:eastAsia="zh-CN"/>
        </w:rPr>
        <w:t>（19）</w:t>
      </w:r>
      <w:r>
        <w:rPr>
          <w:color w:val="0000FF"/>
          <w:spacing w:val="-1"/>
          <w:sz w:val="24"/>
        </w:rPr>
        <w:t>《国务院办公厅关于加快推进畜禽养殖废弃物资源化利用的意见</w:t>
      </w:r>
      <w:r>
        <w:rPr>
          <w:color w:val="0000FF"/>
          <w:spacing w:val="-159"/>
          <w:sz w:val="24"/>
        </w:rPr>
        <w:t>》</w:t>
      </w:r>
      <w:r>
        <w:rPr>
          <w:color w:val="0000FF"/>
          <w:spacing w:val="-3"/>
          <w:sz w:val="24"/>
        </w:rPr>
        <w:t>（</w:t>
      </w:r>
      <w:r>
        <w:rPr>
          <w:color w:val="0000FF"/>
          <w:spacing w:val="-5"/>
          <w:sz w:val="24"/>
        </w:rPr>
        <w:t>国办发〔</w:t>
      </w:r>
      <w:r>
        <w:rPr>
          <w:rFonts w:ascii="Times New Roman" w:eastAsia="Times New Roman"/>
          <w:color w:val="0000FF"/>
          <w:sz w:val="24"/>
        </w:rPr>
        <w:t>2017</w:t>
      </w:r>
      <w:r>
        <w:rPr>
          <w:color w:val="0000FF"/>
          <w:sz w:val="24"/>
        </w:rPr>
        <w:t>〕</w:t>
      </w:r>
      <w:r>
        <w:rPr>
          <w:rFonts w:ascii="Times New Roman" w:eastAsia="Times New Roman"/>
          <w:color w:val="0000FF"/>
          <w:sz w:val="24"/>
        </w:rPr>
        <w:t>48</w:t>
      </w:r>
      <w:r>
        <w:rPr>
          <w:color w:val="0000FF"/>
          <w:sz w:val="24"/>
        </w:rPr>
        <w:t>号）；</w:t>
      </w:r>
    </w:p>
    <w:p>
      <w:pPr>
        <w:pStyle w:val="17"/>
        <w:numPr>
          <w:ilvl w:val="0"/>
          <w:numId w:val="0"/>
        </w:numPr>
        <w:tabs>
          <w:tab w:val="left" w:pos="1741"/>
        </w:tabs>
        <w:spacing w:before="4" w:after="0" w:line="240" w:lineRule="auto"/>
        <w:ind w:left="1020" w:leftChars="0" w:right="0" w:rightChars="0"/>
        <w:jc w:val="left"/>
        <w:rPr>
          <w:color w:val="0000FF"/>
          <w:sz w:val="24"/>
        </w:rPr>
      </w:pPr>
      <w:r>
        <w:rPr>
          <w:rFonts w:hint="eastAsia"/>
          <w:color w:val="0000FF"/>
          <w:spacing w:val="-12"/>
          <w:sz w:val="24"/>
          <w:lang w:val="en-US" w:eastAsia="zh-CN"/>
        </w:rPr>
        <w:t>（20）</w:t>
      </w:r>
      <w:r>
        <w:rPr>
          <w:color w:val="0000FF"/>
          <w:sz w:val="24"/>
        </w:rPr>
        <w:t>《畜禽粪污资源化利用行动方案（</w:t>
      </w:r>
      <w:r>
        <w:rPr>
          <w:rFonts w:ascii="Times New Roman" w:eastAsia="Times New Roman"/>
          <w:color w:val="0000FF"/>
          <w:sz w:val="24"/>
        </w:rPr>
        <w:t>2017-2020</w:t>
      </w:r>
      <w:r>
        <w:rPr>
          <w:color w:val="0000FF"/>
          <w:sz w:val="24"/>
        </w:rPr>
        <w:t>年）》；</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pacing w:val="-12"/>
          <w:sz w:val="24"/>
          <w:lang w:val="en-US" w:eastAsia="zh-CN"/>
        </w:rPr>
        <w:t>（21）</w:t>
      </w:r>
      <w:r>
        <w:rPr>
          <w:color w:val="0000FF"/>
          <w:spacing w:val="-9"/>
          <w:sz w:val="24"/>
        </w:rPr>
        <w:t>关于印发《畜禽养殖场</w:t>
      </w:r>
      <w:r>
        <w:rPr>
          <w:color w:val="0000FF"/>
          <w:sz w:val="24"/>
        </w:rPr>
        <w:t>（小区</w:t>
      </w:r>
      <w:r>
        <w:rPr>
          <w:color w:val="0000FF"/>
          <w:spacing w:val="-29"/>
          <w:sz w:val="24"/>
        </w:rPr>
        <w:t>）</w:t>
      </w:r>
      <w:r>
        <w:rPr>
          <w:color w:val="0000FF"/>
          <w:spacing w:val="-8"/>
          <w:sz w:val="24"/>
        </w:rPr>
        <w:t>环境守法导则》的通知</w:t>
      </w:r>
      <w:r>
        <w:rPr>
          <w:color w:val="0000FF"/>
          <w:sz w:val="24"/>
        </w:rPr>
        <w:t>（</w:t>
      </w:r>
      <w:r>
        <w:rPr>
          <w:color w:val="0000FF"/>
          <w:spacing w:val="-10"/>
          <w:sz w:val="24"/>
        </w:rPr>
        <w:t>环办〔</w:t>
      </w:r>
      <w:r>
        <w:rPr>
          <w:rFonts w:ascii="Times New Roman" w:eastAsia="Times New Roman"/>
          <w:color w:val="0000FF"/>
          <w:sz w:val="24"/>
        </w:rPr>
        <w:t>2011</w:t>
      </w:r>
      <w:r>
        <w:rPr>
          <w:color w:val="0000FF"/>
          <w:sz w:val="24"/>
        </w:rPr>
        <w:t>〕</w:t>
      </w:r>
    </w:p>
    <w:p>
      <w:pPr>
        <w:pStyle w:val="7"/>
        <w:spacing w:before="163"/>
        <w:rPr>
          <w:color w:val="0000FF"/>
        </w:rPr>
      </w:pPr>
      <w:r>
        <w:rPr>
          <w:rFonts w:ascii="Times New Roman" w:eastAsia="Times New Roman"/>
          <w:color w:val="0000FF"/>
        </w:rPr>
        <w:t>89</w:t>
      </w:r>
      <w:r>
        <w:rPr>
          <w:color w:val="0000FF"/>
        </w:rPr>
        <w:t>号）；</w:t>
      </w:r>
    </w:p>
    <w:p>
      <w:pPr>
        <w:pStyle w:val="7"/>
        <w:spacing w:before="162"/>
        <w:ind w:left="1020"/>
        <w:rPr>
          <w:color w:val="0000FF"/>
        </w:rPr>
      </w:pPr>
      <w:r>
        <w:rPr>
          <w:rFonts w:hint="eastAsia"/>
          <w:color w:val="0000FF"/>
          <w:spacing w:val="-12"/>
          <w:sz w:val="24"/>
          <w:lang w:val="en-US" w:eastAsia="zh-CN"/>
        </w:rPr>
        <w:t>（22）</w:t>
      </w:r>
      <w:r>
        <w:rPr>
          <w:color w:val="0000FF"/>
        </w:rPr>
        <w:t>《畜禽场场区设计技术规范》（</w:t>
      </w:r>
      <w:r>
        <w:rPr>
          <w:rFonts w:ascii="Times New Roman" w:eastAsia="Times New Roman"/>
          <w:color w:val="0000FF"/>
        </w:rPr>
        <w:t>NY/T682-2003</w:t>
      </w:r>
      <w:r>
        <w:rPr>
          <w:color w:val="0000FF"/>
        </w:rPr>
        <w:t>），</w:t>
      </w:r>
      <w:r>
        <w:rPr>
          <w:rFonts w:ascii="Times New Roman" w:eastAsia="Times New Roman"/>
          <w:color w:val="0000FF"/>
        </w:rPr>
        <w:t>2003</w:t>
      </w:r>
      <w:r>
        <w:rPr>
          <w:color w:val="0000FF"/>
        </w:rPr>
        <w:t>年</w:t>
      </w:r>
      <w:r>
        <w:rPr>
          <w:rFonts w:ascii="Times New Roman" w:eastAsia="Times New Roman"/>
          <w:color w:val="0000FF"/>
        </w:rPr>
        <w:t>10</w:t>
      </w:r>
      <w:r>
        <w:rPr>
          <w:color w:val="0000FF"/>
        </w:rPr>
        <w:t>月</w:t>
      </w:r>
      <w:r>
        <w:rPr>
          <w:rFonts w:ascii="Times New Roman" w:eastAsia="Times New Roman"/>
          <w:color w:val="0000FF"/>
        </w:rPr>
        <w:t>1</w:t>
      </w:r>
      <w:r>
        <w:rPr>
          <w:color w:val="0000FF"/>
        </w:rPr>
        <w:t>日；</w:t>
      </w:r>
    </w:p>
    <w:p>
      <w:pPr>
        <w:pStyle w:val="17"/>
        <w:numPr>
          <w:ilvl w:val="0"/>
          <w:numId w:val="0"/>
        </w:numPr>
        <w:tabs>
          <w:tab w:val="left" w:pos="1741"/>
        </w:tabs>
        <w:spacing w:before="163" w:after="0" w:line="240" w:lineRule="auto"/>
        <w:ind w:right="0" w:rightChars="0" w:firstLine="1080" w:firstLineChars="500"/>
        <w:jc w:val="left"/>
        <w:rPr>
          <w:color w:val="0000FF"/>
          <w:sz w:val="24"/>
        </w:rPr>
      </w:pPr>
      <w:r>
        <w:rPr>
          <w:rFonts w:hint="eastAsia"/>
          <w:color w:val="0000FF"/>
          <w:spacing w:val="-12"/>
          <w:sz w:val="24"/>
          <w:lang w:val="en-US" w:eastAsia="zh-CN"/>
        </w:rPr>
        <w:t>（23）</w:t>
      </w:r>
      <w:r>
        <w:rPr>
          <w:color w:val="0000FF"/>
          <w:sz w:val="24"/>
        </w:rPr>
        <w:t>《关于进一步加强畜禽养殖污染防治工作的通知》（环水体〔</w:t>
      </w:r>
      <w:r>
        <w:rPr>
          <w:rFonts w:ascii="Times New Roman" w:eastAsia="Times New Roman"/>
          <w:color w:val="0000FF"/>
          <w:sz w:val="24"/>
        </w:rPr>
        <w:t>2016</w:t>
      </w:r>
      <w:r>
        <w:rPr>
          <w:color w:val="0000FF"/>
          <w:sz w:val="24"/>
        </w:rPr>
        <w:t>〕</w:t>
      </w:r>
    </w:p>
    <w:p>
      <w:pPr>
        <w:pStyle w:val="7"/>
        <w:spacing w:before="161"/>
        <w:rPr>
          <w:color w:val="0000FF"/>
        </w:rPr>
      </w:pPr>
      <w:r>
        <w:rPr>
          <w:rFonts w:ascii="Times New Roman" w:eastAsia="Times New Roman"/>
          <w:color w:val="0000FF"/>
        </w:rPr>
        <w:t>144</w:t>
      </w:r>
      <w:r>
        <w:rPr>
          <w:color w:val="0000FF"/>
        </w:rPr>
        <w:t>号）；</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pacing w:val="-12"/>
          <w:sz w:val="24"/>
          <w:lang w:val="en-US" w:eastAsia="zh-CN"/>
        </w:rPr>
        <w:t>（24）</w:t>
      </w:r>
      <w:r>
        <w:rPr>
          <w:color w:val="0000FF"/>
          <w:spacing w:val="-5"/>
          <w:sz w:val="24"/>
        </w:rPr>
        <w:t>《国务院关于促进畜牧业持续健康发展的意见》</w:t>
      </w:r>
      <w:r>
        <w:rPr>
          <w:color w:val="0000FF"/>
          <w:sz w:val="24"/>
        </w:rPr>
        <w:t>（</w:t>
      </w:r>
      <w:r>
        <w:rPr>
          <w:color w:val="0000FF"/>
          <w:spacing w:val="-23"/>
          <w:sz w:val="24"/>
        </w:rPr>
        <w:t>国发</w:t>
      </w:r>
      <w:r>
        <w:rPr>
          <w:color w:val="0000FF"/>
          <w:sz w:val="24"/>
        </w:rPr>
        <w:t>［</w:t>
      </w:r>
      <w:r>
        <w:rPr>
          <w:rFonts w:ascii="Times New Roman" w:eastAsia="Times New Roman"/>
          <w:color w:val="0000FF"/>
          <w:sz w:val="24"/>
        </w:rPr>
        <w:t>2007</w:t>
      </w:r>
      <w:r>
        <w:rPr>
          <w:color w:val="0000FF"/>
          <w:spacing w:val="-46"/>
          <w:sz w:val="24"/>
        </w:rPr>
        <w:t>］</w:t>
      </w:r>
      <w:r>
        <w:rPr>
          <w:rFonts w:ascii="Times New Roman" w:eastAsia="Times New Roman"/>
          <w:color w:val="0000FF"/>
          <w:sz w:val="24"/>
        </w:rPr>
        <w:t>4</w:t>
      </w:r>
      <w:r>
        <w:rPr>
          <w:color w:val="0000FF"/>
          <w:sz w:val="24"/>
        </w:rPr>
        <w:t>号</w:t>
      </w:r>
      <w:r>
        <w:rPr>
          <w:color w:val="0000FF"/>
          <w:spacing w:val="-120"/>
          <w:sz w:val="24"/>
        </w:rPr>
        <w:t>）</w:t>
      </w:r>
      <w:r>
        <w:rPr>
          <w:color w:val="0000FF"/>
          <w:sz w:val="24"/>
        </w:rPr>
        <w:t>；</w:t>
      </w:r>
    </w:p>
    <w:p>
      <w:pPr>
        <w:pStyle w:val="17"/>
        <w:numPr>
          <w:ilvl w:val="0"/>
          <w:numId w:val="0"/>
        </w:numPr>
        <w:tabs>
          <w:tab w:val="left" w:pos="1741"/>
        </w:tabs>
        <w:spacing w:before="163" w:after="0" w:line="240" w:lineRule="auto"/>
        <w:ind w:left="1020" w:leftChars="0" w:right="0" w:rightChars="0"/>
        <w:jc w:val="left"/>
        <w:rPr>
          <w:color w:val="0000FF"/>
          <w:sz w:val="24"/>
        </w:rPr>
      </w:pPr>
      <w:r>
        <w:rPr>
          <w:rFonts w:hint="eastAsia"/>
          <w:color w:val="0000FF"/>
          <w:spacing w:val="-12"/>
          <w:sz w:val="24"/>
          <w:lang w:val="en-US" w:eastAsia="zh-CN"/>
        </w:rPr>
        <w:t>（25）</w:t>
      </w:r>
      <w:r>
        <w:rPr>
          <w:color w:val="0000FF"/>
          <w:spacing w:val="-3"/>
          <w:sz w:val="24"/>
        </w:rPr>
        <w:t>《农业部关于加快推进畜禽标准化规模化养殖的意见</w:t>
      </w:r>
      <w:r>
        <w:rPr>
          <w:color w:val="0000FF"/>
          <w:sz w:val="24"/>
        </w:rPr>
        <w:t>（</w:t>
      </w:r>
      <w:r>
        <w:rPr>
          <w:color w:val="0000FF"/>
          <w:spacing w:val="-18"/>
          <w:sz w:val="24"/>
        </w:rPr>
        <w:t>农转发</w:t>
      </w:r>
      <w:r>
        <w:rPr>
          <w:color w:val="0000FF"/>
          <w:sz w:val="24"/>
        </w:rPr>
        <w:t>［</w:t>
      </w:r>
      <w:r>
        <w:rPr>
          <w:rFonts w:ascii="Times New Roman" w:eastAsia="Times New Roman"/>
          <w:color w:val="0000FF"/>
          <w:sz w:val="24"/>
        </w:rPr>
        <w:t>2010</w:t>
      </w:r>
      <w:r>
        <w:rPr>
          <w:color w:val="0000FF"/>
          <w:sz w:val="24"/>
        </w:rPr>
        <w:t>］</w:t>
      </w:r>
    </w:p>
    <w:p>
      <w:pPr>
        <w:pStyle w:val="7"/>
        <w:spacing w:before="163"/>
        <w:rPr>
          <w:color w:val="0000FF"/>
        </w:rPr>
      </w:pPr>
      <w:r>
        <w:rPr>
          <w:rFonts w:ascii="Times New Roman" w:eastAsia="Times New Roman"/>
          <w:color w:val="0000FF"/>
        </w:rPr>
        <w:t>6</w:t>
      </w:r>
      <w:r>
        <w:rPr>
          <w:color w:val="0000FF"/>
        </w:rPr>
        <w:t>号）。</w:t>
      </w:r>
    </w:p>
    <w:p>
      <w:pPr>
        <w:pStyle w:val="5"/>
        <w:numPr>
          <w:ilvl w:val="2"/>
          <w:numId w:val="5"/>
        </w:numPr>
        <w:tabs>
          <w:tab w:val="left" w:pos="1241"/>
        </w:tabs>
        <w:spacing w:before="185" w:after="0" w:line="240" w:lineRule="auto"/>
        <w:ind w:left="1240" w:right="0" w:hanging="701"/>
        <w:jc w:val="left"/>
        <w:outlineLvl w:val="2"/>
        <w:rPr>
          <w:rFonts w:ascii="Times New Roman" w:eastAsia="Times New Roman"/>
        </w:rPr>
      </w:pPr>
      <w:bookmarkStart w:id="44" w:name="2.2.3 地方有关法律法规"/>
      <w:bookmarkEnd w:id="44"/>
      <w:bookmarkStart w:id="45" w:name="2.2.3 地方有关法律法规"/>
      <w:bookmarkEnd w:id="45"/>
      <w:bookmarkStart w:id="46" w:name="_Toc28114"/>
      <w:r>
        <w:t>地方有关法律法规</w:t>
      </w:r>
      <w:bookmarkEnd w:id="46"/>
    </w:p>
    <w:p>
      <w:pPr>
        <w:pStyle w:val="17"/>
        <w:numPr>
          <w:ilvl w:val="0"/>
          <w:numId w:val="7"/>
        </w:numPr>
        <w:tabs>
          <w:tab w:val="left" w:pos="1621"/>
        </w:tabs>
        <w:spacing w:before="211" w:after="0" w:line="367" w:lineRule="auto"/>
        <w:ind w:left="540" w:right="580" w:firstLine="480"/>
        <w:jc w:val="left"/>
        <w:rPr>
          <w:color w:val="0000FF"/>
          <w:sz w:val="24"/>
        </w:rPr>
      </w:pPr>
      <w:r>
        <w:rPr>
          <w:color w:val="0000FF"/>
          <w:spacing w:val="-1"/>
          <w:sz w:val="24"/>
        </w:rPr>
        <w:t>《新疆维吾尔自治区环境保护条例》，新疆维吾尔自治区第十三届人</w:t>
      </w:r>
      <w:r>
        <w:rPr>
          <w:color w:val="0000FF"/>
          <w:sz w:val="24"/>
        </w:rPr>
        <w:t>大常委第六次会议，</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21</w:t>
      </w:r>
      <w:r>
        <w:rPr>
          <w:color w:val="0000FF"/>
          <w:sz w:val="24"/>
        </w:rPr>
        <w:t>日；</w:t>
      </w:r>
    </w:p>
    <w:p>
      <w:pPr>
        <w:pStyle w:val="17"/>
        <w:numPr>
          <w:ilvl w:val="0"/>
          <w:numId w:val="7"/>
        </w:numPr>
        <w:tabs>
          <w:tab w:val="left" w:pos="1621"/>
        </w:tabs>
        <w:spacing w:before="0" w:after="0" w:line="367" w:lineRule="auto"/>
        <w:ind w:left="540" w:right="580" w:firstLine="480"/>
        <w:jc w:val="left"/>
        <w:rPr>
          <w:color w:val="0000FF"/>
          <w:sz w:val="24"/>
        </w:rPr>
      </w:pPr>
      <w:r>
        <w:rPr>
          <w:color w:val="0000FF"/>
          <w:spacing w:val="-1"/>
          <w:sz w:val="24"/>
        </w:rPr>
        <w:t>《新疆维吾尔自治区人民政府关于全疆水土流失重点预防保护区、重</w:t>
      </w:r>
      <w:r>
        <w:rPr>
          <w:color w:val="0000FF"/>
          <w:sz w:val="24"/>
        </w:rPr>
        <w:t>点监督区、重点治理区划分的公告》，</w:t>
      </w:r>
      <w:r>
        <w:rPr>
          <w:rFonts w:ascii="Times New Roman" w:eastAsia="Times New Roman"/>
          <w:color w:val="0000FF"/>
          <w:sz w:val="24"/>
        </w:rPr>
        <w:t>2000</w:t>
      </w:r>
      <w:r>
        <w:rPr>
          <w:color w:val="0000FF"/>
          <w:spacing w:val="-30"/>
          <w:sz w:val="24"/>
        </w:rPr>
        <w:t>年</w:t>
      </w:r>
      <w:r>
        <w:rPr>
          <w:rFonts w:ascii="Times New Roman" w:eastAsia="Times New Roman"/>
          <w:color w:val="0000FF"/>
          <w:sz w:val="24"/>
        </w:rPr>
        <w:t>10</w:t>
      </w:r>
      <w:r>
        <w:rPr>
          <w:color w:val="0000FF"/>
          <w:spacing w:val="-30"/>
          <w:sz w:val="24"/>
        </w:rPr>
        <w:t>月</w:t>
      </w:r>
      <w:r>
        <w:rPr>
          <w:rFonts w:ascii="Times New Roman" w:eastAsia="Times New Roman"/>
          <w:color w:val="0000FF"/>
          <w:sz w:val="24"/>
        </w:rPr>
        <w:t>31</w:t>
      </w:r>
      <w:r>
        <w:rPr>
          <w:color w:val="0000FF"/>
          <w:sz w:val="24"/>
        </w:rPr>
        <w:t>日）；</w:t>
      </w:r>
    </w:p>
    <w:p>
      <w:pPr>
        <w:pStyle w:val="17"/>
        <w:numPr>
          <w:ilvl w:val="0"/>
          <w:numId w:val="7"/>
        </w:numPr>
        <w:tabs>
          <w:tab w:val="left" w:pos="1621"/>
        </w:tabs>
        <w:spacing w:before="0" w:after="0" w:line="240" w:lineRule="auto"/>
        <w:ind w:left="1621" w:right="0" w:hanging="601"/>
        <w:jc w:val="left"/>
        <w:rPr>
          <w:color w:val="0000FF"/>
          <w:sz w:val="24"/>
        </w:rPr>
      </w:pPr>
      <w:r>
        <w:rPr>
          <w:color w:val="0000FF"/>
          <w:sz w:val="24"/>
        </w:rPr>
        <w:t>《新疆维吾尔自治区水环境功能区划》，</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8</w:t>
      </w:r>
      <w:r>
        <w:rPr>
          <w:color w:val="0000FF"/>
          <w:sz w:val="24"/>
        </w:rPr>
        <w:t>月；</w:t>
      </w:r>
    </w:p>
    <w:p>
      <w:pPr>
        <w:spacing w:after="0" w:line="240" w:lineRule="auto"/>
        <w:jc w:val="left"/>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17"/>
        <w:numPr>
          <w:ilvl w:val="0"/>
          <w:numId w:val="7"/>
        </w:numPr>
        <w:tabs>
          <w:tab w:val="left" w:pos="1621"/>
        </w:tabs>
        <w:spacing w:before="76" w:after="0" w:line="240" w:lineRule="auto"/>
        <w:ind w:left="1621" w:right="0" w:hanging="601"/>
        <w:jc w:val="left"/>
        <w:rPr>
          <w:color w:val="0000FF"/>
          <w:sz w:val="24"/>
        </w:rPr>
      </w:pPr>
      <w:r>
        <w:rPr>
          <w:color w:val="0000FF"/>
          <w:spacing w:val="-3"/>
          <w:sz w:val="24"/>
        </w:rPr>
        <w:t>《新疆生态功能区划》，新疆维吾尔自治区人民政府，新政函</w:t>
      </w:r>
      <w:r>
        <w:rPr>
          <w:rFonts w:ascii="Times New Roman" w:eastAsia="Times New Roman"/>
          <w:color w:val="0000FF"/>
          <w:sz w:val="24"/>
        </w:rPr>
        <w:t>96</w:t>
      </w:r>
      <w:r>
        <w:rPr>
          <w:color w:val="0000FF"/>
          <w:sz w:val="24"/>
        </w:rPr>
        <w:t>号，</w:t>
      </w:r>
    </w:p>
    <w:p>
      <w:pPr>
        <w:pStyle w:val="7"/>
        <w:spacing w:before="161"/>
        <w:rPr>
          <w:color w:val="0000FF"/>
        </w:rPr>
      </w:pPr>
      <w:r>
        <w:rPr>
          <w:rFonts w:ascii="Times New Roman" w:eastAsia="Times New Roman"/>
          <w:color w:val="0000FF"/>
        </w:rPr>
        <w:t>2005</w:t>
      </w:r>
      <w:r>
        <w:rPr>
          <w:color w:val="0000FF"/>
        </w:rPr>
        <w:t>年</w:t>
      </w:r>
      <w:r>
        <w:rPr>
          <w:rFonts w:ascii="Times New Roman" w:eastAsia="Times New Roman"/>
          <w:color w:val="0000FF"/>
        </w:rPr>
        <w:t>12</w:t>
      </w:r>
      <w:r>
        <w:rPr>
          <w:color w:val="0000FF"/>
        </w:rPr>
        <w:t>月</w:t>
      </w:r>
      <w:r>
        <w:rPr>
          <w:rFonts w:ascii="Times New Roman" w:eastAsia="Times New Roman"/>
          <w:color w:val="0000FF"/>
        </w:rPr>
        <w:t>21</w:t>
      </w:r>
      <w:r>
        <w:rPr>
          <w:color w:val="0000FF"/>
        </w:rPr>
        <w:t>日；</w:t>
      </w:r>
    </w:p>
    <w:p>
      <w:pPr>
        <w:pStyle w:val="17"/>
        <w:numPr>
          <w:ilvl w:val="0"/>
          <w:numId w:val="7"/>
        </w:numPr>
        <w:tabs>
          <w:tab w:val="left" w:pos="1621"/>
        </w:tabs>
        <w:spacing w:before="162" w:after="0" w:line="240" w:lineRule="auto"/>
        <w:ind w:left="1621" w:right="0" w:hanging="601"/>
        <w:jc w:val="left"/>
        <w:rPr>
          <w:color w:val="0000FF"/>
          <w:sz w:val="24"/>
        </w:rPr>
      </w:pPr>
      <w:r>
        <w:rPr>
          <w:color w:val="0000FF"/>
          <w:sz w:val="24"/>
        </w:rPr>
        <w:t>《新疆维吾尔自治区大气污染防治条例》，</w:t>
      </w:r>
      <w:r>
        <w:rPr>
          <w:rFonts w:ascii="Times New Roman" w:eastAsia="Times New Roman"/>
          <w:color w:val="0000FF"/>
          <w:sz w:val="24"/>
        </w:rPr>
        <w:t>2018</w:t>
      </w:r>
      <w:r>
        <w:rPr>
          <w:color w:val="0000FF"/>
          <w:spacing w:val="-20"/>
          <w:sz w:val="24"/>
        </w:rPr>
        <w:t>年第</w:t>
      </w:r>
      <w:r>
        <w:rPr>
          <w:rFonts w:ascii="Times New Roman" w:eastAsia="Times New Roman"/>
          <w:color w:val="0000FF"/>
          <w:sz w:val="24"/>
        </w:rPr>
        <w:t>15</w:t>
      </w:r>
      <w:r>
        <w:rPr>
          <w:color w:val="0000FF"/>
          <w:sz w:val="24"/>
        </w:rPr>
        <w:t>号，</w:t>
      </w:r>
      <w:r>
        <w:rPr>
          <w:rFonts w:ascii="Times New Roman" w:eastAsia="Times New Roman"/>
          <w:color w:val="0000FF"/>
          <w:sz w:val="24"/>
        </w:rPr>
        <w:t>2019</w:t>
      </w:r>
      <w:r>
        <w:rPr>
          <w:color w:val="0000FF"/>
          <w:sz w:val="24"/>
        </w:rPr>
        <w:t>年</w:t>
      </w:r>
    </w:p>
    <w:p>
      <w:pPr>
        <w:pStyle w:val="7"/>
        <w:spacing w:before="163"/>
        <w:rPr>
          <w:color w:val="0000FF"/>
        </w:rPr>
      </w:pPr>
      <w:r>
        <w:rPr>
          <w:rFonts w:ascii="Times New Roman" w:eastAsia="Times New Roman"/>
          <w:color w:val="0000FF"/>
        </w:rPr>
        <w:t>1</w:t>
      </w:r>
      <w:r>
        <w:rPr>
          <w:color w:val="0000FF"/>
        </w:rPr>
        <w:t>月</w:t>
      </w:r>
      <w:r>
        <w:rPr>
          <w:rFonts w:ascii="Times New Roman" w:eastAsia="Times New Roman"/>
          <w:color w:val="0000FF"/>
        </w:rPr>
        <w:t>1</w:t>
      </w:r>
      <w:r>
        <w:rPr>
          <w:color w:val="0000FF"/>
        </w:rPr>
        <w:t>日；</w:t>
      </w:r>
    </w:p>
    <w:p>
      <w:pPr>
        <w:pStyle w:val="17"/>
        <w:numPr>
          <w:ilvl w:val="0"/>
          <w:numId w:val="7"/>
        </w:numPr>
        <w:tabs>
          <w:tab w:val="left" w:pos="1621"/>
        </w:tabs>
        <w:spacing w:before="163" w:after="0" w:line="367" w:lineRule="auto"/>
        <w:ind w:left="540" w:right="457" w:firstLine="480"/>
        <w:jc w:val="left"/>
        <w:rPr>
          <w:color w:val="0000FF"/>
          <w:sz w:val="24"/>
        </w:rPr>
      </w:pPr>
      <w:r>
        <w:rPr>
          <w:color w:val="0000FF"/>
          <w:sz w:val="24"/>
        </w:rPr>
        <w:t>《关于印发新疆维吾尔自治区大气污染防治行动计划实施方案的通知</w:t>
      </w:r>
      <w:r>
        <w:rPr>
          <w:color w:val="0000FF"/>
          <w:spacing w:val="-4"/>
          <w:sz w:val="24"/>
        </w:rPr>
        <w:t>》新政发〔</w:t>
      </w:r>
      <w:r>
        <w:rPr>
          <w:rFonts w:ascii="Times New Roman" w:eastAsia="Times New Roman"/>
          <w:color w:val="0000FF"/>
          <w:sz w:val="24"/>
        </w:rPr>
        <w:t>2014</w:t>
      </w:r>
      <w:r>
        <w:rPr>
          <w:color w:val="0000FF"/>
          <w:sz w:val="24"/>
        </w:rPr>
        <w:t>〕</w:t>
      </w:r>
      <w:r>
        <w:rPr>
          <w:rFonts w:ascii="Times New Roman" w:eastAsia="Times New Roman"/>
          <w:color w:val="0000FF"/>
          <w:sz w:val="24"/>
        </w:rPr>
        <w:t>35</w:t>
      </w:r>
      <w:r>
        <w:rPr>
          <w:color w:val="0000FF"/>
          <w:sz w:val="24"/>
        </w:rPr>
        <w:t>号；</w:t>
      </w:r>
    </w:p>
    <w:p>
      <w:pPr>
        <w:pStyle w:val="17"/>
        <w:numPr>
          <w:ilvl w:val="0"/>
          <w:numId w:val="7"/>
        </w:numPr>
        <w:tabs>
          <w:tab w:val="left" w:pos="1621"/>
        </w:tabs>
        <w:spacing w:before="0" w:after="0" w:line="240" w:lineRule="auto"/>
        <w:ind w:left="1621" w:right="0" w:hanging="601"/>
        <w:jc w:val="left"/>
        <w:rPr>
          <w:color w:val="0000FF"/>
          <w:sz w:val="24"/>
        </w:rPr>
      </w:pPr>
      <w:r>
        <w:rPr>
          <w:color w:val="0000FF"/>
          <w:sz w:val="24"/>
        </w:rPr>
        <w:t>《关于印发新疆维吾尔自治区水污染防治工作方案的通知》，新政发</w:t>
      </w:r>
    </w:p>
    <w:p>
      <w:pPr>
        <w:pStyle w:val="7"/>
        <w:spacing w:before="161"/>
        <w:rPr>
          <w:color w:val="0000FF"/>
        </w:rPr>
      </w:pPr>
      <w:r>
        <w:rPr>
          <w:color w:val="0000FF"/>
        </w:rPr>
        <w:t>〔</w:t>
      </w:r>
      <w:r>
        <w:rPr>
          <w:rFonts w:ascii="Times New Roman" w:eastAsia="Times New Roman"/>
          <w:color w:val="0000FF"/>
        </w:rPr>
        <w:t>2016</w:t>
      </w:r>
      <w:r>
        <w:rPr>
          <w:color w:val="0000FF"/>
        </w:rPr>
        <w:t>〕</w:t>
      </w:r>
      <w:r>
        <w:rPr>
          <w:rFonts w:ascii="Times New Roman" w:eastAsia="Times New Roman"/>
          <w:color w:val="0000FF"/>
        </w:rPr>
        <w:t>21</w:t>
      </w:r>
      <w:r>
        <w:rPr>
          <w:color w:val="0000FF"/>
        </w:rPr>
        <w:t>号，</w:t>
      </w:r>
      <w:r>
        <w:rPr>
          <w:rFonts w:ascii="Times New Roman" w:eastAsia="Times New Roman"/>
          <w:color w:val="0000FF"/>
        </w:rPr>
        <w:t>2016</w:t>
      </w:r>
      <w:r>
        <w:rPr>
          <w:color w:val="0000FF"/>
        </w:rPr>
        <w:t>年</w:t>
      </w:r>
      <w:r>
        <w:rPr>
          <w:rFonts w:ascii="Times New Roman" w:eastAsia="Times New Roman"/>
          <w:color w:val="0000FF"/>
        </w:rPr>
        <w:t>1</w:t>
      </w:r>
      <w:r>
        <w:rPr>
          <w:color w:val="0000FF"/>
        </w:rPr>
        <w:t>月</w:t>
      </w:r>
      <w:r>
        <w:rPr>
          <w:rFonts w:ascii="Times New Roman" w:eastAsia="Times New Roman"/>
          <w:color w:val="0000FF"/>
        </w:rPr>
        <w:t>29</w:t>
      </w:r>
      <w:r>
        <w:rPr>
          <w:color w:val="0000FF"/>
        </w:rPr>
        <w:t>日；</w:t>
      </w:r>
    </w:p>
    <w:p>
      <w:pPr>
        <w:pStyle w:val="17"/>
        <w:numPr>
          <w:ilvl w:val="0"/>
          <w:numId w:val="7"/>
        </w:numPr>
        <w:tabs>
          <w:tab w:val="left" w:pos="1621"/>
        </w:tabs>
        <w:spacing w:before="162" w:after="0" w:line="367" w:lineRule="auto"/>
        <w:ind w:left="540" w:right="580" w:firstLine="480"/>
        <w:jc w:val="left"/>
        <w:rPr>
          <w:color w:val="0000FF"/>
          <w:sz w:val="24"/>
        </w:rPr>
      </w:pPr>
      <w:r>
        <w:rPr>
          <w:color w:val="0000FF"/>
          <w:spacing w:val="-1"/>
          <w:sz w:val="24"/>
        </w:rPr>
        <w:t>《关于印发新疆维吾尔自治区土壤污染防治工作方案的通知》，新政</w:t>
      </w:r>
      <w:r>
        <w:rPr>
          <w:color w:val="0000FF"/>
          <w:sz w:val="24"/>
        </w:rPr>
        <w:t>发〔</w:t>
      </w:r>
      <w:r>
        <w:rPr>
          <w:rFonts w:ascii="Times New Roman" w:eastAsia="Times New Roman"/>
          <w:color w:val="0000FF"/>
          <w:sz w:val="24"/>
        </w:rPr>
        <w:t>2017</w:t>
      </w:r>
      <w:r>
        <w:rPr>
          <w:color w:val="0000FF"/>
          <w:sz w:val="24"/>
        </w:rPr>
        <w:t>〕</w:t>
      </w:r>
      <w:r>
        <w:rPr>
          <w:rFonts w:ascii="Times New Roman" w:eastAsia="Times New Roman"/>
          <w:color w:val="0000FF"/>
          <w:sz w:val="24"/>
        </w:rPr>
        <w:t>25</w:t>
      </w:r>
      <w:r>
        <w:rPr>
          <w:color w:val="0000FF"/>
          <w:sz w:val="24"/>
        </w:rPr>
        <w:t>号，</w:t>
      </w:r>
      <w:r>
        <w:rPr>
          <w:rFonts w:ascii="Times New Roman" w:eastAsia="Times New Roman"/>
          <w:color w:val="0000FF"/>
          <w:sz w:val="24"/>
        </w:rPr>
        <w:t>2017</w:t>
      </w:r>
      <w:r>
        <w:rPr>
          <w:color w:val="0000FF"/>
          <w:spacing w:val="-30"/>
          <w:sz w:val="24"/>
        </w:rPr>
        <w:t>年</w:t>
      </w:r>
      <w:r>
        <w:rPr>
          <w:rFonts w:ascii="Times New Roman" w:eastAsia="Times New Roman"/>
          <w:color w:val="0000FF"/>
          <w:sz w:val="24"/>
        </w:rPr>
        <w:t>3</w:t>
      </w:r>
      <w:r>
        <w:rPr>
          <w:color w:val="0000FF"/>
          <w:spacing w:val="-30"/>
          <w:sz w:val="24"/>
        </w:rPr>
        <w:t>月</w:t>
      </w:r>
      <w:r>
        <w:rPr>
          <w:rFonts w:ascii="Times New Roman" w:eastAsia="Times New Roman"/>
          <w:color w:val="0000FF"/>
          <w:sz w:val="24"/>
        </w:rPr>
        <w:t>1</w:t>
      </w:r>
      <w:r>
        <w:rPr>
          <w:color w:val="0000FF"/>
          <w:sz w:val="24"/>
        </w:rPr>
        <w:t>日；</w:t>
      </w:r>
    </w:p>
    <w:p>
      <w:pPr>
        <w:pStyle w:val="17"/>
        <w:numPr>
          <w:ilvl w:val="0"/>
          <w:numId w:val="7"/>
        </w:numPr>
        <w:tabs>
          <w:tab w:val="left" w:pos="1621"/>
        </w:tabs>
        <w:spacing w:before="0" w:after="0" w:line="240" w:lineRule="auto"/>
        <w:ind w:left="1621" w:right="0" w:hanging="601"/>
        <w:jc w:val="left"/>
        <w:rPr>
          <w:color w:val="0000FF"/>
          <w:sz w:val="24"/>
        </w:rPr>
      </w:pPr>
      <w:r>
        <w:rPr>
          <w:color w:val="0000FF"/>
          <w:spacing w:val="-3"/>
          <w:sz w:val="24"/>
        </w:rPr>
        <w:t>《新疆维吾尔自治区重点行业环境准入条件</w:t>
      </w:r>
      <w:r>
        <w:rPr>
          <w:color w:val="0000FF"/>
          <w:sz w:val="24"/>
        </w:rPr>
        <w:t>（修订</w:t>
      </w:r>
      <w:r>
        <w:rPr>
          <w:color w:val="0000FF"/>
          <w:spacing w:val="-48"/>
          <w:sz w:val="24"/>
        </w:rPr>
        <w:t>）</w:t>
      </w:r>
      <w:r>
        <w:rPr>
          <w:color w:val="0000FF"/>
          <w:spacing w:val="-94"/>
          <w:sz w:val="24"/>
        </w:rPr>
        <w:t>》</w:t>
      </w:r>
      <w:r>
        <w:rPr>
          <w:color w:val="0000FF"/>
          <w:spacing w:val="-3"/>
          <w:sz w:val="24"/>
        </w:rPr>
        <w:t>（</w:t>
      </w:r>
      <w:r>
        <w:rPr>
          <w:color w:val="0000FF"/>
          <w:spacing w:val="-13"/>
          <w:sz w:val="24"/>
        </w:rPr>
        <w:t>新环发〔</w:t>
      </w:r>
      <w:r>
        <w:rPr>
          <w:rFonts w:ascii="Times New Roman" w:eastAsia="Times New Roman"/>
          <w:color w:val="0000FF"/>
          <w:sz w:val="24"/>
        </w:rPr>
        <w:t>2017</w:t>
      </w:r>
      <w:r>
        <w:rPr>
          <w:color w:val="0000FF"/>
          <w:sz w:val="24"/>
        </w:rPr>
        <w:t>〕</w:t>
      </w:r>
    </w:p>
    <w:p>
      <w:pPr>
        <w:pStyle w:val="7"/>
        <w:spacing w:before="163"/>
        <w:rPr>
          <w:color w:val="0000FF"/>
        </w:rPr>
      </w:pPr>
      <w:r>
        <w:rPr>
          <w:rFonts w:ascii="Times New Roman" w:eastAsia="Times New Roman"/>
          <w:color w:val="0000FF"/>
        </w:rPr>
        <w:t>1</w:t>
      </w:r>
      <w:r>
        <w:rPr>
          <w:color w:val="0000FF"/>
        </w:rPr>
        <w:t>号）；</w:t>
      </w:r>
    </w:p>
    <w:p>
      <w:pPr>
        <w:pStyle w:val="17"/>
        <w:numPr>
          <w:ilvl w:val="0"/>
          <w:numId w:val="7"/>
        </w:numPr>
        <w:tabs>
          <w:tab w:val="left" w:pos="1755"/>
        </w:tabs>
        <w:spacing w:before="163" w:after="0" w:line="240" w:lineRule="auto"/>
        <w:ind w:left="1754" w:right="0" w:hanging="735"/>
        <w:jc w:val="left"/>
        <w:rPr>
          <w:color w:val="0000FF"/>
          <w:sz w:val="24"/>
        </w:rPr>
      </w:pPr>
      <w:r>
        <w:rPr>
          <w:color w:val="0000FF"/>
          <w:spacing w:val="2"/>
          <w:sz w:val="24"/>
        </w:rPr>
        <w:t>《新疆维吾尔自治区国民经济和社会发展第十三个五年规划纲要》</w:t>
      </w:r>
    </w:p>
    <w:p>
      <w:pPr>
        <w:pStyle w:val="7"/>
        <w:spacing w:before="161"/>
        <w:rPr>
          <w:color w:val="0000FF"/>
        </w:rPr>
      </w:pPr>
      <w:r>
        <w:rPr>
          <w:color w:val="0000FF"/>
        </w:rPr>
        <w:t>（</w:t>
      </w:r>
      <w:r>
        <w:rPr>
          <w:rFonts w:ascii="Times New Roman" w:eastAsia="Times New Roman"/>
          <w:color w:val="0000FF"/>
        </w:rPr>
        <w:t>2015</w:t>
      </w:r>
      <w:r>
        <w:rPr>
          <w:color w:val="0000FF"/>
        </w:rPr>
        <w:t>年）；</w:t>
      </w:r>
    </w:p>
    <w:p>
      <w:pPr>
        <w:pStyle w:val="17"/>
        <w:numPr>
          <w:ilvl w:val="0"/>
          <w:numId w:val="7"/>
        </w:numPr>
        <w:tabs>
          <w:tab w:val="left" w:pos="1732"/>
        </w:tabs>
        <w:spacing w:before="163" w:after="0" w:line="240" w:lineRule="auto"/>
        <w:ind w:left="1731" w:right="0" w:hanging="712"/>
        <w:jc w:val="left"/>
        <w:rPr>
          <w:color w:val="0000FF"/>
          <w:sz w:val="24"/>
        </w:rPr>
      </w:pPr>
      <w:r>
        <w:rPr>
          <w:color w:val="0000FF"/>
          <w:sz w:val="24"/>
        </w:rPr>
        <w:t>《新疆维吾尔自治区畜牧业现代化“十三五”发展规划》；</w:t>
      </w:r>
    </w:p>
    <w:p>
      <w:pPr>
        <w:pStyle w:val="17"/>
        <w:numPr>
          <w:ilvl w:val="0"/>
          <w:numId w:val="7"/>
        </w:numPr>
        <w:tabs>
          <w:tab w:val="left" w:pos="1741"/>
        </w:tabs>
        <w:spacing w:before="162" w:after="0" w:line="240" w:lineRule="auto"/>
        <w:ind w:left="1741" w:right="0" w:hanging="721"/>
        <w:jc w:val="left"/>
        <w:rPr>
          <w:color w:val="0000FF"/>
          <w:sz w:val="24"/>
        </w:rPr>
      </w:pPr>
      <w:r>
        <w:rPr>
          <w:color w:val="0000FF"/>
          <w:sz w:val="24"/>
        </w:rPr>
        <w:t>《新疆规模化畜禽养殖污染防治“十三五”规划》。</w:t>
      </w:r>
    </w:p>
    <w:p>
      <w:pPr>
        <w:pStyle w:val="5"/>
        <w:numPr>
          <w:ilvl w:val="2"/>
          <w:numId w:val="5"/>
        </w:numPr>
        <w:tabs>
          <w:tab w:val="left" w:pos="1241"/>
        </w:tabs>
        <w:spacing w:before="186" w:after="0" w:line="240" w:lineRule="auto"/>
        <w:ind w:left="1240" w:right="0" w:hanging="701"/>
        <w:jc w:val="left"/>
        <w:outlineLvl w:val="2"/>
        <w:rPr>
          <w:rFonts w:ascii="Times New Roman" w:eastAsia="Times New Roman"/>
        </w:rPr>
      </w:pPr>
      <w:bookmarkStart w:id="47" w:name="2.2.4 相关导则及技术规范依据"/>
      <w:bookmarkEnd w:id="47"/>
      <w:bookmarkStart w:id="48" w:name="2.2.4 相关导则及技术规范依据"/>
      <w:bookmarkEnd w:id="48"/>
      <w:bookmarkStart w:id="49" w:name="_Toc14218"/>
      <w:r>
        <w:t>相关导则及技术规范依据</w:t>
      </w:r>
      <w:bookmarkEnd w:id="49"/>
    </w:p>
    <w:p>
      <w:pPr>
        <w:pStyle w:val="17"/>
        <w:numPr>
          <w:ilvl w:val="0"/>
          <w:numId w:val="8"/>
        </w:numPr>
        <w:tabs>
          <w:tab w:val="left" w:pos="1621"/>
        </w:tabs>
        <w:spacing w:before="211" w:after="0" w:line="240" w:lineRule="auto"/>
        <w:ind w:left="1621" w:right="0" w:hanging="601"/>
        <w:jc w:val="left"/>
        <w:rPr>
          <w:color w:val="0000FF"/>
          <w:sz w:val="24"/>
        </w:rPr>
      </w:pPr>
      <w:r>
        <w:rPr>
          <w:color w:val="0000FF"/>
          <w:sz w:val="24"/>
        </w:rPr>
        <w:t>《建设项目环境影响评价技术导则</w:t>
      </w:r>
      <w:r>
        <w:rPr>
          <w:rFonts w:ascii="Times New Roman" w:hAnsi="Times New Roman" w:eastAsia="Times New Roman"/>
          <w:color w:val="0000FF"/>
          <w:sz w:val="24"/>
        </w:rPr>
        <w:t>·</w:t>
      </w:r>
      <w:r>
        <w:rPr>
          <w:color w:val="0000FF"/>
          <w:sz w:val="24"/>
        </w:rPr>
        <w:t>总纲》（</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2.1-2016</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大气环境》（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2.2-2018</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地表水环境》（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2.3-2018</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地下水环境》（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610-2016</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声环境》（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2.4-2009</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土壤环境（试行）》（</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964-2018</w:t>
      </w:r>
      <w:r>
        <w:rPr>
          <w:color w:val="0000FF"/>
          <w:sz w:val="24"/>
        </w:rPr>
        <w:t>）</w:t>
      </w:r>
    </w:p>
    <w:p>
      <w:pPr>
        <w:pStyle w:val="17"/>
        <w:numPr>
          <w:ilvl w:val="0"/>
          <w:numId w:val="8"/>
        </w:numPr>
        <w:tabs>
          <w:tab w:val="left" w:pos="1621"/>
        </w:tabs>
        <w:spacing w:before="160"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生态影响》（</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19-2011</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《建设项目环境风险评价技术导则》（</w:t>
      </w:r>
      <w:r>
        <w:rPr>
          <w:rFonts w:ascii="Times New Roman" w:eastAsia="Times New Roman"/>
          <w:color w:val="0000FF"/>
          <w:sz w:val="24"/>
        </w:rPr>
        <w:t>HJ</w:t>
      </w:r>
      <w:r>
        <w:rPr>
          <w:rFonts w:ascii="Times New Roman" w:eastAsia="Times New Roman"/>
          <w:color w:val="0000FF"/>
          <w:spacing w:val="-1"/>
          <w:sz w:val="24"/>
        </w:rPr>
        <w:t xml:space="preserve"> </w:t>
      </w:r>
      <w:r>
        <w:rPr>
          <w:rFonts w:ascii="Times New Roman" w:eastAsia="Times New Roman"/>
          <w:color w:val="0000FF"/>
          <w:sz w:val="24"/>
        </w:rPr>
        <w:t>169-2018</w:t>
      </w:r>
      <w:r>
        <w:rPr>
          <w:color w:val="0000FF"/>
          <w:sz w:val="24"/>
        </w:rPr>
        <w:t>）；</w:t>
      </w:r>
    </w:p>
    <w:p>
      <w:pPr>
        <w:pStyle w:val="17"/>
        <w:numPr>
          <w:ilvl w:val="0"/>
          <w:numId w:val="8"/>
        </w:numPr>
        <w:tabs>
          <w:tab w:val="left" w:pos="1621"/>
        </w:tabs>
        <w:spacing w:before="163" w:after="0" w:line="240" w:lineRule="auto"/>
        <w:ind w:left="1621" w:right="0" w:hanging="601"/>
        <w:jc w:val="left"/>
        <w:rPr>
          <w:color w:val="0000FF"/>
          <w:sz w:val="24"/>
        </w:rPr>
      </w:pPr>
      <w:r>
        <w:rPr>
          <w:color w:val="0000FF"/>
          <w:sz w:val="24"/>
        </w:rPr>
        <w:t>《畜禽养殖业污染防治技术规范》（</w:t>
      </w:r>
      <w:r>
        <w:rPr>
          <w:rFonts w:ascii="Times New Roman" w:eastAsia="Times New Roman"/>
          <w:color w:val="0000FF"/>
          <w:sz w:val="24"/>
        </w:rPr>
        <w:t>HJ/T81-2001</w:t>
      </w:r>
      <w:r>
        <w:rPr>
          <w:color w:val="0000FF"/>
          <w:sz w:val="24"/>
        </w:rPr>
        <w:t>）；</w:t>
      </w:r>
    </w:p>
    <w:p>
      <w:pPr>
        <w:pStyle w:val="17"/>
        <w:numPr>
          <w:ilvl w:val="0"/>
          <w:numId w:val="8"/>
        </w:numPr>
        <w:tabs>
          <w:tab w:val="left" w:pos="1741"/>
        </w:tabs>
        <w:spacing w:before="163" w:after="0" w:line="240" w:lineRule="auto"/>
        <w:ind w:left="1741" w:right="0" w:hanging="721"/>
        <w:jc w:val="left"/>
        <w:rPr>
          <w:color w:val="0000FF"/>
          <w:sz w:val="24"/>
        </w:rPr>
      </w:pPr>
      <w:r>
        <w:rPr>
          <w:color w:val="0000FF"/>
          <w:sz w:val="24"/>
        </w:rPr>
        <w:t>《畜禽养殖业污染治理工程技术规范》（</w:t>
      </w:r>
      <w:r>
        <w:rPr>
          <w:rFonts w:ascii="Times New Roman" w:eastAsia="Times New Roman"/>
          <w:color w:val="0000FF"/>
          <w:sz w:val="24"/>
        </w:rPr>
        <w:t>HJ497-2009</w:t>
      </w:r>
      <w:r>
        <w:rPr>
          <w:color w:val="0000FF"/>
          <w:sz w:val="24"/>
        </w:rPr>
        <w:t>）；</w:t>
      </w:r>
    </w:p>
    <w:p>
      <w:pPr>
        <w:pStyle w:val="17"/>
        <w:numPr>
          <w:ilvl w:val="0"/>
          <w:numId w:val="8"/>
        </w:numPr>
        <w:tabs>
          <w:tab w:val="left" w:pos="1732"/>
        </w:tabs>
        <w:spacing w:before="163" w:after="0" w:line="240" w:lineRule="auto"/>
        <w:ind w:left="1731" w:right="0" w:hanging="712"/>
        <w:jc w:val="left"/>
        <w:rPr>
          <w:color w:val="0000FF"/>
          <w:sz w:val="24"/>
        </w:rPr>
      </w:pPr>
      <w:r>
        <w:rPr>
          <w:color w:val="0000FF"/>
          <w:sz w:val="24"/>
        </w:rPr>
        <w:t>《畜禽养殖产地环境评价规范》（</w:t>
      </w:r>
      <w:r>
        <w:rPr>
          <w:rFonts w:ascii="Times New Roman" w:eastAsia="Times New Roman"/>
          <w:color w:val="0000FF"/>
          <w:sz w:val="24"/>
        </w:rPr>
        <w:t>HJ568-2010</w:t>
      </w:r>
      <w:r>
        <w:rPr>
          <w:color w:val="0000FF"/>
          <w:sz w:val="24"/>
        </w:rPr>
        <w:t>）；</w:t>
      </w:r>
    </w:p>
    <w:p>
      <w:pPr>
        <w:pStyle w:val="17"/>
        <w:numPr>
          <w:ilvl w:val="0"/>
          <w:numId w:val="8"/>
        </w:numPr>
        <w:tabs>
          <w:tab w:val="left" w:pos="1741"/>
        </w:tabs>
        <w:spacing w:before="163" w:after="0" w:line="240" w:lineRule="auto"/>
        <w:ind w:left="1741" w:right="0" w:hanging="721"/>
        <w:jc w:val="left"/>
        <w:rPr>
          <w:color w:val="0000FF"/>
          <w:sz w:val="24"/>
        </w:rPr>
      </w:pPr>
      <w:r>
        <w:rPr>
          <w:color w:val="0000FF"/>
          <w:spacing w:val="-1"/>
          <w:sz w:val="24"/>
        </w:rPr>
        <w:t>《病害动物和病害动物产品生物案例处理规程》</w:t>
      </w:r>
      <w:r>
        <w:rPr>
          <w:color w:val="0000FF"/>
          <w:sz w:val="24"/>
        </w:rPr>
        <w:t>（</w:t>
      </w:r>
      <w:r>
        <w:rPr>
          <w:rFonts w:ascii="Times New Roman" w:eastAsia="Times New Roman"/>
          <w:color w:val="0000FF"/>
          <w:sz w:val="24"/>
        </w:rPr>
        <w:t>GB16548-2006</w:t>
      </w:r>
      <w:r>
        <w:rPr>
          <w:color w:val="0000FF"/>
          <w:sz w:val="24"/>
        </w:rPr>
        <w:t>）；</w:t>
      </w:r>
    </w:p>
    <w:p>
      <w:pPr>
        <w:spacing w:after="0" w:line="240" w:lineRule="auto"/>
        <w:jc w:val="left"/>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17"/>
        <w:numPr>
          <w:ilvl w:val="0"/>
          <w:numId w:val="8"/>
        </w:numPr>
        <w:tabs>
          <w:tab w:val="left" w:pos="1741"/>
        </w:tabs>
        <w:spacing w:before="76" w:after="0" w:line="240" w:lineRule="auto"/>
        <w:ind w:left="1741" w:right="0" w:hanging="721"/>
        <w:jc w:val="left"/>
        <w:rPr>
          <w:color w:val="0000FF"/>
          <w:sz w:val="24"/>
        </w:rPr>
      </w:pPr>
      <w:r>
        <w:rPr>
          <w:color w:val="0000FF"/>
          <w:sz w:val="24"/>
        </w:rPr>
        <w:t>《粪便无害化卫生要求》（</w:t>
      </w:r>
      <w:r>
        <w:rPr>
          <w:rFonts w:ascii="Times New Roman" w:eastAsia="Times New Roman"/>
          <w:color w:val="0000FF"/>
          <w:sz w:val="24"/>
        </w:rPr>
        <w:t>GB7959-2012</w:t>
      </w:r>
      <w:r>
        <w:rPr>
          <w:color w:val="0000FF"/>
          <w:sz w:val="24"/>
        </w:rPr>
        <w:t>）；</w:t>
      </w:r>
    </w:p>
    <w:p>
      <w:pPr>
        <w:pStyle w:val="17"/>
        <w:numPr>
          <w:ilvl w:val="0"/>
          <w:numId w:val="8"/>
        </w:numPr>
        <w:tabs>
          <w:tab w:val="left" w:pos="1741"/>
        </w:tabs>
        <w:spacing w:before="161" w:after="0" w:line="240" w:lineRule="auto"/>
        <w:ind w:left="1741" w:right="0" w:hanging="721"/>
        <w:jc w:val="left"/>
        <w:rPr>
          <w:color w:val="0000FF"/>
          <w:sz w:val="24"/>
        </w:rPr>
      </w:pPr>
      <w:r>
        <w:rPr>
          <w:color w:val="0000FF"/>
          <w:sz w:val="24"/>
        </w:rPr>
        <w:t>《畜禽粪便无害化处理技术规范》（</w:t>
      </w:r>
      <w:r>
        <w:rPr>
          <w:rFonts w:ascii="Times New Roman" w:hAnsi="Times New Roman" w:eastAsia="Times New Roman"/>
          <w:color w:val="0000FF"/>
          <w:sz w:val="24"/>
        </w:rPr>
        <w:t>GB∕T</w:t>
      </w:r>
      <w:r>
        <w:rPr>
          <w:rFonts w:ascii="Times New Roman" w:hAnsi="Times New Roman" w:eastAsia="Times New Roman"/>
          <w:color w:val="0000FF"/>
          <w:spacing w:val="-4"/>
          <w:sz w:val="24"/>
        </w:rPr>
        <w:t xml:space="preserve"> </w:t>
      </w:r>
      <w:r>
        <w:rPr>
          <w:rFonts w:ascii="Times New Roman" w:hAnsi="Times New Roman" w:eastAsia="Times New Roman"/>
          <w:color w:val="0000FF"/>
          <w:sz w:val="24"/>
        </w:rPr>
        <w:t>36195-2018</w:t>
      </w:r>
      <w:r>
        <w:rPr>
          <w:color w:val="0000FF"/>
          <w:sz w:val="24"/>
        </w:rPr>
        <w:t>）；</w:t>
      </w:r>
    </w:p>
    <w:p>
      <w:pPr>
        <w:pStyle w:val="17"/>
        <w:numPr>
          <w:ilvl w:val="0"/>
          <w:numId w:val="8"/>
        </w:numPr>
        <w:tabs>
          <w:tab w:val="left" w:pos="1741"/>
        </w:tabs>
        <w:spacing w:before="162" w:after="0" w:line="240" w:lineRule="auto"/>
        <w:ind w:left="1741" w:right="0" w:hanging="721"/>
        <w:jc w:val="left"/>
        <w:rPr>
          <w:color w:val="0000FF"/>
          <w:sz w:val="24"/>
        </w:rPr>
      </w:pPr>
      <w:r>
        <w:rPr>
          <w:color w:val="0000FF"/>
          <w:sz w:val="24"/>
        </w:rPr>
        <w:t>《病死动物无害化处理技术规范》农医发〔</w:t>
      </w:r>
      <w:r>
        <w:rPr>
          <w:rFonts w:ascii="Times New Roman" w:eastAsia="Times New Roman"/>
          <w:color w:val="0000FF"/>
          <w:sz w:val="24"/>
        </w:rPr>
        <w:t>2013</w:t>
      </w:r>
      <w:r>
        <w:rPr>
          <w:color w:val="0000FF"/>
          <w:sz w:val="24"/>
        </w:rPr>
        <w:t>〕</w:t>
      </w:r>
      <w:r>
        <w:rPr>
          <w:rFonts w:ascii="Times New Roman" w:eastAsia="Times New Roman"/>
          <w:color w:val="0000FF"/>
          <w:sz w:val="24"/>
        </w:rPr>
        <w:t>34</w:t>
      </w:r>
      <w:r>
        <w:rPr>
          <w:color w:val="0000FF"/>
          <w:sz w:val="24"/>
        </w:rPr>
        <w:t>号；</w:t>
      </w:r>
    </w:p>
    <w:p>
      <w:pPr>
        <w:pStyle w:val="17"/>
        <w:numPr>
          <w:ilvl w:val="0"/>
          <w:numId w:val="8"/>
        </w:numPr>
        <w:tabs>
          <w:tab w:val="left" w:pos="1741"/>
        </w:tabs>
        <w:spacing w:before="163" w:after="0" w:line="240" w:lineRule="auto"/>
        <w:ind w:left="1741" w:right="0" w:hanging="721"/>
        <w:jc w:val="left"/>
        <w:rPr>
          <w:color w:val="0000FF"/>
          <w:sz w:val="24"/>
        </w:rPr>
      </w:pPr>
      <w:r>
        <w:rPr>
          <w:color w:val="0000FF"/>
          <w:spacing w:val="-4"/>
          <w:sz w:val="24"/>
        </w:rPr>
        <w:t>《规模畜禽养殖场污染防治最佳可行技术指南</w:t>
      </w:r>
      <w:r>
        <w:rPr>
          <w:color w:val="0000FF"/>
          <w:spacing w:val="-3"/>
          <w:sz w:val="24"/>
        </w:rPr>
        <w:t>（</w:t>
      </w:r>
      <w:r>
        <w:rPr>
          <w:color w:val="0000FF"/>
          <w:spacing w:val="1"/>
          <w:sz w:val="24"/>
        </w:rPr>
        <w:t>试行</w:t>
      </w:r>
      <w:r>
        <w:rPr>
          <w:color w:val="0000FF"/>
          <w:spacing w:val="-80"/>
          <w:sz w:val="24"/>
        </w:rPr>
        <w:t>）</w:t>
      </w:r>
      <w:r>
        <w:rPr>
          <w:color w:val="0000FF"/>
          <w:spacing w:val="-156"/>
          <w:sz w:val="24"/>
        </w:rPr>
        <w:t>》</w:t>
      </w:r>
      <w:r>
        <w:rPr>
          <w:color w:val="0000FF"/>
          <w:spacing w:val="-3"/>
          <w:sz w:val="24"/>
        </w:rPr>
        <w:t>（</w:t>
      </w:r>
      <w:r>
        <w:rPr>
          <w:rFonts w:ascii="Times New Roman" w:eastAsia="Times New Roman"/>
          <w:color w:val="0000FF"/>
          <w:spacing w:val="-1"/>
          <w:sz w:val="24"/>
        </w:rPr>
        <w:t>H</w:t>
      </w:r>
      <w:r>
        <w:rPr>
          <w:rFonts w:ascii="Times New Roman" w:eastAsia="Times New Roman"/>
          <w:color w:val="0000FF"/>
          <w:spacing w:val="2"/>
          <w:sz w:val="24"/>
        </w:rPr>
        <w:t>J</w:t>
      </w:r>
      <w:r>
        <w:rPr>
          <w:rFonts w:ascii="Times New Roman" w:eastAsia="Times New Roman"/>
          <w:color w:val="0000FF"/>
          <w:spacing w:val="-1"/>
          <w:sz w:val="24"/>
        </w:rPr>
        <w:t>-</w:t>
      </w:r>
      <w:r>
        <w:rPr>
          <w:rFonts w:ascii="Times New Roman" w:eastAsia="Times New Roman"/>
          <w:color w:val="0000FF"/>
          <w:spacing w:val="-2"/>
          <w:sz w:val="24"/>
        </w:rPr>
        <w:t>B</w:t>
      </w:r>
      <w:r>
        <w:rPr>
          <w:rFonts w:ascii="Times New Roman" w:eastAsia="Times New Roman"/>
          <w:color w:val="0000FF"/>
          <w:spacing w:val="-23"/>
          <w:sz w:val="24"/>
        </w:rPr>
        <w:t>A</w:t>
      </w:r>
      <w:r>
        <w:rPr>
          <w:rFonts w:ascii="Times New Roman" w:eastAsia="Times New Roman"/>
          <w:color w:val="0000FF"/>
          <w:spacing w:val="-22"/>
          <w:sz w:val="24"/>
        </w:rPr>
        <w:t>T</w:t>
      </w:r>
      <w:r>
        <w:rPr>
          <w:rFonts w:ascii="Times New Roman" w:eastAsia="Times New Roman"/>
          <w:color w:val="0000FF"/>
          <w:spacing w:val="-4"/>
          <w:sz w:val="24"/>
        </w:rPr>
        <w:t>-</w:t>
      </w:r>
      <w:r>
        <w:rPr>
          <w:rFonts w:ascii="Times New Roman" w:eastAsia="Times New Roman"/>
          <w:color w:val="0000FF"/>
          <w:sz w:val="24"/>
        </w:rPr>
        <w:t>10</w:t>
      </w:r>
      <w:r>
        <w:rPr>
          <w:color w:val="0000FF"/>
          <w:spacing w:val="-120"/>
          <w:sz w:val="24"/>
        </w:rPr>
        <w:t>）</w:t>
      </w:r>
      <w:r>
        <w:rPr>
          <w:color w:val="0000FF"/>
          <w:sz w:val="24"/>
        </w:rPr>
        <w:t>，</w:t>
      </w:r>
    </w:p>
    <w:p>
      <w:pPr>
        <w:pStyle w:val="7"/>
        <w:spacing w:before="163"/>
        <w:rPr>
          <w:color w:val="0000FF"/>
        </w:rPr>
      </w:pPr>
      <w:r>
        <w:rPr>
          <w:rFonts w:ascii="Times New Roman" w:eastAsia="Times New Roman"/>
          <w:color w:val="0000FF"/>
        </w:rPr>
        <w:t>2013</w:t>
      </w:r>
      <w:r>
        <w:rPr>
          <w:color w:val="0000FF"/>
        </w:rPr>
        <w:t>年</w:t>
      </w:r>
      <w:r>
        <w:rPr>
          <w:rFonts w:ascii="Times New Roman" w:eastAsia="Times New Roman"/>
          <w:color w:val="0000FF"/>
        </w:rPr>
        <w:t>7</w:t>
      </w:r>
      <w:r>
        <w:rPr>
          <w:color w:val="0000FF"/>
        </w:rPr>
        <w:t>月</w:t>
      </w:r>
      <w:r>
        <w:rPr>
          <w:rFonts w:ascii="Times New Roman" w:eastAsia="Times New Roman"/>
          <w:color w:val="0000FF"/>
        </w:rPr>
        <w:t>17</w:t>
      </w:r>
      <w:r>
        <w:rPr>
          <w:color w:val="0000FF"/>
        </w:rPr>
        <w:t>日发布；</w:t>
      </w:r>
    </w:p>
    <w:p>
      <w:pPr>
        <w:pStyle w:val="17"/>
        <w:numPr>
          <w:ilvl w:val="0"/>
          <w:numId w:val="8"/>
        </w:numPr>
        <w:tabs>
          <w:tab w:val="left" w:pos="1741"/>
        </w:tabs>
        <w:spacing w:before="163" w:after="0" w:line="367" w:lineRule="auto"/>
        <w:ind w:left="540" w:right="577" w:firstLine="480"/>
        <w:jc w:val="left"/>
        <w:rPr>
          <w:color w:val="0000FF"/>
          <w:sz w:val="24"/>
        </w:rPr>
      </w:pPr>
      <w:r>
        <w:rPr>
          <w:color w:val="0000FF"/>
          <w:spacing w:val="-3"/>
          <w:sz w:val="24"/>
        </w:rPr>
        <w:t>《农业部畜禽规模养殖场粪污资源化利用设施建设规范</w:t>
      </w:r>
      <w:r>
        <w:rPr>
          <w:color w:val="0000FF"/>
          <w:sz w:val="24"/>
        </w:rPr>
        <w:t>（试行</w:t>
      </w:r>
      <w:r>
        <w:rPr>
          <w:color w:val="0000FF"/>
          <w:spacing w:val="-20"/>
          <w:sz w:val="24"/>
        </w:rPr>
        <w:t>）》</w:t>
      </w:r>
      <w:r>
        <w:rPr>
          <w:color w:val="0000FF"/>
          <w:spacing w:val="-5"/>
          <w:sz w:val="24"/>
        </w:rPr>
        <w:t>农办牧〔</w:t>
      </w:r>
      <w:r>
        <w:rPr>
          <w:rFonts w:ascii="Times New Roman" w:eastAsia="Times New Roman"/>
          <w:color w:val="0000FF"/>
          <w:sz w:val="24"/>
        </w:rPr>
        <w:t>2018</w:t>
      </w:r>
      <w:r>
        <w:rPr>
          <w:color w:val="0000FF"/>
          <w:sz w:val="24"/>
        </w:rPr>
        <w:t>〕</w:t>
      </w:r>
      <w:r>
        <w:rPr>
          <w:rFonts w:ascii="Times New Roman" w:eastAsia="Times New Roman"/>
          <w:color w:val="0000FF"/>
          <w:sz w:val="24"/>
        </w:rPr>
        <w:t>2</w:t>
      </w:r>
      <w:r>
        <w:rPr>
          <w:color w:val="0000FF"/>
          <w:sz w:val="24"/>
        </w:rPr>
        <w:t>号，</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pacing w:val="-3"/>
          <w:sz w:val="24"/>
        </w:rPr>
        <w:t>11</w:t>
      </w:r>
      <w:r>
        <w:rPr>
          <w:color w:val="0000FF"/>
          <w:sz w:val="24"/>
        </w:rPr>
        <w:t>日；</w:t>
      </w:r>
    </w:p>
    <w:p>
      <w:pPr>
        <w:pStyle w:val="17"/>
        <w:numPr>
          <w:ilvl w:val="0"/>
          <w:numId w:val="8"/>
        </w:numPr>
        <w:tabs>
          <w:tab w:val="left" w:pos="1741"/>
        </w:tabs>
        <w:spacing w:before="0" w:after="0" w:line="305" w:lineRule="exact"/>
        <w:ind w:left="1741" w:right="0" w:hanging="721"/>
        <w:jc w:val="left"/>
        <w:rPr>
          <w:color w:val="0000FF"/>
          <w:sz w:val="24"/>
        </w:rPr>
      </w:pPr>
      <w:r>
        <w:rPr>
          <w:color w:val="0000FF"/>
          <w:spacing w:val="-3"/>
          <w:sz w:val="24"/>
        </w:rPr>
        <w:t>《排污许可证申请与核发技术规范畜禽养殖行业》（</w:t>
      </w:r>
      <w:r>
        <w:rPr>
          <w:rFonts w:ascii="Times New Roman" w:eastAsia="Times New Roman"/>
          <w:color w:val="0000FF"/>
          <w:spacing w:val="-3"/>
          <w:sz w:val="24"/>
        </w:rPr>
        <w:t>HJ1029-2019</w:t>
      </w:r>
      <w:r>
        <w:rPr>
          <w:color w:val="0000FF"/>
          <w:spacing w:val="-3"/>
          <w:sz w:val="24"/>
        </w:rPr>
        <w:t>）</w:t>
      </w:r>
      <w:r>
        <w:rPr>
          <w:color w:val="0000FF"/>
          <w:sz w:val="24"/>
        </w:rPr>
        <w:t>。</w:t>
      </w:r>
    </w:p>
    <w:p>
      <w:pPr>
        <w:pStyle w:val="5"/>
        <w:numPr>
          <w:ilvl w:val="2"/>
          <w:numId w:val="5"/>
        </w:numPr>
        <w:tabs>
          <w:tab w:val="left" w:pos="1241"/>
        </w:tabs>
        <w:spacing w:before="185" w:after="0" w:line="240" w:lineRule="auto"/>
        <w:ind w:left="1240" w:right="0" w:hanging="701"/>
        <w:jc w:val="left"/>
        <w:outlineLvl w:val="2"/>
        <w:rPr>
          <w:rFonts w:ascii="Times New Roman" w:eastAsia="Times New Roman"/>
        </w:rPr>
      </w:pPr>
      <w:bookmarkStart w:id="50" w:name="2.2.5 项目编制依据"/>
      <w:bookmarkEnd w:id="50"/>
      <w:bookmarkStart w:id="51" w:name="2.2.5 项目编制依据"/>
      <w:bookmarkEnd w:id="51"/>
      <w:bookmarkStart w:id="52" w:name="_Toc27934"/>
      <w:r>
        <w:t>项目编制依据</w:t>
      </w:r>
      <w:bookmarkEnd w:id="52"/>
    </w:p>
    <w:p>
      <w:pPr>
        <w:pStyle w:val="17"/>
        <w:numPr>
          <w:ilvl w:val="0"/>
          <w:numId w:val="9"/>
        </w:numPr>
        <w:tabs>
          <w:tab w:val="left" w:pos="1621"/>
        </w:tabs>
        <w:spacing w:before="214" w:after="0" w:line="367" w:lineRule="auto"/>
        <w:ind w:left="540" w:right="577" w:firstLine="480"/>
        <w:jc w:val="left"/>
        <w:rPr>
          <w:color w:val="0000FF"/>
          <w:sz w:val="24"/>
        </w:rPr>
      </w:pPr>
      <w:r>
        <w:rPr>
          <w:color w:val="0000FF"/>
          <w:spacing w:val="-1"/>
          <w:sz w:val="24"/>
        </w:rPr>
        <w:t>《</w:t>
      </w:r>
      <w:r>
        <w:rPr>
          <w:rFonts w:hint="eastAsia"/>
          <w:color w:val="0000FF"/>
          <w:spacing w:val="-1"/>
          <w:sz w:val="24"/>
          <w:lang w:val="en-US" w:eastAsia="zh-CN"/>
        </w:rPr>
        <w:t>莎车县阿拉买提良种繁育中心环境质量现状监测方案</w:t>
      </w:r>
      <w:r>
        <w:rPr>
          <w:color w:val="0000FF"/>
          <w:spacing w:val="-1"/>
          <w:sz w:val="24"/>
        </w:rPr>
        <w:t>》，</w:t>
      </w:r>
      <w:r>
        <w:rPr>
          <w:rFonts w:hint="eastAsia"/>
          <w:color w:val="0000FF"/>
          <w:spacing w:val="-1"/>
          <w:sz w:val="24"/>
          <w:lang w:val="en-US" w:eastAsia="zh-CN"/>
        </w:rPr>
        <w:t>莎车县畜牧兽医局</w:t>
      </w:r>
      <w:r>
        <w:rPr>
          <w:color w:val="0000FF"/>
          <w:sz w:val="24"/>
        </w:rPr>
        <w:t>，</w:t>
      </w:r>
      <w:r>
        <w:rPr>
          <w:rFonts w:ascii="Times New Roman" w:eastAsia="Times New Roman"/>
          <w:color w:val="0000FF"/>
          <w:sz w:val="24"/>
        </w:rPr>
        <w:t>2019</w:t>
      </w:r>
      <w:r>
        <w:rPr>
          <w:color w:val="0000FF"/>
          <w:spacing w:val="-30"/>
          <w:sz w:val="24"/>
        </w:rPr>
        <w:t>年</w:t>
      </w:r>
      <w:r>
        <w:rPr>
          <w:rFonts w:hint="eastAsia" w:ascii="Times New Roman" w:eastAsia="宋体"/>
          <w:color w:val="0000FF"/>
          <w:sz w:val="24"/>
          <w:lang w:val="en-US" w:eastAsia="zh-CN"/>
        </w:rPr>
        <w:t>12</w:t>
      </w:r>
      <w:r>
        <w:rPr>
          <w:color w:val="0000FF"/>
          <w:sz w:val="24"/>
        </w:rPr>
        <w:t>月；</w:t>
      </w:r>
    </w:p>
    <w:p>
      <w:pPr>
        <w:pStyle w:val="17"/>
        <w:numPr>
          <w:ilvl w:val="0"/>
          <w:numId w:val="9"/>
        </w:numPr>
        <w:tabs>
          <w:tab w:val="left" w:pos="1621"/>
        </w:tabs>
        <w:spacing w:before="0" w:after="0" w:line="305" w:lineRule="exact"/>
        <w:ind w:left="1621" w:right="0" w:hanging="601"/>
        <w:jc w:val="left"/>
        <w:rPr>
          <w:color w:val="0000FF"/>
          <w:sz w:val="24"/>
        </w:rPr>
      </w:pPr>
      <w:r>
        <w:rPr>
          <w:rFonts w:hint="eastAsia"/>
          <w:color w:val="0000FF"/>
          <w:sz w:val="24"/>
          <w:lang w:val="en-US" w:eastAsia="zh-CN"/>
        </w:rPr>
        <w:t>莎车</w:t>
      </w:r>
      <w:r>
        <w:rPr>
          <w:color w:val="0000FF"/>
          <w:sz w:val="24"/>
        </w:rPr>
        <w:t>县羊养殖扶贫产业建设项目总平面规划图；</w:t>
      </w:r>
    </w:p>
    <w:p>
      <w:pPr>
        <w:pStyle w:val="17"/>
        <w:numPr>
          <w:ilvl w:val="0"/>
          <w:numId w:val="9"/>
        </w:numPr>
        <w:tabs>
          <w:tab w:val="left" w:pos="1621"/>
        </w:tabs>
        <w:spacing w:before="163" w:after="0" w:line="240" w:lineRule="auto"/>
        <w:ind w:left="1621" w:right="0" w:hanging="601"/>
        <w:jc w:val="left"/>
        <w:rPr>
          <w:color w:val="0000FF"/>
          <w:sz w:val="24"/>
        </w:rPr>
      </w:pPr>
      <w:r>
        <w:rPr>
          <w:color w:val="0000FF"/>
          <w:sz w:val="24"/>
        </w:rPr>
        <w:t>现状检测报告，新疆</w:t>
      </w:r>
      <w:r>
        <w:rPr>
          <w:rFonts w:hint="eastAsia"/>
          <w:color w:val="0000FF"/>
          <w:sz w:val="24"/>
          <w:lang w:val="en-US" w:eastAsia="zh-CN"/>
        </w:rPr>
        <w:t>环疆绿源环保科技</w:t>
      </w:r>
      <w:r>
        <w:rPr>
          <w:color w:val="0000FF"/>
          <w:sz w:val="24"/>
        </w:rPr>
        <w:t>有限公司，</w:t>
      </w:r>
      <w:r>
        <w:rPr>
          <w:rFonts w:ascii="Times New Roman" w:eastAsia="Times New Roman"/>
          <w:color w:val="0000FF"/>
          <w:sz w:val="24"/>
        </w:rPr>
        <w:t>20</w:t>
      </w:r>
      <w:r>
        <w:rPr>
          <w:rFonts w:hint="eastAsia" w:ascii="Times New Roman" w:eastAsia="宋体"/>
          <w:color w:val="0000FF"/>
          <w:sz w:val="24"/>
          <w:lang w:val="en-US" w:eastAsia="zh-CN"/>
        </w:rPr>
        <w:t>20</w:t>
      </w:r>
      <w:r>
        <w:rPr>
          <w:color w:val="0000FF"/>
          <w:spacing w:val="-30"/>
          <w:sz w:val="24"/>
        </w:rPr>
        <w:t>年</w:t>
      </w:r>
      <w:r>
        <w:rPr>
          <w:rFonts w:ascii="Times New Roman" w:eastAsia="Times New Roman"/>
          <w:color w:val="0000FF"/>
          <w:sz w:val="24"/>
        </w:rPr>
        <w:t>1</w:t>
      </w:r>
      <w:r>
        <w:rPr>
          <w:color w:val="0000FF"/>
          <w:spacing w:val="-30"/>
          <w:sz w:val="24"/>
        </w:rPr>
        <w:t>月</w:t>
      </w:r>
      <w:r>
        <w:rPr>
          <w:rFonts w:hint="eastAsia"/>
          <w:color w:val="0000FF"/>
          <w:spacing w:val="-30"/>
          <w:sz w:val="24"/>
          <w:lang w:val="en-US" w:eastAsia="zh-CN"/>
        </w:rPr>
        <w:t>8</w:t>
      </w:r>
      <w:r>
        <w:rPr>
          <w:color w:val="0000FF"/>
          <w:sz w:val="24"/>
        </w:rPr>
        <w:t>日；</w:t>
      </w:r>
    </w:p>
    <w:p>
      <w:pPr>
        <w:pStyle w:val="17"/>
        <w:numPr>
          <w:ilvl w:val="0"/>
          <w:numId w:val="9"/>
        </w:numPr>
        <w:tabs>
          <w:tab w:val="left" w:pos="1621"/>
        </w:tabs>
        <w:spacing w:before="163" w:after="0" w:line="240" w:lineRule="auto"/>
        <w:ind w:left="1621" w:right="0" w:hanging="601"/>
        <w:jc w:val="left"/>
        <w:rPr>
          <w:color w:val="0000FF"/>
          <w:sz w:val="24"/>
        </w:rPr>
      </w:pPr>
      <w:r>
        <w:rPr>
          <w:color w:val="0000FF"/>
          <w:sz w:val="24"/>
        </w:rPr>
        <w:t>关于本项目进行环境影响评价工作的委托书；</w:t>
      </w:r>
    </w:p>
    <w:p>
      <w:pPr>
        <w:pStyle w:val="17"/>
        <w:numPr>
          <w:ilvl w:val="0"/>
          <w:numId w:val="9"/>
        </w:numPr>
        <w:tabs>
          <w:tab w:val="left" w:pos="1621"/>
        </w:tabs>
        <w:spacing w:before="163" w:after="0" w:line="240" w:lineRule="auto"/>
        <w:ind w:left="1621" w:right="0" w:hanging="601"/>
        <w:jc w:val="left"/>
        <w:rPr>
          <w:sz w:val="24"/>
        </w:rPr>
      </w:pPr>
      <w:r>
        <w:rPr>
          <w:color w:val="0000FF"/>
          <w:sz w:val="24"/>
        </w:rPr>
        <w:t>本项目的环境影响评价合同及建设方提供的与项目有关的其他文件。</w:t>
      </w:r>
    </w:p>
    <w:p>
      <w:pPr>
        <w:pStyle w:val="4"/>
        <w:numPr>
          <w:ilvl w:val="1"/>
          <w:numId w:val="5"/>
        </w:numPr>
        <w:tabs>
          <w:tab w:val="left" w:pos="1100"/>
        </w:tabs>
        <w:spacing w:before="208" w:after="0" w:line="240" w:lineRule="auto"/>
        <w:ind w:left="1099" w:right="0" w:hanging="560"/>
        <w:jc w:val="left"/>
        <w:outlineLvl w:val="1"/>
      </w:pPr>
      <w:bookmarkStart w:id="53" w:name="2.3 环境影响因素识别及评价因子筛选"/>
      <w:bookmarkEnd w:id="53"/>
      <w:bookmarkStart w:id="54" w:name="_bookmark10"/>
      <w:bookmarkEnd w:id="54"/>
      <w:bookmarkStart w:id="55" w:name="_Toc24477"/>
      <w:r>
        <w:t>环境影响因素识别及评价因子筛选</w:t>
      </w:r>
      <w:bookmarkEnd w:id="55"/>
    </w:p>
    <w:p>
      <w:pPr>
        <w:pStyle w:val="5"/>
        <w:numPr>
          <w:ilvl w:val="2"/>
          <w:numId w:val="5"/>
        </w:numPr>
        <w:tabs>
          <w:tab w:val="left" w:pos="1241"/>
        </w:tabs>
        <w:spacing w:before="225" w:after="0" w:line="240" w:lineRule="auto"/>
        <w:ind w:left="1240" w:right="0" w:hanging="701"/>
        <w:jc w:val="left"/>
        <w:outlineLvl w:val="2"/>
        <w:rPr>
          <w:rFonts w:ascii="Times New Roman" w:eastAsia="Times New Roman"/>
        </w:rPr>
      </w:pPr>
      <w:bookmarkStart w:id="56" w:name="2.3.1 环境影响因素识别"/>
      <w:bookmarkEnd w:id="56"/>
      <w:bookmarkStart w:id="57" w:name="2.3.1 环境影响因素识别"/>
      <w:bookmarkEnd w:id="57"/>
      <w:bookmarkStart w:id="58" w:name="_Toc11294"/>
      <w:r>
        <w:t>环境影响因素识别</w:t>
      </w:r>
      <w:bookmarkEnd w:id="58"/>
    </w:p>
    <w:p>
      <w:pPr>
        <w:pStyle w:val="7"/>
        <w:spacing w:before="212" w:line="367" w:lineRule="auto"/>
        <w:ind w:right="577" w:firstLine="482"/>
        <w:jc w:val="both"/>
        <w:rPr>
          <w:color w:val="0000FF"/>
        </w:rPr>
      </w:pPr>
      <w:r>
        <w:rPr>
          <w:color w:val="0000FF"/>
          <w:spacing w:val="-6"/>
        </w:rPr>
        <w:t>本项目对环境的主要影响为施工期和运营期。项目施工期间对环境的影响很</w:t>
      </w:r>
      <w:r>
        <w:rPr>
          <w:color w:val="0000FF"/>
          <w:spacing w:val="-7"/>
        </w:rPr>
        <w:t>大程度上取决于工程特点、施工季节以及工程所处的地形、地貌等环境因素，施</w:t>
      </w:r>
      <w:r>
        <w:rPr>
          <w:color w:val="0000FF"/>
          <w:spacing w:val="-6"/>
        </w:rPr>
        <w:t>工期对环境的影响主要为施工扬尘、施工噪声、施工废水及固体废弃物。运营期</w:t>
      </w:r>
      <w:r>
        <w:rPr>
          <w:color w:val="0000FF"/>
          <w:spacing w:val="-11"/>
        </w:rPr>
        <w:t>产生废气、废水、噪声以及固废等污染因素，将相应对场址区域的环境空气、地</w:t>
      </w:r>
      <w:r>
        <w:rPr>
          <w:color w:val="0000FF"/>
          <w:spacing w:val="-6"/>
        </w:rPr>
        <w:t>下水环境及声环境等产生不同程度的影响。综上所述，确定本项目建设可能产生</w:t>
      </w:r>
      <w:r>
        <w:rPr>
          <w:color w:val="0000FF"/>
          <w:spacing w:val="-7"/>
        </w:rPr>
        <w:t>的环境影响因素见表</w:t>
      </w:r>
      <w:r>
        <w:rPr>
          <w:rFonts w:ascii="Times New Roman" w:eastAsia="Times New Roman"/>
          <w:color w:val="0000FF"/>
        </w:rPr>
        <w:t>2.3-1</w:t>
      </w:r>
      <w:r>
        <w:rPr>
          <w:color w:val="0000FF"/>
        </w:rPr>
        <w:t>。</w:t>
      </w:r>
    </w:p>
    <w:p>
      <w:pPr>
        <w:spacing w:after="0" w:line="367" w:lineRule="auto"/>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spacing w:before="9"/>
        <w:ind w:left="0"/>
        <w:rPr>
          <w:sz w:val="15"/>
        </w:rPr>
      </w:pPr>
    </w:p>
    <w:p>
      <w:pPr>
        <w:pStyle w:val="7"/>
        <w:bidi w:val="0"/>
        <w:jc w:val="center"/>
        <w:rPr>
          <w:b/>
          <w:bCs/>
        </w:rPr>
      </w:pPr>
      <w:r>
        <w:rPr>
          <w:b/>
          <w:bCs/>
        </w:rPr>
        <w:t>表2.3-1</w:t>
      </w:r>
      <w:r>
        <w:rPr>
          <w:b/>
          <w:bCs/>
        </w:rPr>
        <w:tab/>
      </w:r>
      <w:r>
        <w:rPr>
          <w:b/>
          <w:bCs/>
        </w:rPr>
        <w:t>项目环境影响识别一览表</w:t>
      </w:r>
    </w:p>
    <w:tbl>
      <w:tblPr>
        <w:tblStyle w:val="14"/>
        <w:tblW w:w="0" w:type="auto"/>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567"/>
        <w:gridCol w:w="1079"/>
        <w:gridCol w:w="821"/>
        <w:gridCol w:w="867"/>
        <w:gridCol w:w="850"/>
        <w:gridCol w:w="800"/>
        <w:gridCol w:w="716"/>
        <w:gridCol w:w="721"/>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8"/>
              <w:spacing w:before="14" w:line="310" w:lineRule="atLeast"/>
              <w:ind w:left="195" w:right="185"/>
              <w:jc w:val="left"/>
              <w:rPr>
                <w:b/>
                <w:color w:val="0000FF"/>
                <w:sz w:val="21"/>
              </w:rPr>
            </w:pPr>
            <w:r>
              <w:rPr>
                <w:b/>
                <w:color w:val="0000FF"/>
                <w:sz w:val="21"/>
              </w:rPr>
              <w:t>阶段</w:t>
            </w:r>
          </w:p>
        </w:tc>
        <w:tc>
          <w:tcPr>
            <w:tcW w:w="1646" w:type="dxa"/>
            <w:gridSpan w:val="2"/>
            <w:vMerge w:val="restart"/>
          </w:tcPr>
          <w:p>
            <w:pPr>
              <w:pStyle w:val="18"/>
              <w:spacing w:before="5"/>
              <w:jc w:val="left"/>
              <w:rPr>
                <w:b/>
                <w:color w:val="0000FF"/>
                <w:sz w:val="16"/>
              </w:rPr>
            </w:pPr>
          </w:p>
          <w:p>
            <w:pPr>
              <w:pStyle w:val="18"/>
              <w:spacing w:before="1"/>
              <w:ind w:left="402"/>
              <w:jc w:val="left"/>
              <w:rPr>
                <w:b/>
                <w:color w:val="0000FF"/>
                <w:sz w:val="21"/>
              </w:rPr>
            </w:pPr>
            <w:r>
              <w:rPr>
                <w:b/>
                <w:color w:val="0000FF"/>
                <w:sz w:val="21"/>
              </w:rPr>
              <w:t>污染因素</w:t>
            </w:r>
          </w:p>
        </w:tc>
        <w:tc>
          <w:tcPr>
            <w:tcW w:w="6075" w:type="dxa"/>
            <w:gridSpan w:val="7"/>
          </w:tcPr>
          <w:p>
            <w:pPr>
              <w:pStyle w:val="18"/>
              <w:spacing w:before="35"/>
              <w:ind w:left="2595" w:right="2586"/>
              <w:rPr>
                <w:b/>
                <w:color w:val="0000FF"/>
                <w:sz w:val="21"/>
              </w:rPr>
            </w:pPr>
            <w:r>
              <w:rPr>
                <w:b/>
                <w:color w:val="0000FF"/>
                <w:sz w:val="21"/>
              </w:rPr>
              <w:t>环境要素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vMerge w:val="continue"/>
            <w:tcBorders>
              <w:top w:val="nil"/>
            </w:tcBorders>
          </w:tcPr>
          <w:p>
            <w:pPr>
              <w:rPr>
                <w:color w:val="0000FF"/>
                <w:sz w:val="2"/>
                <w:szCs w:val="2"/>
              </w:rPr>
            </w:pPr>
          </w:p>
        </w:tc>
        <w:tc>
          <w:tcPr>
            <w:tcW w:w="821" w:type="dxa"/>
          </w:tcPr>
          <w:p>
            <w:pPr>
              <w:pStyle w:val="18"/>
              <w:spacing w:before="36"/>
              <w:ind w:left="178" w:right="171"/>
              <w:rPr>
                <w:b/>
                <w:color w:val="0000FF"/>
                <w:sz w:val="21"/>
              </w:rPr>
            </w:pPr>
            <w:r>
              <w:rPr>
                <w:b/>
                <w:color w:val="0000FF"/>
                <w:sz w:val="21"/>
              </w:rPr>
              <w:t>大气</w:t>
            </w:r>
          </w:p>
        </w:tc>
        <w:tc>
          <w:tcPr>
            <w:tcW w:w="867" w:type="dxa"/>
          </w:tcPr>
          <w:p>
            <w:pPr>
              <w:pStyle w:val="18"/>
              <w:spacing w:before="36"/>
              <w:ind w:left="96" w:right="87"/>
              <w:rPr>
                <w:b/>
                <w:color w:val="0000FF"/>
                <w:sz w:val="21"/>
              </w:rPr>
            </w:pPr>
            <w:r>
              <w:rPr>
                <w:b/>
                <w:color w:val="0000FF"/>
                <w:sz w:val="21"/>
              </w:rPr>
              <w:t>地表水</w:t>
            </w:r>
          </w:p>
        </w:tc>
        <w:tc>
          <w:tcPr>
            <w:tcW w:w="850" w:type="dxa"/>
          </w:tcPr>
          <w:p>
            <w:pPr>
              <w:pStyle w:val="18"/>
              <w:spacing w:before="36"/>
              <w:ind w:left="88" w:right="78"/>
              <w:rPr>
                <w:b/>
                <w:color w:val="0000FF"/>
                <w:sz w:val="21"/>
              </w:rPr>
            </w:pPr>
            <w:r>
              <w:rPr>
                <w:b/>
                <w:color w:val="0000FF"/>
                <w:sz w:val="21"/>
              </w:rPr>
              <w:t>地下水</w:t>
            </w:r>
          </w:p>
        </w:tc>
        <w:tc>
          <w:tcPr>
            <w:tcW w:w="800" w:type="dxa"/>
          </w:tcPr>
          <w:p>
            <w:pPr>
              <w:pStyle w:val="18"/>
              <w:spacing w:before="36"/>
              <w:ind w:left="6"/>
              <w:rPr>
                <w:b/>
                <w:color w:val="0000FF"/>
                <w:sz w:val="21"/>
              </w:rPr>
            </w:pPr>
            <w:r>
              <w:rPr>
                <w:b/>
                <w:color w:val="0000FF"/>
                <w:w w:val="99"/>
                <w:sz w:val="21"/>
              </w:rPr>
              <w:t>声</w:t>
            </w:r>
          </w:p>
        </w:tc>
        <w:tc>
          <w:tcPr>
            <w:tcW w:w="716" w:type="dxa"/>
          </w:tcPr>
          <w:p>
            <w:pPr>
              <w:pStyle w:val="18"/>
              <w:spacing w:before="36"/>
              <w:ind w:left="125" w:right="118"/>
              <w:rPr>
                <w:b/>
                <w:color w:val="0000FF"/>
                <w:sz w:val="21"/>
              </w:rPr>
            </w:pPr>
            <w:r>
              <w:rPr>
                <w:b/>
                <w:color w:val="0000FF"/>
                <w:sz w:val="21"/>
              </w:rPr>
              <w:t>生态</w:t>
            </w:r>
          </w:p>
        </w:tc>
        <w:tc>
          <w:tcPr>
            <w:tcW w:w="721" w:type="dxa"/>
          </w:tcPr>
          <w:p>
            <w:pPr>
              <w:pStyle w:val="18"/>
              <w:spacing w:before="36"/>
              <w:ind w:left="129" w:right="119"/>
              <w:rPr>
                <w:b/>
                <w:color w:val="0000FF"/>
                <w:sz w:val="21"/>
              </w:rPr>
            </w:pPr>
            <w:r>
              <w:rPr>
                <w:b/>
                <w:color w:val="0000FF"/>
                <w:sz w:val="21"/>
              </w:rPr>
              <w:t>土壤</w:t>
            </w:r>
          </w:p>
        </w:tc>
        <w:tc>
          <w:tcPr>
            <w:tcW w:w="1300" w:type="dxa"/>
          </w:tcPr>
          <w:p>
            <w:pPr>
              <w:pStyle w:val="18"/>
              <w:spacing w:before="36"/>
              <w:ind w:left="208" w:right="198"/>
              <w:rPr>
                <w:b/>
                <w:color w:val="0000FF"/>
                <w:sz w:val="21"/>
              </w:rPr>
            </w:pPr>
            <w:r>
              <w:rPr>
                <w:b/>
                <w:color w:val="0000FF"/>
                <w:sz w:val="21"/>
              </w:rPr>
              <w:t>居民生活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8"/>
              <w:spacing w:before="4"/>
              <w:jc w:val="left"/>
              <w:rPr>
                <w:b/>
                <w:color w:val="0000FF"/>
                <w:sz w:val="19"/>
              </w:rPr>
            </w:pPr>
          </w:p>
          <w:p>
            <w:pPr>
              <w:pStyle w:val="18"/>
              <w:spacing w:line="278" w:lineRule="auto"/>
              <w:ind w:left="195" w:right="185"/>
              <w:jc w:val="both"/>
              <w:rPr>
                <w:color w:val="0000FF"/>
                <w:sz w:val="21"/>
              </w:rPr>
            </w:pPr>
            <w:r>
              <w:rPr>
                <w:color w:val="0000FF"/>
                <w:sz w:val="21"/>
              </w:rPr>
              <w:t>施工期</w:t>
            </w:r>
          </w:p>
        </w:tc>
        <w:tc>
          <w:tcPr>
            <w:tcW w:w="567" w:type="dxa"/>
            <w:vMerge w:val="restart"/>
          </w:tcPr>
          <w:p>
            <w:pPr>
              <w:pStyle w:val="18"/>
              <w:spacing w:before="10"/>
              <w:jc w:val="left"/>
              <w:rPr>
                <w:b/>
                <w:color w:val="0000FF"/>
                <w:sz w:val="17"/>
              </w:rPr>
            </w:pPr>
          </w:p>
          <w:p>
            <w:pPr>
              <w:pStyle w:val="18"/>
              <w:spacing w:line="278" w:lineRule="auto"/>
              <w:ind w:left="177" w:right="168"/>
              <w:jc w:val="left"/>
              <w:rPr>
                <w:color w:val="0000FF"/>
                <w:sz w:val="21"/>
              </w:rPr>
            </w:pPr>
            <w:r>
              <w:rPr>
                <w:color w:val="0000FF"/>
                <w:sz w:val="21"/>
              </w:rPr>
              <w:t>场区</w:t>
            </w:r>
          </w:p>
        </w:tc>
        <w:tc>
          <w:tcPr>
            <w:tcW w:w="1079" w:type="dxa"/>
          </w:tcPr>
          <w:p>
            <w:pPr>
              <w:pStyle w:val="18"/>
              <w:spacing w:before="34"/>
              <w:ind w:left="95" w:right="91"/>
              <w:rPr>
                <w:color w:val="0000FF"/>
                <w:sz w:val="21"/>
              </w:rPr>
            </w:pPr>
            <w:r>
              <w:rPr>
                <w:color w:val="0000FF"/>
                <w:sz w:val="21"/>
              </w:rPr>
              <w:t>扬尘</w:t>
            </w:r>
          </w:p>
        </w:tc>
        <w:tc>
          <w:tcPr>
            <w:tcW w:w="821" w:type="dxa"/>
          </w:tcPr>
          <w:p>
            <w:pPr>
              <w:pStyle w:val="18"/>
              <w:spacing w:before="34"/>
              <w:ind w:left="178" w:right="170"/>
              <w:rPr>
                <w:rFonts w:ascii="Times New Roman" w:hAnsi="Times New Roman"/>
                <w:color w:val="0000FF"/>
                <w:sz w:val="21"/>
              </w:rPr>
            </w:pPr>
            <w:r>
              <w:rPr>
                <w:color w:val="0000FF"/>
                <w:sz w:val="21"/>
              </w:rPr>
              <w:t>◆</w:t>
            </w:r>
            <w:r>
              <w:rPr>
                <w:rFonts w:ascii="Times New Roman" w:hAnsi="Times New Roman"/>
                <w:color w:val="0000FF"/>
                <w:sz w:val="21"/>
              </w:rPr>
              <w:t>S</w:t>
            </w:r>
          </w:p>
        </w:tc>
        <w:tc>
          <w:tcPr>
            <w:tcW w:w="867" w:type="dxa"/>
          </w:tcPr>
          <w:p>
            <w:pPr>
              <w:pStyle w:val="18"/>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8"/>
              <w:spacing w:before="34"/>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8"/>
              <w:spacing w:before="48"/>
              <w:ind w:left="207" w:right="198"/>
              <w:rPr>
                <w:rFonts w:ascii="Times New Roman" w:hAnsi="Times New Roman"/>
                <w:color w:val="0000FF"/>
                <w:sz w:val="21"/>
              </w:rPr>
            </w:pP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8"/>
              <w:spacing w:before="34"/>
              <w:ind w:left="97" w:right="91"/>
              <w:rPr>
                <w:color w:val="0000FF"/>
                <w:sz w:val="21"/>
              </w:rPr>
            </w:pPr>
            <w:r>
              <w:rPr>
                <w:color w:val="0000FF"/>
                <w:sz w:val="21"/>
              </w:rPr>
              <w:t>施工废水</w:t>
            </w:r>
          </w:p>
        </w:tc>
        <w:tc>
          <w:tcPr>
            <w:tcW w:w="821" w:type="dxa"/>
          </w:tcPr>
          <w:p>
            <w:pPr>
              <w:pStyle w:val="18"/>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8"/>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8"/>
              <w:ind w:left="87" w:right="78"/>
              <w:rPr>
                <w:rFonts w:ascii="Times New Roman" w:hAnsi="Times New Roman"/>
                <w:color w:val="0000FF"/>
                <w:sz w:val="21"/>
              </w:rPr>
            </w:pPr>
            <w:r>
              <w:rPr>
                <w:rFonts w:ascii="Times New Roman" w:hAnsi="Times New Roman"/>
                <w:color w:val="0000FF"/>
                <w:sz w:val="21"/>
              </w:rPr>
              <w:t>▲S</w:t>
            </w:r>
          </w:p>
        </w:tc>
        <w:tc>
          <w:tcPr>
            <w:tcW w:w="800" w:type="dxa"/>
          </w:tcPr>
          <w:p>
            <w:pPr>
              <w:pStyle w:val="18"/>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8"/>
              <w:spacing w:before="34"/>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8"/>
              <w:spacing w:before="48"/>
              <w:ind w:left="128" w:right="119"/>
              <w:rPr>
                <w:rFonts w:ascii="Times New Roman" w:hAnsi="Times New Roman"/>
                <w:color w:val="0000FF"/>
                <w:sz w:val="21"/>
              </w:rPr>
            </w:pPr>
            <w:r>
              <w:rPr>
                <w:rFonts w:ascii="Times New Roman" w:hAnsi="Times New Roman"/>
                <w:color w:val="0000FF"/>
                <w:sz w:val="21"/>
              </w:rPr>
              <w:t>▲S</w:t>
            </w:r>
          </w:p>
        </w:tc>
        <w:tc>
          <w:tcPr>
            <w:tcW w:w="1300"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8"/>
              <w:spacing w:before="35"/>
              <w:ind w:left="97" w:right="91"/>
              <w:rPr>
                <w:color w:val="0000FF"/>
                <w:sz w:val="21"/>
              </w:rPr>
            </w:pPr>
            <w:r>
              <w:rPr>
                <w:color w:val="0000FF"/>
                <w:sz w:val="21"/>
              </w:rPr>
              <w:t>施工噪声</w:t>
            </w:r>
          </w:p>
        </w:tc>
        <w:tc>
          <w:tcPr>
            <w:tcW w:w="821" w:type="dxa"/>
          </w:tcPr>
          <w:p>
            <w:pPr>
              <w:pStyle w:val="18"/>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8"/>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35"/>
              <w:ind w:left="210" w:right="200"/>
              <w:rPr>
                <w:rFonts w:ascii="Times New Roman" w:hAnsi="Times New Roman"/>
                <w:color w:val="0000FF"/>
                <w:sz w:val="21"/>
              </w:rPr>
            </w:pPr>
            <w:r>
              <w:rPr>
                <w:color w:val="0000FF"/>
                <w:sz w:val="21"/>
              </w:rPr>
              <w:t>◆</w:t>
            </w:r>
            <w:r>
              <w:rPr>
                <w:rFonts w:ascii="Times New Roman" w:hAnsi="Times New Roman"/>
                <w:color w:val="0000FF"/>
                <w:sz w:val="21"/>
              </w:rPr>
              <w:t>S</w:t>
            </w:r>
          </w:p>
        </w:tc>
        <w:tc>
          <w:tcPr>
            <w:tcW w:w="716" w:type="dxa"/>
          </w:tcPr>
          <w:p>
            <w:pPr>
              <w:pStyle w:val="18"/>
              <w:spacing w:before="35"/>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8"/>
              <w:spacing w:before="35"/>
              <w:ind w:left="207" w:right="198"/>
              <w:rPr>
                <w:rFonts w:ascii="Times New Roman" w:hAnsi="Times New Roman"/>
                <w:color w:val="0000FF"/>
                <w:sz w:val="21"/>
              </w:rPr>
            </w:pPr>
            <w:r>
              <w:rPr>
                <w:color w:val="0000FF"/>
                <w:sz w:val="21"/>
              </w:rPr>
              <w:t>△</w:t>
            </w: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8"/>
              <w:spacing w:before="35"/>
              <w:ind w:left="402"/>
              <w:jc w:val="left"/>
              <w:rPr>
                <w:color w:val="0000FF"/>
                <w:sz w:val="21"/>
              </w:rPr>
            </w:pPr>
            <w:r>
              <w:rPr>
                <w:color w:val="0000FF"/>
                <w:sz w:val="21"/>
              </w:rPr>
              <w:t>车辆运输</w:t>
            </w:r>
          </w:p>
        </w:tc>
        <w:tc>
          <w:tcPr>
            <w:tcW w:w="821" w:type="dxa"/>
          </w:tcPr>
          <w:p>
            <w:pPr>
              <w:pStyle w:val="18"/>
              <w:spacing w:before="49"/>
              <w:ind w:left="178" w:right="168"/>
              <w:rPr>
                <w:rFonts w:ascii="Times New Roman" w:hAnsi="Times New Roman"/>
                <w:color w:val="0000FF"/>
                <w:sz w:val="21"/>
              </w:rPr>
            </w:pPr>
            <w:r>
              <w:rPr>
                <w:rFonts w:ascii="Times New Roman" w:hAnsi="Times New Roman"/>
                <w:color w:val="0000FF"/>
                <w:sz w:val="21"/>
              </w:rPr>
              <w:t>▲S</w:t>
            </w:r>
          </w:p>
        </w:tc>
        <w:tc>
          <w:tcPr>
            <w:tcW w:w="867" w:type="dxa"/>
          </w:tcPr>
          <w:p>
            <w:pPr>
              <w:pStyle w:val="18"/>
              <w:spacing w:before="49"/>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9"/>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49"/>
              <w:ind w:left="210" w:right="200"/>
              <w:rPr>
                <w:rFonts w:ascii="Times New Roman" w:hAnsi="Times New Roman"/>
                <w:color w:val="0000FF"/>
                <w:sz w:val="21"/>
              </w:rPr>
            </w:pPr>
            <w:r>
              <w:rPr>
                <w:rFonts w:ascii="Times New Roman" w:hAnsi="Times New Roman"/>
                <w:color w:val="0000FF"/>
                <w:sz w:val="21"/>
              </w:rPr>
              <w:t>▲S</w:t>
            </w:r>
          </w:p>
        </w:tc>
        <w:tc>
          <w:tcPr>
            <w:tcW w:w="716" w:type="dxa"/>
          </w:tcPr>
          <w:p>
            <w:pPr>
              <w:pStyle w:val="18"/>
              <w:spacing w:before="49"/>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8"/>
              <w:spacing w:before="49"/>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8"/>
              <w:spacing w:before="49"/>
              <w:ind w:left="207" w:right="198"/>
              <w:rPr>
                <w:rFonts w:ascii="Times New Roman" w:hAnsi="Times New Roman"/>
                <w:color w:val="0000FF"/>
                <w:sz w:val="21"/>
              </w:rPr>
            </w:pP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8"/>
              <w:jc w:val="left"/>
              <w:rPr>
                <w:b/>
                <w:color w:val="0000FF"/>
                <w:sz w:val="20"/>
              </w:rPr>
            </w:pPr>
          </w:p>
          <w:p>
            <w:pPr>
              <w:pStyle w:val="18"/>
              <w:spacing w:before="165" w:line="278" w:lineRule="auto"/>
              <w:ind w:left="195" w:right="185"/>
              <w:jc w:val="both"/>
              <w:rPr>
                <w:color w:val="0000FF"/>
                <w:sz w:val="21"/>
              </w:rPr>
            </w:pPr>
            <w:r>
              <w:rPr>
                <w:color w:val="0000FF"/>
                <w:sz w:val="21"/>
              </w:rPr>
              <w:t>运营期</w:t>
            </w:r>
          </w:p>
        </w:tc>
        <w:tc>
          <w:tcPr>
            <w:tcW w:w="567" w:type="dxa"/>
            <w:vMerge w:val="restart"/>
          </w:tcPr>
          <w:p>
            <w:pPr>
              <w:pStyle w:val="18"/>
              <w:spacing w:before="12"/>
              <w:jc w:val="left"/>
              <w:rPr>
                <w:b/>
                <w:color w:val="0000FF"/>
                <w:sz w:val="17"/>
              </w:rPr>
            </w:pPr>
          </w:p>
          <w:p>
            <w:pPr>
              <w:pStyle w:val="18"/>
              <w:spacing w:line="278" w:lineRule="auto"/>
              <w:ind w:left="177" w:right="168"/>
              <w:jc w:val="left"/>
              <w:rPr>
                <w:color w:val="0000FF"/>
                <w:sz w:val="21"/>
              </w:rPr>
            </w:pPr>
            <w:r>
              <w:rPr>
                <w:color w:val="0000FF"/>
                <w:sz w:val="21"/>
              </w:rPr>
              <w:t>场区</w:t>
            </w:r>
          </w:p>
        </w:tc>
        <w:tc>
          <w:tcPr>
            <w:tcW w:w="1079" w:type="dxa"/>
          </w:tcPr>
          <w:p>
            <w:pPr>
              <w:pStyle w:val="18"/>
              <w:spacing w:before="35"/>
              <w:ind w:left="97" w:right="91"/>
              <w:rPr>
                <w:color w:val="0000FF"/>
                <w:sz w:val="21"/>
              </w:rPr>
            </w:pPr>
            <w:r>
              <w:rPr>
                <w:color w:val="0000FF"/>
                <w:sz w:val="21"/>
              </w:rPr>
              <w:t>工程废水</w:t>
            </w:r>
          </w:p>
        </w:tc>
        <w:tc>
          <w:tcPr>
            <w:tcW w:w="821" w:type="dxa"/>
          </w:tcPr>
          <w:p>
            <w:pPr>
              <w:pStyle w:val="18"/>
              <w:spacing w:before="49"/>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8"/>
              <w:spacing w:before="49"/>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35"/>
              <w:ind w:left="86" w:right="78"/>
              <w:rPr>
                <w:rFonts w:ascii="Times New Roman" w:hAnsi="Times New Roman"/>
                <w:color w:val="0000FF"/>
                <w:sz w:val="21"/>
              </w:rPr>
            </w:pPr>
            <w:r>
              <w:rPr>
                <w:color w:val="0000FF"/>
                <w:sz w:val="21"/>
              </w:rPr>
              <w:t>△</w:t>
            </w:r>
            <w:r>
              <w:rPr>
                <w:rFonts w:ascii="Times New Roman" w:hAnsi="Times New Roman"/>
                <w:color w:val="0000FF"/>
                <w:sz w:val="21"/>
              </w:rPr>
              <w:t>L</w:t>
            </w:r>
          </w:p>
        </w:tc>
        <w:tc>
          <w:tcPr>
            <w:tcW w:w="800" w:type="dxa"/>
          </w:tcPr>
          <w:p>
            <w:pPr>
              <w:pStyle w:val="18"/>
              <w:spacing w:before="49"/>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8"/>
              <w:spacing w:before="35"/>
              <w:ind w:left="125" w:right="117"/>
              <w:rPr>
                <w:rFonts w:ascii="Times New Roman" w:hAnsi="Times New Roman"/>
                <w:color w:val="0000FF"/>
                <w:sz w:val="21"/>
              </w:rPr>
            </w:pPr>
            <w:r>
              <w:rPr>
                <w:color w:val="0000FF"/>
                <w:sz w:val="21"/>
              </w:rPr>
              <w:t>△</w:t>
            </w:r>
            <w:r>
              <w:rPr>
                <w:rFonts w:ascii="Times New Roman" w:hAnsi="Times New Roman"/>
                <w:color w:val="0000FF"/>
                <w:sz w:val="21"/>
              </w:rPr>
              <w:t>L</w:t>
            </w:r>
          </w:p>
        </w:tc>
        <w:tc>
          <w:tcPr>
            <w:tcW w:w="721" w:type="dxa"/>
          </w:tcPr>
          <w:p>
            <w:pPr>
              <w:pStyle w:val="18"/>
              <w:spacing w:before="35"/>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8"/>
              <w:spacing w:before="35"/>
              <w:ind w:left="206" w:right="198"/>
              <w:rPr>
                <w:rFonts w:ascii="Times New Roman" w:hAnsi="Times New Roman"/>
                <w:color w:val="0000FF"/>
                <w:sz w:val="21"/>
              </w:rPr>
            </w:pPr>
            <w:r>
              <w:rPr>
                <w:color w:val="0000FF"/>
                <w:sz w:val="21"/>
              </w:rPr>
              <w:t>◆</w:t>
            </w: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8"/>
              <w:spacing w:before="36"/>
              <w:ind w:left="97" w:right="91"/>
              <w:rPr>
                <w:color w:val="0000FF"/>
                <w:sz w:val="21"/>
              </w:rPr>
            </w:pPr>
            <w:r>
              <w:rPr>
                <w:color w:val="0000FF"/>
                <w:sz w:val="21"/>
              </w:rPr>
              <w:t>生产恶臭</w:t>
            </w:r>
          </w:p>
        </w:tc>
        <w:tc>
          <w:tcPr>
            <w:tcW w:w="821" w:type="dxa"/>
          </w:tcPr>
          <w:p>
            <w:pPr>
              <w:pStyle w:val="18"/>
              <w:spacing w:before="50"/>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8"/>
              <w:spacing w:before="50"/>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50"/>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50"/>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8"/>
              <w:spacing w:before="50"/>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8"/>
              <w:spacing w:before="50"/>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8"/>
              <w:spacing w:before="50"/>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8"/>
              <w:spacing w:before="34"/>
              <w:ind w:left="97" w:right="91"/>
              <w:rPr>
                <w:color w:val="0000FF"/>
                <w:sz w:val="21"/>
              </w:rPr>
            </w:pPr>
            <w:r>
              <w:rPr>
                <w:color w:val="0000FF"/>
                <w:sz w:val="21"/>
              </w:rPr>
              <w:t>生产噪声</w:t>
            </w:r>
          </w:p>
        </w:tc>
        <w:tc>
          <w:tcPr>
            <w:tcW w:w="821" w:type="dxa"/>
          </w:tcPr>
          <w:p>
            <w:pPr>
              <w:pStyle w:val="18"/>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8"/>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34"/>
              <w:ind w:left="210" w:right="201"/>
              <w:rPr>
                <w:rFonts w:ascii="Times New Roman" w:hAnsi="Times New Roman"/>
                <w:color w:val="0000FF"/>
                <w:sz w:val="21"/>
              </w:rPr>
            </w:pPr>
            <w:r>
              <w:rPr>
                <w:color w:val="0000FF"/>
                <w:sz w:val="21"/>
              </w:rPr>
              <w:t>◆</w:t>
            </w:r>
            <w:r>
              <w:rPr>
                <w:rFonts w:ascii="Times New Roman" w:hAnsi="Times New Roman"/>
                <w:color w:val="0000FF"/>
                <w:sz w:val="21"/>
              </w:rPr>
              <w:t>L</w:t>
            </w:r>
          </w:p>
        </w:tc>
        <w:tc>
          <w:tcPr>
            <w:tcW w:w="716" w:type="dxa"/>
          </w:tcPr>
          <w:p>
            <w:pPr>
              <w:pStyle w:val="18"/>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8"/>
              <w:spacing w:before="48"/>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8"/>
              <w:spacing w:before="34"/>
              <w:ind w:left="191"/>
              <w:jc w:val="left"/>
              <w:rPr>
                <w:color w:val="0000FF"/>
                <w:sz w:val="21"/>
              </w:rPr>
            </w:pPr>
            <w:r>
              <w:rPr>
                <w:color w:val="0000FF"/>
                <w:sz w:val="21"/>
              </w:rPr>
              <w:t>固废综合利用</w:t>
            </w:r>
          </w:p>
        </w:tc>
        <w:tc>
          <w:tcPr>
            <w:tcW w:w="821" w:type="dxa"/>
          </w:tcPr>
          <w:p>
            <w:pPr>
              <w:pStyle w:val="18"/>
              <w:spacing w:before="34"/>
              <w:ind w:left="178" w:right="171"/>
              <w:rPr>
                <w:rFonts w:ascii="Times New Roman" w:hAnsi="Times New Roman"/>
                <w:color w:val="0000FF"/>
                <w:sz w:val="21"/>
              </w:rPr>
            </w:pPr>
            <w:r>
              <w:rPr>
                <w:color w:val="0000FF"/>
                <w:sz w:val="21"/>
              </w:rPr>
              <w:t>◆</w:t>
            </w:r>
            <w:r>
              <w:rPr>
                <w:rFonts w:ascii="Times New Roman" w:hAnsi="Times New Roman"/>
                <w:color w:val="0000FF"/>
                <w:sz w:val="21"/>
              </w:rPr>
              <w:t>L</w:t>
            </w:r>
          </w:p>
        </w:tc>
        <w:tc>
          <w:tcPr>
            <w:tcW w:w="867" w:type="dxa"/>
          </w:tcPr>
          <w:p>
            <w:pPr>
              <w:pStyle w:val="18"/>
              <w:spacing w:before="34"/>
              <w:ind w:left="94" w:right="87"/>
              <w:rPr>
                <w:rFonts w:ascii="Times New Roman" w:hAnsi="Times New Roman"/>
                <w:color w:val="0000FF"/>
                <w:sz w:val="21"/>
              </w:rPr>
            </w:pPr>
            <w:r>
              <w:rPr>
                <w:color w:val="0000FF"/>
                <w:sz w:val="21"/>
              </w:rPr>
              <w:t>△</w:t>
            </w:r>
            <w:r>
              <w:rPr>
                <w:rFonts w:ascii="Times New Roman" w:hAnsi="Times New Roman"/>
                <w:color w:val="0000FF"/>
                <w:sz w:val="21"/>
              </w:rPr>
              <w:t>L</w:t>
            </w:r>
          </w:p>
        </w:tc>
        <w:tc>
          <w:tcPr>
            <w:tcW w:w="850" w:type="dxa"/>
          </w:tcPr>
          <w:p>
            <w:pPr>
              <w:pStyle w:val="18"/>
              <w:spacing w:before="34"/>
              <w:ind w:left="86" w:right="78"/>
              <w:rPr>
                <w:rFonts w:ascii="Times New Roman" w:hAnsi="Times New Roman"/>
                <w:color w:val="0000FF"/>
                <w:sz w:val="21"/>
              </w:rPr>
            </w:pPr>
            <w:r>
              <w:rPr>
                <w:color w:val="0000FF"/>
                <w:sz w:val="21"/>
              </w:rPr>
              <w:t>△</w:t>
            </w:r>
            <w:r>
              <w:rPr>
                <w:rFonts w:ascii="Times New Roman" w:hAnsi="Times New Roman"/>
                <w:color w:val="0000FF"/>
                <w:sz w:val="21"/>
              </w:rPr>
              <w:t>L</w:t>
            </w:r>
          </w:p>
        </w:tc>
        <w:tc>
          <w:tcPr>
            <w:tcW w:w="800" w:type="dxa"/>
          </w:tcPr>
          <w:p>
            <w:pPr>
              <w:pStyle w:val="18"/>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8"/>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8"/>
              <w:spacing w:before="34"/>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8"/>
              <w:spacing w:before="34"/>
              <w:ind w:left="206" w:right="198"/>
              <w:rPr>
                <w:rFonts w:ascii="Times New Roman" w:hAnsi="Times New Roman"/>
                <w:color w:val="0000FF"/>
                <w:sz w:val="21"/>
              </w:rPr>
            </w:pPr>
            <w:r>
              <w:rPr>
                <w:color w:val="0000FF"/>
                <w:sz w:val="21"/>
              </w:rPr>
              <w:t>△</w:t>
            </w: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8"/>
              <w:spacing w:before="35"/>
              <w:ind w:left="402"/>
              <w:jc w:val="left"/>
              <w:rPr>
                <w:color w:val="0000FF"/>
                <w:sz w:val="21"/>
              </w:rPr>
            </w:pPr>
            <w:r>
              <w:rPr>
                <w:color w:val="0000FF"/>
                <w:sz w:val="21"/>
              </w:rPr>
              <w:t>车辆运输</w:t>
            </w:r>
          </w:p>
        </w:tc>
        <w:tc>
          <w:tcPr>
            <w:tcW w:w="821" w:type="dxa"/>
          </w:tcPr>
          <w:p>
            <w:pPr>
              <w:pStyle w:val="18"/>
              <w:spacing w:before="48"/>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8"/>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8"/>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8"/>
              <w:spacing w:before="48"/>
              <w:ind w:left="208" w:right="201"/>
              <w:rPr>
                <w:rFonts w:ascii="Times New Roman" w:hAnsi="Times New Roman"/>
                <w:color w:val="0000FF"/>
                <w:sz w:val="21"/>
              </w:rPr>
            </w:pPr>
            <w:r>
              <w:rPr>
                <w:rFonts w:ascii="Times New Roman" w:hAnsi="Times New Roman"/>
                <w:color w:val="0000FF"/>
                <w:sz w:val="21"/>
              </w:rPr>
              <w:t>▲L</w:t>
            </w:r>
          </w:p>
        </w:tc>
        <w:tc>
          <w:tcPr>
            <w:tcW w:w="716" w:type="dxa"/>
          </w:tcPr>
          <w:p>
            <w:pPr>
              <w:pStyle w:val="18"/>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8"/>
              <w:spacing w:before="35"/>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8"/>
              <w:spacing w:before="48"/>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23" w:type="dxa"/>
            <w:gridSpan w:val="10"/>
          </w:tcPr>
          <w:p>
            <w:pPr>
              <w:pStyle w:val="18"/>
              <w:numPr>
                <w:ilvl w:val="0"/>
                <w:numId w:val="10"/>
              </w:numPr>
              <w:tabs>
                <w:tab w:val="left" w:pos="319"/>
              </w:tabs>
              <w:spacing w:before="35" w:after="0" w:line="240" w:lineRule="auto"/>
              <w:ind w:left="318" w:right="0" w:hanging="212"/>
              <w:jc w:val="left"/>
              <w:rPr>
                <w:color w:val="0000FF"/>
                <w:sz w:val="21"/>
              </w:rPr>
            </w:pPr>
            <w:r>
              <w:rPr>
                <w:color w:val="0000FF"/>
                <w:sz w:val="21"/>
              </w:rPr>
              <w:t>有影响，</w:t>
            </w:r>
            <w:r>
              <w:rPr>
                <w:rFonts w:ascii="Times New Roman" w:hAnsi="Times New Roman" w:eastAsia="Times New Roman"/>
                <w:color w:val="0000FF"/>
                <w:sz w:val="21"/>
              </w:rPr>
              <w:t>▲</w:t>
            </w:r>
            <w:r>
              <w:rPr>
                <w:color w:val="0000FF"/>
                <w:sz w:val="21"/>
              </w:rPr>
              <w:t>有轻微影响，△可能有影响，</w:t>
            </w:r>
            <w:r>
              <w:rPr>
                <w:rFonts w:ascii="Times New Roman" w:hAnsi="Times New Roman" w:eastAsia="Times New Roman"/>
                <w:color w:val="0000FF"/>
                <w:sz w:val="21"/>
              </w:rPr>
              <w:t>○</w:t>
            </w:r>
            <w:r>
              <w:rPr>
                <w:color w:val="0000FF"/>
                <w:sz w:val="21"/>
              </w:rPr>
              <w:t>没有影响，</w:t>
            </w:r>
            <w:r>
              <w:rPr>
                <w:rFonts w:ascii="Times New Roman" w:hAnsi="Times New Roman" w:eastAsia="Times New Roman"/>
                <w:color w:val="0000FF"/>
                <w:sz w:val="21"/>
              </w:rPr>
              <w:t>S</w:t>
            </w:r>
            <w:r>
              <w:rPr>
                <w:color w:val="0000FF"/>
                <w:sz w:val="21"/>
              </w:rPr>
              <w:t>短期影响，</w:t>
            </w:r>
            <w:r>
              <w:rPr>
                <w:rFonts w:ascii="Times New Roman" w:hAnsi="Times New Roman" w:eastAsia="Times New Roman"/>
                <w:color w:val="0000FF"/>
                <w:sz w:val="21"/>
              </w:rPr>
              <w:t>L</w:t>
            </w:r>
            <w:r>
              <w:rPr>
                <w:color w:val="0000FF"/>
                <w:sz w:val="21"/>
              </w:rPr>
              <w:t>长期影响</w:t>
            </w:r>
          </w:p>
        </w:tc>
      </w:tr>
    </w:tbl>
    <w:p>
      <w:pPr>
        <w:pStyle w:val="7"/>
        <w:spacing w:before="5"/>
        <w:ind w:left="0"/>
        <w:rPr>
          <w:b/>
          <w:sz w:val="18"/>
        </w:rPr>
      </w:pPr>
    </w:p>
    <w:p>
      <w:pPr>
        <w:pStyle w:val="7"/>
        <w:spacing w:line="364" w:lineRule="auto"/>
        <w:ind w:right="577" w:firstLine="480"/>
        <w:jc w:val="both"/>
        <w:rPr>
          <w:color w:val="0000FF"/>
        </w:rPr>
      </w:pPr>
      <w:r>
        <w:rPr>
          <w:color w:val="0000FF"/>
          <w:spacing w:val="-20"/>
        </w:rPr>
        <w:t>由表</w:t>
      </w:r>
      <w:r>
        <w:rPr>
          <w:rFonts w:ascii="Times New Roman" w:eastAsia="Times New Roman"/>
          <w:color w:val="0000FF"/>
        </w:rPr>
        <w:t>2.3-1</w:t>
      </w:r>
      <w:r>
        <w:rPr>
          <w:color w:val="0000FF"/>
          <w:spacing w:val="-1"/>
        </w:rPr>
        <w:t>可知，项目施工期对环境空气及水环境、声环境等均有短期的不</w:t>
      </w:r>
      <w:r>
        <w:rPr>
          <w:color w:val="0000FF"/>
          <w:spacing w:val="-10"/>
        </w:rPr>
        <w:t>利影响，但其会随着施工期的结束而消失。运营期的影响为长期影响，其主要环</w:t>
      </w:r>
      <w:r>
        <w:rPr>
          <w:color w:val="0000FF"/>
        </w:rPr>
        <w:t>境影响要素为环境空气及水环境，其次为声环境、固体废物。</w:t>
      </w:r>
    </w:p>
    <w:p>
      <w:pPr>
        <w:pStyle w:val="5"/>
        <w:numPr>
          <w:ilvl w:val="2"/>
          <w:numId w:val="5"/>
        </w:numPr>
        <w:tabs>
          <w:tab w:val="left" w:pos="1241"/>
        </w:tabs>
        <w:spacing w:before="118" w:after="0" w:line="240" w:lineRule="auto"/>
        <w:ind w:left="1240" w:right="0" w:hanging="701"/>
        <w:jc w:val="left"/>
        <w:outlineLvl w:val="2"/>
        <w:rPr>
          <w:rFonts w:ascii="Times New Roman" w:eastAsia="Times New Roman"/>
        </w:rPr>
      </w:pPr>
      <w:bookmarkStart w:id="59" w:name="2.3.2 评价因子筛选"/>
      <w:bookmarkEnd w:id="59"/>
      <w:bookmarkStart w:id="60" w:name="2.3.2 评价因子筛选"/>
      <w:bookmarkEnd w:id="60"/>
      <w:bookmarkStart w:id="61" w:name="_Toc403"/>
      <w:r>
        <w:t>评价因子筛选</w:t>
      </w:r>
      <w:bookmarkEnd w:id="61"/>
    </w:p>
    <w:p>
      <w:pPr>
        <w:pStyle w:val="7"/>
        <w:spacing w:before="5"/>
        <w:ind w:left="0"/>
        <w:rPr>
          <w:b/>
          <w:sz w:val="21"/>
        </w:rPr>
      </w:pPr>
    </w:p>
    <w:p>
      <w:pPr>
        <w:pStyle w:val="7"/>
        <w:spacing w:line="364" w:lineRule="auto"/>
        <w:ind w:right="577" w:firstLine="480"/>
        <w:jc w:val="both"/>
        <w:rPr>
          <w:color w:val="0000FF"/>
        </w:rPr>
      </w:pPr>
      <w:r>
        <w:rPr>
          <w:color w:val="0000FF"/>
          <w:spacing w:val="-7"/>
        </w:rPr>
        <w:t>根据环境影响因素的识别结果，结合建设项目的工程特点、排污种类、排污</w:t>
      </w:r>
      <w:r>
        <w:rPr>
          <w:color w:val="0000FF"/>
          <w:spacing w:val="-3"/>
        </w:rPr>
        <w:t>去向及周围区域的环境质量状况，确定本次评价因子见表</w:t>
      </w:r>
      <w:r>
        <w:rPr>
          <w:rFonts w:ascii="Times New Roman" w:eastAsia="Times New Roman"/>
          <w:color w:val="0000FF"/>
        </w:rPr>
        <w:t>2.3-2</w:t>
      </w:r>
      <w:r>
        <w:rPr>
          <w:color w:val="0000FF"/>
        </w:rPr>
        <w:t>。</w:t>
      </w:r>
    </w:p>
    <w:p>
      <w:pPr>
        <w:pStyle w:val="7"/>
        <w:bidi w:val="0"/>
        <w:jc w:val="center"/>
        <w:rPr>
          <w:b/>
          <w:bCs/>
        </w:rPr>
      </w:pPr>
      <w:r>
        <w:rPr>
          <w:b/>
          <w:bCs/>
        </w:rPr>
        <w:t>表2.3-2</w:t>
      </w:r>
      <w:r>
        <w:rPr>
          <w:b/>
          <w:bCs/>
        </w:rPr>
        <w:tab/>
      </w:r>
      <w:r>
        <w:rPr>
          <w:b/>
          <w:bCs/>
        </w:rPr>
        <w:t>项目评价因子一览表</w:t>
      </w:r>
    </w:p>
    <w:tbl>
      <w:tblPr>
        <w:tblStyle w:val="14"/>
        <w:tblW w:w="0" w:type="auto"/>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3900"/>
        <w:gridCol w:w="3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2" w:type="dxa"/>
          </w:tcPr>
          <w:p>
            <w:pPr>
              <w:pStyle w:val="18"/>
              <w:spacing w:before="36"/>
              <w:ind w:left="110" w:right="102"/>
              <w:rPr>
                <w:b/>
                <w:color w:val="0000FF"/>
                <w:sz w:val="21"/>
              </w:rPr>
            </w:pPr>
            <w:r>
              <w:rPr>
                <w:b/>
                <w:color w:val="0000FF"/>
                <w:sz w:val="21"/>
              </w:rPr>
              <w:t>类别</w:t>
            </w:r>
          </w:p>
        </w:tc>
        <w:tc>
          <w:tcPr>
            <w:tcW w:w="3900" w:type="dxa"/>
          </w:tcPr>
          <w:p>
            <w:pPr>
              <w:pStyle w:val="18"/>
              <w:spacing w:before="36"/>
              <w:ind w:left="355" w:right="345"/>
              <w:rPr>
                <w:b/>
                <w:color w:val="0000FF"/>
                <w:sz w:val="21"/>
              </w:rPr>
            </w:pPr>
            <w:r>
              <w:rPr>
                <w:b/>
                <w:color w:val="0000FF"/>
                <w:sz w:val="21"/>
              </w:rPr>
              <w:t>现状评价因子</w:t>
            </w:r>
          </w:p>
        </w:tc>
        <w:tc>
          <w:tcPr>
            <w:tcW w:w="3322" w:type="dxa"/>
          </w:tcPr>
          <w:p>
            <w:pPr>
              <w:pStyle w:val="18"/>
              <w:spacing w:before="36"/>
              <w:ind w:left="65" w:right="53"/>
              <w:rPr>
                <w:b/>
                <w:color w:val="0000FF"/>
                <w:sz w:val="21"/>
              </w:rPr>
            </w:pPr>
            <w:r>
              <w:rPr>
                <w:b/>
                <w:color w:val="0000FF"/>
                <w:sz w:val="21"/>
              </w:rPr>
              <w:t>影响评价因子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8"/>
              <w:spacing w:before="101"/>
              <w:ind w:left="110" w:right="102"/>
              <w:rPr>
                <w:color w:val="0000FF"/>
                <w:sz w:val="21"/>
              </w:rPr>
            </w:pPr>
            <w:r>
              <w:rPr>
                <w:color w:val="0000FF"/>
                <w:sz w:val="21"/>
              </w:rPr>
              <w:t>大气环境</w:t>
            </w:r>
          </w:p>
        </w:tc>
        <w:tc>
          <w:tcPr>
            <w:tcW w:w="3900" w:type="dxa"/>
          </w:tcPr>
          <w:p>
            <w:pPr>
              <w:pStyle w:val="18"/>
              <w:spacing w:before="16" w:line="240" w:lineRule="exact"/>
              <w:ind w:left="106" w:right="-15"/>
              <w:jc w:val="left"/>
              <w:rPr>
                <w:rFonts w:ascii="Times New Roman" w:eastAsia="Times New Roman"/>
                <w:color w:val="0000FF"/>
                <w:sz w:val="21"/>
              </w:rPr>
            </w:pPr>
            <w:r>
              <w:rPr>
                <w:rFonts w:ascii="Times New Roman" w:eastAsia="Times New Roman"/>
                <w:color w:val="0000FF"/>
                <w:spacing w:val="-1"/>
                <w:position w:val="2"/>
                <w:sz w:val="21"/>
              </w:rPr>
              <w:t>H</w:t>
            </w:r>
            <w:r>
              <w:rPr>
                <w:rFonts w:ascii="Times New Roman" w:eastAsia="Times New Roman"/>
                <w:color w:val="0000FF"/>
                <w:spacing w:val="-1"/>
                <w:position w:val="2"/>
                <w:sz w:val="21"/>
                <w:vertAlign w:val="subscript"/>
              </w:rPr>
              <w:t>2</w:t>
            </w:r>
            <w:r>
              <w:rPr>
                <w:rFonts w:ascii="Times New Roman" w:eastAsia="Times New Roman"/>
                <w:color w:val="0000FF"/>
                <w:spacing w:val="-1"/>
                <w:position w:val="2"/>
                <w:sz w:val="21"/>
                <w:vertAlign w:val="baseline"/>
              </w:rPr>
              <w:t>S</w:t>
            </w:r>
            <w:r>
              <w:rPr>
                <w:color w:val="0000FF"/>
                <w:spacing w:val="-61"/>
                <w:position w:val="2"/>
                <w:sz w:val="21"/>
                <w:vertAlign w:val="baseline"/>
              </w:rPr>
              <w:t>、</w:t>
            </w:r>
            <w:r>
              <w:rPr>
                <w:rFonts w:ascii="Times New Roman" w:eastAsia="Times New Roman"/>
                <w:color w:val="0000FF"/>
                <w:spacing w:val="-1"/>
                <w:position w:val="2"/>
                <w:sz w:val="21"/>
                <w:vertAlign w:val="baseline"/>
              </w:rPr>
              <w:t>NH</w:t>
            </w:r>
            <w:r>
              <w:rPr>
                <w:rFonts w:ascii="Times New Roman" w:eastAsia="Times New Roman"/>
                <w:color w:val="0000FF"/>
                <w:spacing w:val="-1"/>
                <w:position w:val="2"/>
                <w:sz w:val="21"/>
                <w:vertAlign w:val="subscript"/>
              </w:rPr>
              <w:t>3</w:t>
            </w:r>
            <w:r>
              <w:rPr>
                <w:color w:val="0000FF"/>
                <w:spacing w:val="-63"/>
                <w:position w:val="2"/>
                <w:sz w:val="21"/>
                <w:vertAlign w:val="baseline"/>
              </w:rPr>
              <w:t>、</w:t>
            </w:r>
            <w:r>
              <w:rPr>
                <w:rFonts w:ascii="Times New Roman" w:eastAsia="Times New Roman"/>
                <w:color w:val="0000FF"/>
                <w:spacing w:val="-1"/>
                <w:position w:val="2"/>
                <w:sz w:val="21"/>
                <w:vertAlign w:val="baseline"/>
              </w:rPr>
              <w:t>SO</w:t>
            </w:r>
            <w:r>
              <w:rPr>
                <w:rFonts w:ascii="Times New Roman" w:eastAsia="Times New Roman"/>
                <w:color w:val="0000FF"/>
                <w:spacing w:val="-1"/>
                <w:position w:val="2"/>
                <w:sz w:val="21"/>
                <w:vertAlign w:val="subscript"/>
              </w:rPr>
              <w:t>2</w:t>
            </w:r>
            <w:r>
              <w:rPr>
                <w:color w:val="0000FF"/>
                <w:spacing w:val="-63"/>
                <w:position w:val="2"/>
                <w:sz w:val="21"/>
                <w:vertAlign w:val="baseline"/>
              </w:rPr>
              <w:t>、</w:t>
            </w:r>
            <w:r>
              <w:rPr>
                <w:rFonts w:ascii="Times New Roman" w:eastAsia="Times New Roman"/>
                <w:color w:val="0000FF"/>
                <w:spacing w:val="-1"/>
                <w:position w:val="2"/>
                <w:sz w:val="21"/>
                <w:vertAlign w:val="baseline"/>
              </w:rPr>
              <w:t>NO</w:t>
            </w:r>
            <w:r>
              <w:rPr>
                <w:rFonts w:ascii="Times New Roman" w:eastAsia="Times New Roman"/>
                <w:color w:val="0000FF"/>
                <w:spacing w:val="-1"/>
                <w:position w:val="2"/>
                <w:sz w:val="21"/>
                <w:vertAlign w:val="subscript"/>
              </w:rPr>
              <w:t>2</w:t>
            </w:r>
            <w:r>
              <w:rPr>
                <w:color w:val="0000FF"/>
                <w:spacing w:val="-61"/>
                <w:position w:val="2"/>
                <w:sz w:val="21"/>
                <w:vertAlign w:val="baseline"/>
              </w:rPr>
              <w:t>、</w:t>
            </w:r>
            <w:r>
              <w:rPr>
                <w:rFonts w:ascii="Times New Roman" w:eastAsia="Times New Roman"/>
                <w:color w:val="0000FF"/>
                <w:spacing w:val="-1"/>
                <w:position w:val="2"/>
                <w:sz w:val="21"/>
                <w:vertAlign w:val="baseline"/>
              </w:rPr>
              <w:t>TSP</w:t>
            </w:r>
            <w:r>
              <w:rPr>
                <w:color w:val="0000FF"/>
                <w:spacing w:val="-61"/>
                <w:position w:val="2"/>
                <w:sz w:val="21"/>
                <w:vertAlign w:val="baseline"/>
              </w:rPr>
              <w:t>、</w:t>
            </w:r>
            <w:r>
              <w:rPr>
                <w:rFonts w:ascii="Times New Roman" w:eastAsia="Times New Roman"/>
                <w:color w:val="0000FF"/>
                <w:position w:val="2"/>
                <w:sz w:val="21"/>
                <w:vertAlign w:val="baseline"/>
              </w:rPr>
              <w:t>PM</w:t>
            </w:r>
            <w:r>
              <w:rPr>
                <w:rFonts w:ascii="Times New Roman" w:eastAsia="Times New Roman"/>
                <w:color w:val="0000FF"/>
                <w:position w:val="2"/>
                <w:sz w:val="21"/>
                <w:vertAlign w:val="subscript"/>
              </w:rPr>
              <w:t>10</w:t>
            </w:r>
            <w:r>
              <w:rPr>
                <w:color w:val="0000FF"/>
                <w:spacing w:val="-61"/>
                <w:position w:val="2"/>
                <w:sz w:val="21"/>
                <w:vertAlign w:val="baseline"/>
              </w:rPr>
              <w:t>、</w:t>
            </w:r>
            <w:r>
              <w:rPr>
                <w:rFonts w:ascii="Times New Roman" w:eastAsia="Times New Roman"/>
                <w:color w:val="0000FF"/>
                <w:position w:val="2"/>
                <w:sz w:val="21"/>
                <w:vertAlign w:val="baseline"/>
              </w:rPr>
              <w:t>PM</w:t>
            </w:r>
            <w:r>
              <w:rPr>
                <w:rFonts w:ascii="Times New Roman" w:eastAsia="Times New Roman"/>
                <w:color w:val="0000FF"/>
                <w:position w:val="2"/>
                <w:sz w:val="21"/>
                <w:vertAlign w:val="subscript"/>
              </w:rPr>
              <w:t>2.5</w:t>
            </w:r>
            <w:r>
              <w:rPr>
                <w:color w:val="0000FF"/>
                <w:spacing w:val="-20"/>
                <w:position w:val="2"/>
                <w:sz w:val="21"/>
                <w:vertAlign w:val="baseline"/>
              </w:rPr>
              <w:t>、</w:t>
            </w:r>
            <w:r>
              <w:rPr>
                <w:rFonts w:ascii="Times New Roman" w:eastAsia="Times New Roman"/>
                <w:color w:val="0000FF"/>
                <w:position w:val="2"/>
                <w:sz w:val="21"/>
                <w:vertAlign w:val="baseline"/>
              </w:rPr>
              <w:t>CO</w:t>
            </w:r>
            <w:r>
              <w:rPr>
                <w:color w:val="0000FF"/>
                <w:position w:val="2"/>
                <w:sz w:val="21"/>
                <w:vertAlign w:val="baseline"/>
              </w:rPr>
              <w:t>、</w:t>
            </w:r>
            <w:r>
              <w:rPr>
                <w:rFonts w:ascii="Times New Roman" w:eastAsia="Times New Roman"/>
                <w:color w:val="0000FF"/>
                <w:position w:val="2"/>
                <w:sz w:val="21"/>
                <w:vertAlign w:val="baseline"/>
              </w:rPr>
              <w:t>O</w:t>
            </w:r>
            <w:r>
              <w:rPr>
                <w:rFonts w:ascii="Times New Roman" w:eastAsia="Times New Roman"/>
                <w:color w:val="0000FF"/>
                <w:position w:val="2"/>
                <w:sz w:val="21"/>
                <w:vertAlign w:val="subscript"/>
              </w:rPr>
              <w:t>3</w:t>
            </w:r>
          </w:p>
        </w:tc>
        <w:tc>
          <w:tcPr>
            <w:tcW w:w="3322" w:type="dxa"/>
          </w:tcPr>
          <w:p>
            <w:pPr>
              <w:pStyle w:val="18"/>
              <w:spacing w:before="98"/>
              <w:ind w:left="65" w:right="56"/>
              <w:rPr>
                <w:color w:val="0000FF"/>
                <w:sz w:val="21"/>
              </w:rPr>
            </w:pPr>
            <w:r>
              <w:rPr>
                <w:rFonts w:ascii="Times New Roman" w:eastAsia="Times New Roman"/>
                <w:color w:val="0000FF"/>
                <w:position w:val="2"/>
                <w:sz w:val="21"/>
              </w:rPr>
              <w:t>NH</w:t>
            </w:r>
            <w:r>
              <w:rPr>
                <w:rFonts w:ascii="Times New Roman" w:eastAsia="Times New Roman"/>
                <w:color w:val="0000FF"/>
                <w:position w:val="2"/>
                <w:sz w:val="21"/>
                <w:vertAlign w:val="subscript"/>
              </w:rPr>
              <w:t>3</w:t>
            </w:r>
            <w:r>
              <w:rPr>
                <w:color w:val="0000FF"/>
                <w:position w:val="2"/>
                <w:sz w:val="21"/>
                <w:vertAlign w:val="baseline"/>
              </w:rPr>
              <w:t>、</w:t>
            </w:r>
            <w:r>
              <w:rPr>
                <w:rFonts w:ascii="Times New Roman" w:eastAsia="Times New Roman"/>
                <w:color w:val="0000FF"/>
                <w:position w:val="2"/>
                <w:sz w:val="21"/>
                <w:vertAlign w:val="baseline"/>
              </w:rPr>
              <w:t>H</w:t>
            </w:r>
            <w:r>
              <w:rPr>
                <w:rFonts w:ascii="Times New Roman" w:eastAsia="Times New Roman"/>
                <w:color w:val="0000FF"/>
                <w:position w:val="2"/>
                <w:sz w:val="21"/>
                <w:vertAlign w:val="subscript"/>
              </w:rPr>
              <w:t>2</w:t>
            </w:r>
            <w:r>
              <w:rPr>
                <w:rFonts w:ascii="Times New Roman" w:eastAsia="Times New Roman"/>
                <w:color w:val="0000FF"/>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1102" w:type="dxa"/>
          </w:tcPr>
          <w:p>
            <w:pPr>
              <w:pStyle w:val="18"/>
              <w:jc w:val="left"/>
              <w:rPr>
                <w:b/>
                <w:color w:val="0000FF"/>
                <w:sz w:val="20"/>
              </w:rPr>
            </w:pPr>
          </w:p>
          <w:p>
            <w:pPr>
              <w:pStyle w:val="18"/>
              <w:spacing w:before="11"/>
              <w:jc w:val="left"/>
              <w:rPr>
                <w:b/>
                <w:color w:val="0000FF"/>
                <w:sz w:val="14"/>
              </w:rPr>
            </w:pPr>
          </w:p>
          <w:p>
            <w:pPr>
              <w:pStyle w:val="18"/>
              <w:ind w:left="110" w:right="100"/>
              <w:rPr>
                <w:color w:val="0000FF"/>
                <w:sz w:val="21"/>
              </w:rPr>
            </w:pPr>
            <w:r>
              <w:rPr>
                <w:color w:val="0000FF"/>
                <w:sz w:val="21"/>
              </w:rPr>
              <w:t>水环境</w:t>
            </w:r>
          </w:p>
        </w:tc>
        <w:tc>
          <w:tcPr>
            <w:tcW w:w="3900" w:type="dxa"/>
          </w:tcPr>
          <w:p>
            <w:pPr>
              <w:pStyle w:val="18"/>
              <w:spacing w:line="213" w:lineRule="auto"/>
              <w:ind w:left="106" w:right="-15"/>
              <w:jc w:val="left"/>
              <w:rPr>
                <w:color w:val="0000FF"/>
                <w:sz w:val="21"/>
              </w:rPr>
            </w:pPr>
            <w:r>
              <w:rPr>
                <w:color w:val="0000FF"/>
                <w:spacing w:val="4"/>
                <w:sz w:val="21"/>
              </w:rPr>
              <w:t>地下水环境：</w:t>
            </w:r>
            <w:r>
              <w:rPr>
                <w:rFonts w:ascii="Times New Roman" w:eastAsia="Times New Roman"/>
                <w:color w:val="0000FF"/>
                <w:spacing w:val="4"/>
                <w:sz w:val="21"/>
              </w:rPr>
              <w:t>pH</w:t>
            </w:r>
            <w:r>
              <w:rPr>
                <w:color w:val="0000FF"/>
                <w:spacing w:val="3"/>
                <w:sz w:val="21"/>
              </w:rPr>
              <w:t>、总硬度、溶解性总固体、高锰酸盐指数、硝酸盐、亚硝酸盐、</w:t>
            </w:r>
            <w:r>
              <w:rPr>
                <w:color w:val="0000FF"/>
                <w:spacing w:val="-15"/>
                <w:sz w:val="21"/>
              </w:rPr>
              <w:t>氨氮、六价铬、硫酸盐、氯化物、氟化物、挥发酚、汞、砷、镉、铅、锰、氰化物、</w:t>
            </w:r>
          </w:p>
          <w:p>
            <w:pPr>
              <w:pStyle w:val="18"/>
              <w:spacing w:line="216" w:lineRule="exact"/>
              <w:ind w:left="106"/>
              <w:jc w:val="left"/>
              <w:rPr>
                <w:color w:val="0000FF"/>
                <w:sz w:val="21"/>
              </w:rPr>
            </w:pPr>
            <w:r>
              <w:rPr>
                <w:color w:val="0000FF"/>
                <w:sz w:val="21"/>
              </w:rPr>
              <w:t>总大肠菌群等。</w:t>
            </w:r>
          </w:p>
        </w:tc>
        <w:tc>
          <w:tcPr>
            <w:tcW w:w="3322" w:type="dxa"/>
          </w:tcPr>
          <w:p>
            <w:pPr>
              <w:pStyle w:val="18"/>
              <w:spacing w:before="12"/>
              <w:jc w:val="left"/>
              <w:rPr>
                <w:b/>
                <w:color w:val="0000FF"/>
                <w:sz w:val="17"/>
              </w:rPr>
            </w:pPr>
          </w:p>
          <w:p>
            <w:pPr>
              <w:pStyle w:val="18"/>
              <w:spacing w:line="213" w:lineRule="auto"/>
              <w:ind w:left="106" w:right="-15"/>
              <w:jc w:val="left"/>
              <w:rPr>
                <w:color w:val="0000FF"/>
                <w:sz w:val="21"/>
              </w:rPr>
            </w:pPr>
            <w:r>
              <w:rPr>
                <w:color w:val="0000FF"/>
                <w:spacing w:val="-7"/>
                <w:sz w:val="21"/>
              </w:rPr>
              <w:t>悬浮物、化学需氧量、五日生化需</w:t>
            </w:r>
            <w:r>
              <w:rPr>
                <w:color w:val="0000FF"/>
                <w:spacing w:val="-14"/>
                <w:sz w:val="21"/>
              </w:rPr>
              <w:t>氧量、总磷、氨氮、粪大肠菌群数、蛔虫卵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2" w:type="dxa"/>
          </w:tcPr>
          <w:p>
            <w:pPr>
              <w:pStyle w:val="18"/>
              <w:spacing w:before="35"/>
              <w:ind w:left="110" w:right="100"/>
              <w:rPr>
                <w:color w:val="0000FF"/>
                <w:sz w:val="21"/>
              </w:rPr>
            </w:pPr>
            <w:r>
              <w:rPr>
                <w:color w:val="0000FF"/>
                <w:sz w:val="21"/>
              </w:rPr>
              <w:t>声环境</w:t>
            </w:r>
          </w:p>
        </w:tc>
        <w:tc>
          <w:tcPr>
            <w:tcW w:w="3900" w:type="dxa"/>
          </w:tcPr>
          <w:p>
            <w:pPr>
              <w:pStyle w:val="18"/>
              <w:spacing w:before="35"/>
              <w:ind w:left="355" w:right="345"/>
              <w:rPr>
                <w:color w:val="0000FF"/>
                <w:sz w:val="21"/>
              </w:rPr>
            </w:pPr>
            <w:r>
              <w:rPr>
                <w:color w:val="0000FF"/>
                <w:sz w:val="21"/>
              </w:rPr>
              <w:t>等效连续</w:t>
            </w:r>
            <w:r>
              <w:rPr>
                <w:rFonts w:ascii="Times New Roman" w:eastAsia="Times New Roman"/>
                <w:color w:val="0000FF"/>
                <w:sz w:val="21"/>
              </w:rPr>
              <w:t>A</w:t>
            </w:r>
            <w:r>
              <w:rPr>
                <w:color w:val="0000FF"/>
                <w:sz w:val="21"/>
              </w:rPr>
              <w:t>声级（</w:t>
            </w:r>
            <w:r>
              <w:rPr>
                <w:rFonts w:ascii="Times New Roman" w:eastAsia="Times New Roman"/>
                <w:color w:val="0000FF"/>
                <w:sz w:val="21"/>
              </w:rPr>
              <w:t>Lep</w:t>
            </w:r>
            <w:r>
              <w:rPr>
                <w:color w:val="0000FF"/>
                <w:sz w:val="21"/>
              </w:rPr>
              <w:t>）</w:t>
            </w:r>
          </w:p>
        </w:tc>
        <w:tc>
          <w:tcPr>
            <w:tcW w:w="3322" w:type="dxa"/>
          </w:tcPr>
          <w:p>
            <w:pPr>
              <w:pStyle w:val="18"/>
              <w:spacing w:before="35"/>
              <w:ind w:left="65" w:right="56"/>
              <w:rPr>
                <w:color w:val="0000FF"/>
                <w:sz w:val="21"/>
              </w:rPr>
            </w:pPr>
            <w:r>
              <w:rPr>
                <w:color w:val="0000FF"/>
                <w:sz w:val="21"/>
              </w:rPr>
              <w:t>等效连续</w:t>
            </w:r>
            <w:r>
              <w:rPr>
                <w:rFonts w:ascii="Times New Roman" w:eastAsia="Times New Roman"/>
                <w:color w:val="0000FF"/>
                <w:sz w:val="21"/>
              </w:rPr>
              <w:t>A</w:t>
            </w:r>
            <w:r>
              <w:rPr>
                <w:color w:val="0000FF"/>
                <w:sz w:val="21"/>
              </w:rPr>
              <w:t>声级（</w:t>
            </w:r>
            <w:r>
              <w:rPr>
                <w:rFonts w:ascii="Times New Roman" w:eastAsia="Times New Roman"/>
                <w:color w:val="0000FF"/>
                <w:sz w:val="21"/>
              </w:rPr>
              <w:t>Lep</w:t>
            </w:r>
            <w:r>
              <w:rPr>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8"/>
              <w:spacing w:before="1" w:line="240" w:lineRule="exact"/>
              <w:ind w:left="445" w:right="121" w:hanging="315"/>
              <w:jc w:val="left"/>
              <w:rPr>
                <w:color w:val="0000FF"/>
                <w:sz w:val="21"/>
              </w:rPr>
            </w:pPr>
            <w:r>
              <w:rPr>
                <w:color w:val="0000FF"/>
                <w:sz w:val="21"/>
              </w:rPr>
              <w:t>固体废弃物</w:t>
            </w:r>
          </w:p>
        </w:tc>
        <w:tc>
          <w:tcPr>
            <w:tcW w:w="3900" w:type="dxa"/>
          </w:tcPr>
          <w:p>
            <w:pPr>
              <w:pStyle w:val="18"/>
              <w:spacing w:before="103"/>
              <w:ind w:left="7"/>
              <w:rPr>
                <w:color w:val="0000FF"/>
                <w:sz w:val="21"/>
              </w:rPr>
            </w:pPr>
            <w:r>
              <w:rPr>
                <w:color w:val="0000FF"/>
                <w:w w:val="99"/>
                <w:sz w:val="21"/>
              </w:rPr>
              <w:t>—</w:t>
            </w:r>
          </w:p>
        </w:tc>
        <w:tc>
          <w:tcPr>
            <w:tcW w:w="3322" w:type="dxa"/>
          </w:tcPr>
          <w:p>
            <w:pPr>
              <w:pStyle w:val="18"/>
              <w:spacing w:before="1" w:line="240" w:lineRule="exact"/>
              <w:ind w:left="106" w:right="36"/>
              <w:jc w:val="left"/>
              <w:rPr>
                <w:color w:val="0000FF"/>
                <w:sz w:val="21"/>
              </w:rPr>
            </w:pPr>
            <w:r>
              <w:rPr>
                <w:color w:val="0000FF"/>
                <w:sz w:val="21"/>
              </w:rPr>
              <w:t>粪便、病死尸体、医疗废物及生活垃圾等固体废物处理处置状况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02" w:type="dxa"/>
          </w:tcPr>
          <w:p>
            <w:pPr>
              <w:pStyle w:val="18"/>
              <w:spacing w:before="34"/>
              <w:ind w:left="110" w:right="102"/>
              <w:rPr>
                <w:color w:val="0000FF"/>
                <w:sz w:val="21"/>
              </w:rPr>
            </w:pPr>
            <w:r>
              <w:rPr>
                <w:color w:val="0000FF"/>
                <w:sz w:val="21"/>
              </w:rPr>
              <w:t>土壤环境</w:t>
            </w:r>
          </w:p>
        </w:tc>
        <w:tc>
          <w:tcPr>
            <w:tcW w:w="3900" w:type="dxa"/>
          </w:tcPr>
          <w:p>
            <w:pPr>
              <w:pStyle w:val="18"/>
              <w:spacing w:before="34"/>
              <w:ind w:left="355" w:right="345"/>
              <w:rPr>
                <w:color w:val="0000FF"/>
                <w:sz w:val="21"/>
              </w:rPr>
            </w:pPr>
            <w:r>
              <w:rPr>
                <w:color w:val="0000FF"/>
                <w:sz w:val="21"/>
              </w:rPr>
              <w:t>镉、汞、铅、砷、铬、铜、镍、锌</w:t>
            </w:r>
          </w:p>
        </w:tc>
        <w:tc>
          <w:tcPr>
            <w:tcW w:w="3322" w:type="dxa"/>
          </w:tcPr>
          <w:p>
            <w:pPr>
              <w:pStyle w:val="18"/>
              <w:spacing w:before="34"/>
              <w:ind w:left="65" w:right="56"/>
              <w:rPr>
                <w:color w:val="0000FF"/>
                <w:sz w:val="21"/>
              </w:rPr>
            </w:pPr>
            <w:r>
              <w:rPr>
                <w:color w:val="0000FF"/>
                <w:sz w:val="21"/>
              </w:rPr>
              <w:t>镉、汞、铅、砷、铬、铜、镍、锌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8"/>
              <w:spacing w:before="103"/>
              <w:ind w:left="110" w:right="102"/>
              <w:rPr>
                <w:color w:val="0000FF"/>
                <w:sz w:val="21"/>
              </w:rPr>
            </w:pPr>
            <w:r>
              <w:rPr>
                <w:color w:val="0000FF"/>
                <w:sz w:val="21"/>
              </w:rPr>
              <w:t>生态环境</w:t>
            </w:r>
          </w:p>
        </w:tc>
        <w:tc>
          <w:tcPr>
            <w:tcW w:w="3900" w:type="dxa"/>
          </w:tcPr>
          <w:p>
            <w:pPr>
              <w:pStyle w:val="18"/>
              <w:spacing w:before="1" w:line="240" w:lineRule="exact"/>
              <w:ind w:left="106" w:right="99"/>
              <w:jc w:val="left"/>
              <w:rPr>
                <w:color w:val="0000FF"/>
                <w:sz w:val="21"/>
              </w:rPr>
            </w:pPr>
            <w:r>
              <w:rPr>
                <w:color w:val="0000FF"/>
                <w:spacing w:val="-10"/>
                <w:w w:val="95"/>
                <w:sz w:val="21"/>
              </w:rPr>
              <w:t>土地利用、水土流失、土壤、植被、野生</w:t>
            </w:r>
            <w:r>
              <w:rPr>
                <w:color w:val="0000FF"/>
                <w:spacing w:val="-10"/>
                <w:sz w:val="21"/>
              </w:rPr>
              <w:t>动物</w:t>
            </w:r>
          </w:p>
        </w:tc>
        <w:tc>
          <w:tcPr>
            <w:tcW w:w="3322" w:type="dxa"/>
          </w:tcPr>
          <w:p>
            <w:pPr>
              <w:pStyle w:val="18"/>
              <w:spacing w:before="1" w:line="240" w:lineRule="exact"/>
              <w:ind w:left="106" w:right="-15"/>
              <w:jc w:val="left"/>
              <w:rPr>
                <w:color w:val="0000FF"/>
                <w:sz w:val="21"/>
              </w:rPr>
            </w:pPr>
            <w:r>
              <w:rPr>
                <w:color w:val="0000FF"/>
                <w:spacing w:val="-13"/>
                <w:sz w:val="21"/>
              </w:rPr>
              <w:t>土地利用、水土流失、土壤、植被、野生动物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02" w:type="dxa"/>
          </w:tcPr>
          <w:p>
            <w:pPr>
              <w:pStyle w:val="18"/>
              <w:spacing w:before="34"/>
              <w:ind w:left="110" w:right="102"/>
              <w:rPr>
                <w:color w:val="0000FF"/>
                <w:sz w:val="21"/>
              </w:rPr>
            </w:pPr>
            <w:r>
              <w:rPr>
                <w:color w:val="0000FF"/>
                <w:sz w:val="21"/>
              </w:rPr>
              <w:t>环境风险</w:t>
            </w:r>
          </w:p>
        </w:tc>
        <w:tc>
          <w:tcPr>
            <w:tcW w:w="3900" w:type="dxa"/>
          </w:tcPr>
          <w:p>
            <w:pPr>
              <w:pStyle w:val="18"/>
              <w:spacing w:before="34"/>
              <w:ind w:left="352" w:right="345"/>
              <w:rPr>
                <w:color w:val="0000FF"/>
                <w:sz w:val="21"/>
              </w:rPr>
            </w:pPr>
            <w:r>
              <w:rPr>
                <w:color w:val="0000FF"/>
                <w:sz w:val="21"/>
              </w:rPr>
              <w:t>医疗废物风险、畜禽疫情风险</w:t>
            </w:r>
          </w:p>
        </w:tc>
        <w:tc>
          <w:tcPr>
            <w:tcW w:w="3322" w:type="dxa"/>
          </w:tcPr>
          <w:p>
            <w:pPr>
              <w:pStyle w:val="18"/>
              <w:spacing w:before="34"/>
              <w:ind w:left="9"/>
              <w:rPr>
                <w:color w:val="0000FF"/>
                <w:sz w:val="21"/>
              </w:rPr>
            </w:pPr>
            <w:r>
              <w:rPr>
                <w:color w:val="0000FF"/>
                <w:w w:val="99"/>
                <w:sz w:val="21"/>
              </w:rPr>
              <w:t>—</w:t>
            </w:r>
          </w:p>
        </w:tc>
      </w:tr>
    </w:tbl>
    <w:p>
      <w:pPr>
        <w:spacing w:after="0"/>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4"/>
        <w:ind w:left="0"/>
        <w:rPr>
          <w:b/>
          <w:sz w:val="8"/>
        </w:rPr>
      </w:pPr>
    </w:p>
    <w:p>
      <w:pPr>
        <w:pStyle w:val="4"/>
        <w:numPr>
          <w:ilvl w:val="1"/>
          <w:numId w:val="5"/>
        </w:numPr>
        <w:tabs>
          <w:tab w:val="left" w:pos="1100"/>
        </w:tabs>
        <w:spacing w:before="64" w:after="0" w:line="240" w:lineRule="auto"/>
        <w:ind w:left="1099" w:right="0" w:hanging="560"/>
        <w:jc w:val="left"/>
        <w:outlineLvl w:val="1"/>
      </w:pPr>
      <w:bookmarkStart w:id="62" w:name="2.4 环境功能区划及评价标准"/>
      <w:bookmarkEnd w:id="62"/>
      <w:bookmarkStart w:id="63" w:name="_bookmark11"/>
      <w:bookmarkEnd w:id="63"/>
      <w:bookmarkStart w:id="64" w:name="_Toc7033"/>
      <w:r>
        <w:t>环境功能区划及评价标准</w:t>
      </w:r>
      <w:bookmarkEnd w:id="64"/>
    </w:p>
    <w:p>
      <w:pPr>
        <w:pStyle w:val="7"/>
        <w:spacing w:before="6"/>
        <w:ind w:left="0"/>
        <w:rPr>
          <w:b/>
          <w:sz w:val="28"/>
        </w:rPr>
      </w:pPr>
    </w:p>
    <w:p>
      <w:pPr>
        <w:pStyle w:val="17"/>
        <w:numPr>
          <w:ilvl w:val="0"/>
          <w:numId w:val="0"/>
        </w:numPr>
        <w:tabs>
          <w:tab w:val="left" w:pos="1241"/>
        </w:tabs>
        <w:spacing w:before="0" w:after="0" w:line="240" w:lineRule="auto"/>
        <w:ind w:left="539" w:leftChars="0" w:right="0" w:rightChars="0"/>
        <w:jc w:val="left"/>
        <w:outlineLvl w:val="2"/>
        <w:rPr>
          <w:rFonts w:ascii="Times New Roman" w:eastAsia="Times New Roman"/>
          <w:b/>
          <w:sz w:val="28"/>
        </w:rPr>
      </w:pPr>
      <w:bookmarkStart w:id="65" w:name="2.4.1 环境功能区划"/>
      <w:bookmarkEnd w:id="65"/>
      <w:bookmarkStart w:id="66" w:name="2.4.1 环境功能区划"/>
      <w:bookmarkEnd w:id="66"/>
      <w:bookmarkStart w:id="67" w:name="_Toc23911"/>
      <w:r>
        <w:rPr>
          <w:rFonts w:hint="eastAsia"/>
          <w:b/>
          <w:sz w:val="28"/>
          <w:lang w:val="en-US" w:eastAsia="zh-CN"/>
        </w:rPr>
        <w:t>2.4.1</w:t>
      </w:r>
      <w:r>
        <w:rPr>
          <w:b/>
          <w:sz w:val="28"/>
        </w:rPr>
        <w:t>环境功能区划</w:t>
      </w:r>
      <w:bookmarkEnd w:id="67"/>
    </w:p>
    <w:p>
      <w:pPr>
        <w:pStyle w:val="7"/>
        <w:spacing w:before="5"/>
        <w:ind w:left="0"/>
        <w:rPr>
          <w:b/>
          <w:sz w:val="21"/>
        </w:rPr>
      </w:pPr>
    </w:p>
    <w:p>
      <w:pPr>
        <w:pStyle w:val="17"/>
        <w:numPr>
          <w:ilvl w:val="0"/>
          <w:numId w:val="11"/>
        </w:numPr>
        <w:tabs>
          <w:tab w:val="left" w:pos="1621"/>
        </w:tabs>
        <w:spacing w:before="0" w:after="0" w:line="240" w:lineRule="auto"/>
        <w:ind w:left="1621" w:right="0" w:hanging="601"/>
        <w:jc w:val="left"/>
        <w:rPr>
          <w:sz w:val="24"/>
        </w:rPr>
      </w:pPr>
      <w:r>
        <w:rPr>
          <w:sz w:val="24"/>
        </w:rPr>
        <w:t>环境空气功能区划</w:t>
      </w:r>
    </w:p>
    <w:p>
      <w:pPr>
        <w:pStyle w:val="7"/>
        <w:spacing w:before="160" w:line="364" w:lineRule="auto"/>
        <w:ind w:right="485" w:firstLine="480"/>
        <w:rPr>
          <w:color w:val="0000FF"/>
        </w:rPr>
      </w:pPr>
      <w:r>
        <w:rPr>
          <w:color w:val="0000FF"/>
        </w:rPr>
        <w:t>根据《环境空气质量标准》（</w:t>
      </w:r>
      <w:r>
        <w:rPr>
          <w:rFonts w:ascii="Times New Roman" w:eastAsia="Times New Roman"/>
          <w:color w:val="0000FF"/>
        </w:rPr>
        <w:t>GB3095-2012</w:t>
      </w:r>
      <w:r>
        <w:rPr>
          <w:color w:val="0000FF"/>
        </w:rPr>
        <w:t>）中的环境空气质量功能区的分类和标准分级要求，项目属于二类环境空气功能区，执行《环境空气质量标准》</w:t>
      </w:r>
    </w:p>
    <w:p>
      <w:pPr>
        <w:pStyle w:val="7"/>
        <w:spacing w:before="2"/>
        <w:rPr>
          <w:color w:val="0000FF"/>
        </w:rPr>
      </w:pPr>
      <w:r>
        <w:rPr>
          <w:color w:val="0000FF"/>
        </w:rPr>
        <w:t>（</w:t>
      </w:r>
      <w:r>
        <w:rPr>
          <w:rFonts w:ascii="Times New Roman" w:eastAsia="Times New Roman"/>
          <w:color w:val="0000FF"/>
        </w:rPr>
        <w:t>GB3095-2012</w:t>
      </w:r>
      <w:r>
        <w:rPr>
          <w:color w:val="0000FF"/>
        </w:rPr>
        <w:t>）中二级标准。</w:t>
      </w:r>
    </w:p>
    <w:p>
      <w:pPr>
        <w:pStyle w:val="17"/>
        <w:numPr>
          <w:ilvl w:val="0"/>
          <w:numId w:val="11"/>
        </w:numPr>
        <w:tabs>
          <w:tab w:val="left" w:pos="1621"/>
        </w:tabs>
        <w:spacing w:before="160" w:after="0" w:line="240" w:lineRule="auto"/>
        <w:ind w:left="1621" w:right="0" w:hanging="601"/>
        <w:jc w:val="left"/>
        <w:rPr>
          <w:color w:val="0000FF"/>
          <w:sz w:val="24"/>
        </w:rPr>
      </w:pPr>
      <w:r>
        <w:rPr>
          <w:color w:val="0000FF"/>
          <w:sz w:val="24"/>
        </w:rPr>
        <w:t>水环境功能区划</w:t>
      </w:r>
    </w:p>
    <w:p>
      <w:pPr>
        <w:pStyle w:val="7"/>
        <w:spacing w:before="161"/>
        <w:ind w:left="1020"/>
        <w:rPr>
          <w:color w:val="0000FF"/>
        </w:rPr>
      </w:pPr>
      <w:r>
        <w:rPr>
          <w:color w:val="0000FF"/>
        </w:rPr>
        <w:t>地下水：根据区域地下水的使用功能，地下水划分为Ⅲ类功能区，执行国家</w:t>
      </w:r>
    </w:p>
    <w:p>
      <w:pPr>
        <w:pStyle w:val="7"/>
        <w:spacing w:before="160"/>
        <w:rPr>
          <w:color w:val="0000FF"/>
        </w:rPr>
      </w:pPr>
      <w:r>
        <w:rPr>
          <w:color w:val="0000FF"/>
        </w:rPr>
        <w:t>《地下水质量标准》（</w:t>
      </w:r>
      <w:r>
        <w:rPr>
          <w:rFonts w:ascii="Times New Roman" w:hAnsi="Times New Roman" w:eastAsia="Times New Roman"/>
          <w:color w:val="0000FF"/>
        </w:rPr>
        <w:t>GB/T 14848-2017</w:t>
      </w:r>
      <w:r>
        <w:rPr>
          <w:color w:val="0000FF"/>
        </w:rPr>
        <w:t>）中的Ⅲ类标准。</w:t>
      </w:r>
    </w:p>
    <w:p>
      <w:pPr>
        <w:pStyle w:val="17"/>
        <w:numPr>
          <w:ilvl w:val="0"/>
          <w:numId w:val="11"/>
        </w:numPr>
        <w:tabs>
          <w:tab w:val="left" w:pos="1621"/>
        </w:tabs>
        <w:spacing w:before="161" w:after="0" w:line="240" w:lineRule="auto"/>
        <w:ind w:left="1621" w:right="0" w:hanging="601"/>
        <w:jc w:val="left"/>
        <w:rPr>
          <w:color w:val="0000FF"/>
          <w:sz w:val="24"/>
        </w:rPr>
      </w:pPr>
      <w:r>
        <w:rPr>
          <w:color w:val="0000FF"/>
          <w:sz w:val="24"/>
        </w:rPr>
        <w:t>声环境功能区划</w:t>
      </w:r>
    </w:p>
    <w:p>
      <w:pPr>
        <w:pStyle w:val="7"/>
        <w:spacing w:before="160" w:line="364" w:lineRule="auto"/>
        <w:ind w:right="575" w:firstLine="480"/>
        <w:jc w:val="both"/>
        <w:rPr>
          <w:color w:val="0000FF"/>
        </w:rPr>
      </w:pPr>
      <w:r>
        <w:rPr>
          <w:color w:val="0000FF"/>
          <w:spacing w:val="-5"/>
        </w:rPr>
        <w:t>本项目位于新疆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color w:val="0000FF"/>
          <w:szCs w:val="21"/>
          <w:lang w:eastAsia="zh-CN"/>
        </w:rPr>
        <w:t>阿拉买提</w:t>
      </w:r>
      <w:r>
        <w:rPr>
          <w:rFonts w:hint="eastAsia"/>
          <w:color w:val="0000FF"/>
          <w:szCs w:val="21"/>
          <w:lang w:val="en-US" w:eastAsia="zh-CN"/>
        </w:rPr>
        <w:t>17</w:t>
      </w:r>
      <w:r>
        <w:rPr>
          <w:rFonts w:hint="eastAsia" w:ascii="宋体" w:hAnsi="宋体"/>
          <w:color w:val="0000FF"/>
          <w:szCs w:val="21"/>
        </w:rPr>
        <w:t>村</w:t>
      </w:r>
      <w:r>
        <w:rPr>
          <w:color w:val="0000FF"/>
          <w:spacing w:val="-5"/>
        </w:rPr>
        <w:t>，属于乡村地区，根据《声</w:t>
      </w:r>
      <w:r>
        <w:rPr>
          <w:color w:val="0000FF"/>
        </w:rPr>
        <w:t>环境质量标准》（</w:t>
      </w:r>
      <w:r>
        <w:rPr>
          <w:rFonts w:ascii="Times New Roman" w:eastAsia="Times New Roman"/>
          <w:color w:val="0000FF"/>
        </w:rPr>
        <w:t>GB3096-2008</w:t>
      </w:r>
      <w:r>
        <w:rPr>
          <w:color w:val="0000FF"/>
        </w:rPr>
        <w:t>）</w:t>
      </w:r>
      <w:r>
        <w:rPr>
          <w:color w:val="0000FF"/>
          <w:spacing w:val="-4"/>
        </w:rPr>
        <w:t>中声环境功能区分类要求，项目所在区域为</w:t>
      </w:r>
      <w:r>
        <w:rPr>
          <w:rFonts w:ascii="Times New Roman" w:eastAsia="Times New Roman"/>
          <w:color w:val="0000FF"/>
        </w:rPr>
        <w:t>2</w:t>
      </w:r>
      <w:r>
        <w:rPr>
          <w:color w:val="0000FF"/>
        </w:rPr>
        <w:t>类声环境功能区。</w:t>
      </w:r>
    </w:p>
    <w:p>
      <w:pPr>
        <w:pStyle w:val="17"/>
        <w:numPr>
          <w:ilvl w:val="0"/>
          <w:numId w:val="11"/>
        </w:numPr>
        <w:tabs>
          <w:tab w:val="left" w:pos="1621"/>
        </w:tabs>
        <w:spacing w:before="2" w:after="0" w:line="240" w:lineRule="auto"/>
        <w:ind w:left="1621" w:right="0" w:hanging="601"/>
        <w:jc w:val="left"/>
        <w:rPr>
          <w:color w:val="0000FF"/>
          <w:sz w:val="24"/>
        </w:rPr>
      </w:pPr>
      <w:r>
        <w:rPr>
          <w:color w:val="0000FF"/>
          <w:sz w:val="24"/>
        </w:rPr>
        <w:t>生态环境</w:t>
      </w:r>
      <w:r>
        <w:rPr>
          <w:rFonts w:hint="eastAsia"/>
          <w:color w:val="0000FF"/>
          <w:sz w:val="24"/>
          <w:lang w:val="en-US" w:eastAsia="zh-CN"/>
        </w:rPr>
        <w:t>区划</w:t>
      </w:r>
    </w:p>
    <w:p>
      <w:pPr>
        <w:pStyle w:val="7"/>
        <w:spacing w:before="160" w:line="364" w:lineRule="auto"/>
        <w:ind w:right="577" w:firstLine="480"/>
        <w:jc w:val="both"/>
        <w:rPr>
          <w:rFonts w:hint="eastAsia"/>
          <w:color w:val="0000FF"/>
          <w:spacing w:val="-12"/>
          <w:lang w:val="en-US" w:eastAsia="zh-CN"/>
        </w:rPr>
      </w:pPr>
      <w:r>
        <w:rPr>
          <w:rFonts w:hint="eastAsia"/>
          <w:color w:val="0000FF"/>
          <w:spacing w:val="-12"/>
          <w:lang w:val="en-US" w:eastAsia="zh-CN"/>
        </w:rPr>
        <w:t>根据《新疆生态功能区划》，项目所在莎车县属于</w:t>
      </w:r>
      <w:r>
        <w:rPr>
          <w:rFonts w:hint="eastAsia"/>
          <w:color w:val="0000FF"/>
          <w:spacing w:val="-12"/>
        </w:rPr>
        <w:t>塔里木盆地暖温荒漠及绿洲农业生态区</w:t>
      </w:r>
      <w:r>
        <w:rPr>
          <w:rFonts w:hint="eastAsia"/>
          <w:color w:val="0000FF"/>
          <w:spacing w:val="-12"/>
          <w:lang w:val="en-US" w:eastAsia="zh-CN"/>
        </w:rPr>
        <w:t>，</w:t>
      </w:r>
      <w:r>
        <w:rPr>
          <w:rFonts w:hint="eastAsia"/>
          <w:color w:val="0000FF"/>
          <w:spacing w:val="-12"/>
        </w:rPr>
        <w:t>塔里木盆地西部、北部荒漠及绿洲农业生态亚区</w:t>
      </w:r>
      <w:r>
        <w:rPr>
          <w:rFonts w:hint="eastAsia"/>
          <w:color w:val="0000FF"/>
          <w:spacing w:val="-12"/>
          <w:lang w:val="en-US" w:eastAsia="zh-CN"/>
        </w:rPr>
        <w:t>，。</w:t>
      </w:r>
      <w:r>
        <w:rPr>
          <w:rFonts w:hint="eastAsia"/>
          <w:color w:val="0000FF"/>
          <w:spacing w:val="-12"/>
        </w:rPr>
        <w:t>该功能区主要的特征，见表</w:t>
      </w:r>
      <w:r>
        <w:rPr>
          <w:rFonts w:hint="eastAsia"/>
          <w:color w:val="0000FF"/>
          <w:spacing w:val="-12"/>
          <w:lang w:val="en-US" w:eastAsia="zh-CN"/>
        </w:rPr>
        <w:t>2.4-1。</w:t>
      </w:r>
    </w:p>
    <w:p>
      <w:pPr>
        <w:autoSpaceDE w:val="0"/>
        <w:autoSpaceDN w:val="0"/>
        <w:adjustRightInd w:val="0"/>
        <w:spacing w:line="392" w:lineRule="exact"/>
        <w:ind w:left="681"/>
        <w:jc w:val="center"/>
        <w:rPr>
          <w:rFonts w:hint="default"/>
          <w:color w:val="0000FF"/>
          <w:spacing w:val="-12"/>
          <w:lang w:val="en-US" w:eastAsia="zh-CN"/>
        </w:rPr>
      </w:pPr>
      <w:r>
        <w:rPr>
          <w:rFonts w:hint="eastAsia" w:ascii="宋体" w:hAnsi="宋体" w:eastAsia="宋体" w:cs="宋体"/>
          <w:color w:val="0000FF"/>
          <w:kern w:val="0"/>
          <w:sz w:val="20"/>
          <w:szCs w:val="20"/>
        </w:rPr>
        <w:t>表</w:t>
      </w:r>
      <w:r>
        <w:rPr>
          <w:rFonts w:hint="eastAsia" w:ascii="宋体" w:hAnsi="宋体" w:eastAsia="宋体" w:cs="宋体"/>
          <w:color w:val="0000FF"/>
          <w:kern w:val="0"/>
          <w:sz w:val="20"/>
          <w:szCs w:val="20"/>
          <w:lang w:val="en-US" w:eastAsia="zh-CN"/>
        </w:rPr>
        <w:t>2.4</w:t>
      </w:r>
      <w:r>
        <w:rPr>
          <w:rFonts w:hint="eastAsia" w:cs="宋体"/>
          <w:color w:val="0000FF"/>
          <w:kern w:val="0"/>
          <w:sz w:val="20"/>
          <w:szCs w:val="20"/>
          <w:lang w:val="en-US" w:eastAsia="zh-CN"/>
        </w:rPr>
        <w:t>-</w:t>
      </w:r>
      <w:r>
        <w:rPr>
          <w:rFonts w:hint="eastAsia" w:ascii="宋体" w:hAnsi="宋体" w:eastAsia="宋体" w:cs="宋体"/>
          <w:color w:val="0000FF"/>
          <w:kern w:val="0"/>
          <w:sz w:val="20"/>
          <w:szCs w:val="20"/>
          <w:lang w:val="en-US" w:eastAsia="zh-CN"/>
        </w:rPr>
        <w:t>1</w:t>
      </w:r>
      <w:r>
        <w:rPr>
          <w:rFonts w:hint="eastAsia" w:ascii="宋体" w:hAnsi="宋体" w:eastAsia="宋体" w:cs="宋体"/>
          <w:color w:val="0000FF"/>
          <w:kern w:val="0"/>
          <w:sz w:val="20"/>
          <w:szCs w:val="20"/>
        </w:rPr>
        <w:t>生态功能区主要特征</w:t>
      </w:r>
    </w:p>
    <w:tbl>
      <w:tblPr>
        <w:tblStyle w:val="14"/>
        <w:tblW w:w="8739" w:type="dxa"/>
        <w:jc w:val="center"/>
        <w:tblLayout w:type="autofit"/>
        <w:tblCellMar>
          <w:top w:w="0" w:type="dxa"/>
          <w:left w:w="0" w:type="dxa"/>
          <w:bottom w:w="0" w:type="dxa"/>
          <w:right w:w="0" w:type="dxa"/>
        </w:tblCellMar>
      </w:tblPr>
      <w:tblGrid>
        <w:gridCol w:w="2872"/>
        <w:gridCol w:w="5867"/>
      </w:tblGrid>
      <w:tr>
        <w:tblPrEx>
          <w:tblCellMar>
            <w:top w:w="0" w:type="dxa"/>
            <w:left w:w="0" w:type="dxa"/>
            <w:bottom w:w="0" w:type="dxa"/>
            <w:right w:w="0" w:type="dxa"/>
          </w:tblCellMar>
        </w:tblPrEx>
        <w:trPr>
          <w:trHeight w:val="668"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58" w:lineRule="exact"/>
              <w:ind w:firstLine="800" w:firstLineChars="4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名称内容</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92" w:lineRule="exact"/>
              <w:ind w:left="681"/>
              <w:jc w:val="both"/>
              <w:rPr>
                <w:rFonts w:hint="eastAsia" w:ascii="宋体" w:hAnsi="宋体" w:eastAsia="宋体" w:cs="宋体"/>
                <w:color w:val="0000FF"/>
                <w:kern w:val="0"/>
                <w:sz w:val="20"/>
                <w:szCs w:val="20"/>
              </w:rPr>
            </w:pPr>
            <w:r>
              <w:rPr>
                <w:rFonts w:hint="eastAsia" w:ascii="宋体" w:hAnsi="宋体"/>
                <w:color w:val="0000FF"/>
              </w:rPr>
              <w:t>叶尔羌河平原绿洲农业及荒漠河岸林保护生态功能区</w:t>
            </w:r>
          </w:p>
        </w:tc>
      </w:tr>
      <w:tr>
        <w:tblPrEx>
          <w:tblCellMar>
            <w:top w:w="0" w:type="dxa"/>
            <w:left w:w="0" w:type="dxa"/>
            <w:bottom w:w="0" w:type="dxa"/>
            <w:right w:w="0" w:type="dxa"/>
          </w:tblCellMar>
        </w:tblPrEx>
        <w:trPr>
          <w:trHeight w:val="677"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主要生态服务功能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26"/>
              <w:jc w:val="center"/>
              <w:rPr>
                <w:rFonts w:hint="eastAsia" w:ascii="宋体" w:hAnsi="宋体" w:eastAsia="宋体" w:cs="宋体"/>
                <w:color w:val="0000FF"/>
                <w:kern w:val="0"/>
                <w:sz w:val="20"/>
                <w:szCs w:val="20"/>
              </w:rPr>
            </w:pPr>
            <w:r>
              <w:rPr>
                <w:rFonts w:hint="eastAsia" w:ascii="宋体" w:hAnsi="宋体"/>
                <w:color w:val="0000FF"/>
              </w:rPr>
              <w:t>农畜产品生产、荒漠化控制、油气资源开发、塔里木河水源补给</w:t>
            </w:r>
          </w:p>
        </w:tc>
      </w:tr>
      <w:tr>
        <w:tblPrEx>
          <w:tblCellMar>
            <w:top w:w="0" w:type="dxa"/>
            <w:left w:w="0" w:type="dxa"/>
            <w:bottom w:w="0" w:type="dxa"/>
            <w:right w:w="0" w:type="dxa"/>
          </w:tblCellMar>
        </w:tblPrEx>
        <w:trPr>
          <w:trHeight w:val="89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主要生态环境问题</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color w:val="0000FF"/>
              </w:rPr>
            </w:pPr>
            <w:r>
              <w:rPr>
                <w:rFonts w:hint="eastAsia" w:ascii="宋体" w:hAnsi="宋体"/>
                <w:color w:val="0000FF"/>
              </w:rPr>
              <w:t>土壤盐渍化、风沙危害、荒漠植被及胡杨林破坏、乱挖甘草、平原水库蒸发渗漏损失严重、油气开发污染环境、土壤环境质量下降</w:t>
            </w:r>
          </w:p>
          <w:p>
            <w:pPr>
              <w:autoSpaceDE w:val="0"/>
              <w:autoSpaceDN w:val="0"/>
              <w:adjustRightInd w:val="0"/>
              <w:spacing w:line="251" w:lineRule="exact"/>
              <w:ind w:left="26"/>
              <w:jc w:val="center"/>
              <w:rPr>
                <w:rFonts w:hint="eastAsia" w:ascii="宋体" w:hAnsi="宋体" w:eastAsia="宋体" w:cs="宋体"/>
                <w:color w:val="0000FF"/>
                <w:kern w:val="0"/>
                <w:sz w:val="20"/>
                <w:szCs w:val="20"/>
              </w:rPr>
            </w:pP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firstLine="200" w:firstLineChars="1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主要生态敏感因子、敏感程度</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left="26"/>
              <w:jc w:val="center"/>
              <w:rPr>
                <w:rFonts w:hint="eastAsia" w:ascii="宋体" w:hAnsi="宋体" w:eastAsia="宋体" w:cs="宋体"/>
                <w:color w:val="0000FF"/>
                <w:kern w:val="0"/>
                <w:sz w:val="20"/>
                <w:szCs w:val="20"/>
              </w:rPr>
            </w:pPr>
            <w:r>
              <w:rPr>
                <w:rFonts w:hint="eastAsia" w:ascii="宋体" w:hAnsi="宋体"/>
                <w:color w:val="0000FF"/>
              </w:rPr>
              <w:t>生物多样性及其生境中度敏感，土地沙漠化中度敏感，土壤盐渍化轻度敏感</w:t>
            </w:r>
          </w:p>
        </w:tc>
      </w:tr>
      <w:tr>
        <w:tblPrEx>
          <w:tblCellMar>
            <w:top w:w="0" w:type="dxa"/>
            <w:left w:w="0" w:type="dxa"/>
            <w:bottom w:w="0" w:type="dxa"/>
            <w:right w:w="0" w:type="dxa"/>
          </w:tblCellMar>
        </w:tblPrEx>
        <w:trPr>
          <w:trHeight w:val="834"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主要保护目标</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rPr>
                <w:rFonts w:hint="eastAsia" w:ascii="宋体" w:hAnsi="宋体" w:eastAsia="宋体" w:cs="宋体"/>
                <w:color w:val="0000FF"/>
                <w:kern w:val="0"/>
                <w:sz w:val="20"/>
                <w:szCs w:val="20"/>
              </w:rPr>
            </w:pPr>
            <w:r>
              <w:rPr>
                <w:rFonts w:hint="eastAsia" w:ascii="宋体" w:hAnsi="宋体"/>
                <w:color w:val="0000FF"/>
              </w:rPr>
              <w:t>保护荒漠植被、保护荒漠河岸林、保护农田土壤环境质量</w:t>
            </w: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主要保护措施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22" w:lineRule="exact"/>
              <w:ind w:left="26"/>
              <w:jc w:val="center"/>
              <w:rPr>
                <w:rFonts w:hint="eastAsia" w:ascii="宋体" w:hAnsi="宋体" w:eastAsia="宋体" w:cs="宋体"/>
                <w:color w:val="0000FF"/>
                <w:kern w:val="0"/>
                <w:sz w:val="20"/>
                <w:szCs w:val="20"/>
              </w:rPr>
            </w:pPr>
            <w:r>
              <w:rPr>
                <w:rFonts w:hint="eastAsia" w:ascii="宋体" w:hAnsi="宋体"/>
                <w:color w:val="0000FF"/>
              </w:rPr>
              <w:t>适度开发地下水、增加向塔河输水量、退耕还林还草、废除部分平原水库、节水灌溉、加强农田投入品的使用管理</w:t>
            </w:r>
          </w:p>
        </w:tc>
      </w:tr>
      <w:tr>
        <w:tblPrEx>
          <w:tblCellMar>
            <w:top w:w="0" w:type="dxa"/>
            <w:left w:w="0" w:type="dxa"/>
            <w:bottom w:w="0" w:type="dxa"/>
            <w:right w:w="0" w:type="dxa"/>
          </w:tblCellMar>
        </w:tblPrEx>
        <w:trPr>
          <w:trHeight w:val="63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适宜发展方向</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26"/>
              <w:jc w:val="center"/>
              <w:rPr>
                <w:rFonts w:hint="eastAsia" w:ascii="宋体" w:hAnsi="宋体" w:eastAsia="宋体" w:cs="宋体"/>
                <w:color w:val="0000FF"/>
                <w:kern w:val="0"/>
                <w:sz w:val="20"/>
                <w:szCs w:val="20"/>
              </w:rPr>
            </w:pPr>
            <w:r>
              <w:rPr>
                <w:rFonts w:hint="eastAsia" w:ascii="宋体" w:hAnsi="宋体"/>
                <w:color w:val="0000FF"/>
              </w:rPr>
              <w:t>建成粮食、经济作物、林果业基地，发展农区畜牧业</w:t>
            </w:r>
          </w:p>
        </w:tc>
      </w:tr>
    </w:tbl>
    <w:p>
      <w:pPr>
        <w:pStyle w:val="5"/>
        <w:numPr>
          <w:ilvl w:val="2"/>
          <w:numId w:val="5"/>
        </w:numPr>
        <w:bidi w:val="0"/>
      </w:pPr>
      <w:bookmarkStart w:id="68" w:name="2.4.2 评价标准"/>
      <w:bookmarkEnd w:id="68"/>
      <w:bookmarkStart w:id="69" w:name="2.4.2 评价标准"/>
      <w:bookmarkEnd w:id="69"/>
      <w:r>
        <w:rPr>
          <w:rFonts w:hint="eastAsia"/>
          <w:lang w:val="en-US" w:eastAsia="zh-CN"/>
        </w:rPr>
        <w:t>.1</w:t>
      </w:r>
      <w:r>
        <w:t>评价标准</w:t>
      </w:r>
    </w:p>
    <w:p>
      <w:pPr>
        <w:pStyle w:val="7"/>
        <w:spacing w:before="1"/>
        <w:ind w:left="0"/>
        <w:rPr>
          <w:b/>
          <w:sz w:val="22"/>
        </w:rPr>
      </w:pPr>
    </w:p>
    <w:p>
      <w:pPr>
        <w:pStyle w:val="17"/>
        <w:numPr>
          <w:ilvl w:val="0"/>
          <w:numId w:val="0"/>
        </w:numPr>
        <w:tabs>
          <w:tab w:val="left" w:pos="1320"/>
        </w:tabs>
        <w:spacing w:before="1" w:after="0" w:line="240" w:lineRule="auto"/>
        <w:ind w:left="540" w:leftChars="0" w:right="0" w:rightChars="0"/>
        <w:jc w:val="left"/>
        <w:rPr>
          <w:sz w:val="24"/>
        </w:rPr>
      </w:pPr>
      <w:bookmarkStart w:id="70" w:name="2.4.2.1 环境质量标准"/>
      <w:bookmarkEnd w:id="70"/>
      <w:bookmarkStart w:id="71" w:name="2.4.2.1 环境质量标准"/>
      <w:bookmarkEnd w:id="71"/>
      <w:r>
        <w:rPr>
          <w:rFonts w:hint="eastAsia"/>
          <w:sz w:val="24"/>
          <w:lang w:val="en-US" w:eastAsia="zh-CN"/>
        </w:rPr>
        <w:t>2.4.1.1</w:t>
      </w:r>
      <w:r>
        <w:rPr>
          <w:sz w:val="24"/>
        </w:rPr>
        <w:t>环境质量标准</w:t>
      </w:r>
    </w:p>
    <w:p>
      <w:pPr>
        <w:pStyle w:val="17"/>
        <w:numPr>
          <w:ilvl w:val="4"/>
          <w:numId w:val="12"/>
        </w:numPr>
        <w:tabs>
          <w:tab w:val="left" w:pos="1621"/>
        </w:tabs>
        <w:spacing w:before="167" w:after="0" w:line="240" w:lineRule="auto"/>
        <w:ind w:left="1621" w:right="0" w:hanging="601"/>
        <w:jc w:val="left"/>
        <w:rPr>
          <w:color w:val="0000FF"/>
          <w:sz w:val="24"/>
        </w:rPr>
      </w:pPr>
      <w:r>
        <w:rPr>
          <w:color w:val="0000FF"/>
          <w:sz w:val="24"/>
        </w:rPr>
        <w:t>环境空气质量标准</w:t>
      </w:r>
    </w:p>
    <w:p>
      <w:pPr>
        <w:pStyle w:val="7"/>
        <w:spacing w:before="158" w:line="362" w:lineRule="auto"/>
        <w:ind w:right="449" w:firstLine="480"/>
        <w:jc w:val="both"/>
        <w:rPr>
          <w:color w:val="0000FF"/>
        </w:rPr>
      </w:pPr>
      <w:r>
        <w:rPr>
          <w:color w:val="0000FF"/>
          <w:spacing w:val="-9"/>
          <w:position w:val="2"/>
        </w:rPr>
        <w:t>项目所在地属环境空气质量二类区，环境空气质量中</w:t>
      </w:r>
      <w:r>
        <w:rPr>
          <w:rFonts w:ascii="Times New Roman" w:hAnsi="Times New Roman" w:eastAsia="Times New Roman"/>
          <w:color w:val="0000FF"/>
          <w:position w:val="2"/>
        </w:rPr>
        <w:t>SO</w:t>
      </w:r>
      <w:r>
        <w:rPr>
          <w:rFonts w:ascii="Times New Roman" w:hAnsi="Times New Roman" w:eastAsia="Times New Roman"/>
          <w:color w:val="0000FF"/>
          <w:position w:val="2"/>
          <w:vertAlign w:val="subscript"/>
        </w:rPr>
        <w:t>2</w:t>
      </w:r>
      <w:r>
        <w:rPr>
          <w:color w:val="0000FF"/>
          <w:spacing w:val="-111"/>
          <w:position w:val="2"/>
          <w:vertAlign w:val="baseline"/>
        </w:rPr>
        <w:t>、</w:t>
      </w:r>
      <w:r>
        <w:rPr>
          <w:rFonts w:ascii="Times New Roman" w:hAnsi="Times New Roman" w:eastAsia="Times New Roman"/>
          <w:color w:val="0000FF"/>
          <w:position w:val="2"/>
          <w:vertAlign w:val="baseline"/>
        </w:rPr>
        <w:t>NO</w:t>
      </w:r>
      <w:r>
        <w:rPr>
          <w:rFonts w:ascii="Times New Roman" w:hAnsi="Times New Roman" w:eastAsia="Times New Roman"/>
          <w:color w:val="0000FF"/>
          <w:position w:val="2"/>
          <w:vertAlign w:val="subscript"/>
        </w:rPr>
        <w:t>2</w:t>
      </w:r>
      <w:r>
        <w:rPr>
          <w:color w:val="0000FF"/>
          <w:spacing w:val="-111"/>
          <w:position w:val="2"/>
          <w:vertAlign w:val="baseline"/>
        </w:rPr>
        <w:t>、</w:t>
      </w:r>
      <w:r>
        <w:rPr>
          <w:rFonts w:ascii="Times New Roman" w:hAnsi="Times New Roman" w:eastAsia="Times New Roman"/>
          <w:color w:val="0000FF"/>
          <w:position w:val="2"/>
          <w:vertAlign w:val="baseline"/>
        </w:rPr>
        <w:t>PM</w:t>
      </w:r>
      <w:r>
        <w:rPr>
          <w:rFonts w:ascii="Times New Roman" w:hAnsi="Times New Roman" w:eastAsia="Times New Roman"/>
          <w:color w:val="0000FF"/>
          <w:position w:val="2"/>
          <w:vertAlign w:val="subscript"/>
        </w:rPr>
        <w:t>10</w:t>
      </w:r>
      <w:r>
        <w:rPr>
          <w:color w:val="0000FF"/>
          <w:spacing w:val="-108"/>
          <w:position w:val="2"/>
          <w:vertAlign w:val="baseline"/>
        </w:rPr>
        <w:t>、</w:t>
      </w:r>
      <w:r>
        <w:rPr>
          <w:rFonts w:ascii="Times New Roman" w:hAnsi="Times New Roman" w:eastAsia="Times New Roman"/>
          <w:color w:val="0000FF"/>
          <w:position w:val="2"/>
          <w:vertAlign w:val="baseline"/>
        </w:rPr>
        <w:t>PM</w:t>
      </w:r>
      <w:r>
        <w:rPr>
          <w:rFonts w:ascii="Times New Roman" w:hAnsi="Times New Roman" w:eastAsia="Times New Roman"/>
          <w:color w:val="0000FF"/>
          <w:position w:val="2"/>
          <w:vertAlign w:val="subscript"/>
        </w:rPr>
        <w:t>2.5</w:t>
      </w:r>
      <w:r>
        <w:rPr>
          <w:color w:val="0000FF"/>
          <w:spacing w:val="-28"/>
          <w:position w:val="2"/>
          <w:vertAlign w:val="baseline"/>
        </w:rPr>
        <w:t>、</w:t>
      </w:r>
      <w:r>
        <w:rPr>
          <w:rFonts w:ascii="Times New Roman" w:hAnsi="Times New Roman" w:eastAsia="Times New Roman"/>
          <w:color w:val="0000FF"/>
          <w:position w:val="2"/>
          <w:vertAlign w:val="baseline"/>
        </w:rPr>
        <w:t>TSP</w:t>
      </w:r>
      <w:r>
        <w:rPr>
          <w:color w:val="0000FF"/>
          <w:position w:val="2"/>
          <w:vertAlign w:val="baseline"/>
        </w:rPr>
        <w:t>、</w:t>
      </w:r>
      <w:r>
        <w:rPr>
          <w:rFonts w:ascii="Times New Roman" w:hAnsi="Times New Roman" w:eastAsia="Times New Roman"/>
          <w:color w:val="0000FF"/>
          <w:position w:val="2"/>
          <w:vertAlign w:val="baseline"/>
        </w:rPr>
        <w:t>CO</w:t>
      </w:r>
      <w:r>
        <w:rPr>
          <w:color w:val="0000FF"/>
          <w:position w:val="2"/>
          <w:vertAlign w:val="baseline"/>
        </w:rPr>
        <w:t>、</w:t>
      </w:r>
      <w:r>
        <w:rPr>
          <w:rFonts w:ascii="Times New Roman" w:hAnsi="Times New Roman" w:eastAsia="Times New Roman"/>
          <w:color w:val="0000FF"/>
          <w:position w:val="2"/>
          <w:vertAlign w:val="baseline"/>
        </w:rPr>
        <w:t>O</w:t>
      </w:r>
      <w:r>
        <w:rPr>
          <w:rFonts w:ascii="Times New Roman" w:hAnsi="Times New Roman" w:eastAsia="Times New Roman"/>
          <w:color w:val="0000FF"/>
          <w:position w:val="2"/>
          <w:vertAlign w:val="subscript"/>
        </w:rPr>
        <w:t>3</w:t>
      </w:r>
      <w:r>
        <w:rPr>
          <w:color w:val="0000FF"/>
          <w:position w:val="2"/>
          <w:vertAlign w:val="baseline"/>
        </w:rPr>
        <w:t>指标执行《环境空气质量标准》（</w:t>
      </w:r>
      <w:r>
        <w:rPr>
          <w:rFonts w:ascii="Times New Roman" w:hAnsi="Times New Roman" w:eastAsia="Times New Roman"/>
          <w:color w:val="0000FF"/>
          <w:position w:val="2"/>
          <w:vertAlign w:val="baseline"/>
        </w:rPr>
        <w:t>GB3095-2012</w:t>
      </w:r>
      <w:r>
        <w:rPr>
          <w:color w:val="0000FF"/>
          <w:position w:val="2"/>
          <w:vertAlign w:val="baseline"/>
        </w:rPr>
        <w:t>）二级浓度限值；</w:t>
      </w:r>
      <w:r>
        <w:rPr>
          <w:rFonts w:ascii="Times New Roman" w:hAnsi="Times New Roman" w:eastAsia="Times New Roman"/>
          <w:color w:val="0000FF"/>
          <w:position w:val="2"/>
          <w:vertAlign w:val="baseline"/>
        </w:rPr>
        <w:t>H</w:t>
      </w:r>
      <w:r>
        <w:rPr>
          <w:rFonts w:ascii="Times New Roman" w:hAnsi="Times New Roman" w:eastAsia="Times New Roman"/>
          <w:color w:val="0000FF"/>
          <w:position w:val="2"/>
          <w:vertAlign w:val="subscript"/>
        </w:rPr>
        <w:t>2</w:t>
      </w:r>
      <w:r>
        <w:rPr>
          <w:rFonts w:ascii="Times New Roman" w:hAnsi="Times New Roman" w:eastAsia="Times New Roman"/>
          <w:color w:val="0000FF"/>
          <w:position w:val="2"/>
          <w:vertAlign w:val="baseline"/>
        </w:rPr>
        <w:t>S</w:t>
      </w:r>
      <w:r>
        <w:rPr>
          <w:color w:val="0000FF"/>
          <w:spacing w:val="7"/>
          <w:position w:val="2"/>
          <w:vertAlign w:val="baseline"/>
        </w:rPr>
        <w:t>、</w:t>
      </w:r>
      <w:r>
        <w:rPr>
          <w:rFonts w:ascii="Times New Roman" w:hAnsi="Times New Roman" w:eastAsia="Times New Roman"/>
          <w:color w:val="0000FF"/>
          <w:position w:val="2"/>
          <w:vertAlign w:val="baseline"/>
        </w:rPr>
        <w:t>NH</w:t>
      </w:r>
      <w:r>
        <w:rPr>
          <w:rFonts w:ascii="Times New Roman" w:hAnsi="Times New Roman" w:eastAsia="Times New Roman"/>
          <w:color w:val="0000FF"/>
          <w:position w:val="2"/>
          <w:vertAlign w:val="subscript"/>
        </w:rPr>
        <w:t>3</w:t>
      </w:r>
      <w:r>
        <w:rPr>
          <w:color w:val="0000FF"/>
          <w:spacing w:val="7"/>
          <w:position w:val="2"/>
          <w:vertAlign w:val="baseline"/>
        </w:rPr>
        <w:t>执行《环境影响评价技术导则</w:t>
      </w:r>
      <w:r>
        <w:rPr>
          <w:rFonts w:ascii="Times New Roman" w:hAnsi="Times New Roman" w:eastAsia="Times New Roman"/>
          <w:color w:val="0000FF"/>
          <w:spacing w:val="6"/>
          <w:position w:val="2"/>
          <w:vertAlign w:val="baseline"/>
        </w:rPr>
        <w:t>·</w:t>
      </w:r>
      <w:r>
        <w:rPr>
          <w:color w:val="0000FF"/>
          <w:spacing w:val="7"/>
          <w:position w:val="2"/>
          <w:vertAlign w:val="baseline"/>
        </w:rPr>
        <w:t>大气环境》</w:t>
      </w:r>
      <w:r>
        <w:rPr>
          <w:color w:val="0000FF"/>
          <w:position w:val="2"/>
          <w:vertAlign w:val="baseline"/>
        </w:rPr>
        <w:t>（</w:t>
      </w:r>
      <w:r>
        <w:rPr>
          <w:rFonts w:ascii="Times New Roman" w:hAnsi="Times New Roman" w:eastAsia="Times New Roman"/>
          <w:color w:val="0000FF"/>
          <w:position w:val="2"/>
          <w:vertAlign w:val="baseline"/>
        </w:rPr>
        <w:t>HJ2.2-2018</w:t>
      </w:r>
      <w:r>
        <w:rPr>
          <w:color w:val="0000FF"/>
          <w:position w:val="2"/>
          <w:vertAlign w:val="baseline"/>
        </w:rPr>
        <w:t>）</w:t>
      </w:r>
      <w:r>
        <w:rPr>
          <w:color w:val="0000FF"/>
          <w:spacing w:val="-14"/>
          <w:position w:val="2"/>
          <w:vertAlign w:val="baseline"/>
        </w:rPr>
        <w:t>附录</w:t>
      </w:r>
      <w:r>
        <w:rPr>
          <w:rFonts w:ascii="Times New Roman" w:hAnsi="Times New Roman" w:eastAsia="Times New Roman"/>
          <w:color w:val="0000FF"/>
          <w:position w:val="2"/>
          <w:vertAlign w:val="baseline"/>
        </w:rPr>
        <w:t>D</w:t>
      </w:r>
      <w:r>
        <w:rPr>
          <w:color w:val="0000FF"/>
          <w:position w:val="2"/>
          <w:vertAlign w:val="baseline"/>
        </w:rPr>
        <w:t>表</w:t>
      </w:r>
    </w:p>
    <w:p>
      <w:pPr>
        <w:pStyle w:val="7"/>
        <w:spacing w:before="1"/>
        <w:jc w:val="both"/>
        <w:rPr>
          <w:color w:val="0000FF"/>
          <w:sz w:val="20"/>
        </w:rPr>
      </w:pPr>
      <w:r>
        <w:rPr>
          <w:rFonts w:ascii="Times New Roman" w:eastAsia="Times New Roman"/>
          <w:color w:val="0000FF"/>
        </w:rPr>
        <w:t>D.1</w:t>
      </w:r>
      <w:r>
        <w:rPr>
          <w:color w:val="0000FF"/>
        </w:rPr>
        <w:t>其他污染物空气质量浓度参考限值。其主要评价指标见</w:t>
      </w:r>
      <w:r>
        <w:rPr>
          <w:rFonts w:ascii="Times New Roman" w:eastAsia="Times New Roman"/>
          <w:color w:val="0000FF"/>
        </w:rPr>
        <w:t>2.4</w:t>
      </w:r>
      <w:r>
        <w:rPr>
          <w:rFonts w:hint="eastAsia" w:ascii="Times New Roman" w:eastAsia="宋体"/>
          <w:color w:val="0000FF"/>
          <w:lang w:val="en-US" w:eastAsia="zh-CN"/>
        </w:rPr>
        <w:t>-2</w:t>
      </w:r>
      <w:r>
        <w:rPr>
          <w:rFonts w:hint="eastAsia" w:ascii="Times New Roman" w:eastAsia="宋体"/>
          <w:color w:val="0000FF"/>
          <w:lang w:eastAsia="zh-CN"/>
        </w:rPr>
        <w:t>。</w:t>
      </w:r>
    </w:p>
    <w:p>
      <w:pPr>
        <w:pStyle w:val="7"/>
        <w:spacing w:before="5"/>
        <w:ind w:left="0"/>
        <w:rPr>
          <w:color w:val="0000FF"/>
          <w:sz w:val="15"/>
        </w:rPr>
      </w:pPr>
    </w:p>
    <w:p>
      <w:pPr>
        <w:pStyle w:val="7"/>
        <w:bidi w:val="0"/>
        <w:jc w:val="center"/>
        <w:rPr>
          <w:b/>
          <w:bCs/>
        </w:rPr>
      </w:pPr>
      <w:r>
        <w:rPr>
          <w:b/>
          <w:bCs/>
        </w:rPr>
        <w:t>表2.4</w:t>
      </w:r>
      <w:r>
        <w:rPr>
          <w:rFonts w:hint="eastAsia"/>
          <w:b/>
          <w:bCs/>
          <w:lang w:val="en-US" w:eastAsia="zh-CN"/>
        </w:rPr>
        <w:t>-2</w:t>
      </w:r>
      <w:r>
        <w:rPr>
          <w:b/>
          <w:bCs/>
        </w:rPr>
        <w:tab/>
      </w:r>
      <w:r>
        <w:rPr>
          <w:b/>
          <w:bCs/>
        </w:rPr>
        <w:t>环境空气质量标准限值</w:t>
      </w:r>
      <w:r>
        <w:rPr>
          <w:b/>
          <w:bCs/>
        </w:rPr>
        <w:tab/>
      </w:r>
      <w:r>
        <w:rPr>
          <w:b/>
          <w:bCs/>
        </w:rPr>
        <w:t>单位：mg/m3</w:t>
      </w:r>
    </w:p>
    <w:tbl>
      <w:tblPr>
        <w:tblStyle w:val="14"/>
        <w:tblW w:w="0" w:type="auto"/>
        <w:tblInd w:w="5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9"/>
        <w:gridCol w:w="1860"/>
        <w:gridCol w:w="1288"/>
        <w:gridCol w:w="3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31"/>
              <w:ind w:left="187" w:right="176"/>
              <w:rPr>
                <w:b/>
                <w:color w:val="0000FF"/>
                <w:sz w:val="21"/>
              </w:rPr>
            </w:pPr>
            <w:r>
              <w:rPr>
                <w:b/>
                <w:color w:val="0000FF"/>
                <w:sz w:val="21"/>
              </w:rPr>
              <w:t>污染物名称</w:t>
            </w:r>
          </w:p>
        </w:tc>
        <w:tc>
          <w:tcPr>
            <w:tcW w:w="1860" w:type="dxa"/>
          </w:tcPr>
          <w:p>
            <w:pPr>
              <w:pStyle w:val="18"/>
              <w:spacing w:before="31"/>
              <w:ind w:left="95" w:right="84"/>
              <w:rPr>
                <w:b/>
                <w:color w:val="0000FF"/>
                <w:sz w:val="21"/>
              </w:rPr>
            </w:pPr>
            <w:r>
              <w:rPr>
                <w:b/>
                <w:color w:val="0000FF"/>
                <w:sz w:val="21"/>
              </w:rPr>
              <w:t>取值时间</w:t>
            </w:r>
          </w:p>
        </w:tc>
        <w:tc>
          <w:tcPr>
            <w:tcW w:w="1288" w:type="dxa"/>
          </w:tcPr>
          <w:p>
            <w:pPr>
              <w:pStyle w:val="18"/>
              <w:spacing w:before="31"/>
              <w:ind w:left="203" w:right="191"/>
              <w:rPr>
                <w:b/>
                <w:color w:val="0000FF"/>
                <w:sz w:val="21"/>
              </w:rPr>
            </w:pPr>
            <w:r>
              <w:rPr>
                <w:b/>
                <w:color w:val="0000FF"/>
                <w:sz w:val="21"/>
              </w:rPr>
              <w:t>浓度限值</w:t>
            </w:r>
          </w:p>
        </w:tc>
        <w:tc>
          <w:tcPr>
            <w:tcW w:w="3701" w:type="dxa"/>
          </w:tcPr>
          <w:p>
            <w:pPr>
              <w:pStyle w:val="18"/>
              <w:spacing w:before="31"/>
              <w:ind w:left="114" w:right="104"/>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8"/>
              <w:spacing w:before="3"/>
              <w:jc w:val="left"/>
              <w:rPr>
                <w:rFonts w:ascii="Times New Roman"/>
                <w:b/>
                <w:color w:val="0000FF"/>
                <w:sz w:val="18"/>
              </w:rPr>
            </w:pPr>
          </w:p>
          <w:p>
            <w:pPr>
              <w:pStyle w:val="18"/>
              <w:ind w:left="186" w:right="176"/>
              <w:rPr>
                <w:rFonts w:ascii="Times New Roman"/>
                <w:color w:val="0000FF"/>
                <w:sz w:val="21"/>
              </w:rPr>
            </w:pPr>
            <w:r>
              <w:rPr>
                <w:rFonts w:ascii="Times New Roman"/>
                <w:color w:val="0000FF"/>
                <w:position w:val="2"/>
                <w:sz w:val="21"/>
              </w:rPr>
              <w:t>SO</w:t>
            </w:r>
            <w:r>
              <w:rPr>
                <w:rFonts w:ascii="Times New Roman"/>
                <w:color w:val="0000FF"/>
                <w:position w:val="2"/>
                <w:sz w:val="21"/>
                <w:vertAlign w:val="subscript"/>
              </w:rPr>
              <w:t>2</w:t>
            </w:r>
          </w:p>
        </w:tc>
        <w:tc>
          <w:tcPr>
            <w:tcW w:w="1860" w:type="dxa"/>
          </w:tcPr>
          <w:p>
            <w:pPr>
              <w:pStyle w:val="18"/>
              <w:spacing w:before="29"/>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3"/>
              <w:ind w:left="199" w:right="191"/>
              <w:rPr>
                <w:rFonts w:ascii="Times New Roman"/>
                <w:color w:val="0000FF"/>
                <w:sz w:val="21"/>
              </w:rPr>
            </w:pPr>
            <w:r>
              <w:rPr>
                <w:rFonts w:ascii="Times New Roman"/>
                <w:color w:val="0000FF"/>
                <w:sz w:val="21"/>
              </w:rPr>
              <w:t>0.15</w:t>
            </w:r>
          </w:p>
        </w:tc>
        <w:tc>
          <w:tcPr>
            <w:tcW w:w="3701" w:type="dxa"/>
            <w:vMerge w:val="restart"/>
          </w:tcPr>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spacing w:before="10"/>
              <w:jc w:val="left"/>
              <w:rPr>
                <w:rFonts w:ascii="Times New Roman"/>
                <w:b/>
                <w:color w:val="0000FF"/>
                <w:sz w:val="16"/>
              </w:rPr>
            </w:pPr>
          </w:p>
          <w:p>
            <w:pPr>
              <w:pStyle w:val="18"/>
              <w:spacing w:before="1" w:line="278" w:lineRule="auto"/>
              <w:ind w:left="1429" w:right="-15" w:hanging="1320"/>
              <w:jc w:val="left"/>
              <w:rPr>
                <w:color w:val="0000FF"/>
                <w:sz w:val="21"/>
              </w:rPr>
            </w:pPr>
            <w:r>
              <w:rPr>
                <w:color w:val="0000FF"/>
                <w:w w:val="95"/>
                <w:sz w:val="21"/>
              </w:rPr>
              <w:t>《环境空气质量标准</w:t>
            </w:r>
            <w:r>
              <w:rPr>
                <w:color w:val="0000FF"/>
                <w:spacing w:val="-130"/>
                <w:w w:val="95"/>
                <w:sz w:val="21"/>
              </w:rPr>
              <w:t>》</w:t>
            </w:r>
            <w:r>
              <w:rPr>
                <w:color w:val="0000FF"/>
                <w:w w:val="95"/>
                <w:sz w:val="21"/>
              </w:rPr>
              <w:t>（</w:t>
            </w:r>
            <w:r>
              <w:rPr>
                <w:rFonts w:ascii="Times New Roman" w:eastAsia="Times New Roman"/>
                <w:color w:val="0000FF"/>
                <w:w w:val="95"/>
                <w:sz w:val="21"/>
              </w:rPr>
              <w:t>GB3095-2012</w:t>
            </w:r>
            <w:r>
              <w:rPr>
                <w:color w:val="0000FF"/>
                <w:w w:val="95"/>
                <w:sz w:val="21"/>
              </w:rPr>
              <w:t>）</w:t>
            </w:r>
            <w:r>
              <w:rPr>
                <w:color w:val="0000FF"/>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8"/>
              <w:spacing w:before="30"/>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0.50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8"/>
              <w:spacing w:before="4"/>
              <w:jc w:val="left"/>
              <w:rPr>
                <w:rFonts w:ascii="Times New Roman"/>
                <w:b/>
                <w:color w:val="0000FF"/>
                <w:sz w:val="18"/>
              </w:rPr>
            </w:pPr>
          </w:p>
          <w:p>
            <w:pPr>
              <w:pStyle w:val="18"/>
              <w:spacing w:before="1"/>
              <w:ind w:left="184" w:right="176"/>
              <w:rPr>
                <w:rFonts w:ascii="Times New Roman"/>
                <w:color w:val="0000FF"/>
                <w:sz w:val="21"/>
              </w:rPr>
            </w:pPr>
            <w:r>
              <w:rPr>
                <w:rFonts w:ascii="Times New Roman"/>
                <w:color w:val="0000FF"/>
                <w:position w:val="2"/>
                <w:sz w:val="21"/>
              </w:rPr>
              <w:t>NO</w:t>
            </w:r>
            <w:r>
              <w:rPr>
                <w:rFonts w:ascii="Times New Roman"/>
                <w:color w:val="0000FF"/>
                <w:position w:val="2"/>
                <w:sz w:val="21"/>
                <w:vertAlign w:val="subscript"/>
              </w:rPr>
              <w:t>2</w:t>
            </w:r>
          </w:p>
        </w:tc>
        <w:tc>
          <w:tcPr>
            <w:tcW w:w="1860" w:type="dxa"/>
          </w:tcPr>
          <w:p>
            <w:pPr>
              <w:pStyle w:val="18"/>
              <w:spacing w:before="31"/>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0.08</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8"/>
              <w:spacing w:before="29"/>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3"/>
              <w:ind w:left="199" w:right="191"/>
              <w:rPr>
                <w:rFonts w:ascii="Times New Roman"/>
                <w:color w:val="0000FF"/>
                <w:sz w:val="21"/>
              </w:rPr>
            </w:pPr>
            <w:r>
              <w:rPr>
                <w:rFonts w:ascii="Times New Roman"/>
                <w:color w:val="0000FF"/>
                <w:sz w:val="21"/>
              </w:rPr>
              <w:t>0.20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40"/>
              <w:ind w:left="186" w:right="176"/>
              <w:rPr>
                <w:rFonts w:ascii="Times New Roman"/>
                <w:color w:val="0000FF"/>
                <w:sz w:val="21"/>
              </w:rPr>
            </w:pPr>
            <w:r>
              <w:rPr>
                <w:rFonts w:ascii="Times New Roman"/>
                <w:color w:val="0000FF"/>
                <w:position w:val="2"/>
                <w:sz w:val="21"/>
              </w:rPr>
              <w:t>PM</w:t>
            </w:r>
            <w:r>
              <w:rPr>
                <w:rFonts w:ascii="Times New Roman"/>
                <w:color w:val="0000FF"/>
                <w:position w:val="2"/>
                <w:sz w:val="21"/>
                <w:vertAlign w:val="subscript"/>
              </w:rPr>
              <w:t>10</w:t>
            </w:r>
          </w:p>
        </w:tc>
        <w:tc>
          <w:tcPr>
            <w:tcW w:w="1860" w:type="dxa"/>
          </w:tcPr>
          <w:p>
            <w:pPr>
              <w:pStyle w:val="18"/>
              <w:spacing w:before="30"/>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0.15</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41"/>
              <w:ind w:left="186" w:right="176"/>
              <w:rPr>
                <w:rFonts w:ascii="Times New Roman"/>
                <w:color w:val="0000FF"/>
                <w:sz w:val="13"/>
              </w:rPr>
            </w:pPr>
            <w:r>
              <w:rPr>
                <w:rFonts w:ascii="Times New Roman"/>
                <w:color w:val="0000FF"/>
                <w:w w:val="105"/>
                <w:position w:val="2"/>
                <w:sz w:val="21"/>
              </w:rPr>
              <w:t>PM</w:t>
            </w:r>
            <w:r>
              <w:rPr>
                <w:rFonts w:ascii="Times New Roman"/>
                <w:color w:val="0000FF"/>
                <w:w w:val="105"/>
                <w:sz w:val="13"/>
              </w:rPr>
              <w:t>2.5</w:t>
            </w:r>
          </w:p>
        </w:tc>
        <w:tc>
          <w:tcPr>
            <w:tcW w:w="1860" w:type="dxa"/>
          </w:tcPr>
          <w:p>
            <w:pPr>
              <w:pStyle w:val="18"/>
              <w:spacing w:before="31"/>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4"/>
              <w:ind w:left="202" w:right="191"/>
              <w:rPr>
                <w:rFonts w:ascii="Times New Roman"/>
                <w:color w:val="0000FF"/>
                <w:sz w:val="21"/>
              </w:rPr>
            </w:pPr>
            <w:r>
              <w:rPr>
                <w:rFonts w:ascii="Times New Roman"/>
                <w:color w:val="0000FF"/>
                <w:sz w:val="21"/>
              </w:rPr>
              <w:t>0.075</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43"/>
              <w:ind w:left="183" w:right="176"/>
              <w:rPr>
                <w:rFonts w:ascii="Times New Roman"/>
                <w:color w:val="0000FF"/>
                <w:sz w:val="21"/>
              </w:rPr>
            </w:pPr>
            <w:r>
              <w:rPr>
                <w:rFonts w:ascii="Times New Roman"/>
                <w:color w:val="0000FF"/>
                <w:sz w:val="21"/>
              </w:rPr>
              <w:t>TSP</w:t>
            </w:r>
          </w:p>
        </w:tc>
        <w:tc>
          <w:tcPr>
            <w:tcW w:w="1860" w:type="dxa"/>
          </w:tcPr>
          <w:p>
            <w:pPr>
              <w:pStyle w:val="18"/>
              <w:spacing w:before="29"/>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3"/>
              <w:ind w:left="199" w:right="191"/>
              <w:rPr>
                <w:rFonts w:ascii="Times New Roman"/>
                <w:color w:val="0000FF"/>
                <w:sz w:val="21"/>
              </w:rPr>
            </w:pPr>
            <w:r>
              <w:rPr>
                <w:rFonts w:ascii="Times New Roman"/>
                <w:color w:val="0000FF"/>
                <w:sz w:val="21"/>
              </w:rPr>
              <w:t>0.30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8"/>
              <w:spacing w:before="196"/>
              <w:ind w:left="185" w:right="176"/>
              <w:rPr>
                <w:rFonts w:ascii="Times New Roman"/>
                <w:color w:val="0000FF"/>
                <w:sz w:val="24"/>
              </w:rPr>
            </w:pPr>
            <w:r>
              <w:rPr>
                <w:rFonts w:ascii="Times New Roman"/>
                <w:color w:val="0000FF"/>
                <w:sz w:val="24"/>
              </w:rPr>
              <w:t>CO</w:t>
            </w:r>
          </w:p>
        </w:tc>
        <w:tc>
          <w:tcPr>
            <w:tcW w:w="1860" w:type="dxa"/>
          </w:tcPr>
          <w:p>
            <w:pPr>
              <w:pStyle w:val="18"/>
              <w:spacing w:before="30"/>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8"/>
              <w:spacing w:before="44"/>
              <w:ind w:left="8"/>
              <w:rPr>
                <w:rFonts w:ascii="Times New Roman"/>
                <w:color w:val="0000FF"/>
                <w:sz w:val="21"/>
              </w:rPr>
            </w:pPr>
            <w:r>
              <w:rPr>
                <w:rFonts w:ascii="Times New Roman"/>
                <w:color w:val="0000FF"/>
                <w:w w:val="99"/>
                <w:sz w:val="21"/>
              </w:rPr>
              <w:t>4</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8"/>
              <w:spacing w:before="31"/>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10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8"/>
              <w:spacing w:before="194"/>
              <w:ind w:left="184" w:right="176"/>
              <w:rPr>
                <w:rFonts w:ascii="Times New Roman"/>
                <w:color w:val="0000FF"/>
                <w:sz w:val="24"/>
              </w:rPr>
            </w:pPr>
            <w:r>
              <w:rPr>
                <w:rFonts w:ascii="Times New Roman"/>
                <w:color w:val="0000FF"/>
                <w:position w:val="2"/>
                <w:sz w:val="24"/>
              </w:rPr>
              <w:t>O</w:t>
            </w:r>
            <w:r>
              <w:rPr>
                <w:rFonts w:ascii="Times New Roman"/>
                <w:color w:val="0000FF"/>
                <w:position w:val="2"/>
                <w:sz w:val="24"/>
                <w:vertAlign w:val="subscript"/>
              </w:rPr>
              <w:t>3</w:t>
            </w:r>
          </w:p>
        </w:tc>
        <w:tc>
          <w:tcPr>
            <w:tcW w:w="1860" w:type="dxa"/>
          </w:tcPr>
          <w:p>
            <w:pPr>
              <w:pStyle w:val="18"/>
              <w:spacing w:before="29"/>
              <w:ind w:left="95" w:right="86"/>
              <w:rPr>
                <w:color w:val="0000FF"/>
                <w:sz w:val="21"/>
              </w:rPr>
            </w:pPr>
            <w:r>
              <w:rPr>
                <w:color w:val="0000FF"/>
                <w:sz w:val="21"/>
              </w:rPr>
              <w:t>日最大</w:t>
            </w:r>
            <w:r>
              <w:rPr>
                <w:rFonts w:ascii="Times New Roman" w:eastAsia="Times New Roman"/>
                <w:color w:val="0000FF"/>
                <w:sz w:val="21"/>
              </w:rPr>
              <w:t>8</w:t>
            </w:r>
            <w:r>
              <w:rPr>
                <w:color w:val="0000FF"/>
                <w:sz w:val="21"/>
              </w:rPr>
              <w:t>小时评价</w:t>
            </w:r>
          </w:p>
        </w:tc>
        <w:tc>
          <w:tcPr>
            <w:tcW w:w="1288" w:type="dxa"/>
          </w:tcPr>
          <w:p>
            <w:pPr>
              <w:pStyle w:val="18"/>
              <w:spacing w:before="43"/>
              <w:ind w:left="199" w:right="191"/>
              <w:rPr>
                <w:rFonts w:ascii="Times New Roman"/>
                <w:color w:val="0000FF"/>
                <w:sz w:val="21"/>
              </w:rPr>
            </w:pPr>
            <w:r>
              <w:rPr>
                <w:rFonts w:ascii="Times New Roman"/>
                <w:color w:val="0000FF"/>
                <w:sz w:val="21"/>
              </w:rPr>
              <w:t>0.16</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8"/>
              <w:spacing w:before="30"/>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0.2</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41"/>
              <w:ind w:left="186" w:right="176"/>
              <w:rPr>
                <w:rFonts w:ascii="Times New Roman"/>
                <w:color w:val="0000FF"/>
                <w:sz w:val="21"/>
              </w:rPr>
            </w:pPr>
            <w:r>
              <w:rPr>
                <w:rFonts w:ascii="Times New Roman"/>
                <w:color w:val="0000FF"/>
                <w:position w:val="2"/>
                <w:sz w:val="21"/>
              </w:rPr>
              <w:t>H</w:t>
            </w:r>
            <w:r>
              <w:rPr>
                <w:rFonts w:ascii="Times New Roman"/>
                <w:color w:val="0000FF"/>
                <w:position w:val="2"/>
                <w:sz w:val="21"/>
                <w:vertAlign w:val="subscript"/>
              </w:rPr>
              <w:t>2</w:t>
            </w:r>
            <w:r>
              <w:rPr>
                <w:rFonts w:ascii="Times New Roman"/>
                <w:color w:val="0000FF"/>
                <w:position w:val="2"/>
                <w:sz w:val="21"/>
                <w:vertAlign w:val="baseline"/>
              </w:rPr>
              <w:t>S</w:t>
            </w:r>
          </w:p>
        </w:tc>
        <w:tc>
          <w:tcPr>
            <w:tcW w:w="1860" w:type="dxa"/>
          </w:tcPr>
          <w:p>
            <w:pPr>
              <w:pStyle w:val="18"/>
              <w:spacing w:before="31"/>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4"/>
              <w:ind w:left="199" w:right="191"/>
              <w:rPr>
                <w:rFonts w:ascii="Times New Roman"/>
                <w:color w:val="0000FF"/>
                <w:sz w:val="21"/>
              </w:rPr>
            </w:pPr>
            <w:r>
              <w:rPr>
                <w:rFonts w:ascii="Times New Roman"/>
                <w:color w:val="0000FF"/>
                <w:sz w:val="21"/>
              </w:rPr>
              <w:t>0.01</w:t>
            </w:r>
          </w:p>
        </w:tc>
        <w:tc>
          <w:tcPr>
            <w:tcW w:w="3701" w:type="dxa"/>
            <w:vMerge w:val="restart"/>
          </w:tcPr>
          <w:p>
            <w:pPr>
              <w:pStyle w:val="18"/>
              <w:spacing w:before="45"/>
              <w:ind w:left="114" w:right="106"/>
              <w:rPr>
                <w:color w:val="0000FF"/>
                <w:sz w:val="21"/>
              </w:rPr>
            </w:pPr>
            <w:r>
              <w:rPr>
                <w:color w:val="0000FF"/>
                <w:sz w:val="21"/>
              </w:rPr>
              <w:t>《环境影响评价技术导则</w:t>
            </w:r>
            <w:r>
              <w:rPr>
                <w:rFonts w:ascii="Times New Roman" w:eastAsia="Times New Roman"/>
                <w:color w:val="0000FF"/>
                <w:sz w:val="21"/>
              </w:rPr>
              <w:t>-</w:t>
            </w:r>
            <w:r>
              <w:rPr>
                <w:color w:val="0000FF"/>
                <w:sz w:val="21"/>
              </w:rPr>
              <w:t>大气环境》</w:t>
            </w:r>
          </w:p>
          <w:p>
            <w:pPr>
              <w:pStyle w:val="18"/>
              <w:spacing w:before="43"/>
              <w:ind w:left="114" w:right="104"/>
              <w:rPr>
                <w:rFonts w:ascii="Times New Roman" w:eastAsia="Times New Roman"/>
                <w:color w:val="0000FF"/>
                <w:sz w:val="21"/>
              </w:rPr>
            </w:pPr>
            <w:r>
              <w:rPr>
                <w:color w:val="0000FF"/>
                <w:sz w:val="21"/>
              </w:rPr>
              <w:t>（</w:t>
            </w:r>
            <w:r>
              <w:rPr>
                <w:rFonts w:ascii="Times New Roman" w:eastAsia="Times New Roman"/>
                <w:color w:val="0000FF"/>
                <w:sz w:val="21"/>
              </w:rPr>
              <w:t>HJ2.2-2018</w:t>
            </w:r>
            <w:r>
              <w:rPr>
                <w:color w:val="0000FF"/>
                <w:sz w:val="21"/>
              </w:rPr>
              <w:t>）附录</w:t>
            </w:r>
            <w:r>
              <w:rPr>
                <w:rFonts w:ascii="Times New Roman" w:eastAsia="Times New Roman"/>
                <w:color w:val="0000FF"/>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8"/>
              <w:spacing w:before="40"/>
              <w:ind w:left="184" w:right="176"/>
              <w:rPr>
                <w:rFonts w:ascii="Times New Roman"/>
                <w:color w:val="0000FF"/>
                <w:sz w:val="21"/>
              </w:rPr>
            </w:pPr>
            <w:r>
              <w:rPr>
                <w:rFonts w:ascii="Times New Roman"/>
                <w:color w:val="0000FF"/>
                <w:position w:val="2"/>
                <w:sz w:val="21"/>
              </w:rPr>
              <w:t>NH</w:t>
            </w:r>
            <w:r>
              <w:rPr>
                <w:rFonts w:ascii="Times New Roman"/>
                <w:color w:val="0000FF"/>
                <w:position w:val="2"/>
                <w:sz w:val="21"/>
                <w:vertAlign w:val="subscript"/>
              </w:rPr>
              <w:t>3</w:t>
            </w:r>
          </w:p>
        </w:tc>
        <w:tc>
          <w:tcPr>
            <w:tcW w:w="1860" w:type="dxa"/>
          </w:tcPr>
          <w:p>
            <w:pPr>
              <w:pStyle w:val="18"/>
              <w:spacing w:before="29"/>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8"/>
              <w:spacing w:before="43"/>
              <w:ind w:left="199" w:right="191"/>
              <w:rPr>
                <w:rFonts w:ascii="Times New Roman"/>
                <w:color w:val="0000FF"/>
                <w:sz w:val="21"/>
              </w:rPr>
            </w:pPr>
            <w:r>
              <w:rPr>
                <w:rFonts w:ascii="Times New Roman"/>
                <w:color w:val="0000FF"/>
                <w:sz w:val="21"/>
              </w:rPr>
              <w:t>0.20</w:t>
            </w:r>
          </w:p>
        </w:tc>
        <w:tc>
          <w:tcPr>
            <w:tcW w:w="3701" w:type="dxa"/>
            <w:vMerge w:val="continue"/>
            <w:tcBorders>
              <w:top w:val="nil"/>
            </w:tcBorders>
          </w:tcPr>
          <w:p>
            <w:pPr>
              <w:rPr>
                <w:color w:val="0000FF"/>
                <w:sz w:val="2"/>
                <w:szCs w:val="2"/>
              </w:rPr>
            </w:pPr>
          </w:p>
        </w:tc>
      </w:tr>
    </w:tbl>
    <w:p>
      <w:pPr>
        <w:pStyle w:val="7"/>
        <w:spacing w:before="7"/>
        <w:ind w:left="0"/>
        <w:rPr>
          <w:rFonts w:ascii="Times New Roman"/>
          <w:b/>
          <w:color w:val="0000FF"/>
          <w:sz w:val="20"/>
        </w:rPr>
      </w:pPr>
    </w:p>
    <w:p>
      <w:pPr>
        <w:pStyle w:val="17"/>
        <w:numPr>
          <w:ilvl w:val="4"/>
          <w:numId w:val="12"/>
        </w:numPr>
        <w:tabs>
          <w:tab w:val="left" w:pos="1621"/>
        </w:tabs>
        <w:spacing w:before="1" w:after="0" w:line="240" w:lineRule="auto"/>
        <w:ind w:left="1621" w:right="0" w:hanging="601"/>
        <w:jc w:val="left"/>
        <w:rPr>
          <w:color w:val="0000FF"/>
          <w:sz w:val="24"/>
        </w:rPr>
      </w:pPr>
      <w:r>
        <w:rPr>
          <w:color w:val="0000FF"/>
          <w:sz w:val="24"/>
        </w:rPr>
        <w:t>地下水环境质量标准</w:t>
      </w:r>
    </w:p>
    <w:p>
      <w:pPr>
        <w:pStyle w:val="7"/>
        <w:spacing w:before="160" w:line="364" w:lineRule="auto"/>
        <w:ind w:right="452" w:firstLine="480"/>
        <w:rPr>
          <w:color w:val="0000FF"/>
        </w:rPr>
      </w:pPr>
      <w:r>
        <w:rPr>
          <w:color w:val="0000FF"/>
        </w:rPr>
        <w:t>项目区地下水执行《地下水质量标准》（</w:t>
      </w:r>
      <w:r>
        <w:rPr>
          <w:rFonts w:ascii="Times New Roman" w:hAnsi="Times New Roman" w:eastAsia="Times New Roman"/>
          <w:color w:val="0000FF"/>
        </w:rPr>
        <w:t>GB/T14848-2017</w:t>
      </w:r>
      <w:r>
        <w:rPr>
          <w:color w:val="0000FF"/>
        </w:rPr>
        <w:t>）中的Ⅲ类标准，具体标准限值见表</w:t>
      </w:r>
      <w:r>
        <w:rPr>
          <w:rFonts w:ascii="Times New Roman" w:hAnsi="Times New Roman" w:eastAsia="Times New Roman"/>
          <w:color w:val="0000FF"/>
        </w:rPr>
        <w:t>2.4-</w:t>
      </w:r>
      <w:r>
        <w:rPr>
          <w:rFonts w:hint="eastAsia" w:ascii="Times New Roman" w:hAnsi="Times New Roman" w:eastAsia="宋体"/>
          <w:color w:val="0000FF"/>
          <w:lang w:val="en-US" w:eastAsia="zh-CN"/>
        </w:rPr>
        <w:t>3</w:t>
      </w:r>
      <w:r>
        <w:rPr>
          <w:color w:val="0000FF"/>
        </w:rPr>
        <w:t>。</w:t>
      </w:r>
    </w:p>
    <w:p>
      <w:pPr>
        <w:pStyle w:val="7"/>
        <w:bidi w:val="0"/>
        <w:jc w:val="center"/>
        <w:rPr>
          <w:b/>
          <w:bCs/>
        </w:rPr>
      </w:pPr>
      <w:r>
        <w:rPr>
          <w:b/>
          <w:bCs/>
        </w:rPr>
        <w:t>表2.4-</w:t>
      </w:r>
      <w:r>
        <w:rPr>
          <w:rFonts w:hint="eastAsia"/>
          <w:b/>
          <w:bCs/>
          <w:lang w:val="en-US" w:eastAsia="zh-CN"/>
        </w:rPr>
        <w:t>3</w:t>
      </w:r>
      <w:r>
        <w:rPr>
          <w:b/>
          <w:bCs/>
        </w:rPr>
        <w:t>地下水质量标准</w:t>
      </w:r>
      <w:r>
        <w:rPr>
          <w:b/>
          <w:bCs/>
        </w:rPr>
        <w:tab/>
      </w:r>
      <w:r>
        <w:rPr>
          <w:b/>
          <w:bCs/>
        </w:rPr>
        <w:t>单位：mg/L</w:t>
      </w:r>
    </w:p>
    <w:tbl>
      <w:tblPr>
        <w:tblStyle w:val="14"/>
        <w:tblW w:w="0" w:type="auto"/>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1530"/>
        <w:gridCol w:w="2280"/>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tcBorders>
              <w:tl2br w:val="nil"/>
              <w:tr2bl w:val="nil"/>
            </w:tcBorders>
          </w:tcPr>
          <w:p>
            <w:pPr>
              <w:pStyle w:val="18"/>
              <w:spacing w:before="29"/>
              <w:ind w:left="617"/>
              <w:jc w:val="left"/>
              <w:rPr>
                <w:b/>
                <w:color w:val="0000FF"/>
                <w:sz w:val="21"/>
              </w:rPr>
            </w:pPr>
            <w:r>
              <w:rPr>
                <w:b/>
                <w:color w:val="0000FF"/>
                <w:sz w:val="21"/>
              </w:rPr>
              <w:t>标准名称</w:t>
            </w:r>
          </w:p>
        </w:tc>
        <w:tc>
          <w:tcPr>
            <w:tcW w:w="1530" w:type="dxa"/>
            <w:tcBorders>
              <w:tl2br w:val="nil"/>
              <w:tr2bl w:val="nil"/>
            </w:tcBorders>
          </w:tcPr>
          <w:p>
            <w:pPr>
              <w:pStyle w:val="18"/>
              <w:spacing w:before="29"/>
              <w:ind w:left="533" w:right="524"/>
              <w:rPr>
                <w:b/>
                <w:color w:val="0000FF"/>
                <w:sz w:val="21"/>
              </w:rPr>
            </w:pPr>
            <w:r>
              <w:rPr>
                <w:b/>
                <w:color w:val="0000FF"/>
                <w:sz w:val="21"/>
              </w:rPr>
              <w:t>级别</w:t>
            </w:r>
          </w:p>
        </w:tc>
        <w:tc>
          <w:tcPr>
            <w:tcW w:w="2280" w:type="dxa"/>
            <w:tcBorders>
              <w:tl2br w:val="nil"/>
              <w:tr2bl w:val="nil"/>
            </w:tcBorders>
          </w:tcPr>
          <w:p>
            <w:pPr>
              <w:pStyle w:val="18"/>
              <w:spacing w:before="29"/>
              <w:ind w:left="489" w:right="479"/>
              <w:rPr>
                <w:b/>
                <w:color w:val="0000FF"/>
                <w:sz w:val="21"/>
              </w:rPr>
            </w:pPr>
            <w:r>
              <w:rPr>
                <w:b/>
                <w:color w:val="0000FF"/>
                <w:sz w:val="21"/>
              </w:rPr>
              <w:t>评价因子</w:t>
            </w:r>
          </w:p>
        </w:tc>
        <w:tc>
          <w:tcPr>
            <w:tcW w:w="2452" w:type="dxa"/>
            <w:tcBorders>
              <w:tl2br w:val="nil"/>
              <w:tr2bl w:val="nil"/>
            </w:tcBorders>
          </w:tcPr>
          <w:p>
            <w:pPr>
              <w:pStyle w:val="18"/>
              <w:spacing w:before="29"/>
              <w:ind w:left="784" w:right="773"/>
              <w:rPr>
                <w:b/>
                <w:color w:val="0000FF"/>
                <w:sz w:val="21"/>
              </w:rPr>
            </w:pPr>
            <w:r>
              <w:rPr>
                <w:b/>
                <w:color w:val="0000FF"/>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restart"/>
            <w:tcBorders>
              <w:tl2br w:val="nil"/>
              <w:tr2bl w:val="nil"/>
            </w:tcBorders>
          </w:tcPr>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spacing w:before="6"/>
              <w:jc w:val="left"/>
              <w:rPr>
                <w:rFonts w:ascii="Times New Roman"/>
                <w:b/>
                <w:color w:val="0000FF"/>
                <w:sz w:val="25"/>
              </w:rPr>
            </w:pPr>
          </w:p>
          <w:p>
            <w:pPr>
              <w:pStyle w:val="18"/>
              <w:ind w:left="106"/>
              <w:jc w:val="left"/>
              <w:rPr>
                <w:color w:val="0000FF"/>
                <w:sz w:val="21"/>
              </w:rPr>
            </w:pPr>
            <w:r>
              <w:rPr>
                <w:color w:val="0000FF"/>
                <w:w w:val="95"/>
                <w:sz w:val="21"/>
              </w:rPr>
              <w:t>《地下水质量标准》</w:t>
            </w:r>
          </w:p>
          <w:p>
            <w:pPr>
              <w:pStyle w:val="18"/>
              <w:spacing w:before="43"/>
              <w:ind w:left="108"/>
              <w:jc w:val="left"/>
              <w:rPr>
                <w:color w:val="0000FF"/>
                <w:sz w:val="21"/>
              </w:rPr>
            </w:pPr>
            <w:r>
              <w:rPr>
                <w:color w:val="0000FF"/>
                <w:sz w:val="21"/>
              </w:rPr>
              <w:t>（</w:t>
            </w:r>
            <w:r>
              <w:rPr>
                <w:rFonts w:ascii="Times New Roman" w:eastAsia="Times New Roman"/>
                <w:color w:val="0000FF"/>
                <w:sz w:val="21"/>
              </w:rPr>
              <w:t>GB/T14848-2017</w:t>
            </w:r>
            <w:r>
              <w:rPr>
                <w:color w:val="0000FF"/>
                <w:sz w:val="21"/>
              </w:rPr>
              <w:t>）</w:t>
            </w:r>
          </w:p>
        </w:tc>
        <w:tc>
          <w:tcPr>
            <w:tcW w:w="1530" w:type="dxa"/>
            <w:vMerge w:val="restart"/>
            <w:tcBorders>
              <w:tl2br w:val="nil"/>
              <w:tr2bl w:val="nil"/>
            </w:tcBorders>
          </w:tcPr>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jc w:val="left"/>
              <w:rPr>
                <w:rFonts w:ascii="Times New Roman"/>
                <w:b/>
                <w:color w:val="0000FF"/>
                <w:sz w:val="20"/>
              </w:rPr>
            </w:pPr>
          </w:p>
          <w:p>
            <w:pPr>
              <w:pStyle w:val="18"/>
              <w:spacing w:before="1"/>
              <w:jc w:val="left"/>
              <w:rPr>
                <w:rFonts w:ascii="Times New Roman"/>
                <w:b/>
                <w:color w:val="0000FF"/>
                <w:sz w:val="19"/>
              </w:rPr>
            </w:pPr>
          </w:p>
          <w:p>
            <w:pPr>
              <w:pStyle w:val="18"/>
              <w:ind w:left="531" w:right="524"/>
              <w:rPr>
                <w:color w:val="0000FF"/>
                <w:sz w:val="21"/>
              </w:rPr>
            </w:pPr>
            <w:r>
              <w:rPr>
                <w:color w:val="0000FF"/>
                <w:sz w:val="21"/>
              </w:rPr>
              <w:t>Ⅲ类</w:t>
            </w:r>
          </w:p>
        </w:tc>
        <w:tc>
          <w:tcPr>
            <w:tcW w:w="2280" w:type="dxa"/>
            <w:tcBorders>
              <w:tl2br w:val="nil"/>
              <w:tr2bl w:val="nil"/>
            </w:tcBorders>
          </w:tcPr>
          <w:p>
            <w:pPr>
              <w:pStyle w:val="18"/>
              <w:spacing w:before="30"/>
              <w:ind w:left="489" w:right="481"/>
              <w:rPr>
                <w:color w:val="0000FF"/>
                <w:sz w:val="21"/>
              </w:rPr>
            </w:pPr>
            <w:r>
              <w:rPr>
                <w:rFonts w:ascii="Times New Roman" w:eastAsia="Times New Roman"/>
                <w:color w:val="0000FF"/>
                <w:sz w:val="21"/>
              </w:rPr>
              <w:t>pH</w:t>
            </w:r>
            <w:r>
              <w:rPr>
                <w:color w:val="0000FF"/>
                <w:sz w:val="21"/>
              </w:rPr>
              <w:t>值</w:t>
            </w:r>
          </w:p>
        </w:tc>
        <w:tc>
          <w:tcPr>
            <w:tcW w:w="2452" w:type="dxa"/>
            <w:tcBorders>
              <w:tl2br w:val="nil"/>
              <w:tr2bl w:val="nil"/>
            </w:tcBorders>
          </w:tcPr>
          <w:p>
            <w:pPr>
              <w:pStyle w:val="18"/>
              <w:spacing w:before="30"/>
              <w:ind w:left="783" w:right="773"/>
              <w:rPr>
                <w:rFonts w:ascii="Times New Roman" w:eastAsia="Times New Roman"/>
                <w:color w:val="0000FF"/>
                <w:sz w:val="21"/>
              </w:rPr>
            </w:pPr>
            <w:r>
              <w:rPr>
                <w:rFonts w:ascii="Times New Roman" w:eastAsia="Times New Roman"/>
                <w:color w:val="0000FF"/>
                <w:sz w:val="21"/>
              </w:rPr>
              <w:t>6.5</w:t>
            </w:r>
            <w:r>
              <w:rPr>
                <w:color w:val="0000FF"/>
                <w:sz w:val="21"/>
              </w:rPr>
              <w:t>～</w:t>
            </w:r>
            <w:r>
              <w:rPr>
                <w:rFonts w:ascii="Times New Roman" w:eastAsia="Times New Roman"/>
                <w:color w:val="0000FF"/>
                <w:sz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489" w:right="481"/>
              <w:rPr>
                <w:color w:val="0000FF"/>
                <w:sz w:val="21"/>
              </w:rPr>
            </w:pPr>
            <w:r>
              <w:rPr>
                <w:color w:val="0000FF"/>
                <w:sz w:val="21"/>
              </w:rPr>
              <w:t>总硬度</w:t>
            </w:r>
          </w:p>
        </w:tc>
        <w:tc>
          <w:tcPr>
            <w:tcW w:w="2452" w:type="dxa"/>
            <w:tcBorders>
              <w:tl2br w:val="nil"/>
              <w:tr2bl w:val="nil"/>
            </w:tcBorders>
          </w:tcPr>
          <w:p>
            <w:pPr>
              <w:pStyle w:val="18"/>
              <w:spacing w:before="31"/>
              <w:ind w:left="781" w:right="773"/>
              <w:rPr>
                <w:rFonts w:ascii="Times New Roman" w:hAnsi="Times New Roman"/>
                <w:color w:val="0000FF"/>
                <w:sz w:val="21"/>
              </w:rPr>
            </w:pPr>
            <w:r>
              <w:rPr>
                <w:color w:val="0000FF"/>
                <w:sz w:val="21"/>
              </w:rPr>
              <w:t>≤</w:t>
            </w:r>
            <w:r>
              <w:rPr>
                <w:rFonts w:ascii="Times New Roman" w:hAnsi="Times New Roman"/>
                <w:color w:val="0000FF"/>
                <w:sz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29"/>
              <w:ind w:left="489" w:right="481"/>
              <w:rPr>
                <w:color w:val="0000FF"/>
                <w:sz w:val="21"/>
              </w:rPr>
            </w:pPr>
            <w:r>
              <w:rPr>
                <w:color w:val="0000FF"/>
                <w:sz w:val="21"/>
              </w:rPr>
              <w:t>高锰酸盐指数</w:t>
            </w:r>
          </w:p>
        </w:tc>
        <w:tc>
          <w:tcPr>
            <w:tcW w:w="2452" w:type="dxa"/>
            <w:tcBorders>
              <w:tl2br w:val="nil"/>
              <w:tr2bl w:val="nil"/>
            </w:tcBorders>
          </w:tcPr>
          <w:p>
            <w:pPr>
              <w:pStyle w:val="18"/>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0"/>
              <w:ind w:left="489" w:right="481"/>
              <w:rPr>
                <w:color w:val="0000FF"/>
                <w:sz w:val="21"/>
              </w:rPr>
            </w:pPr>
            <w:r>
              <w:rPr>
                <w:color w:val="0000FF"/>
                <w:sz w:val="21"/>
              </w:rPr>
              <w:t>硫酸盐</w:t>
            </w:r>
          </w:p>
        </w:tc>
        <w:tc>
          <w:tcPr>
            <w:tcW w:w="2452" w:type="dxa"/>
            <w:tcBorders>
              <w:tl2br w:val="nil"/>
              <w:tr2bl w:val="nil"/>
            </w:tcBorders>
          </w:tcPr>
          <w:p>
            <w:pPr>
              <w:pStyle w:val="18"/>
              <w:spacing w:before="30"/>
              <w:ind w:left="781" w:right="773"/>
              <w:rPr>
                <w:rFonts w:ascii="Times New Roman" w:hAnsi="Times New Roman"/>
                <w:color w:val="0000FF"/>
                <w:sz w:val="21"/>
              </w:rPr>
            </w:pPr>
            <w:r>
              <w:rPr>
                <w:color w:val="0000FF"/>
                <w:sz w:val="21"/>
              </w:rPr>
              <w:t>≤</w:t>
            </w:r>
            <w:r>
              <w:rPr>
                <w:rFonts w:ascii="Times New Roman" w:hAnsi="Times New Roman"/>
                <w:color w:val="0000FF"/>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489" w:right="481"/>
              <w:rPr>
                <w:color w:val="0000FF"/>
                <w:sz w:val="21"/>
              </w:rPr>
            </w:pPr>
            <w:r>
              <w:rPr>
                <w:color w:val="0000FF"/>
                <w:sz w:val="21"/>
              </w:rPr>
              <w:t>氯化物</w:t>
            </w:r>
          </w:p>
        </w:tc>
        <w:tc>
          <w:tcPr>
            <w:tcW w:w="2452" w:type="dxa"/>
            <w:tcBorders>
              <w:tl2br w:val="nil"/>
              <w:tr2bl w:val="nil"/>
            </w:tcBorders>
          </w:tcPr>
          <w:p>
            <w:pPr>
              <w:pStyle w:val="18"/>
              <w:spacing w:before="31"/>
              <w:ind w:left="781" w:right="773"/>
              <w:rPr>
                <w:rFonts w:ascii="Times New Roman" w:hAnsi="Times New Roman"/>
                <w:color w:val="0000FF"/>
                <w:sz w:val="21"/>
              </w:rPr>
            </w:pPr>
            <w:r>
              <w:rPr>
                <w:color w:val="0000FF"/>
                <w:sz w:val="21"/>
              </w:rPr>
              <w:t>≤</w:t>
            </w:r>
            <w:r>
              <w:rPr>
                <w:rFonts w:ascii="Times New Roman" w:hAnsi="Times New Roman"/>
                <w:color w:val="0000FF"/>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29"/>
              <w:ind w:left="489" w:right="481"/>
              <w:rPr>
                <w:color w:val="0000FF"/>
                <w:sz w:val="21"/>
              </w:rPr>
            </w:pPr>
            <w:r>
              <w:rPr>
                <w:color w:val="0000FF"/>
                <w:sz w:val="21"/>
              </w:rPr>
              <w:t>氟化物</w:t>
            </w:r>
          </w:p>
        </w:tc>
        <w:tc>
          <w:tcPr>
            <w:tcW w:w="2452" w:type="dxa"/>
            <w:tcBorders>
              <w:tl2br w:val="nil"/>
              <w:tr2bl w:val="nil"/>
            </w:tcBorders>
          </w:tcPr>
          <w:p>
            <w:pPr>
              <w:pStyle w:val="18"/>
              <w:spacing w:before="29"/>
              <w:ind w:left="781" w:right="773"/>
              <w:rPr>
                <w:rFonts w:ascii="Times New Roman" w:hAnsi="Times New Roman"/>
                <w:color w:val="0000FF"/>
                <w:sz w:val="21"/>
              </w:rPr>
            </w:pPr>
            <w:r>
              <w:rPr>
                <w:color w:val="0000FF"/>
                <w:sz w:val="21"/>
              </w:rPr>
              <w:t>≤</w:t>
            </w:r>
            <w:r>
              <w:rPr>
                <w:rFonts w:ascii="Times New Roman" w:hAnsi="Times New Roman"/>
                <w:color w:val="0000FF"/>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0"/>
              <w:ind w:left="489" w:right="481"/>
              <w:rPr>
                <w:color w:val="0000FF"/>
                <w:sz w:val="21"/>
              </w:rPr>
            </w:pPr>
            <w:r>
              <w:rPr>
                <w:color w:val="0000FF"/>
                <w:sz w:val="21"/>
              </w:rPr>
              <w:t>氨氮</w:t>
            </w:r>
          </w:p>
        </w:tc>
        <w:tc>
          <w:tcPr>
            <w:tcW w:w="2452" w:type="dxa"/>
            <w:tcBorders>
              <w:tl2br w:val="nil"/>
              <w:tr2bl w:val="nil"/>
            </w:tcBorders>
          </w:tcPr>
          <w:p>
            <w:pPr>
              <w:pStyle w:val="18"/>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489" w:right="481"/>
              <w:rPr>
                <w:color w:val="0000FF"/>
                <w:sz w:val="21"/>
              </w:rPr>
            </w:pPr>
            <w:r>
              <w:rPr>
                <w:color w:val="0000FF"/>
                <w:sz w:val="21"/>
              </w:rPr>
              <w:t>挥发酚</w:t>
            </w:r>
          </w:p>
        </w:tc>
        <w:tc>
          <w:tcPr>
            <w:tcW w:w="2452" w:type="dxa"/>
            <w:tcBorders>
              <w:tl2br w:val="nil"/>
              <w:tr2bl w:val="nil"/>
            </w:tcBorders>
          </w:tcPr>
          <w:p>
            <w:pPr>
              <w:pStyle w:val="18"/>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29"/>
              <w:ind w:left="489" w:right="481"/>
              <w:rPr>
                <w:color w:val="0000FF"/>
                <w:sz w:val="21"/>
              </w:rPr>
            </w:pPr>
            <w:r>
              <w:rPr>
                <w:color w:val="0000FF"/>
                <w:sz w:val="21"/>
              </w:rPr>
              <w:t>氰化物</w:t>
            </w:r>
          </w:p>
        </w:tc>
        <w:tc>
          <w:tcPr>
            <w:tcW w:w="2452" w:type="dxa"/>
            <w:tcBorders>
              <w:tl2br w:val="nil"/>
              <w:tr2bl w:val="nil"/>
            </w:tcBorders>
          </w:tcPr>
          <w:p>
            <w:pPr>
              <w:pStyle w:val="18"/>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44"/>
              <w:ind w:left="489" w:right="478"/>
              <w:rPr>
                <w:rFonts w:ascii="Times New Roman"/>
                <w:color w:val="0000FF"/>
                <w:sz w:val="13"/>
              </w:rPr>
            </w:pPr>
            <w:r>
              <w:rPr>
                <w:rFonts w:ascii="Times New Roman"/>
                <w:color w:val="0000FF"/>
                <w:position w:val="-6"/>
                <w:sz w:val="21"/>
              </w:rPr>
              <w:t>Cr</w:t>
            </w:r>
            <w:r>
              <w:rPr>
                <w:rFonts w:ascii="Times New Roman"/>
                <w:color w:val="0000FF"/>
                <w:sz w:val="13"/>
              </w:rPr>
              <w:t>6+</w:t>
            </w:r>
          </w:p>
        </w:tc>
        <w:tc>
          <w:tcPr>
            <w:tcW w:w="2452" w:type="dxa"/>
            <w:tcBorders>
              <w:tl2br w:val="nil"/>
              <w:tr2bl w:val="nil"/>
            </w:tcBorders>
          </w:tcPr>
          <w:p>
            <w:pPr>
              <w:pStyle w:val="18"/>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6"/>
              <w:rPr>
                <w:color w:val="0000FF"/>
                <w:sz w:val="21"/>
              </w:rPr>
            </w:pPr>
            <w:r>
              <w:rPr>
                <w:color w:val="0000FF"/>
                <w:w w:val="99"/>
                <w:sz w:val="21"/>
              </w:rPr>
              <w:t>汞</w:t>
            </w:r>
          </w:p>
        </w:tc>
        <w:tc>
          <w:tcPr>
            <w:tcW w:w="2452" w:type="dxa"/>
            <w:tcBorders>
              <w:tl2br w:val="nil"/>
              <w:tr2bl w:val="nil"/>
            </w:tcBorders>
          </w:tcPr>
          <w:p>
            <w:pPr>
              <w:pStyle w:val="18"/>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29"/>
              <w:ind w:left="6"/>
              <w:rPr>
                <w:color w:val="0000FF"/>
                <w:sz w:val="21"/>
              </w:rPr>
            </w:pPr>
            <w:r>
              <w:rPr>
                <w:color w:val="0000FF"/>
                <w:w w:val="99"/>
                <w:sz w:val="21"/>
              </w:rPr>
              <w:t>砷</w:t>
            </w:r>
          </w:p>
        </w:tc>
        <w:tc>
          <w:tcPr>
            <w:tcW w:w="2452" w:type="dxa"/>
            <w:tcBorders>
              <w:tl2br w:val="nil"/>
              <w:tr2bl w:val="nil"/>
            </w:tcBorders>
          </w:tcPr>
          <w:p>
            <w:pPr>
              <w:pStyle w:val="18"/>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0"/>
              <w:ind w:left="489" w:right="481"/>
              <w:rPr>
                <w:color w:val="0000FF"/>
                <w:sz w:val="21"/>
              </w:rPr>
            </w:pPr>
            <w:r>
              <w:rPr>
                <w:color w:val="0000FF"/>
                <w:sz w:val="21"/>
              </w:rPr>
              <w:t>溶解性总固体</w:t>
            </w:r>
          </w:p>
        </w:tc>
        <w:tc>
          <w:tcPr>
            <w:tcW w:w="2452" w:type="dxa"/>
            <w:tcBorders>
              <w:tl2br w:val="nil"/>
              <w:tr2bl w:val="nil"/>
            </w:tcBorders>
          </w:tcPr>
          <w:p>
            <w:pPr>
              <w:pStyle w:val="18"/>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489" w:right="481"/>
              <w:rPr>
                <w:color w:val="0000FF"/>
                <w:sz w:val="21"/>
              </w:rPr>
            </w:pPr>
            <w:r>
              <w:rPr>
                <w:color w:val="0000FF"/>
                <w:sz w:val="21"/>
              </w:rPr>
              <w:t>硝酸盐</w:t>
            </w:r>
          </w:p>
        </w:tc>
        <w:tc>
          <w:tcPr>
            <w:tcW w:w="2452" w:type="dxa"/>
            <w:tcBorders>
              <w:tl2br w:val="nil"/>
              <w:tr2bl w:val="nil"/>
            </w:tcBorders>
          </w:tcPr>
          <w:p>
            <w:pPr>
              <w:pStyle w:val="18"/>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29"/>
              <w:ind w:left="487" w:right="481"/>
              <w:rPr>
                <w:color w:val="0000FF"/>
                <w:sz w:val="21"/>
              </w:rPr>
            </w:pPr>
            <w:r>
              <w:rPr>
                <w:color w:val="0000FF"/>
                <w:sz w:val="21"/>
              </w:rPr>
              <w:t>亚硝酸盐</w:t>
            </w:r>
          </w:p>
        </w:tc>
        <w:tc>
          <w:tcPr>
            <w:tcW w:w="2452" w:type="dxa"/>
            <w:tcBorders>
              <w:tl2br w:val="nil"/>
              <w:tr2bl w:val="nil"/>
            </w:tcBorders>
          </w:tcPr>
          <w:p>
            <w:pPr>
              <w:pStyle w:val="18"/>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0"/>
              <w:ind w:left="6"/>
              <w:rPr>
                <w:color w:val="0000FF"/>
                <w:sz w:val="21"/>
              </w:rPr>
            </w:pPr>
            <w:r>
              <w:rPr>
                <w:color w:val="0000FF"/>
                <w:w w:val="99"/>
                <w:sz w:val="21"/>
              </w:rPr>
              <w:t>镉</w:t>
            </w:r>
          </w:p>
        </w:tc>
        <w:tc>
          <w:tcPr>
            <w:tcW w:w="2452" w:type="dxa"/>
            <w:tcBorders>
              <w:tl2br w:val="nil"/>
              <w:tr2bl w:val="nil"/>
            </w:tcBorders>
          </w:tcPr>
          <w:p>
            <w:pPr>
              <w:pStyle w:val="18"/>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8"/>
              <w:spacing w:before="31"/>
              <w:ind w:left="6"/>
              <w:rPr>
                <w:color w:val="0000FF"/>
                <w:sz w:val="21"/>
              </w:rPr>
            </w:pPr>
            <w:r>
              <w:rPr>
                <w:color w:val="0000FF"/>
                <w:w w:val="99"/>
                <w:sz w:val="21"/>
              </w:rPr>
              <w:t>铅</w:t>
            </w:r>
          </w:p>
        </w:tc>
        <w:tc>
          <w:tcPr>
            <w:tcW w:w="2452" w:type="dxa"/>
            <w:tcBorders>
              <w:tl2br w:val="nil"/>
              <w:tr2bl w:val="nil"/>
            </w:tcBorders>
          </w:tcPr>
          <w:p>
            <w:pPr>
              <w:pStyle w:val="18"/>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0.01</w:t>
            </w:r>
          </w:p>
        </w:tc>
      </w:tr>
    </w:tbl>
    <w:tbl>
      <w:tblPr>
        <w:tblStyle w:val="14"/>
        <w:tblpPr w:leftFromText="180" w:rightFromText="180" w:vertAnchor="text" w:horzAnchor="page" w:tblpX="1783" w:tblpY="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1530"/>
        <w:gridCol w:w="2280"/>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restart"/>
          </w:tcPr>
          <w:p>
            <w:pPr>
              <w:pStyle w:val="18"/>
              <w:jc w:val="left"/>
              <w:rPr>
                <w:rFonts w:ascii="Times New Roman"/>
                <w:color w:val="0000FF"/>
                <w:sz w:val="22"/>
              </w:rPr>
            </w:pPr>
          </w:p>
        </w:tc>
        <w:tc>
          <w:tcPr>
            <w:tcW w:w="1530" w:type="dxa"/>
            <w:vMerge w:val="restart"/>
          </w:tcPr>
          <w:p>
            <w:pPr>
              <w:pStyle w:val="18"/>
              <w:jc w:val="left"/>
              <w:rPr>
                <w:rFonts w:ascii="Times New Roman"/>
                <w:color w:val="0000FF"/>
                <w:sz w:val="22"/>
              </w:rPr>
            </w:pPr>
          </w:p>
        </w:tc>
        <w:tc>
          <w:tcPr>
            <w:tcW w:w="2280" w:type="dxa"/>
          </w:tcPr>
          <w:p>
            <w:pPr>
              <w:pStyle w:val="18"/>
              <w:spacing w:before="31"/>
              <w:ind w:left="6"/>
              <w:rPr>
                <w:color w:val="0000FF"/>
                <w:sz w:val="21"/>
              </w:rPr>
            </w:pPr>
            <w:r>
              <w:rPr>
                <w:color w:val="0000FF"/>
                <w:w w:val="99"/>
                <w:sz w:val="21"/>
              </w:rPr>
              <w:t>锰</w:t>
            </w:r>
          </w:p>
        </w:tc>
        <w:tc>
          <w:tcPr>
            <w:tcW w:w="2452" w:type="dxa"/>
          </w:tcPr>
          <w:p>
            <w:pPr>
              <w:pStyle w:val="18"/>
              <w:spacing w:before="31"/>
              <w:ind w:left="937"/>
              <w:jc w:val="left"/>
              <w:rPr>
                <w:rFonts w:ascii="Times New Roman" w:hAnsi="Times New Roman"/>
                <w:color w:val="0000FF"/>
                <w:sz w:val="21"/>
              </w:rPr>
            </w:pPr>
            <w:r>
              <w:rPr>
                <w:color w:val="0000FF"/>
                <w:sz w:val="21"/>
              </w:rPr>
              <w:t>≤</w:t>
            </w:r>
            <w:r>
              <w:rPr>
                <w:rFonts w:ascii="Times New Roman" w:hAnsi="Times New Roman"/>
                <w:color w:val="0000FF"/>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op w:val="nil"/>
            </w:tcBorders>
          </w:tcPr>
          <w:p>
            <w:pPr>
              <w:rPr>
                <w:color w:val="0000FF"/>
                <w:sz w:val="2"/>
                <w:szCs w:val="2"/>
              </w:rPr>
            </w:pPr>
          </w:p>
        </w:tc>
        <w:tc>
          <w:tcPr>
            <w:tcW w:w="1530" w:type="dxa"/>
            <w:vMerge w:val="continue"/>
            <w:tcBorders>
              <w:top w:val="nil"/>
            </w:tcBorders>
          </w:tcPr>
          <w:p>
            <w:pPr>
              <w:rPr>
                <w:color w:val="0000FF"/>
                <w:sz w:val="2"/>
                <w:szCs w:val="2"/>
              </w:rPr>
            </w:pPr>
          </w:p>
        </w:tc>
        <w:tc>
          <w:tcPr>
            <w:tcW w:w="2280" w:type="dxa"/>
          </w:tcPr>
          <w:p>
            <w:pPr>
              <w:pStyle w:val="18"/>
              <w:spacing w:before="29"/>
              <w:ind w:left="487" w:right="481"/>
              <w:rPr>
                <w:color w:val="0000FF"/>
                <w:sz w:val="21"/>
              </w:rPr>
            </w:pPr>
            <w:r>
              <w:rPr>
                <w:color w:val="0000FF"/>
                <w:sz w:val="21"/>
              </w:rPr>
              <w:t>总大肠菌群</w:t>
            </w:r>
          </w:p>
        </w:tc>
        <w:tc>
          <w:tcPr>
            <w:tcW w:w="2452" w:type="dxa"/>
          </w:tcPr>
          <w:p>
            <w:pPr>
              <w:pStyle w:val="18"/>
              <w:spacing w:before="29"/>
              <w:ind w:left="990"/>
              <w:jc w:val="left"/>
              <w:rPr>
                <w:rFonts w:ascii="Times New Roman" w:hAnsi="Times New Roman"/>
                <w:color w:val="0000FF"/>
                <w:sz w:val="21"/>
              </w:rPr>
            </w:pPr>
            <w:r>
              <w:rPr>
                <w:color w:val="0000FF"/>
                <w:sz w:val="21"/>
              </w:rPr>
              <w:t>≤</w:t>
            </w:r>
            <w:r>
              <w:rPr>
                <w:rFonts w:ascii="Times New Roman" w:hAnsi="Times New Roman"/>
                <w:color w:val="0000FF"/>
                <w:sz w:val="21"/>
              </w:rPr>
              <w:t>3.0</w:t>
            </w:r>
          </w:p>
        </w:tc>
      </w:tr>
    </w:tbl>
    <w:p>
      <w:pPr>
        <w:pStyle w:val="7"/>
        <w:spacing w:before="5"/>
        <w:ind w:left="0"/>
        <w:rPr>
          <w:rFonts w:ascii="Times New Roman"/>
          <w:b/>
          <w:color w:val="0000FF"/>
          <w:sz w:val="5"/>
        </w:rPr>
      </w:pPr>
    </w:p>
    <w:p>
      <w:pPr>
        <w:pStyle w:val="7"/>
        <w:ind w:left="0"/>
        <w:rPr>
          <w:rFonts w:ascii="Times New Roman"/>
          <w:b/>
          <w:color w:val="0000FF"/>
          <w:sz w:val="14"/>
        </w:rPr>
      </w:pPr>
    </w:p>
    <w:p>
      <w:pPr>
        <w:pStyle w:val="17"/>
        <w:numPr>
          <w:ilvl w:val="0"/>
          <w:numId w:val="0"/>
        </w:numPr>
        <w:tabs>
          <w:tab w:val="left" w:pos="1621"/>
        </w:tabs>
        <w:spacing w:before="77" w:after="0" w:line="240" w:lineRule="auto"/>
        <w:ind w:left="1020" w:leftChars="0" w:right="0" w:rightChars="0"/>
        <w:jc w:val="left"/>
        <w:rPr>
          <w:color w:val="0000FF"/>
          <w:sz w:val="24"/>
        </w:rPr>
      </w:pPr>
    </w:p>
    <w:p>
      <w:pPr>
        <w:pStyle w:val="17"/>
        <w:numPr>
          <w:ilvl w:val="0"/>
          <w:numId w:val="0"/>
        </w:numPr>
        <w:tabs>
          <w:tab w:val="left" w:pos="1621"/>
        </w:tabs>
        <w:spacing w:before="77" w:after="0" w:line="240" w:lineRule="auto"/>
        <w:ind w:left="1020" w:leftChars="0" w:right="0" w:rightChars="0"/>
        <w:jc w:val="left"/>
        <w:rPr>
          <w:color w:val="0000FF"/>
          <w:sz w:val="24"/>
        </w:rPr>
      </w:pPr>
    </w:p>
    <w:p>
      <w:pPr>
        <w:pStyle w:val="17"/>
        <w:numPr>
          <w:ilvl w:val="0"/>
          <w:numId w:val="0"/>
        </w:numPr>
        <w:tabs>
          <w:tab w:val="left" w:pos="1621"/>
        </w:tabs>
        <w:spacing w:before="77" w:after="0" w:line="240" w:lineRule="auto"/>
        <w:ind w:left="1020" w:leftChars="0" w:right="0" w:rightChars="0"/>
        <w:jc w:val="left"/>
        <w:rPr>
          <w:color w:val="0000FF"/>
          <w:sz w:val="24"/>
        </w:rPr>
      </w:pPr>
      <w:r>
        <w:rPr>
          <w:rFonts w:hint="eastAsia"/>
          <w:color w:val="0000FF"/>
          <w:sz w:val="24"/>
          <w:lang w:eastAsia="zh-CN"/>
        </w:rPr>
        <w:t>（</w:t>
      </w:r>
      <w:r>
        <w:rPr>
          <w:rFonts w:hint="eastAsia"/>
          <w:color w:val="0000FF"/>
          <w:sz w:val="24"/>
          <w:lang w:val="en-US" w:eastAsia="zh-CN"/>
        </w:rPr>
        <w:t>3</w:t>
      </w:r>
      <w:r>
        <w:rPr>
          <w:rFonts w:hint="eastAsia"/>
          <w:color w:val="0000FF"/>
          <w:sz w:val="24"/>
          <w:lang w:eastAsia="zh-CN"/>
        </w:rPr>
        <w:t>）</w:t>
      </w:r>
      <w:r>
        <w:rPr>
          <w:color w:val="0000FF"/>
          <w:sz w:val="24"/>
        </w:rPr>
        <w:t>声环</w:t>
      </w:r>
      <w:r>
        <w:rPr>
          <w:rFonts w:hint="eastAsia"/>
          <w:color w:val="0000FF"/>
          <w:sz w:val="24"/>
          <w:lang w:val="en-US" w:eastAsia="zh-CN"/>
        </w:rPr>
        <w:t>声环</w:t>
      </w:r>
      <w:r>
        <w:rPr>
          <w:color w:val="0000FF"/>
          <w:sz w:val="24"/>
        </w:rPr>
        <w:t>境质量标准</w:t>
      </w:r>
    </w:p>
    <w:p>
      <w:pPr>
        <w:pStyle w:val="7"/>
        <w:spacing w:before="160" w:line="364" w:lineRule="auto"/>
        <w:ind w:right="457" w:firstLine="480"/>
        <w:rPr>
          <w:color w:val="0000FF"/>
        </w:rPr>
      </w:pPr>
      <w:r>
        <w:rPr>
          <w:color w:val="0000FF"/>
          <w:spacing w:val="-8"/>
        </w:rPr>
        <w:t>项目所在区声环境执行《声环境质量标准》</w:t>
      </w:r>
      <w:r>
        <w:rPr>
          <w:color w:val="0000FF"/>
          <w:spacing w:val="-4"/>
        </w:rPr>
        <w:t>（</w:t>
      </w:r>
      <w:r>
        <w:rPr>
          <w:rFonts w:ascii="Times New Roman" w:eastAsia="Times New Roman"/>
          <w:color w:val="0000FF"/>
          <w:spacing w:val="-4"/>
        </w:rPr>
        <w:t>GB3096-2008</w:t>
      </w:r>
      <w:r>
        <w:rPr>
          <w:color w:val="0000FF"/>
          <w:spacing w:val="-4"/>
        </w:rPr>
        <w:t>）</w:t>
      </w:r>
      <w:r>
        <w:rPr>
          <w:color w:val="0000FF"/>
          <w:spacing w:val="-19"/>
        </w:rPr>
        <w:t>中的</w:t>
      </w:r>
      <w:r>
        <w:rPr>
          <w:rFonts w:ascii="Times New Roman" w:eastAsia="Times New Roman"/>
          <w:color w:val="0000FF"/>
        </w:rPr>
        <w:t>2</w:t>
      </w:r>
      <w:r>
        <w:rPr>
          <w:color w:val="0000FF"/>
          <w:spacing w:val="-4"/>
        </w:rPr>
        <w:t>类标准，</w:t>
      </w:r>
      <w:r>
        <w:rPr>
          <w:color w:val="0000FF"/>
          <w:spacing w:val="-7"/>
        </w:rPr>
        <w:t>具体标准限值见表</w:t>
      </w:r>
      <w:r>
        <w:rPr>
          <w:rFonts w:ascii="Times New Roman" w:eastAsia="Times New Roman"/>
          <w:color w:val="0000FF"/>
        </w:rPr>
        <w:t>2.4-3</w:t>
      </w:r>
      <w:r>
        <w:rPr>
          <w:color w:val="0000FF"/>
        </w:rPr>
        <w:t>。</w:t>
      </w:r>
    </w:p>
    <w:p>
      <w:pPr>
        <w:pStyle w:val="7"/>
        <w:bidi w:val="0"/>
        <w:jc w:val="center"/>
        <w:rPr>
          <w:b/>
          <w:bCs/>
        </w:rPr>
      </w:pPr>
      <w:r>
        <w:rPr>
          <w:b/>
          <w:bCs/>
        </w:rPr>
        <w:t>表2.4-3</w:t>
      </w:r>
      <w:r>
        <w:rPr>
          <w:b/>
          <w:bCs/>
        </w:rPr>
        <w:tab/>
      </w:r>
      <w:r>
        <w:rPr>
          <w:b/>
          <w:bCs/>
        </w:rPr>
        <w:t>声环境质量标准</w:t>
      </w:r>
      <w:r>
        <w:rPr>
          <w:b/>
          <w:bCs/>
        </w:rPr>
        <w:tab/>
      </w:r>
      <w:r>
        <w:rPr>
          <w:b/>
          <w:bCs/>
        </w:rPr>
        <w:t>单位：dB（A）</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4"/>
        <w:gridCol w:w="2084"/>
        <w:gridCol w:w="1295"/>
        <w:gridCol w:w="1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vMerge w:val="restart"/>
          </w:tcPr>
          <w:p>
            <w:pPr>
              <w:pStyle w:val="18"/>
              <w:spacing w:before="7"/>
              <w:jc w:val="left"/>
              <w:rPr>
                <w:b/>
                <w:color w:val="0000FF"/>
                <w:sz w:val="15"/>
              </w:rPr>
            </w:pPr>
          </w:p>
          <w:p>
            <w:pPr>
              <w:pStyle w:val="18"/>
              <w:spacing w:before="1"/>
              <w:ind w:left="1461" w:right="1449"/>
              <w:rPr>
                <w:b/>
                <w:color w:val="0000FF"/>
                <w:sz w:val="21"/>
              </w:rPr>
            </w:pPr>
            <w:r>
              <w:rPr>
                <w:b/>
                <w:color w:val="0000FF"/>
                <w:sz w:val="21"/>
              </w:rPr>
              <w:t>标准名称</w:t>
            </w:r>
          </w:p>
        </w:tc>
        <w:tc>
          <w:tcPr>
            <w:tcW w:w="2084" w:type="dxa"/>
            <w:vMerge w:val="restart"/>
          </w:tcPr>
          <w:p>
            <w:pPr>
              <w:pStyle w:val="18"/>
              <w:spacing w:before="7"/>
              <w:jc w:val="left"/>
              <w:rPr>
                <w:b/>
                <w:color w:val="0000FF"/>
                <w:sz w:val="15"/>
              </w:rPr>
            </w:pPr>
          </w:p>
          <w:p>
            <w:pPr>
              <w:pStyle w:val="18"/>
              <w:spacing w:before="1"/>
              <w:ind w:left="202"/>
              <w:jc w:val="left"/>
              <w:rPr>
                <w:b/>
                <w:color w:val="0000FF"/>
                <w:sz w:val="21"/>
              </w:rPr>
            </w:pPr>
            <w:r>
              <w:rPr>
                <w:b/>
                <w:color w:val="0000FF"/>
                <w:sz w:val="21"/>
              </w:rPr>
              <w:t>声环境功能区类别</w:t>
            </w:r>
          </w:p>
        </w:tc>
        <w:tc>
          <w:tcPr>
            <w:tcW w:w="2631" w:type="dxa"/>
            <w:gridSpan w:val="2"/>
          </w:tcPr>
          <w:p>
            <w:pPr>
              <w:pStyle w:val="18"/>
              <w:spacing w:before="29"/>
              <w:ind w:left="1083" w:right="1076"/>
              <w:rPr>
                <w:b/>
                <w:color w:val="0000FF"/>
                <w:sz w:val="21"/>
              </w:rPr>
            </w:pPr>
            <w:r>
              <w:rPr>
                <w:b/>
                <w:color w:val="0000FF"/>
                <w:sz w:val="21"/>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vMerge w:val="continue"/>
            <w:tcBorders>
              <w:top w:val="nil"/>
            </w:tcBorders>
          </w:tcPr>
          <w:p>
            <w:pPr>
              <w:rPr>
                <w:color w:val="0000FF"/>
                <w:sz w:val="2"/>
                <w:szCs w:val="2"/>
              </w:rPr>
            </w:pPr>
          </w:p>
        </w:tc>
        <w:tc>
          <w:tcPr>
            <w:tcW w:w="2084" w:type="dxa"/>
            <w:vMerge w:val="continue"/>
            <w:tcBorders>
              <w:top w:val="nil"/>
            </w:tcBorders>
          </w:tcPr>
          <w:p>
            <w:pPr>
              <w:rPr>
                <w:color w:val="0000FF"/>
                <w:sz w:val="2"/>
                <w:szCs w:val="2"/>
              </w:rPr>
            </w:pPr>
          </w:p>
        </w:tc>
        <w:tc>
          <w:tcPr>
            <w:tcW w:w="1295" w:type="dxa"/>
          </w:tcPr>
          <w:p>
            <w:pPr>
              <w:pStyle w:val="18"/>
              <w:spacing w:before="28"/>
              <w:ind w:left="416" w:right="407"/>
              <w:rPr>
                <w:b/>
                <w:color w:val="0000FF"/>
                <w:sz w:val="21"/>
              </w:rPr>
            </w:pPr>
            <w:r>
              <w:rPr>
                <w:b/>
                <w:color w:val="0000FF"/>
                <w:sz w:val="21"/>
              </w:rPr>
              <w:t>昼间</w:t>
            </w:r>
          </w:p>
        </w:tc>
        <w:tc>
          <w:tcPr>
            <w:tcW w:w="1336" w:type="dxa"/>
          </w:tcPr>
          <w:p>
            <w:pPr>
              <w:pStyle w:val="18"/>
              <w:spacing w:before="30"/>
              <w:ind w:left="331" w:right="323"/>
              <w:rPr>
                <w:b/>
                <w:color w:val="0000FF"/>
                <w:sz w:val="21"/>
              </w:rPr>
            </w:pPr>
            <w:r>
              <w:rPr>
                <w:b/>
                <w:color w:val="0000FF"/>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tcPr>
          <w:p>
            <w:pPr>
              <w:pStyle w:val="18"/>
              <w:spacing w:before="31"/>
              <w:ind w:left="147"/>
              <w:jc w:val="left"/>
              <w:rPr>
                <w:color w:val="0000FF"/>
                <w:sz w:val="21"/>
              </w:rPr>
            </w:pPr>
            <w:r>
              <w:rPr>
                <w:color w:val="0000FF"/>
                <w:sz w:val="21"/>
              </w:rPr>
              <w:t>《声环境质量标准》（</w:t>
            </w:r>
            <w:r>
              <w:rPr>
                <w:rFonts w:ascii="Times New Roman" w:eastAsia="Times New Roman"/>
                <w:color w:val="0000FF"/>
                <w:sz w:val="21"/>
              </w:rPr>
              <w:t>GB3096-2008</w:t>
            </w:r>
            <w:r>
              <w:rPr>
                <w:color w:val="0000FF"/>
                <w:sz w:val="21"/>
              </w:rPr>
              <w:t>）</w:t>
            </w:r>
          </w:p>
        </w:tc>
        <w:tc>
          <w:tcPr>
            <w:tcW w:w="2084" w:type="dxa"/>
          </w:tcPr>
          <w:p>
            <w:pPr>
              <w:pStyle w:val="18"/>
              <w:spacing w:before="31"/>
              <w:ind w:left="836" w:right="830"/>
              <w:rPr>
                <w:color w:val="0000FF"/>
                <w:sz w:val="21"/>
              </w:rPr>
            </w:pPr>
            <w:r>
              <w:rPr>
                <w:rFonts w:ascii="Times New Roman" w:eastAsia="Times New Roman"/>
                <w:color w:val="0000FF"/>
                <w:sz w:val="21"/>
              </w:rPr>
              <w:t>2</w:t>
            </w:r>
            <w:r>
              <w:rPr>
                <w:color w:val="0000FF"/>
                <w:sz w:val="21"/>
              </w:rPr>
              <w:t>类</w:t>
            </w:r>
          </w:p>
        </w:tc>
        <w:tc>
          <w:tcPr>
            <w:tcW w:w="1295" w:type="dxa"/>
          </w:tcPr>
          <w:p>
            <w:pPr>
              <w:pStyle w:val="18"/>
              <w:spacing w:before="45"/>
              <w:ind w:left="416" w:right="406"/>
              <w:rPr>
                <w:rFonts w:ascii="Times New Roman"/>
                <w:color w:val="0000FF"/>
                <w:sz w:val="21"/>
              </w:rPr>
            </w:pPr>
            <w:r>
              <w:rPr>
                <w:rFonts w:ascii="Times New Roman"/>
                <w:color w:val="0000FF"/>
                <w:sz w:val="21"/>
              </w:rPr>
              <w:t>60</w:t>
            </w:r>
          </w:p>
        </w:tc>
        <w:tc>
          <w:tcPr>
            <w:tcW w:w="1336" w:type="dxa"/>
          </w:tcPr>
          <w:p>
            <w:pPr>
              <w:pStyle w:val="18"/>
              <w:spacing w:before="45"/>
              <w:ind w:left="332" w:right="322"/>
              <w:rPr>
                <w:rFonts w:ascii="Times New Roman"/>
                <w:color w:val="0000FF"/>
                <w:sz w:val="21"/>
              </w:rPr>
            </w:pPr>
            <w:r>
              <w:rPr>
                <w:rFonts w:ascii="Times New Roman"/>
                <w:color w:val="0000FF"/>
                <w:sz w:val="21"/>
              </w:rPr>
              <w:t>50</w:t>
            </w:r>
          </w:p>
        </w:tc>
      </w:tr>
    </w:tbl>
    <w:p>
      <w:pPr>
        <w:pStyle w:val="7"/>
        <w:spacing w:before="6"/>
        <w:ind w:left="0"/>
        <w:rPr>
          <w:b/>
          <w:color w:val="0000FF"/>
          <w:sz w:val="18"/>
        </w:rPr>
      </w:pPr>
    </w:p>
    <w:p>
      <w:pPr>
        <w:pStyle w:val="17"/>
        <w:numPr>
          <w:ilvl w:val="4"/>
          <w:numId w:val="12"/>
        </w:numPr>
        <w:tabs>
          <w:tab w:val="left" w:pos="1621"/>
        </w:tabs>
        <w:spacing w:before="0" w:after="0" w:line="240" w:lineRule="auto"/>
        <w:ind w:left="1621" w:leftChars="0" w:right="0" w:rightChars="0" w:hanging="601" w:firstLineChars="0"/>
        <w:jc w:val="left"/>
        <w:rPr>
          <w:color w:val="0000FF"/>
          <w:sz w:val="24"/>
        </w:rPr>
      </w:pPr>
      <w:r>
        <w:rPr>
          <w:color w:val="0000FF"/>
          <w:sz w:val="24"/>
        </w:rPr>
        <w:t>土壤环境质量标准</w:t>
      </w:r>
    </w:p>
    <w:p>
      <w:pPr>
        <w:pStyle w:val="7"/>
        <w:spacing w:before="161" w:line="364" w:lineRule="auto"/>
        <w:ind w:right="577" w:firstLine="480"/>
        <w:jc w:val="both"/>
        <w:rPr>
          <w:color w:val="0000FF"/>
        </w:rPr>
      </w:pPr>
      <w:r>
        <w:rPr>
          <w:color w:val="0000FF"/>
          <w:spacing w:val="-20"/>
        </w:rPr>
        <w:t>根据</w:t>
      </w:r>
      <w:r>
        <w:rPr>
          <w:rFonts w:ascii="Times New Roman" w:hAnsi="Times New Roman" w:eastAsia="Times New Roman"/>
          <w:color w:val="0000FF"/>
        </w:rPr>
        <w:t>2019</w:t>
      </w:r>
      <w:r>
        <w:rPr>
          <w:color w:val="0000FF"/>
          <w:spacing w:val="-30"/>
        </w:rPr>
        <w:t>年</w:t>
      </w:r>
      <w:r>
        <w:rPr>
          <w:rFonts w:ascii="Times New Roman" w:hAnsi="Times New Roman" w:eastAsia="Times New Roman"/>
          <w:color w:val="0000FF"/>
        </w:rPr>
        <w:t>4</w:t>
      </w:r>
      <w:r>
        <w:rPr>
          <w:color w:val="0000FF"/>
          <w:spacing w:val="-30"/>
        </w:rPr>
        <w:t>月</w:t>
      </w:r>
      <w:r>
        <w:rPr>
          <w:rFonts w:ascii="Times New Roman" w:hAnsi="Times New Roman" w:eastAsia="Times New Roman"/>
          <w:color w:val="0000FF"/>
        </w:rPr>
        <w:t>22</w:t>
      </w:r>
      <w:r>
        <w:rPr>
          <w:color w:val="0000FF"/>
          <w:spacing w:val="-10"/>
        </w:rPr>
        <w:t>日的生态环境部部长信箱“关于林地和未利用地土壤如</w:t>
      </w:r>
      <w:r>
        <w:rPr>
          <w:color w:val="0000FF"/>
          <w:spacing w:val="-1"/>
        </w:rPr>
        <w:t>何选用评价标准问题的回复”，《土壤环境质量农用地土壤污染风险管控标准</w:t>
      </w:r>
    </w:p>
    <w:p>
      <w:pPr>
        <w:pStyle w:val="7"/>
        <w:spacing w:before="1" w:line="364" w:lineRule="auto"/>
        <w:ind w:right="570"/>
        <w:jc w:val="both"/>
        <w:rPr>
          <w:color w:val="0000FF"/>
        </w:rPr>
      </w:pPr>
      <w:r>
        <w:rPr>
          <w:color w:val="0000FF"/>
        </w:rPr>
        <w:t>（</w:t>
      </w:r>
      <w:r>
        <w:rPr>
          <w:color w:val="0000FF"/>
          <w:spacing w:val="2"/>
        </w:rPr>
        <w:t>试行</w:t>
      </w:r>
      <w:r>
        <w:rPr>
          <w:color w:val="0000FF"/>
          <w:spacing w:val="4"/>
        </w:rPr>
        <w:t>）</w:t>
      </w:r>
      <w:r>
        <w:rPr>
          <w:color w:val="0000FF"/>
        </w:rPr>
        <w:t>》（</w:t>
      </w:r>
      <w:r>
        <w:rPr>
          <w:rFonts w:ascii="Times New Roman" w:hAnsi="Times New Roman" w:eastAsia="Times New Roman"/>
          <w:color w:val="0000FF"/>
        </w:rPr>
        <w:t>GB15618-2018</w:t>
      </w:r>
      <w:r>
        <w:rPr>
          <w:color w:val="0000FF"/>
        </w:rPr>
        <w:t>）保护目标主要是食用农产品质量安全，因此，适</w:t>
      </w:r>
      <w:r>
        <w:rPr>
          <w:color w:val="0000FF"/>
          <w:spacing w:val="-8"/>
        </w:rPr>
        <w:t>用范围主要是耕地，以及园地、牧草地。《中华人民共和国土壤污染防治法》第</w:t>
      </w:r>
      <w:r>
        <w:rPr>
          <w:color w:val="0000FF"/>
          <w:spacing w:val="-14"/>
        </w:rPr>
        <w:t>三十一条第四款规定，“对未利用地应当予以保护，不得污染和破坏”。林地和</w:t>
      </w:r>
      <w:r>
        <w:rPr>
          <w:color w:val="0000FF"/>
          <w:spacing w:val="-17"/>
        </w:rPr>
        <w:t>未利用地土壤如何选用评价标准，应当依据其保护目标确定。比如，为保障食用</w:t>
      </w:r>
      <w:r>
        <w:rPr>
          <w:color w:val="0000FF"/>
          <w:spacing w:val="-10"/>
        </w:rPr>
        <w:t>林产品安全，可适用《食用林产品产地环境通用要求》</w:t>
      </w:r>
      <w:r>
        <w:rPr>
          <w:color w:val="0000FF"/>
          <w:spacing w:val="-5"/>
        </w:rPr>
        <w:t>（</w:t>
      </w:r>
      <w:r>
        <w:rPr>
          <w:rFonts w:ascii="Times New Roman" w:hAnsi="Times New Roman" w:eastAsia="Times New Roman"/>
          <w:color w:val="0000FF"/>
          <w:spacing w:val="-5"/>
        </w:rPr>
        <w:t>LY/T</w:t>
      </w:r>
      <w:r>
        <w:rPr>
          <w:rFonts w:ascii="Times New Roman" w:hAnsi="Times New Roman" w:eastAsia="Times New Roman"/>
          <w:color w:val="0000FF"/>
          <w:spacing w:val="-6"/>
        </w:rPr>
        <w:t xml:space="preserve"> </w:t>
      </w:r>
      <w:r>
        <w:rPr>
          <w:rFonts w:ascii="Times New Roman" w:hAnsi="Times New Roman" w:eastAsia="Times New Roman"/>
          <w:color w:val="0000FF"/>
        </w:rPr>
        <w:t>1678-2014</w:t>
      </w:r>
      <w:r>
        <w:rPr>
          <w:color w:val="0000FF"/>
        </w:rPr>
        <w:t>）；</w:t>
      </w:r>
      <w:r>
        <w:rPr>
          <w:color w:val="0000FF"/>
          <w:spacing w:val="-13"/>
        </w:rPr>
        <w:t>未</w:t>
      </w:r>
      <w:r>
        <w:rPr>
          <w:color w:val="0000FF"/>
        </w:rPr>
        <w:t>利用地可以按照未来拟利用方式及保护目标选择相应评价标准。</w:t>
      </w:r>
    </w:p>
    <w:p>
      <w:pPr>
        <w:pStyle w:val="7"/>
        <w:spacing w:before="4" w:line="364" w:lineRule="auto"/>
        <w:ind w:right="575" w:firstLine="480"/>
        <w:jc w:val="both"/>
        <w:rPr>
          <w:color w:val="0000FF"/>
        </w:rPr>
      </w:pPr>
      <w:r>
        <w:rPr>
          <w:color w:val="0000FF"/>
          <w:spacing w:val="-7"/>
        </w:rPr>
        <w:t>本项目为畜禽规模化养殖项目，占地属设施农用地，不适用于《土壤环境质</w:t>
      </w:r>
      <w:r>
        <w:rPr>
          <w:color w:val="0000FF"/>
          <w:spacing w:val="-3"/>
        </w:rPr>
        <w:t>量农用地土壤污染风险管控标准</w:t>
      </w:r>
      <w:r>
        <w:rPr>
          <w:color w:val="0000FF"/>
        </w:rPr>
        <w:t>（试行</w:t>
      </w:r>
      <w:r>
        <w:rPr>
          <w:color w:val="0000FF"/>
          <w:spacing w:val="-5"/>
        </w:rPr>
        <w:t>）</w:t>
      </w:r>
      <w:r>
        <w:rPr>
          <w:color w:val="0000FF"/>
          <w:spacing w:val="-8"/>
        </w:rPr>
        <w:t>》</w:t>
      </w:r>
      <w:r>
        <w:rPr>
          <w:color w:val="0000FF"/>
        </w:rPr>
        <w:t>（</w:t>
      </w:r>
      <w:r>
        <w:rPr>
          <w:rFonts w:ascii="Times New Roman" w:eastAsia="Times New Roman"/>
          <w:color w:val="0000FF"/>
        </w:rPr>
        <w:t>GB15618-2018</w:t>
      </w:r>
      <w:r>
        <w:rPr>
          <w:color w:val="0000FF"/>
        </w:rPr>
        <w:t>）</w:t>
      </w:r>
      <w:r>
        <w:rPr>
          <w:color w:val="0000FF"/>
          <w:spacing w:val="-5"/>
        </w:rPr>
        <w:t>标准，同时，根</w:t>
      </w:r>
      <w:r>
        <w:rPr>
          <w:color w:val="0000FF"/>
          <w:spacing w:val="-8"/>
        </w:rPr>
        <w:t>据建设用地分类标准，设施农用地不属于建设用地，也不适用于《土壤环境质量</w:t>
      </w:r>
      <w:r>
        <w:rPr>
          <w:color w:val="0000FF"/>
        </w:rPr>
        <w:t>建设用地土壤污染风险管控标准（试行）》（</w:t>
      </w:r>
      <w:r>
        <w:rPr>
          <w:rFonts w:ascii="Times New Roman" w:eastAsia="Times New Roman"/>
          <w:color w:val="0000FF"/>
        </w:rPr>
        <w:t>GB36600-2018</w:t>
      </w:r>
      <w:r>
        <w:rPr>
          <w:color w:val="0000FF"/>
        </w:rPr>
        <w:t>）。</w:t>
      </w:r>
    </w:p>
    <w:p>
      <w:pPr>
        <w:pStyle w:val="7"/>
        <w:spacing w:before="2" w:line="364" w:lineRule="auto"/>
        <w:ind w:right="452" w:firstLine="480"/>
        <w:jc w:val="both"/>
        <w:rPr>
          <w:color w:val="0000FF"/>
        </w:rPr>
      </w:pPr>
      <w:r>
        <w:rPr>
          <w:color w:val="0000FF"/>
          <w:spacing w:val="-16"/>
        </w:rPr>
        <w:t>因此，本项目的土壤质量执行《畜禽养殖产地环境评价规范》</w:t>
      </w:r>
      <w:r>
        <w:rPr>
          <w:color w:val="0000FF"/>
          <w:spacing w:val="-2"/>
        </w:rPr>
        <w:t>（</w:t>
      </w:r>
      <w:r>
        <w:rPr>
          <w:rFonts w:ascii="Times New Roman" w:eastAsia="Times New Roman"/>
          <w:color w:val="0000FF"/>
          <w:spacing w:val="-2"/>
        </w:rPr>
        <w:t>HJ568-2010</w:t>
      </w:r>
      <w:r>
        <w:rPr>
          <w:color w:val="0000FF"/>
          <w:spacing w:val="-2"/>
        </w:rPr>
        <w:t>）</w:t>
      </w:r>
      <w:r>
        <w:rPr>
          <w:color w:val="0000FF"/>
          <w:spacing w:val="-16"/>
        </w:rPr>
        <w:t>中的表</w:t>
      </w:r>
      <w:r>
        <w:rPr>
          <w:rFonts w:ascii="Times New Roman" w:eastAsia="Times New Roman"/>
          <w:color w:val="0000FF"/>
        </w:rPr>
        <w:t>4</w:t>
      </w:r>
      <w:r>
        <w:rPr>
          <w:color w:val="0000FF"/>
          <w:spacing w:val="-3"/>
        </w:rPr>
        <w:t>养殖场土壤环境质量评价指标限值，详见表</w:t>
      </w:r>
      <w:r>
        <w:rPr>
          <w:rFonts w:ascii="Times New Roman" w:eastAsia="Times New Roman"/>
          <w:color w:val="0000FF"/>
        </w:rPr>
        <w:t>2.4-4</w:t>
      </w:r>
      <w:r>
        <w:rPr>
          <w:color w:val="0000FF"/>
        </w:rPr>
        <w:t>。</w:t>
      </w:r>
    </w:p>
    <w:p>
      <w:pPr>
        <w:pStyle w:val="7"/>
        <w:bidi w:val="0"/>
        <w:jc w:val="center"/>
        <w:rPr>
          <w:b/>
          <w:bCs/>
        </w:rPr>
      </w:pPr>
      <w:r>
        <w:rPr>
          <w:b/>
          <w:bCs/>
        </w:rPr>
        <w:t>表2.4-4</w:t>
      </w:r>
      <w:r>
        <w:rPr>
          <w:b/>
          <w:bCs/>
        </w:rPr>
        <w:tab/>
      </w:r>
      <w:r>
        <w:rPr>
          <w:b/>
          <w:bCs/>
        </w:rPr>
        <w:t>养殖场土壤环境质量标准</w:t>
      </w:r>
    </w:p>
    <w:tbl>
      <w:tblPr>
        <w:tblStyle w:val="14"/>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7"/>
        <w:gridCol w:w="2605"/>
        <w:gridCol w:w="2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tcPr>
          <w:p>
            <w:pPr>
              <w:pStyle w:val="18"/>
              <w:spacing w:before="34"/>
              <w:ind w:left="79" w:right="67"/>
              <w:rPr>
                <w:b/>
                <w:color w:val="0000FF"/>
                <w:sz w:val="21"/>
              </w:rPr>
            </w:pPr>
            <w:r>
              <w:rPr>
                <w:b/>
                <w:color w:val="0000FF"/>
                <w:sz w:val="21"/>
              </w:rPr>
              <w:t>标准名称</w:t>
            </w:r>
          </w:p>
        </w:tc>
        <w:tc>
          <w:tcPr>
            <w:tcW w:w="2605" w:type="dxa"/>
          </w:tcPr>
          <w:p>
            <w:pPr>
              <w:pStyle w:val="18"/>
              <w:spacing w:before="34"/>
              <w:ind w:left="853" w:right="839"/>
              <w:rPr>
                <w:b/>
                <w:color w:val="0000FF"/>
                <w:sz w:val="21"/>
              </w:rPr>
            </w:pPr>
            <w:r>
              <w:rPr>
                <w:b/>
                <w:color w:val="0000FF"/>
                <w:sz w:val="21"/>
              </w:rPr>
              <w:t>评价因子</w:t>
            </w:r>
          </w:p>
        </w:tc>
        <w:tc>
          <w:tcPr>
            <w:tcW w:w="2807" w:type="dxa"/>
          </w:tcPr>
          <w:p>
            <w:pPr>
              <w:pStyle w:val="18"/>
              <w:spacing w:before="34"/>
              <w:ind w:left="462" w:right="450"/>
              <w:rPr>
                <w:b/>
                <w:color w:val="0000FF"/>
                <w:sz w:val="21"/>
              </w:rPr>
            </w:pPr>
            <w:r>
              <w:rPr>
                <w:b/>
                <w:color w:val="0000FF"/>
                <w:sz w:val="21"/>
              </w:rPr>
              <w:t>标准限值（</w:t>
            </w:r>
            <w:r>
              <w:rPr>
                <w:rFonts w:ascii="Times New Roman" w:eastAsia="Times New Roman"/>
                <w:b/>
                <w:color w:val="0000FF"/>
                <w:sz w:val="21"/>
              </w:rPr>
              <w:t>mg/kg</w:t>
            </w:r>
            <w:r>
              <w:rPr>
                <w:b/>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vMerge w:val="restart"/>
          </w:tcPr>
          <w:p>
            <w:pPr>
              <w:pStyle w:val="18"/>
              <w:jc w:val="left"/>
              <w:rPr>
                <w:b/>
                <w:color w:val="0000FF"/>
                <w:sz w:val="20"/>
              </w:rPr>
            </w:pPr>
          </w:p>
          <w:p>
            <w:pPr>
              <w:pStyle w:val="18"/>
              <w:jc w:val="left"/>
              <w:rPr>
                <w:b/>
                <w:color w:val="0000FF"/>
                <w:sz w:val="20"/>
              </w:rPr>
            </w:pPr>
          </w:p>
          <w:p>
            <w:pPr>
              <w:pStyle w:val="18"/>
              <w:spacing w:before="11"/>
              <w:jc w:val="left"/>
              <w:rPr>
                <w:b/>
                <w:color w:val="0000FF"/>
                <w:sz w:val="18"/>
              </w:rPr>
            </w:pPr>
          </w:p>
          <w:p>
            <w:pPr>
              <w:pStyle w:val="18"/>
              <w:ind w:left="87" w:right="67"/>
              <w:rPr>
                <w:color w:val="0000FF"/>
                <w:sz w:val="21"/>
              </w:rPr>
            </w:pPr>
            <w:r>
              <w:rPr>
                <w:color w:val="0000FF"/>
                <w:sz w:val="21"/>
              </w:rPr>
              <w:t>《畜禽养殖产地环境评价规范》</w:t>
            </w:r>
          </w:p>
          <w:p>
            <w:pPr>
              <w:pStyle w:val="18"/>
              <w:spacing w:before="43"/>
              <w:ind w:left="75" w:right="67"/>
              <w:rPr>
                <w:color w:val="0000FF"/>
                <w:sz w:val="21"/>
              </w:rPr>
            </w:pPr>
            <w:r>
              <w:rPr>
                <w:color w:val="0000FF"/>
                <w:sz w:val="21"/>
              </w:rPr>
              <w:t>（</w:t>
            </w:r>
            <w:r>
              <w:rPr>
                <w:rFonts w:ascii="Times New Roman" w:eastAsia="Times New Roman"/>
                <w:color w:val="0000FF"/>
                <w:sz w:val="21"/>
              </w:rPr>
              <w:t>HJ568-2010</w:t>
            </w:r>
            <w:r>
              <w:rPr>
                <w:color w:val="0000FF"/>
                <w:sz w:val="21"/>
              </w:rPr>
              <w:t>）</w:t>
            </w:r>
          </w:p>
        </w:tc>
        <w:tc>
          <w:tcPr>
            <w:tcW w:w="2605" w:type="dxa"/>
          </w:tcPr>
          <w:p>
            <w:pPr>
              <w:pStyle w:val="18"/>
              <w:spacing w:before="34"/>
              <w:ind w:left="9"/>
              <w:rPr>
                <w:color w:val="0000FF"/>
                <w:sz w:val="21"/>
              </w:rPr>
            </w:pPr>
            <w:r>
              <w:rPr>
                <w:color w:val="0000FF"/>
                <w:w w:val="99"/>
                <w:sz w:val="21"/>
              </w:rPr>
              <w:t>镉</w:t>
            </w:r>
          </w:p>
        </w:tc>
        <w:tc>
          <w:tcPr>
            <w:tcW w:w="2807" w:type="dxa"/>
          </w:tcPr>
          <w:p>
            <w:pPr>
              <w:pStyle w:val="18"/>
              <w:spacing w:before="48"/>
              <w:ind w:left="458" w:right="450"/>
              <w:rPr>
                <w:rFonts w:ascii="Times New Roman"/>
                <w:color w:val="0000FF"/>
                <w:sz w:val="21"/>
              </w:rPr>
            </w:pPr>
            <w:r>
              <w:rPr>
                <w:rFonts w:ascii="Times New Roman"/>
                <w:color w:val="0000FF"/>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vMerge w:val="continue"/>
          </w:tcPr>
          <w:p>
            <w:pPr>
              <w:rPr>
                <w:color w:val="0000FF"/>
                <w:sz w:val="2"/>
                <w:szCs w:val="2"/>
              </w:rPr>
            </w:pPr>
          </w:p>
        </w:tc>
        <w:tc>
          <w:tcPr>
            <w:tcW w:w="2605" w:type="dxa"/>
          </w:tcPr>
          <w:p>
            <w:pPr>
              <w:pStyle w:val="18"/>
              <w:spacing w:before="34"/>
              <w:ind w:left="9"/>
              <w:rPr>
                <w:color w:val="0000FF"/>
                <w:sz w:val="21"/>
              </w:rPr>
            </w:pPr>
            <w:r>
              <w:rPr>
                <w:color w:val="0000FF"/>
                <w:w w:val="99"/>
                <w:sz w:val="21"/>
              </w:rPr>
              <w:t>汞</w:t>
            </w:r>
          </w:p>
        </w:tc>
        <w:tc>
          <w:tcPr>
            <w:tcW w:w="2807" w:type="dxa"/>
          </w:tcPr>
          <w:p>
            <w:pPr>
              <w:pStyle w:val="18"/>
              <w:spacing w:before="48"/>
              <w:ind w:left="458" w:right="450"/>
              <w:rPr>
                <w:rFonts w:ascii="Times New Roman"/>
                <w:color w:val="0000FF"/>
                <w:sz w:val="21"/>
              </w:rPr>
            </w:pPr>
            <w:r>
              <w:rPr>
                <w:rFonts w:ascii="Times New Roman"/>
                <w:color w:val="0000FF"/>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vMerge w:val="continue"/>
          </w:tcPr>
          <w:p>
            <w:pPr>
              <w:rPr>
                <w:color w:val="0000FF"/>
                <w:sz w:val="2"/>
                <w:szCs w:val="2"/>
              </w:rPr>
            </w:pPr>
          </w:p>
        </w:tc>
        <w:tc>
          <w:tcPr>
            <w:tcW w:w="2605" w:type="dxa"/>
          </w:tcPr>
          <w:p>
            <w:pPr>
              <w:pStyle w:val="18"/>
              <w:spacing w:before="35"/>
              <w:ind w:left="9"/>
              <w:rPr>
                <w:color w:val="0000FF"/>
                <w:sz w:val="21"/>
              </w:rPr>
            </w:pPr>
            <w:r>
              <w:rPr>
                <w:color w:val="0000FF"/>
                <w:w w:val="99"/>
                <w:sz w:val="21"/>
              </w:rPr>
              <w:t>砷</w:t>
            </w:r>
          </w:p>
        </w:tc>
        <w:tc>
          <w:tcPr>
            <w:tcW w:w="2807" w:type="dxa"/>
          </w:tcPr>
          <w:p>
            <w:pPr>
              <w:pStyle w:val="18"/>
              <w:spacing w:before="49"/>
              <w:ind w:left="458" w:right="450"/>
              <w:rPr>
                <w:rFonts w:ascii="Times New Roman"/>
                <w:color w:val="0000FF"/>
                <w:sz w:val="21"/>
              </w:rPr>
            </w:pPr>
            <w:r>
              <w:rPr>
                <w:rFonts w:ascii="Times New Roman"/>
                <w:color w:val="0000FF"/>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vMerge w:val="continue"/>
          </w:tcPr>
          <w:p>
            <w:pPr>
              <w:rPr>
                <w:color w:val="0000FF"/>
                <w:sz w:val="2"/>
                <w:szCs w:val="2"/>
              </w:rPr>
            </w:pPr>
          </w:p>
        </w:tc>
        <w:tc>
          <w:tcPr>
            <w:tcW w:w="2605" w:type="dxa"/>
          </w:tcPr>
          <w:p>
            <w:pPr>
              <w:pStyle w:val="18"/>
              <w:spacing w:before="35"/>
              <w:ind w:left="9"/>
              <w:rPr>
                <w:color w:val="0000FF"/>
                <w:sz w:val="21"/>
              </w:rPr>
            </w:pPr>
            <w:r>
              <w:rPr>
                <w:color w:val="0000FF"/>
                <w:w w:val="99"/>
                <w:sz w:val="21"/>
              </w:rPr>
              <w:t>铅</w:t>
            </w:r>
          </w:p>
        </w:tc>
        <w:tc>
          <w:tcPr>
            <w:tcW w:w="2807" w:type="dxa"/>
          </w:tcPr>
          <w:p>
            <w:pPr>
              <w:pStyle w:val="18"/>
              <w:spacing w:before="49"/>
              <w:ind w:left="458" w:right="450"/>
              <w:rPr>
                <w:rFonts w:ascii="Times New Roman"/>
                <w:color w:val="0000FF"/>
                <w:sz w:val="21"/>
              </w:rPr>
            </w:pPr>
            <w:r>
              <w:rPr>
                <w:rFonts w:ascii="Times New Roman"/>
                <w:color w:val="0000FF"/>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67" w:type="dxa"/>
            <w:vMerge w:val="continue"/>
          </w:tcPr>
          <w:p>
            <w:pPr>
              <w:rPr>
                <w:color w:val="0000FF"/>
                <w:sz w:val="2"/>
                <w:szCs w:val="2"/>
              </w:rPr>
            </w:pPr>
          </w:p>
        </w:tc>
        <w:tc>
          <w:tcPr>
            <w:tcW w:w="2605" w:type="dxa"/>
          </w:tcPr>
          <w:p>
            <w:pPr>
              <w:pStyle w:val="18"/>
              <w:spacing w:before="36"/>
              <w:ind w:left="9"/>
              <w:rPr>
                <w:color w:val="0000FF"/>
                <w:sz w:val="21"/>
              </w:rPr>
            </w:pPr>
            <w:r>
              <w:rPr>
                <w:color w:val="0000FF"/>
                <w:w w:val="99"/>
                <w:sz w:val="21"/>
              </w:rPr>
              <w:t>铬</w:t>
            </w:r>
          </w:p>
        </w:tc>
        <w:tc>
          <w:tcPr>
            <w:tcW w:w="2807" w:type="dxa"/>
          </w:tcPr>
          <w:p>
            <w:pPr>
              <w:pStyle w:val="18"/>
              <w:spacing w:before="50"/>
              <w:ind w:left="458" w:right="450"/>
              <w:rPr>
                <w:rFonts w:ascii="Times New Roman"/>
                <w:color w:val="0000FF"/>
                <w:sz w:val="21"/>
              </w:rPr>
            </w:pPr>
            <w:r>
              <w:rPr>
                <w:rFonts w:ascii="Times New Roman"/>
                <w:color w:val="0000FF"/>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167" w:type="dxa"/>
            <w:vMerge w:val="continue"/>
          </w:tcPr>
          <w:p>
            <w:pPr>
              <w:rPr>
                <w:color w:val="0000FF"/>
                <w:sz w:val="2"/>
                <w:szCs w:val="2"/>
              </w:rPr>
            </w:pPr>
          </w:p>
        </w:tc>
        <w:tc>
          <w:tcPr>
            <w:tcW w:w="2605" w:type="dxa"/>
          </w:tcPr>
          <w:p>
            <w:pPr>
              <w:pStyle w:val="18"/>
              <w:spacing w:before="34"/>
              <w:ind w:left="9"/>
              <w:rPr>
                <w:color w:val="0000FF"/>
                <w:sz w:val="21"/>
              </w:rPr>
            </w:pPr>
            <w:r>
              <w:rPr>
                <w:color w:val="0000FF"/>
                <w:w w:val="99"/>
                <w:sz w:val="21"/>
              </w:rPr>
              <w:t>铜</w:t>
            </w:r>
          </w:p>
        </w:tc>
        <w:tc>
          <w:tcPr>
            <w:tcW w:w="2807" w:type="dxa"/>
          </w:tcPr>
          <w:p>
            <w:pPr>
              <w:pStyle w:val="18"/>
              <w:spacing w:before="48"/>
              <w:ind w:left="458" w:right="450"/>
              <w:rPr>
                <w:rFonts w:ascii="Times New Roman"/>
                <w:color w:val="0000FF"/>
                <w:sz w:val="21"/>
              </w:rPr>
            </w:pPr>
            <w:r>
              <w:rPr>
                <w:rFonts w:ascii="Times New Roman"/>
                <w:color w:val="0000FF"/>
                <w:sz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167" w:type="dxa"/>
            <w:vMerge w:val="continue"/>
          </w:tcPr>
          <w:p>
            <w:pPr>
              <w:rPr>
                <w:color w:val="0000FF"/>
                <w:sz w:val="2"/>
                <w:szCs w:val="2"/>
              </w:rPr>
            </w:pPr>
          </w:p>
        </w:tc>
        <w:tc>
          <w:tcPr>
            <w:tcW w:w="2605" w:type="dxa"/>
          </w:tcPr>
          <w:p>
            <w:pPr>
              <w:spacing w:before="36"/>
              <w:ind w:left="0" w:right="0" w:firstLine="0"/>
              <w:jc w:val="center"/>
              <w:rPr>
                <w:sz w:val="21"/>
              </w:rPr>
            </w:pPr>
            <w:r>
              <w:rPr>
                <w:w w:val="99"/>
                <w:sz w:val="21"/>
              </w:rPr>
              <w:t>锌</w:t>
            </w:r>
          </w:p>
          <w:p>
            <w:pPr>
              <w:pStyle w:val="18"/>
              <w:spacing w:before="34"/>
              <w:ind w:left="9"/>
              <w:rPr>
                <w:color w:val="0000FF"/>
                <w:w w:val="99"/>
                <w:sz w:val="21"/>
              </w:rPr>
            </w:pPr>
          </w:p>
        </w:tc>
        <w:tc>
          <w:tcPr>
            <w:tcW w:w="2807" w:type="dxa"/>
          </w:tcPr>
          <w:p>
            <w:pPr>
              <w:spacing w:before="50"/>
              <w:ind w:left="1211" w:right="1211" w:firstLine="0"/>
              <w:jc w:val="center"/>
              <w:rPr>
                <w:rFonts w:ascii="Times New Roman"/>
                <w:sz w:val="21"/>
              </w:rPr>
            </w:pPr>
            <w:r>
              <w:rPr>
                <w:rFonts w:ascii="Times New Roman"/>
                <w:sz w:val="21"/>
              </w:rPr>
              <w:t>500</w:t>
            </w:r>
          </w:p>
          <w:p>
            <w:pPr>
              <w:pStyle w:val="18"/>
              <w:spacing w:before="48"/>
              <w:ind w:left="458" w:right="450"/>
              <w:rPr>
                <w:rFonts w:ascii="Times New Roman"/>
                <w:color w:val="0000FF"/>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167" w:type="dxa"/>
            <w:vMerge w:val="continue"/>
          </w:tcPr>
          <w:p>
            <w:pPr>
              <w:rPr>
                <w:color w:val="0000FF"/>
                <w:sz w:val="2"/>
                <w:szCs w:val="2"/>
              </w:rPr>
            </w:pPr>
          </w:p>
        </w:tc>
        <w:tc>
          <w:tcPr>
            <w:tcW w:w="2605" w:type="dxa"/>
          </w:tcPr>
          <w:p>
            <w:pPr>
              <w:spacing w:before="35"/>
              <w:ind w:left="0" w:right="0" w:firstLine="0"/>
              <w:jc w:val="center"/>
              <w:rPr>
                <w:sz w:val="21"/>
              </w:rPr>
            </w:pPr>
            <w:r>
              <w:rPr>
                <w:w w:val="99"/>
                <w:sz w:val="21"/>
              </w:rPr>
              <w:t>镍</w:t>
            </w:r>
          </w:p>
          <w:p>
            <w:pPr>
              <w:pStyle w:val="18"/>
              <w:spacing w:before="34"/>
              <w:ind w:left="9"/>
              <w:rPr>
                <w:color w:val="0000FF"/>
                <w:w w:val="99"/>
                <w:sz w:val="21"/>
              </w:rPr>
            </w:pPr>
          </w:p>
        </w:tc>
        <w:tc>
          <w:tcPr>
            <w:tcW w:w="2807" w:type="dxa"/>
          </w:tcPr>
          <w:p>
            <w:pPr>
              <w:spacing w:before="49"/>
              <w:ind w:left="1211" w:right="1211" w:firstLine="0"/>
              <w:jc w:val="center"/>
              <w:rPr>
                <w:rFonts w:ascii="Times New Roman"/>
                <w:sz w:val="21"/>
              </w:rPr>
            </w:pPr>
            <w:r>
              <w:rPr>
                <w:rFonts w:ascii="Times New Roman"/>
                <w:sz w:val="21"/>
              </w:rPr>
              <w:t>200</w:t>
            </w:r>
          </w:p>
          <w:p>
            <w:pPr>
              <w:pStyle w:val="18"/>
              <w:spacing w:before="48"/>
              <w:ind w:left="458" w:right="450"/>
              <w:rPr>
                <w:rFonts w:ascii="Times New Roman"/>
                <w:color w:val="0000FF"/>
                <w:sz w:val="21"/>
              </w:rPr>
            </w:pPr>
          </w:p>
        </w:tc>
      </w:tr>
    </w:tbl>
    <w:p>
      <w:pPr>
        <w:pStyle w:val="7"/>
        <w:spacing w:before="6"/>
        <w:ind w:left="0"/>
        <w:rPr>
          <w:b/>
          <w:sz w:val="4"/>
        </w:rPr>
      </w:pPr>
    </w:p>
    <w:p>
      <w:pPr>
        <w:pStyle w:val="7"/>
        <w:ind w:left="424"/>
        <w:rPr>
          <w:sz w:val="20"/>
        </w:rPr>
      </w:pPr>
    </w:p>
    <w:p>
      <w:pPr>
        <w:pStyle w:val="7"/>
        <w:spacing w:before="12"/>
        <w:ind w:left="0"/>
        <w:rPr>
          <w:b/>
          <w:sz w:val="10"/>
        </w:rPr>
      </w:pPr>
    </w:p>
    <w:p>
      <w:pPr>
        <w:pStyle w:val="5"/>
        <w:bidi w:val="0"/>
      </w:pPr>
      <w:bookmarkStart w:id="72" w:name="2.4.2.2 污染物排放标准"/>
      <w:bookmarkEnd w:id="72"/>
      <w:bookmarkStart w:id="73" w:name="2.4.2.2 污染物排放标准"/>
      <w:bookmarkEnd w:id="73"/>
      <w:r>
        <w:rPr>
          <w:rFonts w:hint="eastAsia"/>
          <w:lang w:val="en-US" w:eastAsia="zh-CN"/>
        </w:rPr>
        <w:t xml:space="preserve">2.4.1.2 </w:t>
      </w:r>
      <w:r>
        <w:t>污染物排放标准</w:t>
      </w:r>
    </w:p>
    <w:p>
      <w:pPr>
        <w:pStyle w:val="17"/>
        <w:numPr>
          <w:ilvl w:val="0"/>
          <w:numId w:val="0"/>
        </w:numPr>
        <w:tabs>
          <w:tab w:val="left" w:pos="1621"/>
        </w:tabs>
        <w:spacing w:before="167" w:after="0" w:line="240" w:lineRule="auto"/>
        <w:ind w:right="0" w:rightChars="0" w:firstLine="480" w:firstLineChars="200"/>
        <w:jc w:val="left"/>
        <w:rPr>
          <w:color w:val="0000FF"/>
          <w:sz w:val="24"/>
        </w:rPr>
      </w:pPr>
      <w:r>
        <w:rPr>
          <w:rFonts w:hint="eastAsia"/>
          <w:color w:val="0000FF"/>
          <w:sz w:val="24"/>
          <w:lang w:eastAsia="zh-CN"/>
        </w:rPr>
        <w:t>（</w:t>
      </w:r>
      <w:r>
        <w:rPr>
          <w:rFonts w:hint="eastAsia"/>
          <w:color w:val="0000FF"/>
          <w:sz w:val="24"/>
          <w:lang w:val="en-US" w:eastAsia="zh-CN"/>
        </w:rPr>
        <w:t>1</w:t>
      </w:r>
      <w:r>
        <w:rPr>
          <w:rFonts w:hint="eastAsia"/>
          <w:color w:val="0000FF"/>
          <w:sz w:val="24"/>
          <w:lang w:eastAsia="zh-CN"/>
        </w:rPr>
        <w:t>）</w:t>
      </w:r>
      <w:r>
        <w:rPr>
          <w:color w:val="0000FF"/>
          <w:sz w:val="24"/>
        </w:rPr>
        <w:t>大气污染物排放标准</w:t>
      </w:r>
    </w:p>
    <w:p>
      <w:pPr>
        <w:pStyle w:val="7"/>
        <w:spacing w:before="161"/>
        <w:rPr>
          <w:color w:val="0000FF"/>
        </w:rPr>
      </w:pPr>
      <w:r>
        <w:rPr>
          <w:color w:val="0000FF"/>
        </w:rPr>
        <w:t>①施工期</w:t>
      </w:r>
    </w:p>
    <w:p>
      <w:pPr>
        <w:pStyle w:val="7"/>
        <w:spacing w:before="160"/>
        <w:ind w:left="1020"/>
        <w:rPr>
          <w:color w:val="0000FF"/>
        </w:rPr>
      </w:pPr>
      <w:r>
        <w:rPr>
          <w:color w:val="0000FF"/>
        </w:rPr>
        <w:t>施工期大气污染物主要为扬尘，执行《大气污染物综合排放标准》</w:t>
      </w:r>
    </w:p>
    <w:p>
      <w:pPr>
        <w:pStyle w:val="7"/>
        <w:spacing w:before="161"/>
        <w:rPr>
          <w:color w:val="0000FF"/>
        </w:rPr>
      </w:pPr>
      <w:r>
        <w:rPr>
          <w:color w:val="0000FF"/>
        </w:rPr>
        <w:t>（</w:t>
      </w:r>
      <w:r>
        <w:rPr>
          <w:rFonts w:ascii="Times New Roman" w:eastAsia="Times New Roman"/>
          <w:color w:val="0000FF"/>
        </w:rPr>
        <w:t>GB16297-1996</w:t>
      </w:r>
      <w:r>
        <w:rPr>
          <w:color w:val="0000FF"/>
        </w:rPr>
        <w:t>）表</w:t>
      </w:r>
      <w:r>
        <w:rPr>
          <w:rFonts w:ascii="Times New Roman" w:eastAsia="Times New Roman"/>
          <w:color w:val="0000FF"/>
        </w:rPr>
        <w:t>2</w:t>
      </w:r>
      <w:r>
        <w:rPr>
          <w:color w:val="0000FF"/>
        </w:rPr>
        <w:t>无组织排放浓度限值，见表</w:t>
      </w:r>
      <w:r>
        <w:rPr>
          <w:rFonts w:ascii="Times New Roman" w:eastAsia="Times New Roman"/>
          <w:color w:val="0000FF"/>
        </w:rPr>
        <w:t>2.4-5</w:t>
      </w:r>
      <w:r>
        <w:rPr>
          <w:color w:val="0000FF"/>
        </w:rPr>
        <w:t>。</w:t>
      </w:r>
    </w:p>
    <w:p>
      <w:pPr>
        <w:pStyle w:val="7"/>
        <w:spacing w:before="9"/>
        <w:ind w:left="0"/>
        <w:rPr>
          <w:color w:val="0000FF"/>
          <w:sz w:val="18"/>
        </w:rPr>
      </w:pPr>
    </w:p>
    <w:p>
      <w:pPr>
        <w:pStyle w:val="7"/>
        <w:bidi w:val="0"/>
        <w:jc w:val="center"/>
        <w:rPr>
          <w:b/>
          <w:bCs/>
        </w:rPr>
      </w:pPr>
      <w:r>
        <w:rPr>
          <w:b/>
          <w:bCs/>
        </w:rPr>
        <w:t>表2.4-5</w:t>
      </w:r>
      <w:r>
        <w:rPr>
          <w:b/>
          <w:bCs/>
        </w:rPr>
        <w:tab/>
      </w:r>
      <w:r>
        <w:rPr>
          <w:b/>
          <w:bCs/>
        </w:rPr>
        <w:t>大气污染物综合排放标准</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2590"/>
        <w:gridCol w:w="2175"/>
        <w:gridCol w:w="2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tcPr>
          <w:p>
            <w:pPr>
              <w:pStyle w:val="18"/>
              <w:spacing w:before="29"/>
              <w:ind w:left="233"/>
              <w:jc w:val="left"/>
              <w:rPr>
                <w:b/>
                <w:color w:val="0000FF"/>
                <w:sz w:val="21"/>
              </w:rPr>
            </w:pPr>
            <w:r>
              <w:rPr>
                <w:b/>
                <w:color w:val="0000FF"/>
                <w:sz w:val="21"/>
              </w:rPr>
              <w:t>控制项目</w:t>
            </w:r>
          </w:p>
        </w:tc>
        <w:tc>
          <w:tcPr>
            <w:tcW w:w="4765" w:type="dxa"/>
            <w:gridSpan w:val="2"/>
          </w:tcPr>
          <w:p>
            <w:pPr>
              <w:pStyle w:val="18"/>
              <w:spacing w:before="29"/>
              <w:ind w:left="2046" w:right="2035"/>
              <w:rPr>
                <w:b/>
                <w:color w:val="0000FF"/>
                <w:sz w:val="21"/>
              </w:rPr>
            </w:pPr>
            <w:r>
              <w:rPr>
                <w:b/>
                <w:color w:val="0000FF"/>
                <w:sz w:val="21"/>
              </w:rPr>
              <w:t>标准值</w:t>
            </w:r>
          </w:p>
        </w:tc>
        <w:tc>
          <w:tcPr>
            <w:tcW w:w="2446" w:type="dxa"/>
          </w:tcPr>
          <w:p>
            <w:pPr>
              <w:pStyle w:val="18"/>
              <w:spacing w:before="29"/>
              <w:ind w:left="801"/>
              <w:jc w:val="left"/>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vMerge w:val="restart"/>
          </w:tcPr>
          <w:p>
            <w:pPr>
              <w:pStyle w:val="18"/>
              <w:spacing w:before="99" w:line="213" w:lineRule="auto"/>
              <w:ind w:left="128" w:right="118" w:firstLine="211"/>
              <w:jc w:val="left"/>
              <w:rPr>
                <w:color w:val="0000FF"/>
                <w:sz w:val="21"/>
              </w:rPr>
            </w:pPr>
            <w:r>
              <w:rPr>
                <w:color w:val="0000FF"/>
                <w:sz w:val="21"/>
              </w:rPr>
              <w:t>颗粒物</w:t>
            </w:r>
            <w:r>
              <w:rPr>
                <w:color w:val="0000FF"/>
                <w:spacing w:val="-3"/>
                <w:sz w:val="21"/>
              </w:rPr>
              <w:t>无组织排放</w:t>
            </w:r>
          </w:p>
        </w:tc>
        <w:tc>
          <w:tcPr>
            <w:tcW w:w="2590" w:type="dxa"/>
          </w:tcPr>
          <w:p>
            <w:pPr>
              <w:pStyle w:val="18"/>
              <w:spacing w:before="28"/>
              <w:ind w:left="117" w:right="110"/>
              <w:rPr>
                <w:color w:val="0000FF"/>
                <w:sz w:val="21"/>
              </w:rPr>
            </w:pPr>
            <w:r>
              <w:rPr>
                <w:color w:val="0000FF"/>
                <w:sz w:val="21"/>
              </w:rPr>
              <w:t>最高允许排放浓度</w:t>
            </w:r>
          </w:p>
        </w:tc>
        <w:tc>
          <w:tcPr>
            <w:tcW w:w="2175" w:type="dxa"/>
          </w:tcPr>
          <w:p>
            <w:pPr>
              <w:pStyle w:val="18"/>
              <w:spacing w:before="42"/>
              <w:ind w:left="631" w:right="622"/>
              <w:rPr>
                <w:rFonts w:ascii="Times New Roman"/>
                <w:color w:val="0000FF"/>
                <w:sz w:val="13"/>
              </w:rPr>
            </w:pPr>
            <w:r>
              <w:rPr>
                <w:rFonts w:ascii="Times New Roman"/>
                <w:color w:val="0000FF"/>
                <w:sz w:val="21"/>
              </w:rPr>
              <w:t>120mg/m</w:t>
            </w:r>
            <w:r>
              <w:rPr>
                <w:rFonts w:ascii="Times New Roman"/>
                <w:color w:val="0000FF"/>
                <w:position w:val="7"/>
                <w:sz w:val="13"/>
              </w:rPr>
              <w:t>3</w:t>
            </w:r>
          </w:p>
        </w:tc>
        <w:tc>
          <w:tcPr>
            <w:tcW w:w="2446" w:type="dxa"/>
            <w:vMerge w:val="restart"/>
          </w:tcPr>
          <w:p>
            <w:pPr>
              <w:pStyle w:val="18"/>
              <w:spacing w:before="99" w:line="213" w:lineRule="auto"/>
              <w:ind w:left="108" w:right="-15" w:firstLine="64"/>
              <w:jc w:val="left"/>
              <w:rPr>
                <w:color w:val="0000FF"/>
                <w:sz w:val="21"/>
              </w:rPr>
            </w:pPr>
            <w:r>
              <w:rPr>
                <w:color w:val="0000FF"/>
                <w:sz w:val="21"/>
              </w:rPr>
              <w:t>《大气污染物综合排放</w:t>
            </w:r>
            <w:r>
              <w:rPr>
                <w:color w:val="0000FF"/>
                <w:spacing w:val="-7"/>
                <w:sz w:val="21"/>
              </w:rPr>
              <w:t>标准》</w:t>
            </w:r>
            <w:r>
              <w:rPr>
                <w:color w:val="0000FF"/>
                <w:sz w:val="21"/>
              </w:rPr>
              <w:t>（</w:t>
            </w:r>
            <w:r>
              <w:rPr>
                <w:rFonts w:ascii="Times New Roman" w:eastAsia="Times New Roman"/>
                <w:color w:val="0000FF"/>
                <w:sz w:val="21"/>
              </w:rPr>
              <w:t>GB16297-1996</w:t>
            </w:r>
            <w:r>
              <w:rPr>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vMerge w:val="continue"/>
            <w:tcBorders>
              <w:top w:val="nil"/>
            </w:tcBorders>
          </w:tcPr>
          <w:p>
            <w:pPr>
              <w:rPr>
                <w:color w:val="0000FF"/>
                <w:sz w:val="2"/>
                <w:szCs w:val="2"/>
              </w:rPr>
            </w:pPr>
          </w:p>
        </w:tc>
        <w:tc>
          <w:tcPr>
            <w:tcW w:w="2590" w:type="dxa"/>
          </w:tcPr>
          <w:p>
            <w:pPr>
              <w:pStyle w:val="18"/>
              <w:spacing w:before="29"/>
              <w:ind w:left="119" w:right="110"/>
              <w:rPr>
                <w:color w:val="0000FF"/>
                <w:sz w:val="21"/>
              </w:rPr>
            </w:pPr>
            <w:r>
              <w:rPr>
                <w:color w:val="0000FF"/>
                <w:sz w:val="21"/>
              </w:rPr>
              <w:t>无组织排放监控浓度限值</w:t>
            </w:r>
          </w:p>
        </w:tc>
        <w:tc>
          <w:tcPr>
            <w:tcW w:w="2175" w:type="dxa"/>
          </w:tcPr>
          <w:p>
            <w:pPr>
              <w:pStyle w:val="18"/>
              <w:spacing w:before="42"/>
              <w:ind w:left="631" w:right="622"/>
              <w:rPr>
                <w:rFonts w:ascii="Times New Roman"/>
                <w:color w:val="0000FF"/>
                <w:sz w:val="13"/>
              </w:rPr>
            </w:pPr>
            <w:r>
              <w:rPr>
                <w:rFonts w:ascii="Times New Roman"/>
                <w:color w:val="0000FF"/>
                <w:sz w:val="21"/>
              </w:rPr>
              <w:t>1.0mg/m</w:t>
            </w:r>
            <w:r>
              <w:rPr>
                <w:rFonts w:ascii="Times New Roman"/>
                <w:color w:val="0000FF"/>
                <w:position w:val="7"/>
                <w:sz w:val="13"/>
              </w:rPr>
              <w:t>3</w:t>
            </w:r>
          </w:p>
        </w:tc>
        <w:tc>
          <w:tcPr>
            <w:tcW w:w="2446" w:type="dxa"/>
            <w:vMerge w:val="continue"/>
            <w:tcBorders>
              <w:top w:val="nil"/>
            </w:tcBorders>
          </w:tcPr>
          <w:p>
            <w:pPr>
              <w:rPr>
                <w:color w:val="0000FF"/>
                <w:sz w:val="2"/>
                <w:szCs w:val="2"/>
              </w:rPr>
            </w:pPr>
          </w:p>
        </w:tc>
      </w:tr>
    </w:tbl>
    <w:p>
      <w:pPr>
        <w:pStyle w:val="7"/>
        <w:spacing w:before="6"/>
        <w:ind w:left="0"/>
        <w:rPr>
          <w:b/>
          <w:color w:val="0000FF"/>
          <w:sz w:val="18"/>
        </w:rPr>
      </w:pPr>
    </w:p>
    <w:p>
      <w:pPr>
        <w:pStyle w:val="7"/>
        <w:rPr>
          <w:color w:val="0000FF"/>
        </w:rPr>
      </w:pPr>
      <w:r>
        <w:rPr>
          <w:color w:val="0000FF"/>
        </w:rPr>
        <w:t>②运营期</w:t>
      </w:r>
    </w:p>
    <w:p>
      <w:pPr>
        <w:pStyle w:val="7"/>
        <w:spacing w:before="161" w:line="362" w:lineRule="auto"/>
        <w:ind w:right="569" w:firstLine="480"/>
        <w:rPr>
          <w:rFonts w:ascii="Times New Roman" w:eastAsia="Times New Roman"/>
          <w:color w:val="0000FF"/>
        </w:rPr>
      </w:pPr>
      <w:r>
        <w:rPr>
          <w:color w:val="0000FF"/>
          <w:spacing w:val="-5"/>
        </w:rPr>
        <w:t>本项目运营期产生的无组织恶臭污染物排放执行《畜禽养殖业污染物排放标</w:t>
      </w:r>
      <w:r>
        <w:rPr>
          <w:color w:val="0000FF"/>
          <w:spacing w:val="-50"/>
          <w:position w:val="2"/>
        </w:rPr>
        <w:t>准》</w:t>
      </w:r>
      <w:r>
        <w:rPr>
          <w:color w:val="0000FF"/>
          <w:spacing w:val="-4"/>
          <w:position w:val="2"/>
        </w:rPr>
        <w:t>（</w:t>
      </w:r>
      <w:r>
        <w:rPr>
          <w:rFonts w:ascii="Times New Roman" w:eastAsia="Times New Roman"/>
          <w:color w:val="0000FF"/>
          <w:spacing w:val="-4"/>
          <w:position w:val="2"/>
        </w:rPr>
        <w:t>GB18596-2001</w:t>
      </w:r>
      <w:r>
        <w:rPr>
          <w:color w:val="0000FF"/>
          <w:spacing w:val="-4"/>
          <w:position w:val="2"/>
        </w:rPr>
        <w:t>）</w:t>
      </w:r>
      <w:r>
        <w:rPr>
          <w:color w:val="0000FF"/>
          <w:spacing w:val="-17"/>
          <w:position w:val="2"/>
        </w:rPr>
        <w:t>中表</w:t>
      </w:r>
      <w:r>
        <w:rPr>
          <w:rFonts w:ascii="Times New Roman" w:eastAsia="Times New Roman"/>
          <w:color w:val="0000FF"/>
          <w:position w:val="2"/>
        </w:rPr>
        <w:t>7</w:t>
      </w:r>
      <w:r>
        <w:rPr>
          <w:color w:val="0000FF"/>
          <w:spacing w:val="-1"/>
          <w:position w:val="2"/>
        </w:rPr>
        <w:t>集约化畜禽养殖业恶臭污染物排放标准；</w:t>
      </w:r>
      <w:r>
        <w:rPr>
          <w:rFonts w:ascii="Times New Roman" w:eastAsia="Times New Roman"/>
          <w:color w:val="0000FF"/>
          <w:spacing w:val="-13"/>
          <w:position w:val="2"/>
        </w:rPr>
        <w:t>H</w:t>
      </w:r>
      <w:r>
        <w:rPr>
          <w:rFonts w:ascii="Times New Roman" w:eastAsia="Times New Roman"/>
          <w:color w:val="0000FF"/>
          <w:spacing w:val="-13"/>
          <w:position w:val="2"/>
          <w:vertAlign w:val="subscript"/>
        </w:rPr>
        <w:t>2</w:t>
      </w:r>
      <w:r>
        <w:rPr>
          <w:rFonts w:ascii="Times New Roman" w:eastAsia="Times New Roman"/>
          <w:color w:val="0000FF"/>
          <w:spacing w:val="-13"/>
          <w:position w:val="2"/>
          <w:vertAlign w:val="baseline"/>
        </w:rPr>
        <w:t>S</w:t>
      </w:r>
      <w:r>
        <w:rPr>
          <w:color w:val="0000FF"/>
          <w:spacing w:val="-48"/>
          <w:position w:val="2"/>
          <w:vertAlign w:val="baseline"/>
        </w:rPr>
        <w:t>、</w:t>
      </w:r>
      <w:r>
        <w:rPr>
          <w:rFonts w:ascii="Times New Roman" w:eastAsia="Times New Roman"/>
          <w:color w:val="0000FF"/>
          <w:spacing w:val="-6"/>
          <w:position w:val="2"/>
          <w:vertAlign w:val="baseline"/>
        </w:rPr>
        <w:t>NH</w:t>
      </w:r>
      <w:r>
        <w:rPr>
          <w:rFonts w:ascii="Times New Roman" w:eastAsia="Times New Roman"/>
          <w:color w:val="0000FF"/>
          <w:spacing w:val="-6"/>
          <w:position w:val="2"/>
          <w:vertAlign w:val="subscript"/>
        </w:rPr>
        <w:t>3</w:t>
      </w:r>
    </w:p>
    <w:p>
      <w:pPr>
        <w:pStyle w:val="7"/>
        <w:spacing w:before="3" w:line="364" w:lineRule="auto"/>
        <w:ind w:right="457"/>
        <w:rPr>
          <w:color w:val="0000FF"/>
        </w:rPr>
      </w:pPr>
      <w:r>
        <w:rPr>
          <w:color w:val="0000FF"/>
        </w:rPr>
        <w:t>厂界排放浓度执行《恶臭污染物排放标准》（</w:t>
      </w:r>
      <w:r>
        <w:rPr>
          <w:rFonts w:ascii="Times New Roman" w:eastAsia="Times New Roman"/>
          <w:color w:val="0000FF"/>
        </w:rPr>
        <w:t>GB14554-1993</w:t>
      </w:r>
      <w:r>
        <w:rPr>
          <w:color w:val="0000FF"/>
        </w:rPr>
        <w:t>）</w:t>
      </w:r>
      <w:r>
        <w:rPr>
          <w:color w:val="0000FF"/>
          <w:spacing w:val="-16"/>
        </w:rPr>
        <w:t>中表</w:t>
      </w:r>
      <w:r>
        <w:rPr>
          <w:rFonts w:ascii="Times New Roman" w:eastAsia="Times New Roman"/>
          <w:color w:val="0000FF"/>
        </w:rPr>
        <w:t>1</w:t>
      </w:r>
      <w:r>
        <w:rPr>
          <w:color w:val="0000FF"/>
        </w:rPr>
        <w:t>恶臭污染</w:t>
      </w:r>
      <w:r>
        <w:rPr>
          <w:color w:val="0000FF"/>
          <w:spacing w:val="-8"/>
        </w:rPr>
        <w:t>物厂界标准二级标准。本项目运营期产生的大气污染物排放标准值详见表</w:t>
      </w:r>
      <w:r>
        <w:rPr>
          <w:rFonts w:ascii="Times New Roman" w:eastAsia="Times New Roman"/>
          <w:color w:val="0000FF"/>
        </w:rPr>
        <w:t>2.4-6</w:t>
      </w:r>
      <w:r>
        <w:rPr>
          <w:color w:val="0000FF"/>
          <w:spacing w:val="-16"/>
        </w:rPr>
        <w:t>。</w:t>
      </w:r>
    </w:p>
    <w:p>
      <w:pPr>
        <w:pStyle w:val="7"/>
        <w:bidi w:val="0"/>
        <w:jc w:val="center"/>
        <w:rPr>
          <w:b/>
          <w:bCs/>
        </w:rPr>
      </w:pPr>
      <w:r>
        <w:rPr>
          <w:b/>
          <w:bCs/>
        </w:rPr>
        <w:t>表2.4-6</w:t>
      </w:r>
      <w:r>
        <w:rPr>
          <w:b/>
          <w:bCs/>
        </w:rPr>
        <w:tab/>
      </w:r>
      <w:r>
        <w:rPr>
          <w:b/>
          <w:bCs/>
        </w:rPr>
        <w:t>大气污染物排放标准一览表</w:t>
      </w:r>
    </w:p>
    <w:tbl>
      <w:tblPr>
        <w:tblStyle w:val="14"/>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3"/>
        <w:gridCol w:w="1605"/>
        <w:gridCol w:w="5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8"/>
              <w:spacing w:before="34"/>
              <w:ind w:left="108" w:right="100"/>
              <w:rPr>
                <w:b/>
                <w:color w:val="0000FF"/>
                <w:sz w:val="21"/>
              </w:rPr>
            </w:pPr>
            <w:r>
              <w:rPr>
                <w:b/>
                <w:color w:val="0000FF"/>
                <w:sz w:val="21"/>
              </w:rPr>
              <w:t>污染因子</w:t>
            </w:r>
          </w:p>
        </w:tc>
        <w:tc>
          <w:tcPr>
            <w:tcW w:w="1605" w:type="dxa"/>
          </w:tcPr>
          <w:p>
            <w:pPr>
              <w:pStyle w:val="18"/>
              <w:spacing w:before="34"/>
              <w:ind w:left="151" w:right="144"/>
              <w:rPr>
                <w:b/>
                <w:color w:val="0000FF"/>
                <w:sz w:val="21"/>
              </w:rPr>
            </w:pPr>
            <w:r>
              <w:rPr>
                <w:b/>
                <w:color w:val="0000FF"/>
                <w:sz w:val="21"/>
              </w:rPr>
              <w:t>标准值</w:t>
            </w:r>
          </w:p>
        </w:tc>
        <w:tc>
          <w:tcPr>
            <w:tcW w:w="5632" w:type="dxa"/>
          </w:tcPr>
          <w:p>
            <w:pPr>
              <w:pStyle w:val="18"/>
              <w:spacing w:before="34"/>
              <w:ind w:left="2376" w:right="2362"/>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3" w:type="dxa"/>
          </w:tcPr>
          <w:p>
            <w:pPr>
              <w:pStyle w:val="18"/>
              <w:spacing w:before="104"/>
              <w:ind w:left="103" w:right="100"/>
              <w:rPr>
                <w:color w:val="0000FF"/>
                <w:sz w:val="21"/>
              </w:rPr>
            </w:pPr>
            <w:r>
              <w:rPr>
                <w:color w:val="0000FF"/>
                <w:sz w:val="21"/>
              </w:rPr>
              <w:t>臭气浓度</w:t>
            </w:r>
          </w:p>
        </w:tc>
        <w:tc>
          <w:tcPr>
            <w:tcW w:w="1605" w:type="dxa"/>
          </w:tcPr>
          <w:p>
            <w:pPr>
              <w:pStyle w:val="18"/>
              <w:spacing w:before="104"/>
              <w:ind w:left="151" w:right="144"/>
              <w:rPr>
                <w:color w:val="0000FF"/>
                <w:sz w:val="21"/>
              </w:rPr>
            </w:pPr>
            <w:r>
              <w:rPr>
                <w:rFonts w:ascii="Times New Roman" w:eastAsia="Times New Roman"/>
                <w:color w:val="0000FF"/>
                <w:sz w:val="21"/>
              </w:rPr>
              <w:t>70</w:t>
            </w:r>
            <w:r>
              <w:rPr>
                <w:color w:val="0000FF"/>
                <w:sz w:val="21"/>
              </w:rPr>
              <w:t>（无量纲）</w:t>
            </w:r>
          </w:p>
        </w:tc>
        <w:tc>
          <w:tcPr>
            <w:tcW w:w="5632" w:type="dxa"/>
          </w:tcPr>
          <w:p>
            <w:pPr>
              <w:pStyle w:val="18"/>
              <w:spacing w:line="236" w:lineRule="exact"/>
              <w:ind w:left="3" w:right="-15"/>
              <w:jc w:val="left"/>
              <w:rPr>
                <w:color w:val="0000FF"/>
                <w:sz w:val="21"/>
              </w:rPr>
            </w:pPr>
            <w:r>
              <w:rPr>
                <w:color w:val="0000FF"/>
                <w:spacing w:val="-6"/>
                <w:w w:val="95"/>
                <w:sz w:val="21"/>
              </w:rPr>
              <w:t>《畜禽养殖业污染物排放标准》</w:t>
            </w:r>
            <w:r>
              <w:rPr>
                <w:color w:val="0000FF"/>
                <w:w w:val="95"/>
                <w:sz w:val="21"/>
              </w:rPr>
              <w:t>（</w:t>
            </w:r>
            <w:r>
              <w:rPr>
                <w:rFonts w:ascii="Times New Roman" w:eastAsia="Times New Roman"/>
                <w:color w:val="0000FF"/>
                <w:w w:val="95"/>
                <w:sz w:val="21"/>
              </w:rPr>
              <w:t>GB18596-2001</w:t>
            </w:r>
            <w:r>
              <w:rPr>
                <w:color w:val="0000FF"/>
                <w:w w:val="95"/>
                <w:sz w:val="21"/>
              </w:rPr>
              <w:t>）中集约化畜</w:t>
            </w:r>
          </w:p>
          <w:p>
            <w:pPr>
              <w:pStyle w:val="18"/>
              <w:spacing w:line="224" w:lineRule="exact"/>
              <w:ind w:left="3"/>
              <w:jc w:val="left"/>
              <w:rPr>
                <w:color w:val="0000FF"/>
                <w:sz w:val="21"/>
              </w:rPr>
            </w:pPr>
            <w:r>
              <w:rPr>
                <w:color w:val="0000FF"/>
                <w:sz w:val="21"/>
              </w:rPr>
              <w:t>禽养殖业恶臭污染物排放标准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8"/>
              <w:spacing w:before="34"/>
              <w:ind w:left="106" w:right="100"/>
              <w:rPr>
                <w:color w:val="0000FF"/>
                <w:sz w:val="21"/>
              </w:rPr>
            </w:pPr>
            <w:r>
              <w:rPr>
                <w:color w:val="0000FF"/>
                <w:sz w:val="21"/>
              </w:rPr>
              <w:t>硫化氢</w:t>
            </w:r>
          </w:p>
        </w:tc>
        <w:tc>
          <w:tcPr>
            <w:tcW w:w="1605" w:type="dxa"/>
          </w:tcPr>
          <w:p>
            <w:pPr>
              <w:pStyle w:val="18"/>
              <w:spacing w:before="48"/>
              <w:ind w:left="151" w:right="142"/>
              <w:rPr>
                <w:rFonts w:ascii="Times New Roman"/>
                <w:color w:val="0000FF"/>
                <w:sz w:val="13"/>
              </w:rPr>
            </w:pPr>
            <w:r>
              <w:rPr>
                <w:rFonts w:ascii="Times New Roman"/>
                <w:color w:val="0000FF"/>
                <w:sz w:val="21"/>
              </w:rPr>
              <w:t>0.06mg/m</w:t>
            </w:r>
            <w:r>
              <w:rPr>
                <w:rFonts w:ascii="Times New Roman"/>
                <w:color w:val="0000FF"/>
                <w:position w:val="7"/>
                <w:sz w:val="13"/>
              </w:rPr>
              <w:t>3</w:t>
            </w:r>
          </w:p>
        </w:tc>
        <w:tc>
          <w:tcPr>
            <w:tcW w:w="5632" w:type="dxa"/>
            <w:vMerge w:val="restart"/>
          </w:tcPr>
          <w:p>
            <w:pPr>
              <w:pStyle w:val="18"/>
              <w:spacing w:before="112" w:line="208" w:lineRule="auto"/>
              <w:ind w:left="3" w:right="-15"/>
              <w:jc w:val="left"/>
              <w:rPr>
                <w:color w:val="0000FF"/>
                <w:sz w:val="21"/>
              </w:rPr>
            </w:pPr>
            <w:r>
              <w:rPr>
                <w:rFonts w:ascii="Times New Roman" w:eastAsia="Times New Roman"/>
                <w:color w:val="0000FF"/>
                <w:position w:val="2"/>
                <w:sz w:val="21"/>
              </w:rPr>
              <w:t>H</w:t>
            </w:r>
            <w:r>
              <w:rPr>
                <w:rFonts w:ascii="Times New Roman" w:eastAsia="Times New Roman"/>
                <w:color w:val="0000FF"/>
                <w:position w:val="2"/>
                <w:sz w:val="21"/>
                <w:vertAlign w:val="subscript"/>
              </w:rPr>
              <w:t>2</w:t>
            </w:r>
            <w:r>
              <w:rPr>
                <w:rFonts w:ascii="Times New Roman" w:eastAsia="Times New Roman"/>
                <w:color w:val="0000FF"/>
                <w:position w:val="2"/>
                <w:sz w:val="21"/>
                <w:vertAlign w:val="baseline"/>
              </w:rPr>
              <w:t>S</w:t>
            </w:r>
            <w:r>
              <w:rPr>
                <w:color w:val="0000FF"/>
                <w:spacing w:val="-94"/>
                <w:position w:val="2"/>
                <w:sz w:val="21"/>
                <w:vertAlign w:val="baseline"/>
              </w:rPr>
              <w:t>、</w:t>
            </w:r>
            <w:r>
              <w:rPr>
                <w:rFonts w:ascii="Times New Roman" w:eastAsia="Times New Roman"/>
                <w:color w:val="0000FF"/>
                <w:position w:val="2"/>
                <w:sz w:val="21"/>
                <w:vertAlign w:val="baseline"/>
              </w:rPr>
              <w:t>NH</w:t>
            </w:r>
            <w:r>
              <w:rPr>
                <w:rFonts w:ascii="Times New Roman" w:eastAsia="Times New Roman"/>
                <w:color w:val="0000FF"/>
                <w:position w:val="2"/>
                <w:sz w:val="21"/>
                <w:vertAlign w:val="subscript"/>
              </w:rPr>
              <w:t>3</w:t>
            </w:r>
            <w:r>
              <w:rPr>
                <w:color w:val="0000FF"/>
                <w:spacing w:val="-10"/>
                <w:position w:val="2"/>
                <w:sz w:val="21"/>
                <w:vertAlign w:val="baseline"/>
              </w:rPr>
              <w:t>厂界排放浓度执行《恶臭污染物排放标准</w:t>
            </w:r>
            <w:r>
              <w:rPr>
                <w:color w:val="0000FF"/>
                <w:spacing w:val="-190"/>
                <w:position w:val="2"/>
                <w:sz w:val="21"/>
                <w:vertAlign w:val="baseline"/>
              </w:rPr>
              <w:t>》</w:t>
            </w:r>
            <w:r>
              <w:rPr>
                <w:color w:val="0000FF"/>
                <w:position w:val="2"/>
                <w:sz w:val="21"/>
                <w:vertAlign w:val="baseline"/>
              </w:rPr>
              <w:t>（</w:t>
            </w:r>
            <w:r>
              <w:rPr>
                <w:rFonts w:ascii="Times New Roman" w:eastAsia="Times New Roman"/>
                <w:color w:val="0000FF"/>
                <w:position w:val="2"/>
                <w:sz w:val="21"/>
                <w:vertAlign w:val="baseline"/>
              </w:rPr>
              <w:t>GB14554-</w:t>
            </w:r>
            <w:r>
              <w:rPr>
                <w:rFonts w:ascii="Times New Roman" w:eastAsia="Times New Roman"/>
                <w:color w:val="0000FF"/>
                <w:sz w:val="21"/>
                <w:vertAlign w:val="baseline"/>
              </w:rPr>
              <w:t>1993</w:t>
            </w:r>
            <w:r>
              <w:rPr>
                <w:color w:val="0000FF"/>
                <w:sz w:val="21"/>
                <w:vertAlign w:val="baseline"/>
              </w:rPr>
              <w:t>）表</w:t>
            </w:r>
            <w:r>
              <w:rPr>
                <w:rFonts w:ascii="Times New Roman" w:eastAsia="Times New Roman"/>
                <w:color w:val="0000FF"/>
                <w:sz w:val="21"/>
                <w:vertAlign w:val="baseline"/>
              </w:rPr>
              <w:t>1</w:t>
            </w:r>
            <w:r>
              <w:rPr>
                <w:color w:val="0000FF"/>
                <w:sz w:val="21"/>
                <w:vertAlign w:val="baseline"/>
              </w:rPr>
              <w:t>恶臭污染物厂界标准二级标准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8"/>
              <w:spacing w:before="32"/>
              <w:ind w:left="8"/>
              <w:rPr>
                <w:color w:val="0000FF"/>
                <w:sz w:val="21"/>
              </w:rPr>
            </w:pPr>
            <w:r>
              <w:rPr>
                <w:color w:val="0000FF"/>
                <w:w w:val="99"/>
                <w:sz w:val="21"/>
              </w:rPr>
              <w:t>氨</w:t>
            </w:r>
          </w:p>
        </w:tc>
        <w:tc>
          <w:tcPr>
            <w:tcW w:w="1605" w:type="dxa"/>
          </w:tcPr>
          <w:p>
            <w:pPr>
              <w:pStyle w:val="18"/>
              <w:spacing w:before="48"/>
              <w:ind w:left="151" w:right="140"/>
              <w:rPr>
                <w:rFonts w:ascii="Times New Roman"/>
                <w:color w:val="0000FF"/>
                <w:sz w:val="13"/>
              </w:rPr>
            </w:pPr>
            <w:r>
              <w:rPr>
                <w:rFonts w:ascii="Times New Roman"/>
                <w:color w:val="0000FF"/>
                <w:sz w:val="21"/>
              </w:rPr>
              <w:t>1.5mg/m</w:t>
            </w:r>
            <w:r>
              <w:rPr>
                <w:rFonts w:ascii="Times New Roman"/>
                <w:color w:val="0000FF"/>
                <w:position w:val="7"/>
                <w:sz w:val="13"/>
              </w:rPr>
              <w:t>3</w:t>
            </w:r>
          </w:p>
        </w:tc>
        <w:tc>
          <w:tcPr>
            <w:tcW w:w="5632" w:type="dxa"/>
            <w:vMerge w:val="continue"/>
            <w:tcBorders>
              <w:top w:val="nil"/>
            </w:tcBorders>
          </w:tcPr>
          <w:p>
            <w:pPr>
              <w:rPr>
                <w:color w:val="0000FF"/>
                <w:sz w:val="2"/>
                <w:szCs w:val="2"/>
              </w:rPr>
            </w:pPr>
          </w:p>
        </w:tc>
      </w:tr>
    </w:tbl>
    <w:p>
      <w:pPr>
        <w:pStyle w:val="7"/>
        <w:spacing w:before="4"/>
        <w:ind w:left="0"/>
        <w:rPr>
          <w:b/>
          <w:color w:val="0000FF"/>
          <w:sz w:val="18"/>
        </w:rPr>
      </w:pPr>
    </w:p>
    <w:p>
      <w:pPr>
        <w:pStyle w:val="17"/>
        <w:numPr>
          <w:ilvl w:val="0"/>
          <w:numId w:val="0"/>
        </w:numPr>
        <w:tabs>
          <w:tab w:val="left" w:pos="1621"/>
        </w:tabs>
        <w:spacing w:before="0" w:after="0" w:line="240" w:lineRule="auto"/>
        <w:ind w:right="0" w:rightChars="0" w:firstLine="480" w:firstLineChars="200"/>
        <w:jc w:val="left"/>
        <w:rPr>
          <w:color w:val="0000FF"/>
          <w:sz w:val="24"/>
        </w:rPr>
      </w:pPr>
      <w:r>
        <w:rPr>
          <w:rFonts w:hint="eastAsia"/>
          <w:color w:val="0000FF"/>
          <w:sz w:val="24"/>
          <w:lang w:eastAsia="zh-CN"/>
        </w:rPr>
        <w:t>（</w:t>
      </w:r>
      <w:r>
        <w:rPr>
          <w:rFonts w:hint="eastAsia"/>
          <w:color w:val="0000FF"/>
          <w:sz w:val="24"/>
          <w:lang w:val="en-US" w:eastAsia="zh-CN"/>
        </w:rPr>
        <w:t>2</w:t>
      </w:r>
      <w:r>
        <w:rPr>
          <w:rFonts w:hint="eastAsia"/>
          <w:color w:val="0000FF"/>
          <w:sz w:val="24"/>
          <w:lang w:eastAsia="zh-CN"/>
        </w:rPr>
        <w:t>）</w:t>
      </w:r>
      <w:r>
        <w:rPr>
          <w:color w:val="0000FF"/>
          <w:sz w:val="24"/>
        </w:rPr>
        <w:t>废水排放标准</w:t>
      </w:r>
    </w:p>
    <w:p>
      <w:pPr>
        <w:pStyle w:val="7"/>
        <w:spacing w:before="161"/>
        <w:rPr>
          <w:color w:val="0000FF"/>
        </w:rPr>
      </w:pPr>
      <w:r>
        <w:rPr>
          <w:color w:val="0000FF"/>
        </w:rPr>
        <w:t>①施工期</w:t>
      </w:r>
    </w:p>
    <w:p>
      <w:pPr>
        <w:pStyle w:val="7"/>
        <w:spacing w:before="160"/>
        <w:ind w:left="1020"/>
        <w:rPr>
          <w:color w:val="0000FF"/>
        </w:rPr>
      </w:pPr>
      <w:r>
        <w:rPr>
          <w:color w:val="0000FF"/>
        </w:rPr>
        <w:t>本项目施工期无废水排放</w:t>
      </w:r>
    </w:p>
    <w:p>
      <w:pPr>
        <w:pStyle w:val="7"/>
        <w:spacing w:before="161"/>
        <w:rPr>
          <w:color w:val="0000FF"/>
        </w:rPr>
      </w:pPr>
      <w:r>
        <w:rPr>
          <w:color w:val="0000FF"/>
        </w:rPr>
        <w:t>②运营期</w:t>
      </w:r>
    </w:p>
    <w:p>
      <w:pPr>
        <w:pStyle w:val="7"/>
        <w:spacing w:before="143" w:line="364" w:lineRule="auto"/>
        <w:ind w:right="577"/>
        <w:jc w:val="both"/>
        <w:rPr>
          <w:color w:val="0000FF"/>
        </w:rPr>
      </w:pPr>
      <w:r>
        <w:rPr>
          <w:color w:val="0000FF"/>
          <w:spacing w:val="-8"/>
        </w:rPr>
        <w:t>根据养殖场内地形，基地场地排水采用无组织排水，地表雨水均排入周围绿化带。本项目废水主要包括养殖废水（羊尿、羊舍冲洗废水）和职工生活污水。按照《国务院办公厅关于加快推进畜禽养殖废弃物资源化利用的意见》中要求：</w:t>
      </w:r>
      <w:r>
        <w:rPr>
          <w:color w:val="0000FF"/>
          <w:spacing w:val="-12"/>
        </w:rPr>
        <w:t>“鼓励沼液和经无害化处理的畜禽养殖废水作为肥料科学还田利用”。养殖场每</w:t>
      </w:r>
      <w:r>
        <w:rPr>
          <w:color w:val="0000FF"/>
          <w:spacing w:val="-17"/>
        </w:rPr>
        <w:t>栋羊舍地面为混凝土地面，上端覆盖</w:t>
      </w:r>
      <w:r>
        <w:rPr>
          <w:rFonts w:ascii="Times New Roman" w:hAnsi="Times New Roman" w:eastAsia="Times New Roman"/>
          <w:color w:val="0000FF"/>
        </w:rPr>
        <w:t>35cm</w:t>
      </w:r>
      <w:r>
        <w:rPr>
          <w:color w:val="0000FF"/>
          <w:spacing w:val="-10"/>
        </w:rPr>
        <w:t>厚垫料，铺设垫床一般采用废气杂草</w:t>
      </w:r>
      <w:r>
        <w:rPr>
          <w:rFonts w:hint="eastAsia"/>
          <w:color w:val="0000FF"/>
          <w:spacing w:val="-10"/>
          <w:lang w:eastAsia="zh-CN"/>
        </w:rPr>
        <w:t>、</w:t>
      </w:r>
      <w:r>
        <w:rPr>
          <w:color w:val="0000FF"/>
          <w:spacing w:val="-9"/>
        </w:rPr>
        <w:t>农作物秸秆粉、锯末等农业材料，羊排泄的尿液被垫料吸收、蒸发，项目定期对</w:t>
      </w:r>
      <w:r>
        <w:rPr>
          <w:color w:val="0000FF"/>
          <w:spacing w:val="-7"/>
        </w:rPr>
        <w:t>垫料层和粪便进行清理更换，不需要对畜舍进行冲洗，无冲栏废水产生。垫料层</w:t>
      </w:r>
      <w:r>
        <w:rPr>
          <w:color w:val="0000FF"/>
          <w:spacing w:val="-9"/>
        </w:rPr>
        <w:t>与羊粪、粪渣一起进入堆肥厂堆肥发酵，废水实现综合利用，不外排。因此，本</w:t>
      </w:r>
      <w:r>
        <w:rPr>
          <w:color w:val="0000FF"/>
        </w:rPr>
        <w:t>项目养殖废水不执行《畜禽养殖业污染物排放标准》（</w:t>
      </w:r>
      <w:r>
        <w:rPr>
          <w:rFonts w:ascii="Times New Roman" w:eastAsia="Times New Roman"/>
          <w:color w:val="0000FF"/>
        </w:rPr>
        <w:t>GB18596-2001</w:t>
      </w:r>
      <w:r>
        <w:rPr>
          <w:color w:val="0000FF"/>
        </w:rPr>
        <w:t>）；本项</w:t>
      </w:r>
      <w:r>
        <w:rPr>
          <w:color w:val="0000FF"/>
          <w:spacing w:val="-7"/>
        </w:rPr>
        <w:t>目设置员工宿舍和</w:t>
      </w:r>
      <w:r>
        <w:rPr>
          <w:rFonts w:hint="eastAsia"/>
          <w:color w:val="0000FF"/>
          <w:spacing w:val="-7"/>
          <w:lang w:val="en-US" w:eastAsia="zh-CN"/>
        </w:rPr>
        <w:t>附属用房</w:t>
      </w:r>
      <w:r>
        <w:rPr>
          <w:color w:val="0000FF"/>
          <w:spacing w:val="-7"/>
        </w:rPr>
        <w:t>，</w:t>
      </w:r>
      <w:r>
        <w:rPr>
          <w:rFonts w:hint="eastAsia"/>
          <w:color w:val="0000FF"/>
          <w:spacing w:val="-7"/>
          <w:lang w:val="en-US" w:eastAsia="zh-CN"/>
        </w:rPr>
        <w:t>产生的生活废水由</w:t>
      </w:r>
      <w:r>
        <w:rPr>
          <w:rFonts w:hint="eastAsia" w:ascii="宋体" w:hAnsi="宋体" w:eastAsia="宋体" w:cs="宋体"/>
          <w:color w:val="FF0000"/>
          <w:spacing w:val="-1"/>
          <w:sz w:val="24"/>
          <w:szCs w:val="24"/>
          <w:lang w:val="en-US" w:eastAsia="zh-CN"/>
        </w:rPr>
        <w:t>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color w:val="0000FF"/>
        </w:rPr>
        <w:t>。</w:t>
      </w:r>
    </w:p>
    <w:p>
      <w:pPr>
        <w:pStyle w:val="17"/>
        <w:numPr>
          <w:ilvl w:val="0"/>
          <w:numId w:val="0"/>
        </w:numPr>
        <w:tabs>
          <w:tab w:val="left" w:pos="1621"/>
        </w:tabs>
        <w:spacing w:before="3" w:after="0" w:line="240" w:lineRule="auto"/>
        <w:ind w:right="0" w:rightChars="0" w:firstLine="480" w:firstLineChars="200"/>
        <w:jc w:val="left"/>
        <w:rPr>
          <w:color w:val="0000FF"/>
          <w:sz w:val="24"/>
        </w:rPr>
      </w:pPr>
      <w:r>
        <w:rPr>
          <w:rFonts w:hint="eastAsia"/>
          <w:color w:val="0000FF"/>
          <w:sz w:val="24"/>
          <w:lang w:eastAsia="zh-CN"/>
        </w:rPr>
        <w:t>（</w:t>
      </w:r>
      <w:r>
        <w:rPr>
          <w:rFonts w:hint="eastAsia"/>
          <w:color w:val="0000FF"/>
          <w:sz w:val="24"/>
          <w:lang w:val="en-US" w:eastAsia="zh-CN"/>
        </w:rPr>
        <w:t>3</w:t>
      </w:r>
      <w:r>
        <w:rPr>
          <w:rFonts w:hint="eastAsia"/>
          <w:color w:val="0000FF"/>
          <w:sz w:val="24"/>
          <w:lang w:eastAsia="zh-CN"/>
        </w:rPr>
        <w:t>）</w:t>
      </w:r>
      <w:r>
        <w:rPr>
          <w:color w:val="0000FF"/>
          <w:sz w:val="24"/>
        </w:rPr>
        <w:t>噪声</w:t>
      </w:r>
    </w:p>
    <w:p>
      <w:pPr>
        <w:pStyle w:val="7"/>
        <w:spacing w:before="161"/>
        <w:rPr>
          <w:color w:val="0000FF"/>
        </w:rPr>
      </w:pPr>
      <w:r>
        <w:rPr>
          <w:color w:val="0000FF"/>
        </w:rPr>
        <w:t>①施工期</w:t>
      </w:r>
    </w:p>
    <w:p>
      <w:pPr>
        <w:pStyle w:val="7"/>
        <w:spacing w:before="160"/>
        <w:ind w:left="1020"/>
        <w:rPr>
          <w:color w:val="0000FF"/>
        </w:rPr>
      </w:pPr>
      <w:r>
        <w:rPr>
          <w:color w:val="0000FF"/>
        </w:rPr>
        <w:t>本项目施工期厂界噪声执行《建筑施工场界环境噪声排放标准》</w:t>
      </w:r>
    </w:p>
    <w:p>
      <w:pPr>
        <w:pStyle w:val="7"/>
        <w:spacing w:before="161"/>
        <w:rPr>
          <w:color w:val="0000FF"/>
        </w:rPr>
      </w:pPr>
      <w:r>
        <w:rPr>
          <w:color w:val="0000FF"/>
        </w:rPr>
        <w:t>（</w:t>
      </w:r>
      <w:r>
        <w:rPr>
          <w:rFonts w:ascii="Times New Roman" w:eastAsia="Times New Roman"/>
          <w:color w:val="0000FF"/>
        </w:rPr>
        <w:t>GB12523-2011</w:t>
      </w:r>
      <w:r>
        <w:rPr>
          <w:color w:val="0000FF"/>
        </w:rPr>
        <w:t>）。</w:t>
      </w:r>
    </w:p>
    <w:p>
      <w:pPr>
        <w:pStyle w:val="7"/>
        <w:spacing w:before="160"/>
        <w:rPr>
          <w:color w:val="0000FF"/>
        </w:rPr>
      </w:pPr>
      <w:r>
        <w:rPr>
          <w:color w:val="0000FF"/>
        </w:rPr>
        <w:t>②运营期</w:t>
      </w:r>
    </w:p>
    <w:p>
      <w:pPr>
        <w:pStyle w:val="7"/>
        <w:spacing w:before="161" w:line="364" w:lineRule="auto"/>
        <w:ind w:right="405" w:firstLine="480"/>
        <w:rPr>
          <w:color w:val="0000FF"/>
        </w:rPr>
      </w:pPr>
      <w:r>
        <w:rPr>
          <w:color w:val="0000FF"/>
        </w:rPr>
        <w:t>运营期厂界噪声执行《工业企业厂界环境噪声排放标准》（</w:t>
      </w:r>
      <w:r>
        <w:rPr>
          <w:rFonts w:ascii="Times New Roman" w:eastAsia="Times New Roman"/>
          <w:color w:val="0000FF"/>
        </w:rPr>
        <w:t>GB12348-2008</w:t>
      </w:r>
      <w:r>
        <w:rPr>
          <w:color w:val="0000FF"/>
        </w:rPr>
        <w:t>）中</w:t>
      </w:r>
      <w:r>
        <w:rPr>
          <w:rFonts w:ascii="Times New Roman" w:eastAsia="Times New Roman"/>
          <w:color w:val="0000FF"/>
        </w:rPr>
        <w:t>2</w:t>
      </w:r>
      <w:r>
        <w:rPr>
          <w:color w:val="0000FF"/>
        </w:rPr>
        <w:t>类区标准，详见表</w:t>
      </w:r>
      <w:r>
        <w:rPr>
          <w:rFonts w:ascii="Times New Roman" w:eastAsia="Times New Roman"/>
          <w:color w:val="0000FF"/>
        </w:rPr>
        <w:t>2.4-8</w:t>
      </w:r>
      <w:r>
        <w:rPr>
          <w:color w:val="0000FF"/>
        </w:rPr>
        <w:t>。</w:t>
      </w:r>
    </w:p>
    <w:p>
      <w:pPr>
        <w:pStyle w:val="7"/>
        <w:bidi w:val="0"/>
        <w:jc w:val="center"/>
        <w:rPr>
          <w:b/>
          <w:bCs/>
        </w:rPr>
      </w:pPr>
      <w:r>
        <w:rPr>
          <w:b/>
          <w:bCs/>
        </w:rPr>
        <w:t>表2.4-8</w:t>
      </w:r>
      <w:r>
        <w:rPr>
          <w:b/>
          <w:bCs/>
        </w:rPr>
        <w:tab/>
      </w:r>
      <w:r>
        <w:rPr>
          <w:b/>
          <w:bCs/>
        </w:rPr>
        <w:t>噪声排放标准限值</w:t>
      </w:r>
      <w:r>
        <w:rPr>
          <w:b/>
          <w:bCs/>
        </w:rPr>
        <w:tab/>
      </w:r>
      <w:r>
        <w:rPr>
          <w:b/>
          <w:bCs/>
        </w:rPr>
        <w:t>单位：dB（A）</w:t>
      </w:r>
    </w:p>
    <w:tbl>
      <w:tblPr>
        <w:tblStyle w:val="14"/>
        <w:tblW w:w="0" w:type="auto"/>
        <w:tblInd w:w="5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3506"/>
        <w:gridCol w:w="1575"/>
        <w:gridCol w:w="1069"/>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tcPr>
          <w:p>
            <w:pPr>
              <w:pStyle w:val="18"/>
              <w:spacing w:before="28"/>
              <w:ind w:left="142"/>
              <w:jc w:val="left"/>
              <w:rPr>
                <w:b/>
                <w:color w:val="0000FF"/>
                <w:sz w:val="21"/>
              </w:rPr>
            </w:pPr>
            <w:r>
              <w:rPr>
                <w:b/>
                <w:color w:val="0000FF"/>
                <w:sz w:val="21"/>
              </w:rPr>
              <w:t>评价时段</w:t>
            </w:r>
          </w:p>
        </w:tc>
        <w:tc>
          <w:tcPr>
            <w:tcW w:w="3506" w:type="dxa"/>
          </w:tcPr>
          <w:p>
            <w:pPr>
              <w:pStyle w:val="18"/>
              <w:spacing w:before="28"/>
              <w:ind w:left="19" w:right="9"/>
              <w:rPr>
                <w:b/>
                <w:color w:val="0000FF"/>
                <w:sz w:val="21"/>
              </w:rPr>
            </w:pPr>
            <w:r>
              <w:rPr>
                <w:b/>
                <w:color w:val="0000FF"/>
                <w:sz w:val="21"/>
              </w:rPr>
              <w:t>执行标准</w:t>
            </w:r>
          </w:p>
        </w:tc>
        <w:tc>
          <w:tcPr>
            <w:tcW w:w="1575" w:type="dxa"/>
          </w:tcPr>
          <w:p>
            <w:pPr>
              <w:pStyle w:val="18"/>
              <w:spacing w:before="2"/>
              <w:ind w:left="156"/>
              <w:jc w:val="left"/>
              <w:rPr>
                <w:b/>
                <w:color w:val="0000FF"/>
                <w:sz w:val="21"/>
              </w:rPr>
            </w:pPr>
            <w:r>
              <w:rPr>
                <w:b/>
                <w:color w:val="0000FF"/>
                <w:sz w:val="21"/>
              </w:rPr>
              <w:t>声环境功能区</w:t>
            </w:r>
          </w:p>
        </w:tc>
        <w:tc>
          <w:tcPr>
            <w:tcW w:w="1069" w:type="dxa"/>
          </w:tcPr>
          <w:p>
            <w:pPr>
              <w:pStyle w:val="18"/>
              <w:spacing w:before="28"/>
              <w:ind w:left="171" w:right="163"/>
              <w:rPr>
                <w:b/>
                <w:color w:val="0000FF"/>
                <w:sz w:val="21"/>
              </w:rPr>
            </w:pPr>
            <w:r>
              <w:rPr>
                <w:b/>
                <w:color w:val="0000FF"/>
                <w:sz w:val="21"/>
              </w:rPr>
              <w:t>指标</w:t>
            </w:r>
          </w:p>
        </w:tc>
        <w:tc>
          <w:tcPr>
            <w:tcW w:w="1099" w:type="dxa"/>
          </w:tcPr>
          <w:p>
            <w:pPr>
              <w:pStyle w:val="18"/>
              <w:spacing w:before="28"/>
              <w:ind w:left="107" w:right="98"/>
              <w:rPr>
                <w:b/>
                <w:color w:val="0000FF"/>
                <w:sz w:val="21"/>
              </w:rPr>
            </w:pPr>
            <w:r>
              <w:rPr>
                <w:b/>
                <w:color w:val="0000FF"/>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restart"/>
          </w:tcPr>
          <w:p>
            <w:pPr>
              <w:pStyle w:val="18"/>
              <w:spacing w:before="7"/>
              <w:jc w:val="left"/>
              <w:rPr>
                <w:b/>
                <w:color w:val="0000FF"/>
                <w:sz w:val="15"/>
              </w:rPr>
            </w:pPr>
          </w:p>
          <w:p>
            <w:pPr>
              <w:pStyle w:val="18"/>
              <w:ind w:left="248"/>
              <w:jc w:val="left"/>
              <w:rPr>
                <w:color w:val="0000FF"/>
                <w:sz w:val="21"/>
              </w:rPr>
            </w:pPr>
            <w:r>
              <w:rPr>
                <w:color w:val="0000FF"/>
                <w:sz w:val="21"/>
              </w:rPr>
              <w:t>施工期</w:t>
            </w:r>
          </w:p>
        </w:tc>
        <w:tc>
          <w:tcPr>
            <w:tcW w:w="3506" w:type="dxa"/>
            <w:vMerge w:val="restart"/>
          </w:tcPr>
          <w:p>
            <w:pPr>
              <w:pStyle w:val="18"/>
              <w:spacing w:before="77" w:line="255" w:lineRule="exact"/>
              <w:ind w:left="86" w:right="9"/>
              <w:rPr>
                <w:color w:val="0000FF"/>
                <w:sz w:val="21"/>
              </w:rPr>
            </w:pPr>
            <w:r>
              <w:rPr>
                <w:color w:val="0000FF"/>
                <w:sz w:val="21"/>
              </w:rPr>
              <w:t>《建筑施工场界环境噪声排放标准》</w:t>
            </w:r>
          </w:p>
          <w:p>
            <w:pPr>
              <w:pStyle w:val="18"/>
              <w:spacing w:line="255" w:lineRule="exact"/>
              <w:ind w:left="16" w:right="9"/>
              <w:rPr>
                <w:color w:val="0000FF"/>
                <w:sz w:val="21"/>
              </w:rPr>
            </w:pPr>
            <w:r>
              <w:rPr>
                <w:color w:val="0000FF"/>
                <w:sz w:val="21"/>
              </w:rPr>
              <w:t>（</w:t>
            </w:r>
            <w:r>
              <w:rPr>
                <w:rFonts w:ascii="Times New Roman" w:eastAsia="Times New Roman"/>
                <w:color w:val="0000FF"/>
                <w:sz w:val="21"/>
              </w:rPr>
              <w:t>GB12523-2011</w:t>
            </w:r>
            <w:r>
              <w:rPr>
                <w:color w:val="0000FF"/>
                <w:sz w:val="21"/>
              </w:rPr>
              <w:t>）</w:t>
            </w:r>
          </w:p>
        </w:tc>
        <w:tc>
          <w:tcPr>
            <w:tcW w:w="1575" w:type="dxa"/>
            <w:vMerge w:val="restart"/>
          </w:tcPr>
          <w:p>
            <w:pPr>
              <w:pStyle w:val="18"/>
              <w:spacing w:before="7"/>
              <w:jc w:val="left"/>
              <w:rPr>
                <w:b/>
                <w:color w:val="0000FF"/>
                <w:sz w:val="15"/>
              </w:rPr>
            </w:pPr>
          </w:p>
          <w:p>
            <w:pPr>
              <w:pStyle w:val="18"/>
              <w:ind w:left="7"/>
              <w:rPr>
                <w:color w:val="0000FF"/>
                <w:sz w:val="21"/>
              </w:rPr>
            </w:pPr>
            <w:r>
              <w:rPr>
                <w:color w:val="0000FF"/>
                <w:w w:val="99"/>
                <w:sz w:val="21"/>
              </w:rPr>
              <w:t>—</w:t>
            </w:r>
          </w:p>
        </w:tc>
        <w:tc>
          <w:tcPr>
            <w:tcW w:w="1069" w:type="dxa"/>
          </w:tcPr>
          <w:p>
            <w:pPr>
              <w:pStyle w:val="18"/>
              <w:spacing w:before="29"/>
              <w:ind w:left="171" w:right="163"/>
              <w:rPr>
                <w:color w:val="0000FF"/>
                <w:sz w:val="21"/>
              </w:rPr>
            </w:pPr>
            <w:r>
              <w:rPr>
                <w:color w:val="0000FF"/>
                <w:sz w:val="21"/>
              </w:rPr>
              <w:t>昼间</w:t>
            </w:r>
          </w:p>
        </w:tc>
        <w:tc>
          <w:tcPr>
            <w:tcW w:w="1099" w:type="dxa"/>
          </w:tcPr>
          <w:p>
            <w:pPr>
              <w:pStyle w:val="18"/>
              <w:spacing w:before="43"/>
              <w:ind w:left="104" w:right="98"/>
              <w:rPr>
                <w:rFonts w:ascii="Times New Roman"/>
                <w:color w:val="0000FF"/>
                <w:sz w:val="21"/>
              </w:rPr>
            </w:pPr>
            <w:r>
              <w:rPr>
                <w:rFonts w:ascii="Times New Roman"/>
                <w:color w:val="0000FF"/>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continue"/>
            <w:tcBorders>
              <w:top w:val="nil"/>
            </w:tcBorders>
          </w:tcPr>
          <w:p>
            <w:pPr>
              <w:rPr>
                <w:color w:val="0000FF"/>
                <w:sz w:val="2"/>
                <w:szCs w:val="2"/>
              </w:rPr>
            </w:pPr>
          </w:p>
        </w:tc>
        <w:tc>
          <w:tcPr>
            <w:tcW w:w="3506" w:type="dxa"/>
            <w:vMerge w:val="continue"/>
            <w:tcBorders>
              <w:top w:val="nil"/>
            </w:tcBorders>
          </w:tcPr>
          <w:p>
            <w:pPr>
              <w:rPr>
                <w:color w:val="0000FF"/>
                <w:sz w:val="2"/>
                <w:szCs w:val="2"/>
              </w:rPr>
            </w:pPr>
          </w:p>
        </w:tc>
        <w:tc>
          <w:tcPr>
            <w:tcW w:w="1575" w:type="dxa"/>
            <w:vMerge w:val="continue"/>
            <w:tcBorders>
              <w:top w:val="nil"/>
            </w:tcBorders>
          </w:tcPr>
          <w:p>
            <w:pPr>
              <w:rPr>
                <w:color w:val="0000FF"/>
                <w:sz w:val="2"/>
                <w:szCs w:val="2"/>
              </w:rPr>
            </w:pPr>
          </w:p>
        </w:tc>
        <w:tc>
          <w:tcPr>
            <w:tcW w:w="1069" w:type="dxa"/>
          </w:tcPr>
          <w:p>
            <w:pPr>
              <w:pStyle w:val="18"/>
              <w:spacing w:before="30"/>
              <w:ind w:left="171" w:right="163"/>
              <w:rPr>
                <w:color w:val="0000FF"/>
                <w:sz w:val="21"/>
              </w:rPr>
            </w:pPr>
            <w:r>
              <w:rPr>
                <w:color w:val="0000FF"/>
                <w:sz w:val="21"/>
              </w:rPr>
              <w:t>夜间</w:t>
            </w:r>
          </w:p>
        </w:tc>
        <w:tc>
          <w:tcPr>
            <w:tcW w:w="1099" w:type="dxa"/>
          </w:tcPr>
          <w:p>
            <w:pPr>
              <w:pStyle w:val="18"/>
              <w:spacing w:before="44"/>
              <w:ind w:left="104" w:right="98"/>
              <w:rPr>
                <w:rFonts w:ascii="Times New Roman"/>
                <w:color w:val="0000FF"/>
                <w:sz w:val="21"/>
              </w:rPr>
            </w:pPr>
            <w:r>
              <w:rPr>
                <w:rFonts w:ascii="Times New Roman"/>
                <w:color w:val="0000FF"/>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restart"/>
          </w:tcPr>
          <w:p>
            <w:pPr>
              <w:pStyle w:val="18"/>
              <w:spacing w:before="6"/>
              <w:jc w:val="left"/>
              <w:rPr>
                <w:b/>
                <w:color w:val="0000FF"/>
                <w:sz w:val="15"/>
              </w:rPr>
            </w:pPr>
          </w:p>
          <w:p>
            <w:pPr>
              <w:pStyle w:val="18"/>
              <w:ind w:left="248"/>
              <w:jc w:val="left"/>
              <w:rPr>
                <w:color w:val="0000FF"/>
                <w:sz w:val="21"/>
              </w:rPr>
            </w:pPr>
            <w:r>
              <w:rPr>
                <w:color w:val="0000FF"/>
                <w:sz w:val="21"/>
              </w:rPr>
              <w:t>运营期</w:t>
            </w:r>
          </w:p>
        </w:tc>
        <w:tc>
          <w:tcPr>
            <w:tcW w:w="3506" w:type="dxa"/>
            <w:vMerge w:val="restart"/>
          </w:tcPr>
          <w:p>
            <w:pPr>
              <w:pStyle w:val="18"/>
              <w:spacing w:before="76" w:line="255" w:lineRule="exact"/>
              <w:ind w:left="86" w:right="9"/>
              <w:rPr>
                <w:color w:val="0000FF"/>
                <w:sz w:val="21"/>
              </w:rPr>
            </w:pPr>
            <w:r>
              <w:rPr>
                <w:color w:val="0000FF"/>
                <w:sz w:val="21"/>
              </w:rPr>
              <w:t>《工业企业厂界环境噪声排放标准》</w:t>
            </w:r>
          </w:p>
          <w:p>
            <w:pPr>
              <w:pStyle w:val="18"/>
              <w:spacing w:line="255" w:lineRule="exact"/>
              <w:ind w:left="16" w:right="9"/>
              <w:rPr>
                <w:color w:val="0000FF"/>
                <w:sz w:val="21"/>
              </w:rPr>
            </w:pPr>
            <w:r>
              <w:rPr>
                <w:color w:val="0000FF"/>
                <w:sz w:val="21"/>
              </w:rPr>
              <w:t>（</w:t>
            </w:r>
            <w:r>
              <w:rPr>
                <w:rFonts w:ascii="Times New Roman" w:eastAsia="Times New Roman"/>
                <w:color w:val="0000FF"/>
                <w:sz w:val="21"/>
              </w:rPr>
              <w:t>GB12348-2008</w:t>
            </w:r>
            <w:r>
              <w:rPr>
                <w:color w:val="0000FF"/>
                <w:sz w:val="21"/>
              </w:rPr>
              <w:t>）</w:t>
            </w:r>
          </w:p>
        </w:tc>
        <w:tc>
          <w:tcPr>
            <w:tcW w:w="1575" w:type="dxa"/>
            <w:vMerge w:val="restart"/>
          </w:tcPr>
          <w:p>
            <w:pPr>
              <w:pStyle w:val="18"/>
              <w:spacing w:before="6"/>
              <w:jc w:val="left"/>
              <w:rPr>
                <w:b/>
                <w:color w:val="0000FF"/>
                <w:sz w:val="15"/>
              </w:rPr>
            </w:pPr>
          </w:p>
          <w:p>
            <w:pPr>
              <w:pStyle w:val="18"/>
              <w:ind w:left="608" w:right="601"/>
              <w:rPr>
                <w:color w:val="0000FF"/>
                <w:sz w:val="21"/>
              </w:rPr>
            </w:pPr>
            <w:r>
              <w:rPr>
                <w:rFonts w:ascii="Times New Roman" w:eastAsia="Times New Roman"/>
                <w:color w:val="0000FF"/>
                <w:sz w:val="21"/>
              </w:rPr>
              <w:t>2</w:t>
            </w:r>
            <w:r>
              <w:rPr>
                <w:color w:val="0000FF"/>
                <w:sz w:val="21"/>
              </w:rPr>
              <w:t>类</w:t>
            </w:r>
          </w:p>
        </w:tc>
        <w:tc>
          <w:tcPr>
            <w:tcW w:w="1069" w:type="dxa"/>
          </w:tcPr>
          <w:p>
            <w:pPr>
              <w:pStyle w:val="18"/>
              <w:spacing w:before="28"/>
              <w:ind w:left="171" w:right="163"/>
              <w:rPr>
                <w:color w:val="0000FF"/>
                <w:sz w:val="21"/>
              </w:rPr>
            </w:pPr>
            <w:r>
              <w:rPr>
                <w:color w:val="0000FF"/>
                <w:sz w:val="21"/>
              </w:rPr>
              <w:t>昼间</w:t>
            </w:r>
          </w:p>
        </w:tc>
        <w:tc>
          <w:tcPr>
            <w:tcW w:w="1099" w:type="dxa"/>
          </w:tcPr>
          <w:p>
            <w:pPr>
              <w:pStyle w:val="18"/>
              <w:spacing w:before="44"/>
              <w:ind w:left="104" w:right="98"/>
              <w:rPr>
                <w:rFonts w:ascii="Times New Roman"/>
                <w:color w:val="0000FF"/>
                <w:sz w:val="21"/>
              </w:rPr>
            </w:pPr>
            <w:r>
              <w:rPr>
                <w:rFonts w:ascii="Times New Roman"/>
                <w:color w:val="0000FF"/>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continue"/>
            <w:tcBorders>
              <w:top w:val="nil"/>
            </w:tcBorders>
          </w:tcPr>
          <w:p>
            <w:pPr>
              <w:rPr>
                <w:color w:val="0000FF"/>
                <w:sz w:val="2"/>
                <w:szCs w:val="2"/>
              </w:rPr>
            </w:pPr>
          </w:p>
        </w:tc>
        <w:tc>
          <w:tcPr>
            <w:tcW w:w="3506" w:type="dxa"/>
            <w:vMerge w:val="continue"/>
            <w:tcBorders>
              <w:top w:val="nil"/>
            </w:tcBorders>
          </w:tcPr>
          <w:p>
            <w:pPr>
              <w:rPr>
                <w:color w:val="0000FF"/>
                <w:sz w:val="2"/>
                <w:szCs w:val="2"/>
              </w:rPr>
            </w:pPr>
          </w:p>
        </w:tc>
        <w:tc>
          <w:tcPr>
            <w:tcW w:w="1575" w:type="dxa"/>
            <w:vMerge w:val="continue"/>
            <w:tcBorders>
              <w:top w:val="nil"/>
            </w:tcBorders>
          </w:tcPr>
          <w:p>
            <w:pPr>
              <w:rPr>
                <w:color w:val="0000FF"/>
                <w:sz w:val="2"/>
                <w:szCs w:val="2"/>
              </w:rPr>
            </w:pPr>
          </w:p>
        </w:tc>
        <w:tc>
          <w:tcPr>
            <w:tcW w:w="1069" w:type="dxa"/>
          </w:tcPr>
          <w:p>
            <w:pPr>
              <w:pStyle w:val="18"/>
              <w:spacing w:before="29"/>
              <w:ind w:left="171" w:right="163"/>
              <w:rPr>
                <w:color w:val="0000FF"/>
                <w:sz w:val="21"/>
              </w:rPr>
            </w:pPr>
            <w:r>
              <w:rPr>
                <w:color w:val="0000FF"/>
                <w:sz w:val="21"/>
              </w:rPr>
              <w:t>夜间</w:t>
            </w:r>
          </w:p>
        </w:tc>
        <w:tc>
          <w:tcPr>
            <w:tcW w:w="1099" w:type="dxa"/>
          </w:tcPr>
          <w:p>
            <w:pPr>
              <w:pStyle w:val="18"/>
              <w:spacing w:before="43"/>
              <w:ind w:left="104" w:right="98"/>
              <w:rPr>
                <w:rFonts w:ascii="Times New Roman"/>
                <w:color w:val="0000FF"/>
                <w:sz w:val="21"/>
              </w:rPr>
            </w:pPr>
            <w:r>
              <w:rPr>
                <w:rFonts w:ascii="Times New Roman"/>
                <w:color w:val="0000FF"/>
                <w:sz w:val="21"/>
              </w:rPr>
              <w:t>50</w:t>
            </w:r>
          </w:p>
        </w:tc>
      </w:tr>
    </w:tbl>
    <w:p>
      <w:pPr>
        <w:pStyle w:val="7"/>
        <w:spacing w:before="7"/>
        <w:ind w:left="0"/>
        <w:rPr>
          <w:b/>
          <w:color w:val="0000FF"/>
          <w:sz w:val="18"/>
        </w:rPr>
      </w:pPr>
    </w:p>
    <w:p>
      <w:pPr>
        <w:pStyle w:val="17"/>
        <w:numPr>
          <w:ilvl w:val="0"/>
          <w:numId w:val="0"/>
        </w:numPr>
        <w:tabs>
          <w:tab w:val="left" w:pos="1621"/>
        </w:tabs>
        <w:spacing w:before="0" w:after="0" w:line="240" w:lineRule="auto"/>
        <w:ind w:right="0" w:rightChars="0" w:firstLine="480" w:firstLineChars="200"/>
        <w:jc w:val="left"/>
        <w:rPr>
          <w:color w:val="0000FF"/>
          <w:sz w:val="24"/>
        </w:rPr>
      </w:pPr>
      <w:r>
        <w:rPr>
          <w:rFonts w:hint="eastAsia"/>
          <w:color w:val="0000FF"/>
          <w:sz w:val="24"/>
          <w:lang w:eastAsia="zh-CN"/>
        </w:rPr>
        <w:t>（</w:t>
      </w:r>
      <w:r>
        <w:rPr>
          <w:rFonts w:hint="eastAsia"/>
          <w:color w:val="0000FF"/>
          <w:sz w:val="24"/>
          <w:lang w:val="en-US" w:eastAsia="zh-CN"/>
        </w:rPr>
        <w:t>4</w:t>
      </w:r>
      <w:r>
        <w:rPr>
          <w:rFonts w:hint="eastAsia"/>
          <w:color w:val="0000FF"/>
          <w:sz w:val="24"/>
          <w:lang w:eastAsia="zh-CN"/>
        </w:rPr>
        <w:t>）</w:t>
      </w:r>
      <w:r>
        <w:rPr>
          <w:color w:val="0000FF"/>
          <w:sz w:val="24"/>
        </w:rPr>
        <w:t>固体废物</w:t>
      </w:r>
    </w:p>
    <w:p>
      <w:pPr>
        <w:pStyle w:val="7"/>
        <w:spacing w:before="160"/>
        <w:jc w:val="both"/>
        <w:rPr>
          <w:color w:val="0000FF"/>
        </w:rPr>
      </w:pPr>
      <w:r>
        <w:rPr>
          <w:color w:val="0000FF"/>
        </w:rPr>
        <w:t>①施工期</w:t>
      </w:r>
    </w:p>
    <w:p>
      <w:pPr>
        <w:pStyle w:val="7"/>
        <w:spacing w:before="161" w:line="364" w:lineRule="auto"/>
        <w:ind w:right="455" w:firstLine="480"/>
        <w:jc w:val="both"/>
        <w:rPr>
          <w:color w:val="0000FF"/>
        </w:rPr>
      </w:pPr>
      <w:r>
        <w:rPr>
          <w:color w:val="0000FF"/>
          <w:spacing w:val="-5"/>
        </w:rPr>
        <w:t>施工期一般工业固体废物在场区贮储存执行《一般工业固体废物贮存、处置</w:t>
      </w:r>
      <w:r>
        <w:rPr>
          <w:color w:val="0000FF"/>
          <w:spacing w:val="-7"/>
        </w:rPr>
        <w:t>场污染控制标准》</w:t>
      </w:r>
      <w:r>
        <w:rPr>
          <w:color w:val="0000FF"/>
        </w:rPr>
        <w:t>（</w:t>
      </w:r>
      <w:r>
        <w:rPr>
          <w:rFonts w:ascii="Times New Roman" w:eastAsia="Times New Roman"/>
          <w:color w:val="0000FF"/>
        </w:rPr>
        <w:t>GB18599-2001</w:t>
      </w:r>
      <w:r>
        <w:rPr>
          <w:color w:val="0000FF"/>
        </w:rPr>
        <w:t>）</w:t>
      </w:r>
      <w:r>
        <w:rPr>
          <w:color w:val="0000FF"/>
          <w:spacing w:val="-3"/>
        </w:rPr>
        <w:t>及《关于发布</w:t>
      </w:r>
      <w:r>
        <w:rPr>
          <w:rFonts w:ascii="Times New Roman" w:eastAsia="Times New Roman"/>
          <w:color w:val="0000FF"/>
        </w:rPr>
        <w:t>&lt;</w:t>
      </w:r>
      <w:r>
        <w:rPr>
          <w:color w:val="0000FF"/>
          <w:spacing w:val="-1"/>
        </w:rPr>
        <w:t>一般工业固体废物贮存、处置场污染控制标准</w:t>
      </w:r>
      <w:r>
        <w:rPr>
          <w:rFonts w:ascii="Times New Roman" w:eastAsia="Times New Roman"/>
          <w:color w:val="0000FF"/>
          <w:spacing w:val="-11"/>
        </w:rPr>
        <w:t>&gt;</w:t>
      </w:r>
      <w:r>
        <w:rPr>
          <w:color w:val="0000FF"/>
          <w:spacing w:val="-11"/>
        </w:rPr>
        <w:t>（</w:t>
      </w:r>
      <w:r>
        <w:rPr>
          <w:rFonts w:ascii="Times New Roman" w:eastAsia="Times New Roman"/>
          <w:color w:val="0000FF"/>
          <w:spacing w:val="-11"/>
        </w:rPr>
        <w:t>GB18599-2001</w:t>
      </w:r>
      <w:r>
        <w:rPr>
          <w:color w:val="0000FF"/>
          <w:spacing w:val="-11"/>
        </w:rPr>
        <w:t>）</w:t>
      </w:r>
      <w:r>
        <w:rPr>
          <w:color w:val="0000FF"/>
          <w:spacing w:val="-30"/>
        </w:rPr>
        <w:t>等</w:t>
      </w:r>
      <w:r>
        <w:rPr>
          <w:rFonts w:ascii="Times New Roman" w:eastAsia="Times New Roman"/>
          <w:color w:val="0000FF"/>
        </w:rPr>
        <w:t>3</w:t>
      </w:r>
      <w:r>
        <w:rPr>
          <w:color w:val="0000FF"/>
          <w:spacing w:val="-1"/>
        </w:rPr>
        <w:t>项国家污染物控制标准修改单的公告》</w:t>
      </w:r>
    </w:p>
    <w:p>
      <w:pPr>
        <w:pStyle w:val="7"/>
        <w:spacing w:before="2"/>
        <w:jc w:val="both"/>
        <w:rPr>
          <w:color w:val="0000FF"/>
        </w:rPr>
      </w:pPr>
      <w:r>
        <w:rPr>
          <w:color w:val="0000FF"/>
        </w:rPr>
        <w:t>（环境保护部</w:t>
      </w:r>
      <w:r>
        <w:rPr>
          <w:rFonts w:ascii="Times New Roman" w:eastAsia="Times New Roman"/>
          <w:color w:val="0000FF"/>
        </w:rPr>
        <w:t>2013</w:t>
      </w:r>
      <w:r>
        <w:rPr>
          <w:color w:val="0000FF"/>
        </w:rPr>
        <w:t>年第</w:t>
      </w:r>
      <w:r>
        <w:rPr>
          <w:rFonts w:ascii="Times New Roman" w:eastAsia="Times New Roman"/>
          <w:color w:val="0000FF"/>
        </w:rPr>
        <w:t>36</w:t>
      </w:r>
      <w:r>
        <w:rPr>
          <w:color w:val="0000FF"/>
        </w:rPr>
        <w:t>号公告）中的相关规定。</w:t>
      </w:r>
    </w:p>
    <w:p>
      <w:pPr>
        <w:pStyle w:val="7"/>
        <w:spacing w:before="160"/>
        <w:rPr>
          <w:color w:val="0000FF"/>
        </w:rPr>
      </w:pPr>
      <w:r>
        <w:rPr>
          <w:color w:val="0000FF"/>
        </w:rPr>
        <w:t>②运营期</w:t>
      </w:r>
    </w:p>
    <w:p>
      <w:pPr>
        <w:pStyle w:val="7"/>
        <w:spacing w:before="161" w:line="364" w:lineRule="auto"/>
        <w:ind w:right="577" w:firstLine="480"/>
        <w:rPr>
          <w:color w:val="0000FF"/>
        </w:rPr>
      </w:pPr>
      <w:r>
        <w:rPr>
          <w:color w:val="0000FF"/>
          <w:spacing w:val="-6"/>
        </w:rPr>
        <w:t>本项目产生的固体废物主要为羊粪、病死羊及分娩物、医疗废物和生活垃圾</w:t>
      </w:r>
      <w:r>
        <w:rPr>
          <w:color w:val="0000FF"/>
        </w:rPr>
        <w:t>等。</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firstLine="480" w:firstLineChars="200"/>
        <w:jc w:val="left"/>
        <w:textAlignment w:val="auto"/>
        <w:rPr>
          <w:color w:val="0000FF"/>
        </w:rPr>
      </w:pPr>
      <w:r>
        <w:rPr>
          <w:color w:val="0000FF"/>
        </w:rPr>
        <w:t>羊粪、粪渣：《畜禽养殖业污染物排放标准》（GB18596-2001）中规定用于直接还田的畜禽粪便，必须进行无害化处理。经无害化处理后的废渣应符合表2.4-9的规定。</w:t>
      </w:r>
    </w:p>
    <w:p>
      <w:pPr>
        <w:pStyle w:val="7"/>
        <w:bidi w:val="0"/>
        <w:jc w:val="center"/>
        <w:rPr>
          <w:b/>
          <w:bCs/>
        </w:rPr>
      </w:pPr>
      <w:r>
        <w:rPr>
          <w:b/>
          <w:bCs/>
        </w:rPr>
        <w:t>表2.4-9</w:t>
      </w:r>
      <w:r>
        <w:rPr>
          <w:b/>
          <w:bCs/>
        </w:rPr>
        <w:tab/>
      </w:r>
      <w:r>
        <w:rPr>
          <w:b/>
          <w:bCs/>
        </w:rPr>
        <w:t>畜禽养殖业废渣无害化环境标准</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3750"/>
        <w:gridCol w:w="3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8"/>
              <w:spacing w:before="33"/>
              <w:ind w:left="234" w:right="225"/>
              <w:rPr>
                <w:b/>
                <w:sz w:val="21"/>
              </w:rPr>
            </w:pPr>
            <w:r>
              <w:rPr>
                <w:b/>
                <w:sz w:val="21"/>
              </w:rPr>
              <w:t>序号</w:t>
            </w:r>
          </w:p>
        </w:tc>
        <w:tc>
          <w:tcPr>
            <w:tcW w:w="3750" w:type="dxa"/>
          </w:tcPr>
          <w:p>
            <w:pPr>
              <w:pStyle w:val="18"/>
              <w:spacing w:before="33"/>
              <w:ind w:left="1224" w:right="1214"/>
              <w:rPr>
                <w:b/>
                <w:sz w:val="21"/>
              </w:rPr>
            </w:pPr>
            <w:r>
              <w:rPr>
                <w:b/>
                <w:sz w:val="21"/>
              </w:rPr>
              <w:t>控制项目</w:t>
            </w:r>
          </w:p>
        </w:tc>
        <w:tc>
          <w:tcPr>
            <w:tcW w:w="3416" w:type="dxa"/>
          </w:tcPr>
          <w:p>
            <w:pPr>
              <w:pStyle w:val="18"/>
              <w:spacing w:before="33"/>
              <w:ind w:left="1075" w:right="1064"/>
              <w:rPr>
                <w:b/>
                <w:sz w:val="21"/>
              </w:rPr>
            </w:pPr>
            <w:r>
              <w:rPr>
                <w:b/>
                <w:sz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8"/>
              <w:spacing w:before="50"/>
              <w:ind w:left="6"/>
              <w:rPr>
                <w:rFonts w:ascii="Times New Roman"/>
                <w:sz w:val="21"/>
              </w:rPr>
            </w:pPr>
            <w:r>
              <w:rPr>
                <w:rFonts w:ascii="Times New Roman"/>
                <w:w w:val="99"/>
                <w:sz w:val="21"/>
              </w:rPr>
              <w:t>1</w:t>
            </w:r>
          </w:p>
        </w:tc>
        <w:tc>
          <w:tcPr>
            <w:tcW w:w="3750" w:type="dxa"/>
          </w:tcPr>
          <w:p>
            <w:pPr>
              <w:pStyle w:val="18"/>
              <w:spacing w:before="33"/>
              <w:ind w:left="1224" w:right="1216"/>
              <w:rPr>
                <w:sz w:val="21"/>
              </w:rPr>
            </w:pPr>
            <w:r>
              <w:rPr>
                <w:sz w:val="21"/>
              </w:rPr>
              <w:t>蛔虫卵</w:t>
            </w:r>
          </w:p>
        </w:tc>
        <w:tc>
          <w:tcPr>
            <w:tcW w:w="3416" w:type="dxa"/>
          </w:tcPr>
          <w:p>
            <w:pPr>
              <w:pStyle w:val="18"/>
              <w:spacing w:before="33"/>
              <w:ind w:left="1075" w:right="1065"/>
              <w:rPr>
                <w:rFonts w:ascii="Times New Roman" w:hAnsi="Times New Roman" w:eastAsia="Times New Roman"/>
                <w:sz w:val="21"/>
              </w:rPr>
            </w:pPr>
            <w:r>
              <w:rPr>
                <w:sz w:val="21"/>
              </w:rPr>
              <w:t>死亡率≥</w:t>
            </w:r>
            <w:r>
              <w:rPr>
                <w:rFonts w:ascii="Times New Roman" w:hAnsi="Times New Roman" w:eastAsia="Times New Roman"/>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8"/>
              <w:spacing w:before="48"/>
              <w:ind w:left="6"/>
              <w:rPr>
                <w:rFonts w:ascii="Times New Roman"/>
                <w:sz w:val="21"/>
              </w:rPr>
            </w:pPr>
            <w:r>
              <w:rPr>
                <w:rFonts w:ascii="Times New Roman"/>
                <w:w w:val="99"/>
                <w:sz w:val="21"/>
              </w:rPr>
              <w:t>2</w:t>
            </w:r>
          </w:p>
        </w:tc>
        <w:tc>
          <w:tcPr>
            <w:tcW w:w="3750" w:type="dxa"/>
          </w:tcPr>
          <w:p>
            <w:pPr>
              <w:pStyle w:val="18"/>
              <w:spacing w:before="34"/>
              <w:ind w:left="1224" w:right="1216"/>
              <w:rPr>
                <w:sz w:val="21"/>
              </w:rPr>
            </w:pPr>
            <w:r>
              <w:rPr>
                <w:sz w:val="21"/>
              </w:rPr>
              <w:t>粪大肠菌群数</w:t>
            </w:r>
          </w:p>
        </w:tc>
        <w:tc>
          <w:tcPr>
            <w:tcW w:w="3416" w:type="dxa"/>
          </w:tcPr>
          <w:p>
            <w:pPr>
              <w:pStyle w:val="18"/>
              <w:spacing w:before="34"/>
              <w:ind w:left="1072" w:right="1065"/>
              <w:rPr>
                <w:rFonts w:ascii="Times New Roman" w:hAnsi="Times New Roman" w:eastAsia="Times New Roman"/>
                <w:sz w:val="21"/>
              </w:rPr>
            </w:pPr>
            <w:r>
              <w:rPr>
                <w:sz w:val="21"/>
              </w:rPr>
              <w:t>≤</w:t>
            </w:r>
            <w:r>
              <w:rPr>
                <w:rFonts w:ascii="Times New Roman" w:hAnsi="Times New Roman" w:eastAsia="Times New Roman"/>
                <w:sz w:val="21"/>
              </w:rPr>
              <w:t>10</w:t>
            </w:r>
            <w:r>
              <w:rPr>
                <w:rFonts w:ascii="Times New Roman" w:hAnsi="Times New Roman" w:eastAsia="Times New Roman"/>
                <w:position w:val="7"/>
                <w:sz w:val="13"/>
              </w:rPr>
              <w:t>5</w:t>
            </w:r>
            <w:r>
              <w:rPr>
                <w:sz w:val="21"/>
              </w:rPr>
              <w:t>个</w:t>
            </w:r>
            <w:r>
              <w:rPr>
                <w:rFonts w:ascii="Times New Roman" w:hAnsi="Times New Roman" w:eastAsia="Times New Roman"/>
                <w:sz w:val="21"/>
              </w:rPr>
              <w:t>/kg</w:t>
            </w:r>
          </w:p>
        </w:tc>
      </w:tr>
    </w:tbl>
    <w:p>
      <w:pPr>
        <w:pStyle w:val="7"/>
        <w:spacing w:before="81" w:line="364" w:lineRule="auto"/>
        <w:ind w:right="457" w:firstLine="480"/>
        <w:jc w:val="both"/>
        <w:rPr>
          <w:color w:val="0000FF"/>
        </w:rPr>
      </w:pPr>
      <w:r>
        <w:rPr>
          <w:color w:val="0000FF"/>
        </w:rPr>
        <w:t>《畜禽养殖业污染防治技术规范》（</w:t>
      </w:r>
      <w:r>
        <w:rPr>
          <w:rFonts w:ascii="Times New Roman" w:eastAsia="Times New Roman"/>
          <w:color w:val="0000FF"/>
        </w:rPr>
        <w:t>HJ/T81-2001</w:t>
      </w:r>
      <w:r>
        <w:rPr>
          <w:color w:val="0000FF"/>
        </w:rPr>
        <w:t>）中规定畜禽粪便必须经</w:t>
      </w:r>
      <w:r>
        <w:rPr>
          <w:color w:val="0000FF"/>
          <w:spacing w:val="-3"/>
        </w:rPr>
        <w:t>过无害化处理，并且须符合《粪便无害化卫生要求》</w:t>
      </w:r>
      <w:r>
        <w:rPr>
          <w:color w:val="0000FF"/>
        </w:rPr>
        <w:t>（</w:t>
      </w:r>
      <w:r>
        <w:rPr>
          <w:rFonts w:ascii="Times New Roman" w:eastAsia="Times New Roman"/>
          <w:color w:val="0000FF"/>
        </w:rPr>
        <w:t>GB7959-2012</w:t>
      </w:r>
      <w:r>
        <w:rPr>
          <w:color w:val="0000FF"/>
        </w:rPr>
        <w:t>）</w:t>
      </w:r>
      <w:r>
        <w:rPr>
          <w:color w:val="0000FF"/>
          <w:spacing w:val="-2"/>
        </w:rPr>
        <w:t>后，才能</w:t>
      </w:r>
      <w:r>
        <w:rPr>
          <w:color w:val="0000FF"/>
          <w:spacing w:val="-9"/>
        </w:rPr>
        <w:t>进行土地利用，禁止未经处理的畜禽粪便直接施入农田</w:t>
      </w:r>
      <w:r>
        <w:rPr>
          <w:color w:val="0000FF"/>
          <w:spacing w:val="-16"/>
        </w:rPr>
        <w:t>，《粪便无害化卫生要求》</w:t>
      </w:r>
    </w:p>
    <w:p>
      <w:pPr>
        <w:pStyle w:val="7"/>
        <w:spacing w:before="2"/>
        <w:rPr>
          <w:color w:val="0000FF"/>
        </w:rPr>
      </w:pPr>
      <w:r>
        <w:rPr>
          <w:color w:val="0000FF"/>
        </w:rPr>
        <w:t>（</w:t>
      </w:r>
      <w:r>
        <w:rPr>
          <w:rFonts w:ascii="Times New Roman" w:eastAsia="Times New Roman"/>
          <w:color w:val="0000FF"/>
        </w:rPr>
        <w:t>GB7959-2012</w:t>
      </w:r>
      <w:r>
        <w:rPr>
          <w:color w:val="0000FF"/>
        </w:rPr>
        <w:t>）中的有关规定具体见表</w:t>
      </w:r>
      <w:r>
        <w:rPr>
          <w:rFonts w:ascii="Times New Roman" w:eastAsia="Times New Roman"/>
          <w:color w:val="0000FF"/>
        </w:rPr>
        <w:t>2.4-10</w:t>
      </w:r>
      <w:r>
        <w:rPr>
          <w:color w:val="0000FF"/>
        </w:rPr>
        <w:t>。</w:t>
      </w:r>
    </w:p>
    <w:p>
      <w:pPr>
        <w:pStyle w:val="7"/>
        <w:spacing w:before="6"/>
        <w:ind w:left="0"/>
        <w:rPr>
          <w:color w:val="0000FF"/>
          <w:sz w:val="18"/>
        </w:rPr>
      </w:pPr>
    </w:p>
    <w:p>
      <w:pPr>
        <w:pStyle w:val="7"/>
        <w:bidi w:val="0"/>
        <w:jc w:val="center"/>
        <w:rPr>
          <w:b/>
          <w:bCs/>
        </w:rPr>
      </w:pPr>
      <w:r>
        <w:rPr>
          <w:b/>
          <w:bCs/>
        </w:rPr>
        <w:t>表2.4-10</w:t>
      </w:r>
      <w:r>
        <w:rPr>
          <w:b/>
          <w:bCs/>
        </w:rPr>
        <w:tab/>
      </w:r>
      <w:r>
        <w:rPr>
          <w:b/>
          <w:bCs/>
        </w:rPr>
        <w:t>好氧发酵（高温堆肥）的卫生要求</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8"/>
        <w:gridCol w:w="1819"/>
        <w:gridCol w:w="2861"/>
        <w:gridCol w:w="2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978" w:type="dxa"/>
          </w:tcPr>
          <w:p>
            <w:pPr>
              <w:pStyle w:val="18"/>
              <w:spacing w:before="34"/>
              <w:ind w:left="257" w:right="249"/>
              <w:rPr>
                <w:b/>
                <w:color w:val="0000FF"/>
                <w:sz w:val="21"/>
              </w:rPr>
            </w:pPr>
            <w:r>
              <w:rPr>
                <w:b/>
                <w:color w:val="0000FF"/>
                <w:sz w:val="21"/>
              </w:rPr>
              <w:t>序号</w:t>
            </w:r>
          </w:p>
        </w:tc>
        <w:tc>
          <w:tcPr>
            <w:tcW w:w="1819" w:type="dxa"/>
          </w:tcPr>
          <w:p>
            <w:pPr>
              <w:pStyle w:val="18"/>
              <w:spacing w:before="34"/>
              <w:ind w:left="256" w:right="247"/>
              <w:rPr>
                <w:b/>
                <w:color w:val="0000FF"/>
                <w:sz w:val="21"/>
              </w:rPr>
            </w:pPr>
            <w:r>
              <w:rPr>
                <w:b/>
                <w:color w:val="0000FF"/>
                <w:sz w:val="21"/>
              </w:rPr>
              <w:t>项目</w:t>
            </w:r>
          </w:p>
        </w:tc>
        <w:tc>
          <w:tcPr>
            <w:tcW w:w="5725" w:type="dxa"/>
            <w:gridSpan w:val="2"/>
          </w:tcPr>
          <w:p>
            <w:pPr>
              <w:pStyle w:val="18"/>
              <w:spacing w:before="34"/>
              <w:ind w:left="2420" w:right="2409"/>
              <w:rPr>
                <w:b/>
                <w:color w:val="0000FF"/>
                <w:sz w:val="21"/>
              </w:rPr>
            </w:pPr>
            <w:r>
              <w:rPr>
                <w:b/>
                <w:color w:val="0000FF"/>
                <w:sz w:val="21"/>
              </w:rPr>
              <w:t>卫生要求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restart"/>
          </w:tcPr>
          <w:p>
            <w:pPr>
              <w:pStyle w:val="18"/>
              <w:spacing w:before="1"/>
              <w:jc w:val="left"/>
              <w:rPr>
                <w:b/>
                <w:color w:val="0000FF"/>
                <w:sz w:val="31"/>
              </w:rPr>
            </w:pPr>
          </w:p>
          <w:p>
            <w:pPr>
              <w:pStyle w:val="18"/>
              <w:ind w:left="9"/>
              <w:rPr>
                <w:rFonts w:ascii="Times New Roman"/>
                <w:color w:val="0000FF"/>
                <w:sz w:val="21"/>
              </w:rPr>
            </w:pPr>
            <w:r>
              <w:rPr>
                <w:rFonts w:ascii="Times New Roman"/>
                <w:color w:val="0000FF"/>
                <w:w w:val="99"/>
                <w:sz w:val="21"/>
              </w:rPr>
              <w:t>1</w:t>
            </w:r>
          </w:p>
        </w:tc>
        <w:tc>
          <w:tcPr>
            <w:tcW w:w="1819" w:type="dxa"/>
            <w:vMerge w:val="restart"/>
          </w:tcPr>
          <w:p>
            <w:pPr>
              <w:pStyle w:val="18"/>
              <w:jc w:val="left"/>
              <w:rPr>
                <w:b/>
                <w:color w:val="0000FF"/>
                <w:sz w:val="20"/>
              </w:rPr>
            </w:pPr>
          </w:p>
          <w:p>
            <w:pPr>
              <w:pStyle w:val="18"/>
              <w:spacing w:before="128"/>
              <w:ind w:left="173"/>
              <w:jc w:val="left"/>
              <w:rPr>
                <w:color w:val="0000FF"/>
                <w:sz w:val="21"/>
              </w:rPr>
            </w:pPr>
            <w:r>
              <w:rPr>
                <w:color w:val="0000FF"/>
                <w:sz w:val="21"/>
              </w:rPr>
              <w:t>温度与持续时间</w:t>
            </w:r>
          </w:p>
        </w:tc>
        <w:tc>
          <w:tcPr>
            <w:tcW w:w="2861" w:type="dxa"/>
            <w:vMerge w:val="restart"/>
          </w:tcPr>
          <w:p>
            <w:pPr>
              <w:pStyle w:val="18"/>
              <w:spacing w:before="4"/>
              <w:jc w:val="left"/>
              <w:rPr>
                <w:b/>
                <w:color w:val="0000FF"/>
                <w:sz w:val="16"/>
              </w:rPr>
            </w:pPr>
          </w:p>
          <w:p>
            <w:pPr>
              <w:pStyle w:val="18"/>
              <w:ind w:left="1199" w:right="1192"/>
              <w:rPr>
                <w:color w:val="0000FF"/>
                <w:sz w:val="21"/>
              </w:rPr>
            </w:pPr>
            <w:r>
              <w:rPr>
                <w:color w:val="0000FF"/>
                <w:sz w:val="21"/>
              </w:rPr>
              <w:t>人工</w:t>
            </w:r>
          </w:p>
        </w:tc>
        <w:tc>
          <w:tcPr>
            <w:tcW w:w="2864" w:type="dxa"/>
          </w:tcPr>
          <w:p>
            <w:pPr>
              <w:pStyle w:val="18"/>
              <w:spacing w:before="34"/>
              <w:ind w:right="185"/>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50</w:t>
            </w:r>
            <w:r>
              <w:rPr>
                <w:color w:val="0000FF"/>
                <w:sz w:val="21"/>
              </w:rPr>
              <w:t>℃，至少持续</w:t>
            </w:r>
            <w:r>
              <w:rPr>
                <w:rFonts w:ascii="Times New Roman" w:hAnsi="Times New Roman" w:eastAsia="Times New Roman"/>
                <w:color w:val="0000FF"/>
                <w:sz w:val="21"/>
              </w:rPr>
              <w:t>10d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continue"/>
            <w:tcBorders>
              <w:top w:val="nil"/>
            </w:tcBorders>
          </w:tcPr>
          <w:p>
            <w:pPr>
              <w:rPr>
                <w:color w:val="0000FF"/>
                <w:sz w:val="2"/>
                <w:szCs w:val="2"/>
              </w:rPr>
            </w:pPr>
          </w:p>
        </w:tc>
        <w:tc>
          <w:tcPr>
            <w:tcW w:w="1819" w:type="dxa"/>
            <w:vMerge w:val="continue"/>
            <w:tcBorders>
              <w:top w:val="nil"/>
            </w:tcBorders>
          </w:tcPr>
          <w:p>
            <w:pPr>
              <w:rPr>
                <w:color w:val="0000FF"/>
                <w:sz w:val="2"/>
                <w:szCs w:val="2"/>
              </w:rPr>
            </w:pPr>
          </w:p>
        </w:tc>
        <w:tc>
          <w:tcPr>
            <w:tcW w:w="2861" w:type="dxa"/>
            <w:vMerge w:val="continue"/>
            <w:tcBorders>
              <w:top w:val="nil"/>
            </w:tcBorders>
          </w:tcPr>
          <w:p>
            <w:pPr>
              <w:rPr>
                <w:color w:val="0000FF"/>
                <w:sz w:val="2"/>
                <w:szCs w:val="2"/>
              </w:rPr>
            </w:pPr>
          </w:p>
        </w:tc>
        <w:tc>
          <w:tcPr>
            <w:tcW w:w="2864" w:type="dxa"/>
          </w:tcPr>
          <w:p>
            <w:pPr>
              <w:pStyle w:val="18"/>
              <w:spacing w:before="34"/>
              <w:ind w:right="238"/>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60</w:t>
            </w:r>
            <w:r>
              <w:rPr>
                <w:color w:val="0000FF"/>
                <w:sz w:val="21"/>
              </w:rPr>
              <w:t>℃，至少持续</w:t>
            </w:r>
            <w:r>
              <w:rPr>
                <w:rFonts w:ascii="Times New Roman" w:hAnsi="Times New Roman" w:eastAsia="Times New Roman"/>
                <w:color w:val="0000FF"/>
                <w:sz w:val="21"/>
              </w:rPr>
              <w:t>5d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continue"/>
            <w:tcBorders>
              <w:top w:val="nil"/>
            </w:tcBorders>
          </w:tcPr>
          <w:p>
            <w:pPr>
              <w:rPr>
                <w:color w:val="0000FF"/>
                <w:sz w:val="2"/>
                <w:szCs w:val="2"/>
              </w:rPr>
            </w:pPr>
          </w:p>
        </w:tc>
        <w:tc>
          <w:tcPr>
            <w:tcW w:w="1819" w:type="dxa"/>
            <w:vMerge w:val="continue"/>
            <w:tcBorders>
              <w:top w:val="nil"/>
            </w:tcBorders>
          </w:tcPr>
          <w:p>
            <w:pPr>
              <w:rPr>
                <w:color w:val="0000FF"/>
                <w:sz w:val="2"/>
                <w:szCs w:val="2"/>
              </w:rPr>
            </w:pPr>
          </w:p>
        </w:tc>
        <w:tc>
          <w:tcPr>
            <w:tcW w:w="2861" w:type="dxa"/>
          </w:tcPr>
          <w:p>
            <w:pPr>
              <w:pStyle w:val="18"/>
              <w:spacing w:before="35"/>
              <w:ind w:left="1199" w:right="1192"/>
              <w:rPr>
                <w:color w:val="0000FF"/>
                <w:sz w:val="21"/>
              </w:rPr>
            </w:pPr>
            <w:r>
              <w:rPr>
                <w:color w:val="0000FF"/>
                <w:sz w:val="21"/>
              </w:rPr>
              <w:t>机械</w:t>
            </w:r>
          </w:p>
        </w:tc>
        <w:tc>
          <w:tcPr>
            <w:tcW w:w="2864" w:type="dxa"/>
          </w:tcPr>
          <w:p>
            <w:pPr>
              <w:pStyle w:val="18"/>
              <w:spacing w:before="35"/>
              <w:ind w:right="238"/>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50</w:t>
            </w:r>
            <w:r>
              <w:rPr>
                <w:color w:val="0000FF"/>
                <w:sz w:val="21"/>
              </w:rPr>
              <w:t>℃，至少持续</w:t>
            </w:r>
            <w:r>
              <w:rPr>
                <w:rFonts w:ascii="Times New Roman" w:hAnsi="Times New Roman" w:eastAsia="Times New Roman"/>
                <w:color w:val="0000FF"/>
                <w:sz w:val="21"/>
              </w:rPr>
              <w:t>2d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78" w:type="dxa"/>
          </w:tcPr>
          <w:p>
            <w:pPr>
              <w:pStyle w:val="18"/>
              <w:spacing w:before="49"/>
              <w:ind w:left="9"/>
              <w:rPr>
                <w:rFonts w:ascii="Times New Roman"/>
                <w:color w:val="0000FF"/>
                <w:sz w:val="21"/>
              </w:rPr>
            </w:pPr>
            <w:r>
              <w:rPr>
                <w:rFonts w:ascii="Times New Roman"/>
                <w:color w:val="0000FF"/>
                <w:w w:val="99"/>
                <w:sz w:val="21"/>
              </w:rPr>
              <w:t>2</w:t>
            </w:r>
          </w:p>
        </w:tc>
        <w:tc>
          <w:tcPr>
            <w:tcW w:w="1819" w:type="dxa"/>
          </w:tcPr>
          <w:p>
            <w:pPr>
              <w:pStyle w:val="18"/>
              <w:spacing w:before="33"/>
              <w:ind w:left="256" w:right="249"/>
              <w:rPr>
                <w:color w:val="0000FF"/>
                <w:sz w:val="21"/>
              </w:rPr>
            </w:pPr>
            <w:r>
              <w:rPr>
                <w:color w:val="0000FF"/>
                <w:sz w:val="21"/>
              </w:rPr>
              <w:t>蛔虫卵死亡率</w:t>
            </w:r>
          </w:p>
        </w:tc>
        <w:tc>
          <w:tcPr>
            <w:tcW w:w="5725" w:type="dxa"/>
            <w:gridSpan w:val="2"/>
          </w:tcPr>
          <w:p>
            <w:pPr>
              <w:pStyle w:val="18"/>
              <w:spacing w:before="33"/>
              <w:ind w:left="2420" w:right="2410"/>
              <w:rPr>
                <w:rFonts w:ascii="Times New Roman" w:hAnsi="Times New Roman"/>
                <w:color w:val="0000FF"/>
                <w:sz w:val="21"/>
              </w:rPr>
            </w:pPr>
            <w:r>
              <w:rPr>
                <w:color w:val="0000FF"/>
                <w:sz w:val="21"/>
              </w:rPr>
              <w:t>≥</w:t>
            </w:r>
            <w:r>
              <w:rPr>
                <w:rFonts w:ascii="Times New Roman" w:hAnsi="Times New Roman"/>
                <w:color w:val="0000FF"/>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tcPr>
          <w:p>
            <w:pPr>
              <w:pStyle w:val="18"/>
              <w:spacing w:before="50"/>
              <w:ind w:left="9"/>
              <w:rPr>
                <w:rFonts w:ascii="Times New Roman"/>
                <w:color w:val="0000FF"/>
                <w:sz w:val="21"/>
              </w:rPr>
            </w:pPr>
            <w:r>
              <w:rPr>
                <w:rFonts w:ascii="Times New Roman"/>
                <w:color w:val="0000FF"/>
                <w:w w:val="99"/>
                <w:sz w:val="21"/>
              </w:rPr>
              <w:t>3</w:t>
            </w:r>
          </w:p>
        </w:tc>
        <w:tc>
          <w:tcPr>
            <w:tcW w:w="1819" w:type="dxa"/>
          </w:tcPr>
          <w:p>
            <w:pPr>
              <w:pStyle w:val="18"/>
              <w:spacing w:before="33"/>
              <w:ind w:left="256" w:right="251"/>
              <w:rPr>
                <w:color w:val="0000FF"/>
                <w:sz w:val="21"/>
              </w:rPr>
            </w:pPr>
            <w:r>
              <w:rPr>
                <w:color w:val="0000FF"/>
                <w:sz w:val="21"/>
              </w:rPr>
              <w:t>粪大肠菌值</w:t>
            </w:r>
          </w:p>
        </w:tc>
        <w:tc>
          <w:tcPr>
            <w:tcW w:w="5725" w:type="dxa"/>
            <w:gridSpan w:val="2"/>
          </w:tcPr>
          <w:p>
            <w:pPr>
              <w:pStyle w:val="18"/>
              <w:spacing w:before="33"/>
              <w:ind w:left="2417" w:right="2410"/>
              <w:rPr>
                <w:rFonts w:ascii="Times New Roman" w:hAnsi="Times New Roman"/>
                <w:color w:val="0000FF"/>
                <w:sz w:val="13"/>
              </w:rPr>
            </w:pPr>
            <w:r>
              <w:rPr>
                <w:color w:val="0000FF"/>
                <w:sz w:val="21"/>
              </w:rPr>
              <w:t>≥</w:t>
            </w:r>
            <w:r>
              <w:rPr>
                <w:rFonts w:ascii="Times New Roman" w:hAnsi="Times New Roman"/>
                <w:color w:val="0000FF"/>
                <w:sz w:val="21"/>
              </w:rPr>
              <w:t>10</w:t>
            </w:r>
            <w:r>
              <w:rPr>
                <w:rFonts w:ascii="Times New Roman" w:hAnsi="Times New Roman"/>
                <w:color w:val="0000FF"/>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tcPr>
          <w:p>
            <w:pPr>
              <w:pStyle w:val="18"/>
              <w:spacing w:before="48"/>
              <w:ind w:left="9"/>
              <w:rPr>
                <w:rFonts w:ascii="Times New Roman"/>
                <w:color w:val="0000FF"/>
                <w:sz w:val="21"/>
              </w:rPr>
            </w:pPr>
            <w:r>
              <w:rPr>
                <w:rFonts w:ascii="Times New Roman"/>
                <w:color w:val="0000FF"/>
                <w:w w:val="99"/>
                <w:sz w:val="21"/>
              </w:rPr>
              <w:t>4</w:t>
            </w:r>
          </w:p>
        </w:tc>
        <w:tc>
          <w:tcPr>
            <w:tcW w:w="1819" w:type="dxa"/>
          </w:tcPr>
          <w:p>
            <w:pPr>
              <w:pStyle w:val="18"/>
              <w:spacing w:before="34"/>
              <w:ind w:left="256" w:right="251"/>
              <w:rPr>
                <w:color w:val="0000FF"/>
                <w:sz w:val="21"/>
              </w:rPr>
            </w:pPr>
            <w:r>
              <w:rPr>
                <w:color w:val="0000FF"/>
                <w:sz w:val="21"/>
              </w:rPr>
              <w:t>沙门氏菌</w:t>
            </w:r>
          </w:p>
        </w:tc>
        <w:tc>
          <w:tcPr>
            <w:tcW w:w="5725" w:type="dxa"/>
            <w:gridSpan w:val="2"/>
          </w:tcPr>
          <w:p>
            <w:pPr>
              <w:pStyle w:val="18"/>
              <w:spacing w:before="34"/>
              <w:ind w:left="2416" w:right="2410"/>
              <w:rPr>
                <w:color w:val="0000FF"/>
                <w:sz w:val="21"/>
              </w:rPr>
            </w:pPr>
            <w:r>
              <w:rPr>
                <w:color w:val="0000FF"/>
                <w:sz w:val="21"/>
              </w:rPr>
              <w:t>不得检出</w:t>
            </w:r>
          </w:p>
        </w:tc>
      </w:tr>
    </w:tbl>
    <w:p>
      <w:pPr>
        <w:pStyle w:val="7"/>
        <w:spacing w:before="6"/>
        <w:ind w:left="0"/>
        <w:rPr>
          <w:b/>
          <w:color w:val="0000FF"/>
          <w:sz w:val="18"/>
        </w:rPr>
      </w:pPr>
    </w:p>
    <w:p>
      <w:pPr>
        <w:pStyle w:val="7"/>
        <w:spacing w:line="364" w:lineRule="auto"/>
        <w:ind w:right="524" w:firstLine="480"/>
        <w:jc w:val="both"/>
        <w:rPr>
          <w:color w:val="0000FF"/>
        </w:rPr>
      </w:pPr>
      <w:r>
        <w:rPr>
          <w:color w:val="0000FF"/>
        </w:rPr>
        <w:t>根据《畜禽粪便无害化处理技术规范》（</w:t>
      </w:r>
      <w:r>
        <w:rPr>
          <w:rFonts w:ascii="Times New Roman" w:eastAsia="Times New Roman"/>
          <w:color w:val="0000FF"/>
        </w:rPr>
        <w:t>GB/T36195-2018</w:t>
      </w:r>
      <w:r>
        <w:rPr>
          <w:color w:val="0000FF"/>
        </w:rPr>
        <w:t>）中固体畜禽粪便经过堆肥处理后应符合固体畜禽粪便堆肥处理卫生学要求，具体见表</w:t>
      </w:r>
      <w:r>
        <w:rPr>
          <w:rFonts w:ascii="Times New Roman" w:eastAsia="Times New Roman"/>
          <w:color w:val="0000FF"/>
        </w:rPr>
        <w:t>2.4-11</w:t>
      </w:r>
      <w:r>
        <w:rPr>
          <w:color w:val="0000FF"/>
        </w:rPr>
        <w:t>。</w:t>
      </w:r>
    </w:p>
    <w:p>
      <w:pPr>
        <w:pStyle w:val="7"/>
        <w:bidi w:val="0"/>
        <w:jc w:val="center"/>
        <w:rPr>
          <w:color w:val="0000FF"/>
        </w:rPr>
      </w:pPr>
      <w:r>
        <w:rPr>
          <w:color w:val="0000FF"/>
        </w:rPr>
        <w:t>表</w:t>
      </w:r>
      <w:r>
        <w:rPr>
          <w:rFonts w:ascii="Times New Roman" w:eastAsia="Times New Roman"/>
          <w:color w:val="0000FF"/>
          <w:spacing w:val="-3"/>
        </w:rPr>
        <w:t>2.4-11</w:t>
      </w:r>
      <w:r>
        <w:rPr>
          <w:rFonts w:ascii="Times New Roman" w:eastAsia="Times New Roman"/>
          <w:color w:val="0000FF"/>
          <w:spacing w:val="-3"/>
        </w:rPr>
        <w:tab/>
      </w:r>
      <w:r>
        <w:rPr>
          <w:color w:val="0000FF"/>
        </w:rPr>
        <w:t>固体畜禽粪便堆肥处理卫生学要求</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1819"/>
        <w:gridCol w:w="5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8"/>
              <w:spacing w:before="34"/>
              <w:ind w:left="257" w:right="248"/>
              <w:rPr>
                <w:b/>
                <w:color w:val="0000FF"/>
                <w:sz w:val="21"/>
              </w:rPr>
            </w:pPr>
            <w:r>
              <w:rPr>
                <w:b/>
                <w:color w:val="0000FF"/>
                <w:sz w:val="21"/>
              </w:rPr>
              <w:t>序号</w:t>
            </w:r>
          </w:p>
        </w:tc>
        <w:tc>
          <w:tcPr>
            <w:tcW w:w="1819" w:type="dxa"/>
          </w:tcPr>
          <w:p>
            <w:pPr>
              <w:pStyle w:val="18"/>
              <w:spacing w:before="34"/>
              <w:ind w:left="256" w:right="249"/>
              <w:rPr>
                <w:b/>
                <w:color w:val="0000FF"/>
                <w:sz w:val="21"/>
              </w:rPr>
            </w:pPr>
            <w:r>
              <w:rPr>
                <w:b/>
                <w:color w:val="0000FF"/>
                <w:sz w:val="21"/>
              </w:rPr>
              <w:t>项目</w:t>
            </w:r>
          </w:p>
        </w:tc>
        <w:tc>
          <w:tcPr>
            <w:tcW w:w="5726" w:type="dxa"/>
          </w:tcPr>
          <w:p>
            <w:pPr>
              <w:pStyle w:val="18"/>
              <w:spacing w:before="34"/>
              <w:ind w:left="848" w:right="836"/>
              <w:rPr>
                <w:b/>
                <w:color w:val="0000FF"/>
                <w:sz w:val="21"/>
              </w:rPr>
            </w:pPr>
            <w:r>
              <w:rPr>
                <w:b/>
                <w:color w:val="0000FF"/>
                <w:sz w:val="21"/>
              </w:rPr>
              <w:t>卫生要求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8"/>
              <w:spacing w:before="48"/>
              <w:ind w:left="10"/>
              <w:rPr>
                <w:rFonts w:ascii="Times New Roman"/>
                <w:color w:val="0000FF"/>
                <w:sz w:val="21"/>
              </w:rPr>
            </w:pPr>
            <w:r>
              <w:rPr>
                <w:rFonts w:ascii="Times New Roman"/>
                <w:color w:val="0000FF"/>
                <w:w w:val="99"/>
                <w:sz w:val="21"/>
              </w:rPr>
              <w:t>1</w:t>
            </w:r>
          </w:p>
        </w:tc>
        <w:tc>
          <w:tcPr>
            <w:tcW w:w="1819" w:type="dxa"/>
          </w:tcPr>
          <w:p>
            <w:pPr>
              <w:pStyle w:val="18"/>
              <w:spacing w:before="34"/>
              <w:ind w:left="256" w:right="247"/>
              <w:rPr>
                <w:color w:val="0000FF"/>
                <w:sz w:val="21"/>
              </w:rPr>
            </w:pPr>
            <w:r>
              <w:rPr>
                <w:color w:val="0000FF"/>
                <w:sz w:val="21"/>
              </w:rPr>
              <w:t>蛔虫卵</w:t>
            </w:r>
          </w:p>
        </w:tc>
        <w:tc>
          <w:tcPr>
            <w:tcW w:w="5726" w:type="dxa"/>
          </w:tcPr>
          <w:p>
            <w:pPr>
              <w:pStyle w:val="18"/>
              <w:spacing w:before="34"/>
              <w:ind w:left="848" w:right="837"/>
              <w:rPr>
                <w:rFonts w:ascii="Times New Roman" w:hAnsi="Times New Roman" w:eastAsia="Times New Roman"/>
                <w:color w:val="0000FF"/>
                <w:sz w:val="21"/>
              </w:rPr>
            </w:pPr>
            <w:r>
              <w:rPr>
                <w:color w:val="0000FF"/>
                <w:sz w:val="21"/>
              </w:rPr>
              <w:t>死亡率≥</w:t>
            </w:r>
            <w:r>
              <w:rPr>
                <w:rFonts w:ascii="Times New Roman" w:hAnsi="Times New Roman" w:eastAsia="Times New Roman"/>
                <w:color w:val="0000FF"/>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8"/>
              <w:spacing w:before="48"/>
              <w:ind w:left="10"/>
              <w:rPr>
                <w:rFonts w:ascii="Times New Roman"/>
                <w:color w:val="0000FF"/>
                <w:sz w:val="21"/>
              </w:rPr>
            </w:pPr>
            <w:r>
              <w:rPr>
                <w:rFonts w:ascii="Times New Roman"/>
                <w:color w:val="0000FF"/>
                <w:w w:val="99"/>
                <w:sz w:val="21"/>
              </w:rPr>
              <w:t>2</w:t>
            </w:r>
          </w:p>
        </w:tc>
        <w:tc>
          <w:tcPr>
            <w:tcW w:w="1819" w:type="dxa"/>
          </w:tcPr>
          <w:p>
            <w:pPr>
              <w:pStyle w:val="18"/>
              <w:spacing w:before="34"/>
              <w:ind w:left="255" w:right="251"/>
              <w:rPr>
                <w:color w:val="0000FF"/>
                <w:sz w:val="21"/>
              </w:rPr>
            </w:pPr>
            <w:r>
              <w:rPr>
                <w:color w:val="0000FF"/>
                <w:sz w:val="21"/>
              </w:rPr>
              <w:t>粪大肠菌群数</w:t>
            </w:r>
          </w:p>
        </w:tc>
        <w:tc>
          <w:tcPr>
            <w:tcW w:w="5726" w:type="dxa"/>
          </w:tcPr>
          <w:p>
            <w:pPr>
              <w:pStyle w:val="18"/>
              <w:spacing w:before="34"/>
              <w:ind w:left="846" w:right="838"/>
              <w:rPr>
                <w:rFonts w:ascii="Times New Roman" w:hAnsi="Times New Roman" w:eastAsia="Times New Roman"/>
                <w:color w:val="0000FF"/>
                <w:sz w:val="21"/>
              </w:rPr>
            </w:pPr>
            <w:r>
              <w:rPr>
                <w:color w:val="0000FF"/>
                <w:sz w:val="21"/>
              </w:rPr>
              <w:t>≤</w:t>
            </w:r>
            <w:r>
              <w:rPr>
                <w:rFonts w:ascii="Times New Roman" w:hAnsi="Times New Roman" w:eastAsia="Times New Roman"/>
                <w:color w:val="0000FF"/>
                <w:sz w:val="21"/>
              </w:rPr>
              <w:t>10</w:t>
            </w:r>
            <w:r>
              <w:rPr>
                <w:rFonts w:ascii="Times New Roman" w:hAnsi="Times New Roman" w:eastAsia="Times New Roman"/>
                <w:color w:val="0000FF"/>
                <w:position w:val="7"/>
                <w:sz w:val="13"/>
              </w:rPr>
              <w:t>5</w:t>
            </w:r>
            <w:r>
              <w:rPr>
                <w:color w:val="0000FF"/>
                <w:sz w:val="21"/>
              </w:rPr>
              <w:t>个</w:t>
            </w:r>
            <w:r>
              <w:rPr>
                <w:rFonts w:ascii="Times New Roman" w:hAnsi="Times New Roman" w:eastAsia="Times New Roman"/>
                <w:color w:val="0000FF"/>
                <w:sz w:val="21"/>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8"/>
              <w:spacing w:before="49"/>
              <w:ind w:left="10"/>
              <w:rPr>
                <w:rFonts w:ascii="Times New Roman"/>
                <w:color w:val="0000FF"/>
                <w:sz w:val="21"/>
              </w:rPr>
            </w:pPr>
            <w:r>
              <w:rPr>
                <w:rFonts w:ascii="Times New Roman"/>
                <w:color w:val="0000FF"/>
                <w:w w:val="99"/>
                <w:sz w:val="21"/>
              </w:rPr>
              <w:t>3</w:t>
            </w:r>
          </w:p>
        </w:tc>
        <w:tc>
          <w:tcPr>
            <w:tcW w:w="1819" w:type="dxa"/>
          </w:tcPr>
          <w:p>
            <w:pPr>
              <w:pStyle w:val="18"/>
              <w:spacing w:before="35"/>
              <w:ind w:left="255" w:right="251"/>
              <w:rPr>
                <w:color w:val="0000FF"/>
                <w:sz w:val="21"/>
              </w:rPr>
            </w:pPr>
            <w:r>
              <w:rPr>
                <w:color w:val="0000FF"/>
                <w:sz w:val="21"/>
              </w:rPr>
              <w:t>苍蝇</w:t>
            </w:r>
          </w:p>
        </w:tc>
        <w:tc>
          <w:tcPr>
            <w:tcW w:w="5726" w:type="dxa"/>
          </w:tcPr>
          <w:p>
            <w:pPr>
              <w:pStyle w:val="18"/>
              <w:spacing w:before="35"/>
              <w:ind w:left="848" w:right="838"/>
              <w:rPr>
                <w:color w:val="0000FF"/>
                <w:sz w:val="21"/>
              </w:rPr>
            </w:pPr>
            <w:r>
              <w:rPr>
                <w:color w:val="0000FF"/>
                <w:sz w:val="21"/>
              </w:rPr>
              <w:t>堆体周围不应有活的蛆、蛹或新羽化的成蝇</w:t>
            </w:r>
          </w:p>
        </w:tc>
      </w:tr>
    </w:tbl>
    <w:p>
      <w:pPr>
        <w:pStyle w:val="7"/>
        <w:spacing w:before="5"/>
        <w:ind w:left="0"/>
        <w:rPr>
          <w:b/>
          <w:color w:val="0000FF"/>
          <w:sz w:val="18"/>
        </w:rPr>
      </w:pPr>
    </w:p>
    <w:p>
      <w:pPr>
        <w:pStyle w:val="7"/>
        <w:keepNext w:val="0"/>
        <w:keepLines w:val="0"/>
        <w:pageBreakBefore w:val="0"/>
        <w:widowControl w:val="0"/>
        <w:kinsoku/>
        <w:wordWrap/>
        <w:overflowPunct/>
        <w:topLinePunct w:val="0"/>
        <w:autoSpaceDE w:val="0"/>
        <w:autoSpaceDN w:val="0"/>
        <w:bidi w:val="0"/>
        <w:adjustRightInd/>
        <w:snapToGrid/>
        <w:spacing w:line="364" w:lineRule="auto"/>
        <w:ind w:left="567" w:right="0" w:firstLine="480"/>
        <w:jc w:val="both"/>
        <w:textAlignment w:val="auto"/>
        <w:rPr>
          <w:color w:val="0000FF"/>
        </w:rPr>
      </w:pPr>
      <w:r>
        <w:rPr>
          <w:color w:val="0000FF"/>
          <w:spacing w:val="-6"/>
        </w:rPr>
        <w:t>②病死羊及分娩物：根据《畜禽养殖业污染防治技术政策》</w:t>
      </w:r>
      <w:r>
        <w:rPr>
          <w:color w:val="0000FF"/>
        </w:rPr>
        <w:t>（</w:t>
      </w:r>
      <w:r>
        <w:rPr>
          <w:color w:val="0000FF"/>
          <w:spacing w:val="-7"/>
        </w:rPr>
        <w:t>环发〔</w:t>
      </w:r>
      <w:r>
        <w:rPr>
          <w:rFonts w:ascii="Times New Roman" w:hAnsi="Times New Roman" w:eastAsia="Times New Roman"/>
          <w:color w:val="0000FF"/>
        </w:rPr>
        <w:t>2010</w:t>
      </w:r>
      <w:r>
        <w:rPr>
          <w:color w:val="0000FF"/>
          <w:spacing w:val="-14"/>
        </w:rPr>
        <w:t>〕</w:t>
      </w:r>
      <w:r>
        <w:rPr>
          <w:rFonts w:ascii="Times New Roman" w:hAnsi="Times New Roman" w:eastAsia="Times New Roman"/>
          <w:color w:val="0000FF"/>
        </w:rPr>
        <w:t>151</w:t>
      </w:r>
      <w:r>
        <w:rPr>
          <w:color w:val="0000FF"/>
        </w:rPr>
        <w:t>号</w:t>
      </w:r>
      <w:r>
        <w:rPr>
          <w:color w:val="0000FF"/>
          <w:spacing w:val="-12"/>
        </w:rPr>
        <w:t>）</w:t>
      </w:r>
      <w:r>
        <w:rPr>
          <w:color w:val="0000FF"/>
          <w:spacing w:val="-4"/>
        </w:rPr>
        <w:t>中“畜禽尸体应按照有关卫生防疫规定单独进行妥善处置。染疫畜禽及</w:t>
      </w:r>
      <w:r>
        <w:rPr>
          <w:color w:val="0000FF"/>
          <w:spacing w:val="-11"/>
        </w:rPr>
        <w:t>其排泄物、染疫畜禽产品，病死或者死因不明的畜禽尸体等污染物，应就地进行无害化处理”。根据环办函</w:t>
      </w:r>
      <w:r>
        <w:rPr>
          <w:color w:val="0000FF"/>
          <w:spacing w:val="-3"/>
        </w:rPr>
        <w:t>［</w:t>
      </w:r>
      <w:r>
        <w:rPr>
          <w:rFonts w:ascii="Times New Roman" w:hAnsi="Times New Roman" w:eastAsia="Times New Roman"/>
          <w:color w:val="0000FF"/>
          <w:spacing w:val="-3"/>
        </w:rPr>
        <w:t>2014</w:t>
      </w:r>
      <w:r>
        <w:rPr>
          <w:color w:val="0000FF"/>
          <w:spacing w:val="-3"/>
        </w:rPr>
        <w:t>］</w:t>
      </w:r>
      <w:r>
        <w:rPr>
          <w:rFonts w:ascii="Times New Roman" w:hAnsi="Times New Roman" w:eastAsia="Times New Roman"/>
          <w:color w:val="0000FF"/>
          <w:spacing w:val="-3"/>
        </w:rPr>
        <w:t>789</w:t>
      </w:r>
      <w:r>
        <w:rPr>
          <w:color w:val="0000FF"/>
          <w:spacing w:val="-5"/>
        </w:rPr>
        <w:t>号文《关于病害动物无害化处理有关意</w:t>
      </w:r>
      <w:r>
        <w:rPr>
          <w:color w:val="0000FF"/>
          <w:spacing w:val="-12"/>
        </w:rPr>
        <w:t>见的复函》：“病害动物无害化处理项目由农业部门按照有关法律法规和技术规</w:t>
      </w:r>
      <w:r>
        <w:rPr>
          <w:color w:val="0000FF"/>
          <w:spacing w:val="-13"/>
        </w:rPr>
        <w:t>范进行监管，可以实现病害动物无害化处理和环境污染防控的目的，不宜再认定</w:t>
      </w:r>
      <w:r>
        <w:rPr>
          <w:color w:val="0000FF"/>
          <w:spacing w:val="-16"/>
        </w:rPr>
        <w:t>为危险废物集中处置项目。病害动物的无害化处理应执行《病死及病害动物无害</w:t>
      </w:r>
      <w:r>
        <w:rPr>
          <w:color w:val="0000FF"/>
          <w:spacing w:val="-8"/>
        </w:rPr>
        <w:t>化处理技术规范》</w:t>
      </w:r>
      <w:r>
        <w:rPr>
          <w:color w:val="0000FF"/>
        </w:rPr>
        <w:t>（农医发〔</w:t>
      </w:r>
      <w:r>
        <w:rPr>
          <w:rFonts w:ascii="Times New Roman" w:hAnsi="Times New Roman" w:eastAsia="Times New Roman"/>
          <w:color w:val="0000FF"/>
        </w:rPr>
        <w:t>2013</w:t>
      </w:r>
      <w:r>
        <w:rPr>
          <w:color w:val="0000FF"/>
          <w:spacing w:val="4"/>
        </w:rPr>
        <w:t>〕</w:t>
      </w:r>
      <w:r>
        <w:rPr>
          <w:rFonts w:ascii="Times New Roman" w:hAnsi="Times New Roman" w:eastAsia="Times New Roman"/>
          <w:color w:val="0000FF"/>
        </w:rPr>
        <w:t>34</w:t>
      </w:r>
      <w:r>
        <w:rPr>
          <w:color w:val="0000FF"/>
        </w:rPr>
        <w:t>号）。本项目病死羊采用干化法畜禽无</w:t>
      </w:r>
      <w:r>
        <w:rPr>
          <w:color w:val="0000FF"/>
          <w:spacing w:val="-8"/>
        </w:rPr>
        <w:t>害化处理方式处理，计划项目区拟建畜禽无害化处理车间，并购进畜禽无害化处</w:t>
      </w:r>
      <w:r>
        <w:rPr>
          <w:color w:val="0000FF"/>
          <w:spacing w:val="-26"/>
        </w:rPr>
        <w:t>理</w:t>
      </w:r>
      <w:r>
        <w:rPr>
          <w:rFonts w:ascii="Times New Roman" w:hAnsi="Times New Roman" w:eastAsia="Times New Roman"/>
          <w:color w:val="0000FF"/>
        </w:rPr>
        <w:t>1</w:t>
      </w:r>
      <w:r>
        <w:rPr>
          <w:color w:val="0000FF"/>
        </w:rPr>
        <w:t>吨</w:t>
      </w:r>
      <w:r>
        <w:rPr>
          <w:rFonts w:ascii="Times New Roman" w:hAnsi="Times New Roman" w:eastAsia="Times New Roman"/>
          <w:color w:val="0000FF"/>
        </w:rPr>
        <w:t>/</w:t>
      </w:r>
      <w:r>
        <w:rPr>
          <w:color w:val="0000FF"/>
        </w:rPr>
        <w:t>次成套设备，采用高温高压灭菌技术，大型动物无需肢解，可直接进行</w:t>
      </w:r>
      <w:r>
        <w:rPr>
          <w:color w:val="0000FF"/>
          <w:spacing w:val="-9"/>
        </w:rPr>
        <w:t>处理，处理后的产物可出售给肉骨粉干品生产厂和工业用油脂厂，综合利用，符</w:t>
      </w:r>
      <w:r>
        <w:rPr>
          <w:color w:val="0000FF"/>
        </w:rPr>
        <w:t>合国家防疫法规要求。</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left="567" w:right="0" w:firstLine="480"/>
        <w:jc w:val="both"/>
        <w:textAlignment w:val="auto"/>
        <w:rPr>
          <w:color w:val="0000FF"/>
        </w:rPr>
      </w:pPr>
      <w:r>
        <w:rPr>
          <w:color w:val="0000FF"/>
        </w:rPr>
        <w:t>③医疗废物：本项目充分发挥</w:t>
      </w:r>
      <w:r>
        <w:rPr>
          <w:rFonts w:hint="eastAsia"/>
          <w:color w:val="0000FF"/>
          <w:lang w:val="en-US" w:eastAsia="zh-CN"/>
        </w:rPr>
        <w:t>莎车</w:t>
      </w:r>
      <w:r>
        <w:rPr>
          <w:color w:val="0000FF"/>
        </w:rPr>
        <w:t>县农业农村局和</w:t>
      </w:r>
      <w:r>
        <w:rPr>
          <w:rFonts w:hint="eastAsia"/>
          <w:color w:val="0000FF"/>
          <w:lang w:val="en-US" w:eastAsia="zh-CN"/>
        </w:rPr>
        <w:t>莎车</w:t>
      </w:r>
      <w:r>
        <w:rPr>
          <w:color w:val="0000FF"/>
        </w:rPr>
        <w:t>乡镇兽医站以及村</w:t>
      </w:r>
      <w:r>
        <w:rPr>
          <w:color w:val="0000FF"/>
          <w:spacing w:val="-6"/>
        </w:rPr>
        <w:t>级防疫中心在养殖工作的作用，负责标准化羊产业养殖场的日常防疫工作；</w:t>
      </w:r>
      <w:r>
        <w:rPr>
          <w:rFonts w:hint="eastAsia"/>
          <w:color w:val="0000FF"/>
          <w:spacing w:val="-6"/>
          <w:lang w:val="en-US" w:eastAsia="zh-CN"/>
        </w:rPr>
        <w:t>莎车</w:t>
      </w:r>
      <w:r>
        <w:rPr>
          <w:color w:val="0000FF"/>
          <w:spacing w:val="-11"/>
        </w:rPr>
        <w:t>县农业农村局作为技术指导单位，负责羊产业养殖场的全局防疫工作。医疗废物</w:t>
      </w:r>
      <w:r>
        <w:rPr>
          <w:color w:val="0000FF"/>
          <w:spacing w:val="-12"/>
        </w:rPr>
        <w:t>包括项目肉羊养殖防疫、治疗产生的各种疫</w:t>
      </w:r>
      <w:r>
        <w:rPr>
          <w:color w:val="0000FF"/>
        </w:rPr>
        <w:t>（菌</w:t>
      </w:r>
      <w:r>
        <w:rPr>
          <w:color w:val="0000FF"/>
          <w:spacing w:val="-20"/>
        </w:rPr>
        <w:t>）</w:t>
      </w:r>
      <w:r>
        <w:rPr>
          <w:color w:val="0000FF"/>
          <w:spacing w:val="-6"/>
        </w:rPr>
        <w:t>苗空瓶、抗生药物的瓶</w:t>
      </w:r>
      <w:r>
        <w:rPr>
          <w:color w:val="0000FF"/>
        </w:rPr>
        <w:t>（袋</w:t>
      </w:r>
      <w:r>
        <w:rPr>
          <w:color w:val="0000FF"/>
          <w:spacing w:val="-20"/>
        </w:rPr>
        <w:t>）</w:t>
      </w:r>
      <w:r>
        <w:rPr>
          <w:color w:val="0000FF"/>
          <w:spacing w:val="-15"/>
        </w:rPr>
        <w:t>、</w:t>
      </w:r>
      <w:r>
        <w:rPr>
          <w:color w:val="0000FF"/>
        </w:rPr>
        <w:t>动物药物废弃瓶</w:t>
      </w:r>
      <w:r>
        <w:rPr>
          <w:color w:val="0000FF"/>
          <w:spacing w:val="4"/>
        </w:rPr>
        <w:t>（</w:t>
      </w:r>
      <w:r>
        <w:rPr>
          <w:color w:val="0000FF"/>
        </w:rPr>
        <w:t>袋）、一次性注射器等，属于“</w:t>
      </w:r>
      <w:r>
        <w:rPr>
          <w:rFonts w:ascii="Times New Roman" w:hAnsi="Times New Roman" w:eastAsia="Times New Roman"/>
          <w:color w:val="0000FF"/>
        </w:rPr>
        <w:t>HW01</w:t>
      </w:r>
      <w:r>
        <w:rPr>
          <w:color w:val="0000FF"/>
        </w:rPr>
        <w:t>医疗废物”。本项目产生的医疗废物由项目所在乡镇</w:t>
      </w:r>
      <w:r>
        <w:rPr>
          <w:rFonts w:hint="eastAsia"/>
          <w:color w:val="0000FF"/>
          <w:lang w:eastAsia="zh-CN"/>
        </w:rPr>
        <w:t>莎车</w:t>
      </w:r>
      <w:r>
        <w:rPr>
          <w:color w:val="0000FF"/>
        </w:rPr>
        <w:t>乡兽医站以及村级防疫中心委托有资质的单位处理处置。</w:t>
      </w:r>
    </w:p>
    <w:p>
      <w:pPr>
        <w:pStyle w:val="7"/>
        <w:keepNext w:val="0"/>
        <w:keepLines w:val="0"/>
        <w:pageBreakBefore w:val="0"/>
        <w:widowControl w:val="0"/>
        <w:kinsoku/>
        <w:wordWrap/>
        <w:overflowPunct/>
        <w:topLinePunct w:val="0"/>
        <w:autoSpaceDE w:val="0"/>
        <w:autoSpaceDN w:val="0"/>
        <w:bidi w:val="0"/>
        <w:adjustRightInd/>
        <w:snapToGrid/>
        <w:spacing w:before="4" w:line="364" w:lineRule="auto"/>
        <w:ind w:left="567" w:right="0" w:firstLine="480"/>
        <w:jc w:val="both"/>
        <w:textAlignment w:val="auto"/>
        <w:rPr>
          <w:rFonts w:hint="eastAsia" w:eastAsia="宋体"/>
          <w:color w:val="0000FF"/>
          <w:lang w:eastAsia="zh-CN"/>
        </w:rPr>
      </w:pPr>
      <w:r>
        <w:rPr>
          <w:color w:val="0000FF"/>
        </w:rPr>
        <w:t>④生活垃圾：本项目职工</w:t>
      </w:r>
      <w:r>
        <w:rPr>
          <w:rFonts w:hint="eastAsia"/>
          <w:color w:val="0000FF"/>
          <w:lang w:val="en-US" w:eastAsia="zh-CN"/>
        </w:rPr>
        <w:t>产生的生活垃圾由</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r>
        <w:rPr>
          <w:rFonts w:hint="eastAsia"/>
          <w:bCs/>
          <w:color w:val="FF0000"/>
          <w:sz w:val="24"/>
          <w:szCs w:val="24"/>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left="567" w:right="0" w:firstLine="480"/>
        <w:jc w:val="both"/>
        <w:textAlignment w:val="auto"/>
        <w:rPr>
          <w:color w:val="0000FF"/>
        </w:rPr>
      </w:pPr>
      <w:r>
        <w:rPr>
          <w:color w:val="0000FF"/>
        </w:rPr>
        <w:t>⑤一般工业固体废物在场区贮储存执行《一般工业固体废物贮存、处置场</w:t>
      </w:r>
      <w:r>
        <w:rPr>
          <w:color w:val="0000FF"/>
          <w:spacing w:val="-3"/>
        </w:rPr>
        <w:t>污染控制标准》</w:t>
      </w:r>
      <w:r>
        <w:rPr>
          <w:color w:val="0000FF"/>
        </w:rPr>
        <w:t>（</w:t>
      </w:r>
      <w:r>
        <w:rPr>
          <w:rFonts w:ascii="Times New Roman" w:hAnsi="Times New Roman" w:eastAsia="Times New Roman"/>
          <w:color w:val="0000FF"/>
        </w:rPr>
        <w:t>GB18599-2001</w:t>
      </w:r>
      <w:r>
        <w:rPr>
          <w:color w:val="0000FF"/>
        </w:rPr>
        <w:t>）</w:t>
      </w:r>
      <w:r>
        <w:rPr>
          <w:color w:val="0000FF"/>
          <w:spacing w:val="-3"/>
        </w:rPr>
        <w:t>及《关于发布</w:t>
      </w:r>
      <w:r>
        <w:rPr>
          <w:rFonts w:ascii="Times New Roman" w:hAnsi="Times New Roman" w:eastAsia="Times New Roman"/>
          <w:color w:val="0000FF"/>
        </w:rPr>
        <w:t>&lt;</w:t>
      </w:r>
      <w:r>
        <w:rPr>
          <w:color w:val="0000FF"/>
          <w:spacing w:val="-1"/>
        </w:rPr>
        <w:t>一般工业固体废物贮存、处置场污染控制标准</w:t>
      </w:r>
      <w:r>
        <w:rPr>
          <w:rFonts w:ascii="Times New Roman" w:hAnsi="Times New Roman" w:eastAsia="Times New Roman"/>
          <w:color w:val="0000FF"/>
          <w:spacing w:val="-1"/>
        </w:rPr>
        <w:t>&gt;</w:t>
      </w:r>
      <w:r>
        <w:rPr>
          <w:color w:val="0000FF"/>
          <w:spacing w:val="-1"/>
        </w:rPr>
        <w:t>（</w:t>
      </w:r>
      <w:r>
        <w:rPr>
          <w:rFonts w:ascii="Times New Roman" w:hAnsi="Times New Roman" w:eastAsia="Times New Roman"/>
          <w:color w:val="0000FF"/>
          <w:spacing w:val="-1"/>
        </w:rPr>
        <w:t>GB18599-2001</w:t>
      </w:r>
      <w:r>
        <w:rPr>
          <w:color w:val="0000FF"/>
          <w:spacing w:val="-1"/>
        </w:rPr>
        <w:t>）</w:t>
      </w:r>
      <w:r>
        <w:rPr>
          <w:color w:val="0000FF"/>
          <w:spacing w:val="-31"/>
        </w:rPr>
        <w:t>等</w:t>
      </w:r>
      <w:r>
        <w:rPr>
          <w:rFonts w:ascii="Times New Roman" w:hAnsi="Times New Roman" w:eastAsia="Times New Roman"/>
          <w:color w:val="0000FF"/>
        </w:rPr>
        <w:t>3</w:t>
      </w:r>
      <w:r>
        <w:rPr>
          <w:color w:val="0000FF"/>
          <w:spacing w:val="-1"/>
        </w:rPr>
        <w:t>项国家污染物控制标准修改单的公告》</w:t>
      </w:r>
    </w:p>
    <w:p>
      <w:pPr>
        <w:pStyle w:val="7"/>
        <w:keepNext w:val="0"/>
        <w:keepLines w:val="0"/>
        <w:pageBreakBefore w:val="0"/>
        <w:widowControl w:val="0"/>
        <w:kinsoku/>
        <w:wordWrap/>
        <w:overflowPunct/>
        <w:topLinePunct w:val="0"/>
        <w:autoSpaceDE w:val="0"/>
        <w:autoSpaceDN w:val="0"/>
        <w:bidi w:val="0"/>
        <w:adjustRightInd/>
        <w:snapToGrid/>
        <w:spacing w:before="2"/>
        <w:ind w:left="567" w:right="0"/>
        <w:jc w:val="both"/>
        <w:textAlignment w:val="auto"/>
        <w:rPr>
          <w:color w:val="0000FF"/>
        </w:rPr>
      </w:pPr>
      <w:r>
        <w:rPr>
          <w:color w:val="0000FF"/>
        </w:rPr>
        <w:t>（环境保护部</w:t>
      </w:r>
      <w:r>
        <w:rPr>
          <w:rFonts w:ascii="Times New Roman" w:eastAsia="Times New Roman"/>
          <w:color w:val="0000FF"/>
        </w:rPr>
        <w:t>2013</w:t>
      </w:r>
      <w:r>
        <w:rPr>
          <w:color w:val="0000FF"/>
        </w:rPr>
        <w:t>年第</w:t>
      </w:r>
      <w:r>
        <w:rPr>
          <w:rFonts w:ascii="Times New Roman" w:eastAsia="Times New Roman"/>
          <w:color w:val="0000FF"/>
        </w:rPr>
        <w:t>36</w:t>
      </w:r>
      <w:r>
        <w:rPr>
          <w:color w:val="0000FF"/>
        </w:rPr>
        <w:t>号公告）中的相关规定。</w:t>
      </w:r>
    </w:p>
    <w:p>
      <w:pPr>
        <w:pStyle w:val="7"/>
        <w:spacing w:before="6"/>
        <w:ind w:left="0"/>
      </w:pPr>
    </w:p>
    <w:p>
      <w:pPr>
        <w:pStyle w:val="5"/>
        <w:numPr>
          <w:ilvl w:val="1"/>
          <w:numId w:val="13"/>
        </w:numPr>
        <w:tabs>
          <w:tab w:val="left" w:pos="1100"/>
        </w:tabs>
        <w:spacing w:before="0" w:after="0" w:line="240" w:lineRule="auto"/>
        <w:ind w:left="1099" w:right="0" w:hanging="560"/>
        <w:jc w:val="left"/>
        <w:outlineLvl w:val="1"/>
      </w:pPr>
      <w:bookmarkStart w:id="74" w:name="_bookmark12"/>
      <w:bookmarkEnd w:id="74"/>
      <w:bookmarkStart w:id="75" w:name="2.5 评价时段"/>
      <w:bookmarkEnd w:id="75"/>
      <w:bookmarkStart w:id="76" w:name="_Toc3435"/>
      <w:r>
        <w:t>评价时段</w:t>
      </w:r>
      <w:bookmarkEnd w:id="76"/>
    </w:p>
    <w:p>
      <w:pPr>
        <w:pStyle w:val="7"/>
        <w:spacing w:before="3"/>
        <w:ind w:left="0"/>
        <w:rPr>
          <w:b/>
        </w:rPr>
      </w:pPr>
    </w:p>
    <w:p>
      <w:pPr>
        <w:pStyle w:val="7"/>
        <w:spacing w:line="364" w:lineRule="auto"/>
        <w:ind w:right="577" w:firstLine="480"/>
        <w:rPr>
          <w:color w:val="0000FF"/>
        </w:rPr>
      </w:pPr>
      <w:r>
        <w:rPr>
          <w:color w:val="0000FF"/>
          <w:spacing w:val="-6"/>
        </w:rPr>
        <w:t>根据本项目实施不同阶段和环境影响特点，本次评价时段以建设期、生产运</w:t>
      </w:r>
      <w:r>
        <w:rPr>
          <w:color w:val="0000FF"/>
        </w:rPr>
        <w:t>营期两个时段为评价重点。</w:t>
      </w:r>
    </w:p>
    <w:p>
      <w:pPr>
        <w:pStyle w:val="5"/>
        <w:numPr>
          <w:ilvl w:val="1"/>
          <w:numId w:val="13"/>
        </w:numPr>
        <w:tabs>
          <w:tab w:val="left" w:pos="1100"/>
        </w:tabs>
        <w:spacing w:before="154" w:after="0" w:line="240" w:lineRule="auto"/>
        <w:ind w:left="1099" w:right="0" w:hanging="560"/>
        <w:jc w:val="left"/>
        <w:outlineLvl w:val="1"/>
      </w:pPr>
      <w:bookmarkStart w:id="77" w:name="2.6 评价等级和评价范围"/>
      <w:bookmarkEnd w:id="77"/>
      <w:bookmarkStart w:id="78" w:name="_bookmark13"/>
      <w:bookmarkEnd w:id="78"/>
      <w:bookmarkStart w:id="79" w:name="_Toc28139"/>
      <w:r>
        <w:t>评价等级和评价范围</w:t>
      </w:r>
      <w:bookmarkEnd w:id="79"/>
    </w:p>
    <w:p>
      <w:pPr>
        <w:pStyle w:val="7"/>
        <w:spacing w:before="6"/>
        <w:ind w:left="0"/>
        <w:rPr>
          <w:b/>
          <w:sz w:val="28"/>
        </w:rPr>
      </w:pPr>
    </w:p>
    <w:p>
      <w:pPr>
        <w:pStyle w:val="2"/>
        <w:numPr>
          <w:ilvl w:val="2"/>
          <w:numId w:val="13"/>
        </w:numPr>
        <w:tabs>
          <w:tab w:val="left" w:pos="1241"/>
        </w:tabs>
        <w:spacing w:before="0" w:after="0" w:line="240" w:lineRule="auto"/>
        <w:ind w:left="1240" w:right="0" w:hanging="701"/>
        <w:jc w:val="left"/>
        <w:outlineLvl w:val="2"/>
      </w:pPr>
      <w:bookmarkStart w:id="80" w:name="2.6.1 评价工作等级"/>
      <w:bookmarkEnd w:id="80"/>
      <w:bookmarkStart w:id="81" w:name="2.6.1 评价工作等级"/>
      <w:bookmarkEnd w:id="81"/>
      <w:bookmarkStart w:id="82" w:name="_Toc17652"/>
      <w:r>
        <w:t>评价工作等级</w:t>
      </w:r>
      <w:bookmarkEnd w:id="82"/>
    </w:p>
    <w:p>
      <w:pPr>
        <w:pStyle w:val="7"/>
        <w:spacing w:before="5"/>
        <w:ind w:left="0"/>
        <w:rPr>
          <w:b/>
          <w:sz w:val="21"/>
        </w:rPr>
      </w:pPr>
    </w:p>
    <w:p>
      <w:pPr>
        <w:pStyle w:val="17"/>
        <w:numPr>
          <w:ilvl w:val="3"/>
          <w:numId w:val="13"/>
        </w:numPr>
        <w:tabs>
          <w:tab w:val="left" w:pos="1621"/>
        </w:tabs>
        <w:spacing w:before="0" w:after="0" w:line="240" w:lineRule="auto"/>
        <w:ind w:left="1621" w:right="0" w:hanging="601"/>
        <w:jc w:val="left"/>
        <w:rPr>
          <w:sz w:val="24"/>
        </w:rPr>
      </w:pPr>
      <w:r>
        <w:rPr>
          <w:sz w:val="24"/>
        </w:rPr>
        <w:t>环境空气影响评价工作等级</w:t>
      </w:r>
    </w:p>
    <w:p>
      <w:pPr>
        <w:pStyle w:val="7"/>
        <w:spacing w:before="160" w:line="364" w:lineRule="auto"/>
        <w:ind w:right="476" w:firstLine="480"/>
        <w:jc w:val="both"/>
      </w:pPr>
      <w:r>
        <w:rPr>
          <w:spacing w:val="-4"/>
        </w:rPr>
        <w:t>本项目大气污染源主要来自养殖区羊舍和堆肥厂恶臭气体。臭气污染来自牲</w:t>
      </w:r>
      <w:r>
        <w:rPr>
          <w:spacing w:val="-6"/>
          <w:position w:val="2"/>
        </w:rPr>
        <w:t>畜的粪便、尿液释放出的臭气，以无组织排放为主，主要污染物为</w:t>
      </w:r>
      <w:r>
        <w:rPr>
          <w:rFonts w:ascii="Times New Roman" w:eastAsia="Times New Roman"/>
          <w:position w:val="2"/>
        </w:rPr>
        <w:t>NH</w:t>
      </w:r>
      <w:r>
        <w:rPr>
          <w:rFonts w:ascii="Times New Roman" w:eastAsia="Times New Roman"/>
          <w:position w:val="2"/>
          <w:vertAlign w:val="subscript"/>
        </w:rPr>
        <w:t>3</w:t>
      </w:r>
      <w:r>
        <w:rPr>
          <w:spacing w:val="-29"/>
          <w:position w:val="2"/>
          <w:vertAlign w:val="baseline"/>
        </w:rPr>
        <w:t>和</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20"/>
          <w:position w:val="2"/>
          <w:vertAlign w:val="baseline"/>
        </w:rPr>
        <w:t>。</w:t>
      </w:r>
    </w:p>
    <w:p>
      <w:pPr>
        <w:pStyle w:val="7"/>
        <w:spacing w:line="362" w:lineRule="auto"/>
        <w:ind w:right="572" w:firstLine="480"/>
        <w:jc w:val="both"/>
        <w:rPr>
          <w:sz w:val="7"/>
        </w:rPr>
      </w:pPr>
      <w:r>
        <w:rPr>
          <w:spacing w:val="-5"/>
        </w:rPr>
        <w:t>根据《环境影响评价技术导则</w:t>
      </w:r>
      <w:r>
        <w:rPr>
          <w:rFonts w:ascii="Times New Roman" w:hAnsi="Times New Roman" w:eastAsia="Times New Roman"/>
        </w:rPr>
        <w:t>·</w:t>
      </w:r>
      <w:r>
        <w:rPr>
          <w:spacing w:val="-9"/>
        </w:rPr>
        <w:t>大气环境》</w:t>
      </w:r>
      <w:r>
        <w:t>（</w:t>
      </w:r>
      <w:r>
        <w:rPr>
          <w:rFonts w:ascii="Times New Roman" w:hAnsi="Times New Roman" w:eastAsia="Times New Roman"/>
        </w:rPr>
        <w:t>HJ2.2-2018</w:t>
      </w:r>
      <w:r>
        <w:t>）</w:t>
      </w:r>
      <w:r>
        <w:rPr>
          <w:spacing w:val="-5"/>
        </w:rPr>
        <w:t>中规定的方法，选</w:t>
      </w:r>
      <w:r>
        <w:rPr>
          <w:spacing w:val="-6"/>
          <w:position w:val="2"/>
        </w:rPr>
        <w:t>取本项目主要污染物</w:t>
      </w:r>
      <w:r>
        <w:rPr>
          <w:rFonts w:ascii="Times New Roman" w:hAnsi="Times New Roman" w:eastAsia="Times New Roman"/>
          <w:position w:val="2"/>
        </w:rPr>
        <w:t>NH</w:t>
      </w:r>
      <w:r>
        <w:rPr>
          <w:rFonts w:ascii="Times New Roman" w:hAnsi="Times New Roman" w:eastAsia="Times New Roman"/>
          <w:position w:val="2"/>
          <w:vertAlign w:val="subscript"/>
        </w:rPr>
        <w:t>3</w:t>
      </w:r>
      <w:r>
        <w:rPr>
          <w:spacing w:val="-32"/>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S</w:t>
      </w:r>
      <w:r>
        <w:rPr>
          <w:spacing w:val="-4"/>
          <w:position w:val="2"/>
          <w:vertAlign w:val="baseline"/>
        </w:rPr>
        <w:t>和颗粒物作为评价因子进行计算，分别计算每一</w:t>
      </w:r>
      <w:r>
        <w:rPr>
          <w:spacing w:val="-3"/>
          <w:position w:val="2"/>
          <w:vertAlign w:val="baseline"/>
        </w:rPr>
        <w:t>种污染物的最大地面浓度占标率</w:t>
      </w:r>
      <w:r>
        <w:rPr>
          <w:rFonts w:ascii="Times New Roman" w:hAnsi="Times New Roman" w:eastAsia="Times New Roman"/>
          <w:position w:val="2"/>
          <w:vertAlign w:val="baseline"/>
        </w:rPr>
        <w:t>P</w:t>
      </w:r>
      <w:r>
        <w:rPr>
          <w:rFonts w:ascii="Times New Roman" w:hAnsi="Times New Roman" w:eastAsia="Times New Roman"/>
          <w:position w:val="2"/>
          <w:vertAlign w:val="subscript"/>
        </w:rPr>
        <w:t>i</w:t>
      </w:r>
      <w:r>
        <w:rPr>
          <w:spacing w:val="-4"/>
          <w:position w:val="2"/>
          <w:vertAlign w:val="baseline"/>
        </w:rPr>
        <w:t>和地面浓度达标准限值</w:t>
      </w:r>
      <w:r>
        <w:rPr>
          <w:rFonts w:ascii="Times New Roman" w:hAnsi="Times New Roman" w:eastAsia="Times New Roman"/>
          <w:position w:val="2"/>
          <w:vertAlign w:val="baseline"/>
        </w:rPr>
        <w:t>10%</w:t>
      </w:r>
      <w:r>
        <w:rPr>
          <w:position w:val="2"/>
          <w:vertAlign w:val="baseline"/>
        </w:rPr>
        <w:t>时所对应的最远</w:t>
      </w:r>
      <w:r>
        <w:rPr>
          <w:spacing w:val="-20"/>
          <w:position w:val="2"/>
          <w:vertAlign w:val="baseline"/>
        </w:rPr>
        <w:t>距离</w:t>
      </w:r>
      <w:r>
        <w:rPr>
          <w:rFonts w:ascii="Times New Roman" w:hAnsi="Times New Roman" w:eastAsia="Times New Roman"/>
          <w:position w:val="2"/>
          <w:vertAlign w:val="baseline"/>
        </w:rPr>
        <w:t>D</w:t>
      </w:r>
      <w:r>
        <w:rPr>
          <w:rFonts w:ascii="Times New Roman" w:hAnsi="Times New Roman" w:eastAsia="Times New Roman"/>
          <w:position w:val="2"/>
          <w:vertAlign w:val="subscript"/>
        </w:rPr>
        <w:t>10%</w:t>
      </w:r>
      <w:r>
        <w:rPr>
          <w:spacing w:val="-15"/>
          <w:position w:val="2"/>
          <w:vertAlign w:val="baseline"/>
        </w:rPr>
        <w:t>。其中</w:t>
      </w:r>
      <w:r>
        <w:rPr>
          <w:rFonts w:ascii="Times New Roman" w:hAnsi="Times New Roman" w:eastAsia="Times New Roman"/>
          <w:position w:val="2"/>
          <w:vertAlign w:val="baseline"/>
        </w:rPr>
        <w:t>P</w:t>
      </w:r>
      <w:r>
        <w:rPr>
          <w:rFonts w:ascii="Times New Roman" w:hAnsi="Times New Roman" w:eastAsia="Times New Roman"/>
          <w:position w:val="2"/>
          <w:vertAlign w:val="subscript"/>
        </w:rPr>
        <w:t>i</w:t>
      </w:r>
      <w:r>
        <w:rPr>
          <w:position w:val="2"/>
          <w:vertAlign w:val="baseline"/>
        </w:rPr>
        <w:t>定义为：</w:t>
      </w:r>
    </w:p>
    <w:p>
      <w:pPr>
        <w:spacing w:after="0"/>
        <w:rPr>
          <w:sz w:val="7"/>
        </w:rPr>
        <w:sectPr>
          <w:footerReference r:id="rId11"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96" w:line="317" w:lineRule="exact"/>
        <w:ind w:left="0" w:right="0" w:firstLine="0"/>
        <w:jc w:val="right"/>
        <w:rPr>
          <w:rFonts w:ascii="Times New Roman" w:hAnsi="Times New Roman"/>
          <w:i/>
          <w:sz w:val="14"/>
        </w:rPr>
      </w:pPr>
      <w:r>
        <w:rPr>
          <w:rFonts w:ascii="Times New Roman" w:hAnsi="Times New Roman"/>
          <w:i/>
          <w:sz w:val="24"/>
        </w:rPr>
        <w:t>P</w:t>
      </w:r>
      <w:r>
        <w:rPr>
          <w:rFonts w:ascii="Symbol" w:hAnsi="Symbol"/>
          <w:sz w:val="24"/>
        </w:rPr>
        <w:t></w:t>
      </w:r>
      <w:r>
        <w:rPr>
          <w:rFonts w:ascii="Times New Roman" w:hAnsi="Times New Roman"/>
          <w:i/>
          <w:position w:val="16"/>
          <w:sz w:val="24"/>
        </w:rPr>
        <w:t>C</w:t>
      </w:r>
      <w:r>
        <w:rPr>
          <w:rFonts w:ascii="Times New Roman" w:hAnsi="Times New Roman"/>
          <w:i/>
          <w:position w:val="10"/>
          <w:sz w:val="14"/>
        </w:rPr>
        <w:t>i</w:t>
      </w:r>
    </w:p>
    <w:p>
      <w:pPr>
        <w:pStyle w:val="7"/>
        <w:spacing w:before="239" w:line="174" w:lineRule="exact"/>
        <w:ind w:left="84"/>
        <w:rPr>
          <w:rFonts w:ascii="Times New Roman" w:hAnsi="Times New Roman"/>
        </w:rPr>
      </w:pPr>
      <w:r>
        <w:br w:type="column"/>
      </w:r>
      <w:r>
        <w:rPr>
          <w:rFonts w:ascii="Symbol" w:hAnsi="Symbol"/>
        </w:rPr>
        <w:t></w:t>
      </w:r>
      <w:r>
        <w:rPr>
          <w:rFonts w:ascii="Times New Roman" w:hAnsi="Times New Roman"/>
        </w:rPr>
        <w:t>100%</w:t>
      </w:r>
    </w:p>
    <w:p>
      <w:pPr>
        <w:spacing w:after="0" w:line="174" w:lineRule="exact"/>
        <w:rPr>
          <w:rFonts w:ascii="Times New Roman" w:hAnsi="Times New Roman"/>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4633" w:space="40"/>
            <w:col w:w="4757"/>
          </w:cols>
        </w:sectPr>
      </w:pPr>
    </w:p>
    <w:p>
      <w:pPr>
        <w:spacing w:before="0" w:line="158" w:lineRule="exact"/>
        <w:ind w:left="0" w:right="1299" w:firstLine="0"/>
        <w:jc w:val="center"/>
        <w:rPr>
          <w:rFonts w:ascii="Times New Roman"/>
          <w:i/>
          <w:sz w:val="14"/>
        </w:rPr>
      </w:pPr>
      <w:r>
        <mc:AlternateContent>
          <mc:Choice Requires="wps">
            <w:drawing>
              <wp:anchor distT="0" distB="0" distL="114300" distR="114300" simplePos="0" relativeHeight="251664384" behindDoc="0" locked="0" layoutInCell="1" allowOverlap="1">
                <wp:simplePos x="0" y="0"/>
                <wp:positionH relativeFrom="page">
                  <wp:posOffset>3580765</wp:posOffset>
                </wp:positionH>
                <wp:positionV relativeFrom="paragraph">
                  <wp:posOffset>3810</wp:posOffset>
                </wp:positionV>
                <wp:extent cx="213360" cy="0"/>
                <wp:effectExtent l="0" t="0" r="0" b="0"/>
                <wp:wrapNone/>
                <wp:docPr id="100" name="直线 30"/>
                <wp:cNvGraphicFramePr/>
                <a:graphic xmlns:a="http://schemas.openxmlformats.org/drawingml/2006/main">
                  <a:graphicData uri="http://schemas.microsoft.com/office/word/2010/wordprocessingShape">
                    <wps:wsp>
                      <wps:cNvCnPr/>
                      <wps:spPr>
                        <a:xfrm>
                          <a:off x="0" y="0"/>
                          <a:ext cx="213360" cy="0"/>
                        </a:xfrm>
                        <a:prstGeom prst="line">
                          <a:avLst/>
                        </a:prstGeom>
                        <a:ln w="6375"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margin-left:281.95pt;margin-top:0.3pt;height:0pt;width:16.8pt;mso-position-horizontal-relative:page;z-index:251664384;mso-width-relative:page;mso-height-relative:page;" filled="f" stroked="t" coordsize="21600,21600" o:gfxdata="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HWGWHSAAAABQEAAA8AAAAAAAAAAQAgAAAAIgAAAGRycy9kb3du&#10;cmV2LnhtbFBLAQIUABQAAAAIAIdO4kBKYwGjzAEAAI8DAAAOAAAAAAAAAAEAIAAAACEBAABkcnMv&#10;ZTJvRG9jLnhtbFBLBQYAAAAABgAGAFkBAABfBQAAAAA=&#10;">
                <v:fill on="f" focussize="0,0"/>
                <v:stroke weight="0.501968503937008pt"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page">
                  <wp:posOffset>3586480</wp:posOffset>
                </wp:positionH>
                <wp:positionV relativeFrom="paragraph">
                  <wp:posOffset>23495</wp:posOffset>
                </wp:positionV>
                <wp:extent cx="104140" cy="173355"/>
                <wp:effectExtent l="0" t="0" r="0" b="0"/>
                <wp:wrapNone/>
                <wp:docPr id="101" name="文本框 31"/>
                <wp:cNvGraphicFramePr/>
                <a:graphic xmlns:a="http://schemas.openxmlformats.org/drawingml/2006/main">
                  <a:graphicData uri="http://schemas.microsoft.com/office/word/2010/wordprocessingShape">
                    <wps:wsp>
                      <wps:cNvSpPr txBox="1"/>
                      <wps:spPr>
                        <a:xfrm>
                          <a:off x="0" y="0"/>
                          <a:ext cx="104140" cy="173355"/>
                        </a:xfrm>
                        <a:prstGeom prst="rect">
                          <a:avLst/>
                        </a:prstGeom>
                        <a:noFill/>
                        <a:ln>
                          <a:noFill/>
                        </a:ln>
                      </wps:spPr>
                      <wps:txbx>
                        <w:txbxContent>
                          <w:p>
                            <w:pPr>
                              <w:spacing w:before="0" w:line="271" w:lineRule="exact"/>
                              <w:ind w:left="0" w:right="0" w:firstLine="0"/>
                              <w:jc w:val="left"/>
                              <w:rPr>
                                <w:rFonts w:ascii="Times New Roman"/>
                                <w:i/>
                                <w:sz w:val="24"/>
                              </w:rPr>
                            </w:pPr>
                            <w:r>
                              <w:rPr>
                                <w:rFonts w:ascii="Times New Roman"/>
                                <w:i/>
                                <w:w w:val="102"/>
                                <w:sz w:val="24"/>
                              </w:rPr>
                              <w:t>C</w:t>
                            </w:r>
                          </w:p>
                        </w:txbxContent>
                      </wps:txbx>
                      <wps:bodyPr lIns="0" tIns="0" rIns="0" bIns="0" upright="1"/>
                    </wps:wsp>
                  </a:graphicData>
                </a:graphic>
              </wp:anchor>
            </w:drawing>
          </mc:Choice>
          <mc:Fallback>
            <w:pict>
              <v:shape id="文本框 31" o:spid="_x0000_s1026" o:spt="202" type="#_x0000_t202" style="position:absolute;left:0pt;margin-left:282.4pt;margin-top:1.85pt;height:13.65pt;width:8.2pt;mso-position-horizontal-relative:page;z-index:251665408;mso-width-relative:page;mso-height-relative:page;" filled="f" stroked="f" coordsize="21600,21600" o:gfxdata="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XbsLNcAAAAIAQAADwAAAAAAAAAB&#10;ACAAAAAiAAAAZHJzL2Rvd25yZXYueG1sUEsBAhQAFAAAAAgAh07iQMH1eJmfAQAAJgMAAA4AAAAA&#10;AAAAAQAgAAAAJgEAAGRycy9lMm9Eb2MueG1sUEsFBgAAAAAGAAYAWQEAADcFAAAAAA==&#10;">
                <v:fill on="f" focussize="0,0"/>
                <v:stroke on="f"/>
                <v:imagedata o:title=""/>
                <o:lock v:ext="edit" aspectratio="f"/>
                <v:textbox inset="0mm,0mm,0mm,0mm">
                  <w:txbxContent>
                    <w:p>
                      <w:pPr>
                        <w:spacing w:before="0" w:line="271" w:lineRule="exact"/>
                        <w:ind w:left="0" w:right="0" w:firstLine="0"/>
                        <w:jc w:val="left"/>
                        <w:rPr>
                          <w:rFonts w:ascii="Times New Roman"/>
                          <w:i/>
                          <w:sz w:val="24"/>
                        </w:rPr>
                      </w:pPr>
                      <w:r>
                        <w:rPr>
                          <w:rFonts w:ascii="Times New Roman"/>
                          <w:i/>
                          <w:w w:val="102"/>
                          <w:sz w:val="24"/>
                        </w:rPr>
                        <w:t>C</w:t>
                      </w:r>
                    </w:p>
                  </w:txbxContent>
                </v:textbox>
              </v:shape>
            </w:pict>
          </mc:Fallback>
        </mc:AlternateContent>
      </w:r>
      <w:r>
        <w:rPr>
          <w:rFonts w:ascii="Times New Roman"/>
          <w:i/>
          <w:w w:val="102"/>
          <w:sz w:val="14"/>
        </w:rPr>
        <w:t>i</w:t>
      </w:r>
    </w:p>
    <w:p>
      <w:pPr>
        <w:spacing w:before="28"/>
        <w:ind w:left="0" w:right="196" w:firstLine="0"/>
        <w:jc w:val="center"/>
        <w:rPr>
          <w:rFonts w:ascii="Times New Roman"/>
          <w:i/>
          <w:sz w:val="14"/>
        </w:rPr>
      </w:pPr>
      <w:r>
        <w:rPr>
          <w:rFonts w:ascii="Times New Roman"/>
          <w:i/>
          <w:sz w:val="14"/>
        </w:rPr>
        <w:t>oi</w:t>
      </w:r>
    </w:p>
    <w:p>
      <w:pPr>
        <w:pStyle w:val="7"/>
        <w:spacing w:before="5"/>
        <w:ind w:left="0"/>
        <w:rPr>
          <w:rFonts w:ascii="Times New Roman"/>
          <w:i/>
          <w:sz w:val="12"/>
        </w:rPr>
      </w:pPr>
    </w:p>
    <w:p>
      <w:pPr>
        <w:pStyle w:val="7"/>
        <w:spacing w:before="71"/>
        <w:ind w:left="1020"/>
        <w:jc w:val="both"/>
        <w:rPr>
          <w:position w:val="2"/>
        </w:rPr>
      </w:pPr>
    </w:p>
    <w:p>
      <w:pPr>
        <w:pStyle w:val="7"/>
        <w:spacing w:before="71"/>
        <w:ind w:left="1020"/>
        <w:jc w:val="both"/>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position w:val="2"/>
          <w:vertAlign w:val="baseline"/>
        </w:rPr>
        <w:t>—第</w:t>
      </w:r>
      <w:r>
        <w:rPr>
          <w:rFonts w:ascii="Times New Roman" w:hAnsi="Times New Roman" w:eastAsia="Times New Roman"/>
          <w:position w:val="2"/>
          <w:vertAlign w:val="baseline"/>
        </w:rPr>
        <w:t>i</w:t>
      </w:r>
      <w:r>
        <w:rPr>
          <w:position w:val="2"/>
          <w:vertAlign w:val="baseline"/>
        </w:rPr>
        <w:t>个污染物的最大地面浓度占标率，</w:t>
      </w:r>
      <w:r>
        <w:rPr>
          <w:rFonts w:ascii="Times New Roman" w:hAnsi="Times New Roman" w:eastAsia="Times New Roman"/>
          <w:position w:val="2"/>
          <w:vertAlign w:val="baseline"/>
        </w:rPr>
        <w:t>%</w:t>
      </w:r>
      <w:r>
        <w:rPr>
          <w:position w:val="2"/>
          <w:vertAlign w:val="baseline"/>
        </w:rPr>
        <w:t>；</w:t>
      </w:r>
    </w:p>
    <w:p>
      <w:pPr>
        <w:pStyle w:val="7"/>
        <w:spacing w:before="156"/>
        <w:ind w:firstLine="1200" w:firstLineChars="500"/>
        <w:jc w:val="both"/>
      </w:pPr>
      <w:r>
        <w:rPr>
          <w:rFonts w:ascii="Times New Roman" w:hAnsi="Times New Roman" w:eastAsia="Times New Roman"/>
          <w:position w:val="2"/>
        </w:rPr>
        <w:t>C</w:t>
      </w:r>
      <w:r>
        <w:rPr>
          <w:rFonts w:ascii="Times New Roman" w:hAnsi="Times New Roman" w:eastAsia="Times New Roman"/>
          <w:position w:val="2"/>
          <w:vertAlign w:val="subscript"/>
        </w:rPr>
        <w:t>i</w:t>
      </w:r>
      <w:r>
        <w:rPr>
          <w:position w:val="2"/>
          <w:vertAlign w:val="baseline"/>
        </w:rPr>
        <w:t>—采用估算模式计算出的第</w:t>
      </w:r>
      <w:r>
        <w:rPr>
          <w:rFonts w:ascii="Times New Roman" w:hAnsi="Times New Roman" w:eastAsia="Times New Roman"/>
          <w:position w:val="2"/>
          <w:vertAlign w:val="baseline"/>
        </w:rPr>
        <w:t>i</w:t>
      </w:r>
      <w:r>
        <w:rPr>
          <w:position w:val="2"/>
          <w:vertAlign w:val="baseline"/>
        </w:rPr>
        <w:t>个污染物的最大落地浓度，</w:t>
      </w:r>
      <w:r>
        <w:rPr>
          <w:rFonts w:ascii="Times New Roman" w:hAnsi="Times New Roman" w:eastAsia="Times New Roman"/>
          <w:position w:val="2"/>
          <w:vertAlign w:val="baseline"/>
        </w:rPr>
        <w:t>μg/m</w:t>
      </w:r>
      <w:r>
        <w:rPr>
          <w:rFonts w:ascii="Times New Roman" w:hAnsi="Times New Roman" w:eastAsia="Times New Roman"/>
          <w:position w:val="2"/>
          <w:vertAlign w:val="superscript"/>
        </w:rPr>
        <w:t>3</w:t>
      </w:r>
      <w:r>
        <w:rPr>
          <w:position w:val="2"/>
          <w:vertAlign w:val="baseline"/>
        </w:rPr>
        <w:t>；</w:t>
      </w:r>
    </w:p>
    <w:p>
      <w:pPr>
        <w:pStyle w:val="7"/>
        <w:spacing w:before="156"/>
        <w:ind w:left="1780"/>
        <w:jc w:val="both"/>
      </w:pPr>
      <w:r>
        <w:rPr>
          <w:rFonts w:ascii="Times New Roman" w:hAnsi="Times New Roman" w:eastAsia="Times New Roman"/>
          <w:position w:val="2"/>
        </w:rPr>
        <w:t>C</w:t>
      </w:r>
      <w:r>
        <w:rPr>
          <w:rFonts w:ascii="Times New Roman" w:hAnsi="Times New Roman" w:eastAsia="Times New Roman"/>
          <w:position w:val="2"/>
          <w:vertAlign w:val="subscript"/>
        </w:rPr>
        <w:t>oi</w:t>
      </w:r>
      <w:r>
        <w:rPr>
          <w:position w:val="2"/>
          <w:vertAlign w:val="baseline"/>
        </w:rPr>
        <w:t>—第</w:t>
      </w:r>
      <w:r>
        <w:rPr>
          <w:rFonts w:ascii="Times New Roman" w:hAnsi="Times New Roman" w:eastAsia="Times New Roman"/>
          <w:position w:val="2"/>
          <w:vertAlign w:val="baseline"/>
        </w:rPr>
        <w:t>i</w:t>
      </w:r>
      <w:r>
        <w:rPr>
          <w:position w:val="2"/>
          <w:vertAlign w:val="baseline"/>
        </w:rPr>
        <w:t>个污染物的环境空气质量标准，</w:t>
      </w:r>
      <w:r>
        <w:rPr>
          <w:rFonts w:ascii="Times New Roman" w:hAnsi="Times New Roman" w:eastAsia="Times New Roman"/>
          <w:position w:val="2"/>
          <w:vertAlign w:val="baseline"/>
        </w:rPr>
        <w:t>μg/m</w:t>
      </w:r>
      <w:r>
        <w:rPr>
          <w:rFonts w:ascii="Times New Roman" w:hAnsi="Times New Roman" w:eastAsia="Times New Roman"/>
          <w:position w:val="2"/>
          <w:vertAlign w:val="superscript"/>
        </w:rPr>
        <w:t>3</w:t>
      </w:r>
      <w:r>
        <w:rPr>
          <w:position w:val="2"/>
          <w:vertAlign w:val="baseline"/>
        </w:rPr>
        <w:t>。</w:t>
      </w:r>
    </w:p>
    <w:p>
      <w:pPr>
        <w:pStyle w:val="7"/>
        <w:spacing w:before="156" w:line="364" w:lineRule="auto"/>
        <w:ind w:right="577" w:firstLine="496"/>
        <w:jc w:val="both"/>
      </w:pPr>
      <w:r>
        <w:rPr>
          <w:rFonts w:ascii="Times New Roman" w:eastAsia="Times New Roman"/>
          <w:position w:val="2"/>
        </w:rPr>
        <w:t>C</w:t>
      </w:r>
      <w:r>
        <w:rPr>
          <w:rFonts w:ascii="Times New Roman" w:eastAsia="Times New Roman"/>
          <w:position w:val="2"/>
          <w:vertAlign w:val="subscript"/>
        </w:rPr>
        <w:t>oi</w:t>
      </w:r>
      <w:r>
        <w:rPr>
          <w:spacing w:val="-12"/>
          <w:position w:val="2"/>
          <w:vertAlign w:val="baseline"/>
        </w:rPr>
        <w:t>一般选用</w:t>
      </w:r>
      <w:r>
        <w:rPr>
          <w:rFonts w:ascii="Times New Roman" w:eastAsia="Times New Roman"/>
          <w:position w:val="2"/>
          <w:vertAlign w:val="baseline"/>
        </w:rPr>
        <w:t>GB3095</w:t>
      </w:r>
      <w:r>
        <w:rPr>
          <w:spacing w:val="-30"/>
          <w:position w:val="2"/>
          <w:vertAlign w:val="baseline"/>
        </w:rPr>
        <w:t>中</w:t>
      </w:r>
      <w:r>
        <w:rPr>
          <w:rFonts w:ascii="Times New Roman" w:eastAsia="Times New Roman"/>
          <w:position w:val="2"/>
          <w:vertAlign w:val="baseline"/>
        </w:rPr>
        <w:t>1h</w:t>
      </w:r>
      <w:r>
        <w:rPr>
          <w:spacing w:val="-6"/>
          <w:position w:val="2"/>
          <w:vertAlign w:val="baseline"/>
        </w:rPr>
        <w:t>平均质量浓度的二级浓度限值，如项目位于一类</w:t>
      </w:r>
      <w:r>
        <w:rPr>
          <w:spacing w:val="-8"/>
          <w:vertAlign w:val="baseline"/>
        </w:rPr>
        <w:t>环境空气功能区，应选择相应的一级浓度限值；对该标准中未包含的污染物，使</w:t>
      </w:r>
      <w:r>
        <w:rPr>
          <w:vertAlign w:val="baseline"/>
        </w:rPr>
        <w:t>用《环境影响评价技术导则大气环境》（</w:t>
      </w:r>
      <w:r>
        <w:rPr>
          <w:rFonts w:ascii="Times New Roman" w:eastAsia="Times New Roman"/>
          <w:vertAlign w:val="baseline"/>
        </w:rPr>
        <w:t>HJ2.2-2018</w:t>
      </w:r>
      <w:r>
        <w:rPr>
          <w:vertAlign w:val="baseline"/>
        </w:rPr>
        <w:t>）中评价标准确定方法确</w:t>
      </w:r>
      <w:r>
        <w:rPr>
          <w:spacing w:val="-8"/>
          <w:vertAlign w:val="baseline"/>
        </w:rPr>
        <w:t>定的各评价因子</w:t>
      </w:r>
      <w:r>
        <w:rPr>
          <w:rFonts w:ascii="Times New Roman" w:eastAsia="Times New Roman"/>
          <w:vertAlign w:val="baseline"/>
        </w:rPr>
        <w:t>1h</w:t>
      </w:r>
      <w:r>
        <w:rPr>
          <w:spacing w:val="-11"/>
          <w:vertAlign w:val="baseline"/>
        </w:rPr>
        <w:t>平均质量浓度限值。对仅有</w:t>
      </w:r>
      <w:r>
        <w:rPr>
          <w:rFonts w:ascii="Times New Roman" w:eastAsia="Times New Roman"/>
          <w:vertAlign w:val="baseline"/>
        </w:rPr>
        <w:t>8h</w:t>
      </w:r>
      <w:r>
        <w:rPr>
          <w:spacing w:val="-7"/>
          <w:vertAlign w:val="baseline"/>
        </w:rPr>
        <w:t>平均质量浓度限值、日平均质</w:t>
      </w:r>
      <w:r>
        <w:rPr>
          <w:spacing w:val="-5"/>
          <w:vertAlign w:val="baseline"/>
        </w:rPr>
        <w:t>量浓度限值或年平均质量浓度限值的，可分别按</w:t>
      </w:r>
      <w:r>
        <w:rPr>
          <w:rFonts w:ascii="Times New Roman" w:eastAsia="Times New Roman"/>
          <w:vertAlign w:val="baseline"/>
        </w:rPr>
        <w:t>2</w:t>
      </w:r>
      <w:r>
        <w:rPr>
          <w:spacing w:val="-16"/>
          <w:vertAlign w:val="baseline"/>
        </w:rPr>
        <w:t>倍、</w:t>
      </w:r>
      <w:r>
        <w:rPr>
          <w:rFonts w:ascii="Times New Roman" w:eastAsia="Times New Roman"/>
          <w:vertAlign w:val="baseline"/>
        </w:rPr>
        <w:t>3</w:t>
      </w:r>
      <w:r>
        <w:rPr>
          <w:spacing w:val="-16"/>
          <w:vertAlign w:val="baseline"/>
        </w:rPr>
        <w:t>倍、</w:t>
      </w:r>
      <w:r>
        <w:rPr>
          <w:rFonts w:ascii="Times New Roman" w:eastAsia="Times New Roman"/>
          <w:vertAlign w:val="baseline"/>
        </w:rPr>
        <w:t>6</w:t>
      </w:r>
      <w:r>
        <w:rPr>
          <w:spacing w:val="-13"/>
          <w:vertAlign w:val="baseline"/>
        </w:rPr>
        <w:t>倍折算为</w:t>
      </w:r>
      <w:r>
        <w:rPr>
          <w:rFonts w:ascii="Times New Roman" w:eastAsia="Times New Roman"/>
          <w:vertAlign w:val="baseline"/>
        </w:rPr>
        <w:t>1h</w:t>
      </w:r>
      <w:r>
        <w:rPr>
          <w:spacing w:val="-7"/>
          <w:vertAlign w:val="baseline"/>
        </w:rPr>
        <w:t>平均</w:t>
      </w:r>
      <w:r>
        <w:rPr>
          <w:vertAlign w:val="baseline"/>
        </w:rPr>
        <w:t>质量浓度限值。</w:t>
      </w:r>
    </w:p>
    <w:p>
      <w:pPr>
        <w:pStyle w:val="7"/>
        <w:spacing w:before="2" w:line="362" w:lineRule="auto"/>
        <w:ind w:right="572" w:firstLine="480"/>
        <w:jc w:val="both"/>
      </w:pPr>
      <w:r>
        <w:rPr>
          <w:spacing w:val="-4"/>
        </w:rPr>
        <w:t>评价级别判别依据《环境影响评价技术导则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7"/>
        </w:rPr>
        <w:t>中规</w:t>
      </w:r>
      <w:r>
        <w:rPr>
          <w:spacing w:val="-12"/>
          <w:position w:val="2"/>
        </w:rPr>
        <w:t>定，见表</w:t>
      </w:r>
      <w:r>
        <w:rPr>
          <w:rFonts w:ascii="Times New Roman" w:hAnsi="Times New Roman" w:eastAsia="Times New Roman"/>
          <w:position w:val="2"/>
        </w:rPr>
        <w:t>2.6-1</w:t>
      </w:r>
      <w:r>
        <w:rPr>
          <w:spacing w:val="-9"/>
          <w:position w:val="2"/>
        </w:rPr>
        <w:t>。如污染物数</w:t>
      </w:r>
      <w:r>
        <w:rPr>
          <w:rFonts w:ascii="Times New Roman" w:hAnsi="Times New Roman" w:eastAsia="Times New Roman"/>
          <w:position w:val="2"/>
        </w:rPr>
        <w:t>i</w:t>
      </w:r>
      <w:r>
        <w:rPr>
          <w:spacing w:val="-20"/>
          <w:position w:val="2"/>
        </w:rPr>
        <w:t>大于</w:t>
      </w:r>
      <w:r>
        <w:rPr>
          <w:rFonts w:ascii="Times New Roman" w:hAnsi="Times New Roman" w:eastAsia="Times New Roman"/>
          <w:position w:val="2"/>
        </w:rPr>
        <w:t>1</w:t>
      </w:r>
      <w:r>
        <w:rPr>
          <w:spacing w:val="-20"/>
          <w:position w:val="2"/>
        </w:rPr>
        <w:t>，取</w:t>
      </w:r>
      <w:r>
        <w:rPr>
          <w:rFonts w:ascii="Times New Roman" w:hAnsi="Times New Roman" w:eastAsia="Times New Roman"/>
          <w:position w:val="2"/>
        </w:rPr>
        <w:t>P</w:t>
      </w:r>
      <w:r>
        <w:rPr>
          <w:position w:val="2"/>
        </w:rPr>
        <w:t>值中最大者（</w:t>
      </w:r>
      <w:r>
        <w:rPr>
          <w:rFonts w:ascii="Times New Roman" w:hAnsi="Times New Roman" w:eastAsia="Times New Roman"/>
          <w:position w:val="2"/>
        </w:rPr>
        <w:t>P</w:t>
      </w:r>
      <w:r>
        <w:rPr>
          <w:rFonts w:ascii="Times New Roman" w:hAnsi="Times New Roman" w:eastAsia="Times New Roman"/>
          <w:position w:val="2"/>
          <w:vertAlign w:val="subscript"/>
        </w:rPr>
        <w:t>max</w:t>
      </w:r>
      <w:r>
        <w:rPr>
          <w:position w:val="2"/>
          <w:vertAlign w:val="baseline"/>
        </w:rPr>
        <w:t>）。</w:t>
      </w:r>
    </w:p>
    <w:p>
      <w:pPr>
        <w:tabs>
          <w:tab w:val="left" w:pos="4732"/>
        </w:tabs>
        <w:spacing w:before="83"/>
        <w:ind w:left="3213"/>
        <w:jc w:val="both"/>
      </w:pPr>
      <w:r>
        <w:t>表</w:t>
      </w:r>
      <w:r>
        <w:rPr>
          <w:rFonts w:ascii="Times New Roman" w:eastAsia="Times New Roman"/>
        </w:rPr>
        <w:t>2.6-1</w:t>
      </w:r>
      <w:r>
        <w:rPr>
          <w:rFonts w:ascii="Times New Roman" w:eastAsia="Times New Roman"/>
        </w:rPr>
        <w:tab/>
      </w:r>
      <w:r>
        <w:t>评价工作等级</w:t>
      </w:r>
    </w:p>
    <w:tbl>
      <w:tblPr>
        <w:tblStyle w:val="14"/>
        <w:tblW w:w="0" w:type="auto"/>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5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8"/>
              <w:spacing w:before="31"/>
              <w:ind w:left="625" w:right="616"/>
              <w:rPr>
                <w:b/>
                <w:sz w:val="21"/>
              </w:rPr>
            </w:pPr>
            <w:r>
              <w:rPr>
                <w:b/>
                <w:sz w:val="21"/>
              </w:rPr>
              <w:t>评价工作等级</w:t>
            </w:r>
          </w:p>
        </w:tc>
        <w:tc>
          <w:tcPr>
            <w:tcW w:w="5795" w:type="dxa"/>
          </w:tcPr>
          <w:p>
            <w:pPr>
              <w:pStyle w:val="18"/>
              <w:spacing w:before="31"/>
              <w:ind w:left="2035" w:right="2022"/>
              <w:rPr>
                <w:b/>
                <w:sz w:val="21"/>
              </w:rPr>
            </w:pPr>
            <w:r>
              <w:rPr>
                <w:b/>
                <w:sz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8"/>
              <w:spacing w:before="29"/>
              <w:ind w:left="620" w:right="616"/>
              <w:rPr>
                <w:sz w:val="21"/>
              </w:rPr>
            </w:pPr>
            <w:r>
              <w:rPr>
                <w:sz w:val="21"/>
              </w:rPr>
              <w:t>一级</w:t>
            </w:r>
          </w:p>
        </w:tc>
        <w:tc>
          <w:tcPr>
            <w:tcW w:w="5795" w:type="dxa"/>
          </w:tcPr>
          <w:p>
            <w:pPr>
              <w:pStyle w:val="18"/>
              <w:spacing w:before="26"/>
              <w:ind w:left="2032" w:right="2022"/>
              <w:rPr>
                <w:rFonts w:ascii="Times New Roman" w:hAnsi="Times New Roman"/>
                <w:sz w:val="21"/>
              </w:rPr>
            </w:pPr>
            <w:r>
              <w:rPr>
                <w:rFonts w:ascii="Times New Roman" w:hAnsi="Times New Roman"/>
                <w:position w:val="2"/>
                <w:sz w:val="21"/>
              </w:rPr>
              <w:t>P</w:t>
            </w:r>
            <w:r>
              <w:rPr>
                <w:rFonts w:ascii="Times New Roman" w:hAnsi="Times New Roman"/>
                <w:position w:val="2"/>
                <w:sz w:val="21"/>
                <w:vertAlign w:val="subscript"/>
              </w:rPr>
              <w:t>max</w:t>
            </w:r>
            <w:r>
              <w:rPr>
                <w:position w:val="2"/>
                <w:sz w:val="21"/>
                <w:vertAlign w:val="baseline"/>
              </w:rPr>
              <w:t>≥</w:t>
            </w:r>
            <w:r>
              <w:rPr>
                <w:rFonts w:ascii="Times New Roman" w:hAnsi="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8"/>
              <w:spacing w:before="30"/>
              <w:ind w:left="620" w:right="616"/>
              <w:rPr>
                <w:sz w:val="21"/>
              </w:rPr>
            </w:pPr>
            <w:r>
              <w:rPr>
                <w:sz w:val="21"/>
              </w:rPr>
              <w:t>二级</w:t>
            </w:r>
          </w:p>
        </w:tc>
        <w:tc>
          <w:tcPr>
            <w:tcW w:w="5795" w:type="dxa"/>
          </w:tcPr>
          <w:p>
            <w:pPr>
              <w:pStyle w:val="18"/>
              <w:spacing w:before="26"/>
              <w:ind w:left="2034" w:right="2022"/>
              <w:rPr>
                <w:rFonts w:ascii="Times New Roman" w:hAnsi="Times New Roman" w:eastAsia="Times New Roman"/>
                <w:sz w:val="21"/>
              </w:rPr>
            </w:pPr>
            <w:r>
              <w:rPr>
                <w:rFonts w:ascii="Times New Roman" w:hAnsi="Times New Roman" w:eastAsia="Times New Roman"/>
                <w:position w:val="2"/>
                <w:sz w:val="21"/>
              </w:rPr>
              <w:t>1%</w:t>
            </w:r>
            <w:r>
              <w:rPr>
                <w:position w:val="2"/>
                <w:sz w:val="21"/>
              </w:rPr>
              <w:t>≤</w:t>
            </w:r>
            <w:r>
              <w:rPr>
                <w:rFonts w:ascii="Times New Roman" w:hAnsi="Times New Roman" w:eastAsia="Times New Roman"/>
                <w:position w:val="2"/>
                <w:sz w:val="21"/>
              </w:rPr>
              <w:t>P</w:t>
            </w:r>
            <w:r>
              <w:rPr>
                <w:rFonts w:ascii="Times New Roman" w:hAnsi="Times New Roman" w:eastAsia="Times New Roman"/>
                <w:position w:val="2"/>
                <w:sz w:val="21"/>
                <w:vertAlign w:val="subscript"/>
              </w:rPr>
              <w:t>max</w:t>
            </w:r>
            <w:r>
              <w:rPr>
                <w:position w:val="2"/>
                <w:sz w:val="21"/>
                <w:vertAlign w:val="baseline"/>
              </w:rPr>
              <w:t>＜</w:t>
            </w:r>
            <w:r>
              <w:rPr>
                <w:rFonts w:ascii="Times New Roman" w:hAnsi="Times New Roman" w:eastAsia="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8"/>
              <w:spacing w:before="31"/>
              <w:ind w:left="620" w:right="616"/>
              <w:rPr>
                <w:sz w:val="21"/>
              </w:rPr>
            </w:pPr>
            <w:r>
              <w:rPr>
                <w:sz w:val="21"/>
              </w:rPr>
              <w:t>三级</w:t>
            </w:r>
          </w:p>
        </w:tc>
        <w:tc>
          <w:tcPr>
            <w:tcW w:w="5795" w:type="dxa"/>
          </w:tcPr>
          <w:p>
            <w:pPr>
              <w:pStyle w:val="18"/>
              <w:spacing w:before="27"/>
              <w:ind w:left="2032" w:right="2022"/>
              <w:rPr>
                <w:rFonts w:ascii="Times New Roman" w:eastAsia="Times New Roman"/>
                <w:sz w:val="21"/>
              </w:rPr>
            </w:pPr>
            <w:r>
              <w:rPr>
                <w:rFonts w:ascii="Times New Roman" w:eastAsia="Times New Roman"/>
                <w:position w:val="2"/>
                <w:sz w:val="21"/>
              </w:rPr>
              <w:t>P</w:t>
            </w:r>
            <w:r>
              <w:rPr>
                <w:rFonts w:ascii="Times New Roman" w:eastAsia="Times New Roman"/>
                <w:position w:val="2"/>
                <w:sz w:val="21"/>
                <w:vertAlign w:val="subscript"/>
              </w:rPr>
              <w:t>max</w:t>
            </w:r>
            <w:r>
              <w:rPr>
                <w:position w:val="2"/>
                <w:sz w:val="21"/>
                <w:vertAlign w:val="baseline"/>
              </w:rPr>
              <w:t>＜</w:t>
            </w:r>
            <w:r>
              <w:rPr>
                <w:rFonts w:ascii="Times New Roman" w:eastAsia="Times New Roman"/>
                <w:position w:val="2"/>
                <w:sz w:val="21"/>
                <w:vertAlign w:val="baseline"/>
              </w:rPr>
              <w:t>1%</w:t>
            </w:r>
          </w:p>
        </w:tc>
      </w:tr>
    </w:tbl>
    <w:p>
      <w:pPr>
        <w:pStyle w:val="7"/>
        <w:spacing w:before="6"/>
        <w:ind w:left="0"/>
        <w:rPr>
          <w:b/>
          <w:sz w:val="18"/>
        </w:rPr>
      </w:pPr>
    </w:p>
    <w:p>
      <w:pPr>
        <w:pStyle w:val="7"/>
        <w:spacing w:line="362" w:lineRule="auto"/>
        <w:ind w:right="572" w:firstLine="480"/>
        <w:jc w:val="both"/>
        <w:rPr>
          <w:vertAlign w:val="baseline"/>
        </w:rPr>
      </w:pPr>
      <w:r>
        <w:t>根据项目大气污染物排放特点并结合导则要求，按估算模式</w:t>
      </w:r>
      <w:r>
        <w:rPr>
          <w:rFonts w:ascii="Times New Roman" w:eastAsia="Times New Roman"/>
        </w:rPr>
        <w:t>AERSCREEN</w:t>
      </w:r>
      <w:r>
        <w:rPr>
          <w:spacing w:val="-7"/>
          <w:position w:val="2"/>
        </w:rPr>
        <w:t>分别计算污染物</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3"/>
          <w:position w:val="2"/>
          <w:vertAlign w:val="baseline"/>
        </w:rPr>
        <w:t>和颗粒物的最大地面浓度、占标率</w:t>
      </w:r>
      <w:r>
        <w:rPr>
          <w:rFonts w:ascii="Times New Roman" w:eastAsia="Times New Roman"/>
          <w:position w:val="2"/>
          <w:vertAlign w:val="baseline"/>
        </w:rPr>
        <w:t>P</w:t>
      </w:r>
      <w:r>
        <w:rPr>
          <w:rFonts w:ascii="Times New Roman" w:eastAsia="Times New Roman"/>
          <w:position w:val="2"/>
          <w:vertAlign w:val="subscript"/>
        </w:rPr>
        <w:t>i</w:t>
      </w:r>
      <w:r>
        <w:rPr>
          <w:spacing w:val="-24"/>
          <w:position w:val="2"/>
          <w:vertAlign w:val="baseline"/>
        </w:rPr>
        <w:t>及</w:t>
      </w:r>
      <w:r>
        <w:rPr>
          <w:rFonts w:ascii="Times New Roman" w:eastAsia="Times New Roman"/>
          <w:position w:val="2"/>
          <w:vertAlign w:val="baseline"/>
        </w:rPr>
        <w:t>D</w:t>
      </w:r>
      <w:r>
        <w:rPr>
          <w:rFonts w:ascii="Times New Roman" w:eastAsia="Times New Roman"/>
          <w:position w:val="2"/>
          <w:vertAlign w:val="subscript"/>
        </w:rPr>
        <w:t>10%</w:t>
      </w:r>
      <w:r>
        <w:rPr>
          <w:spacing w:val="-6"/>
          <w:position w:val="2"/>
          <w:vertAlign w:val="baseline"/>
        </w:rPr>
        <w:t>，确定</w:t>
      </w:r>
      <w:r>
        <w:rPr>
          <w:vertAlign w:val="baseline"/>
        </w:rPr>
        <w:t>其评价工作等级。</w:t>
      </w:r>
    </w:p>
    <w:p>
      <w:pPr>
        <w:pStyle w:val="7"/>
        <w:spacing w:line="362" w:lineRule="auto"/>
        <w:ind w:right="572" w:firstLine="480"/>
        <w:jc w:val="both"/>
      </w:pPr>
      <w:r>
        <w:t>①源强参数</w:t>
      </w:r>
    </w:p>
    <w:p>
      <w:pPr>
        <w:tabs>
          <w:tab w:val="left" w:pos="3892"/>
        </w:tabs>
        <w:spacing w:before="160" w:line="427" w:lineRule="auto"/>
        <w:ind w:right="1525" w:firstLine="480" w:firstLineChars="200"/>
        <w:jc w:val="both"/>
        <w:rPr>
          <w:b/>
          <w:sz w:val="24"/>
        </w:rPr>
      </w:pPr>
      <w:r>
        <w:rPr>
          <w:sz w:val="24"/>
        </w:rPr>
        <w:t>无组织废气污染物排放参数见表</w:t>
      </w:r>
      <w:r>
        <w:rPr>
          <w:rFonts w:ascii="Times New Roman" w:eastAsia="Times New Roman"/>
          <w:sz w:val="24"/>
        </w:rPr>
        <w:t>2.6-2</w:t>
      </w:r>
      <w:r>
        <w:rPr>
          <w:sz w:val="24"/>
        </w:rPr>
        <w:t>，估算模型参数见表</w:t>
      </w:r>
      <w:r>
        <w:rPr>
          <w:rFonts w:ascii="Times New Roman" w:eastAsia="Times New Roman"/>
          <w:sz w:val="24"/>
        </w:rPr>
        <w:t>2.6-3</w:t>
      </w:r>
      <w:r>
        <w:rPr>
          <w:spacing w:val="-16"/>
          <w:sz w:val="24"/>
        </w:rPr>
        <w:t>。</w:t>
      </w:r>
    </w:p>
    <w:p>
      <w:pPr>
        <w:tabs>
          <w:tab w:val="left" w:pos="3892"/>
        </w:tabs>
        <w:spacing w:before="160" w:line="427" w:lineRule="auto"/>
        <w:ind w:right="1525" w:firstLine="482" w:firstLineChars="200"/>
        <w:jc w:val="center"/>
        <w:rPr>
          <w:b/>
          <w:sz w:val="24"/>
        </w:rPr>
      </w:pPr>
    </w:p>
    <w:p>
      <w:pPr>
        <w:tabs>
          <w:tab w:val="left" w:pos="3892"/>
        </w:tabs>
        <w:spacing w:before="160" w:line="427" w:lineRule="auto"/>
        <w:ind w:right="1525" w:firstLine="480" w:firstLineChars="200"/>
        <w:jc w:val="center"/>
        <w:rPr>
          <w:rFonts w:hint="eastAsia" w:eastAsia="宋体"/>
          <w:sz w:val="24"/>
          <w:lang w:val="en-US" w:eastAsia="zh-CN"/>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sectPr>
      </w:pPr>
    </w:p>
    <w:p>
      <w:pPr>
        <w:pStyle w:val="7"/>
        <w:spacing w:before="11"/>
        <w:ind w:left="0"/>
        <w:rPr>
          <w:b/>
          <w:sz w:val="4"/>
        </w:rPr>
      </w:pPr>
    </w:p>
    <w:p>
      <w:pPr>
        <w:pStyle w:val="7"/>
        <w:spacing w:before="7"/>
        <w:ind w:left="0"/>
        <w:rPr>
          <w:b/>
          <w:sz w:val="6"/>
        </w:rPr>
      </w:pPr>
    </w:p>
    <w:p>
      <w:pPr>
        <w:tabs>
          <w:tab w:val="left" w:pos="1519"/>
        </w:tabs>
        <w:spacing w:before="76"/>
        <w:ind w:right="32"/>
        <w:jc w:val="center"/>
        <w:rPr>
          <w:rFonts w:hint="default" w:eastAsia="宋体"/>
          <w:lang w:val="en-US" w:eastAsia="zh-CN"/>
        </w:rPr>
      </w:pPr>
      <w:r>
        <w:rPr>
          <w:rFonts w:hint="eastAsia"/>
          <w:lang w:val="en-US" w:eastAsia="zh-CN"/>
        </w:rPr>
        <w:t>表2.6-2 项目废气排放源强情况一览表</w:t>
      </w:r>
    </w:p>
    <w:p>
      <w:pPr>
        <w:tabs>
          <w:tab w:val="left" w:pos="1519"/>
        </w:tabs>
        <w:spacing w:before="76"/>
        <w:ind w:right="32"/>
        <w:jc w:val="center"/>
      </w:pPr>
      <w:r>
        <w:rPr>
          <w:sz w:val="22"/>
        </w:rPr>
        <mc:AlternateContent>
          <mc:Choice Requires="wps">
            <w:drawing>
              <wp:anchor distT="0" distB="0" distL="114300" distR="114300" simplePos="0" relativeHeight="251764736" behindDoc="0" locked="0" layoutInCell="1" allowOverlap="1">
                <wp:simplePos x="0" y="0"/>
                <wp:positionH relativeFrom="column">
                  <wp:posOffset>60960</wp:posOffset>
                </wp:positionH>
                <wp:positionV relativeFrom="paragraph">
                  <wp:posOffset>3810</wp:posOffset>
                </wp:positionV>
                <wp:extent cx="5651500" cy="2339975"/>
                <wp:effectExtent l="0" t="0" r="0" b="0"/>
                <wp:wrapNone/>
                <wp:docPr id="196" name="文本框 196"/>
                <wp:cNvGraphicFramePr/>
                <a:graphic xmlns:a="http://schemas.openxmlformats.org/drawingml/2006/main">
                  <a:graphicData uri="http://schemas.microsoft.com/office/word/2010/wordprocessingShape">
                    <wps:wsp>
                      <wps:cNvSpPr txBox="1"/>
                      <wps:spPr>
                        <a:xfrm>
                          <a:off x="828675" y="1444625"/>
                          <a:ext cx="5651500" cy="2339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4"/>
                              <w:tblpPr w:leftFromText="180" w:rightFromText="180" w:vertAnchor="page" w:horzAnchor="page" w:tblpX="1798" w:tblpY="143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168"/>
                              <w:gridCol w:w="835"/>
                              <w:gridCol w:w="1253"/>
                              <w:gridCol w:w="1648"/>
                              <w:gridCol w:w="1145"/>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71" w:type="dxa"/>
                                  <w:gridSpan w:val="2"/>
                                  <w:vMerge w:val="restart"/>
                                </w:tcPr>
                                <w:p>
                                  <w:pPr>
                                    <w:pStyle w:val="18"/>
                                    <w:spacing w:before="6"/>
                                    <w:jc w:val="left"/>
                                    <w:rPr>
                                      <w:b/>
                                      <w:sz w:val="27"/>
                                    </w:rPr>
                                  </w:pPr>
                                </w:p>
                                <w:p>
                                  <w:pPr>
                                    <w:pStyle w:val="18"/>
                                    <w:spacing w:before="1"/>
                                    <w:ind w:left="519"/>
                                    <w:jc w:val="left"/>
                                    <w:rPr>
                                      <w:b/>
                                      <w:sz w:val="21"/>
                                    </w:rPr>
                                  </w:pPr>
                                  <w:r>
                                    <w:rPr>
                                      <w:b/>
                                      <w:sz w:val="21"/>
                                    </w:rPr>
                                    <w:t>污染源</w:t>
                                  </w:r>
                                </w:p>
                              </w:tc>
                              <w:tc>
                                <w:tcPr>
                                  <w:tcW w:w="835" w:type="dxa"/>
                                  <w:vMerge w:val="restart"/>
                                </w:tcPr>
                                <w:p>
                                  <w:pPr>
                                    <w:pStyle w:val="18"/>
                                    <w:spacing w:before="4"/>
                                    <w:jc w:val="left"/>
                                    <w:rPr>
                                      <w:b/>
                                      <w:sz w:val="15"/>
                                    </w:rPr>
                                  </w:pPr>
                                </w:p>
                                <w:p>
                                  <w:pPr>
                                    <w:pStyle w:val="18"/>
                                    <w:spacing w:line="278" w:lineRule="auto"/>
                                    <w:ind w:left="312" w:right="195" w:hanging="106"/>
                                    <w:jc w:val="left"/>
                                    <w:rPr>
                                      <w:b/>
                                      <w:sz w:val="21"/>
                                    </w:rPr>
                                  </w:pPr>
                                  <w:r>
                                    <w:rPr>
                                      <w:b/>
                                      <w:sz w:val="21"/>
                                    </w:rPr>
                                    <w:t>污染物</w:t>
                                  </w:r>
                                </w:p>
                              </w:tc>
                              <w:tc>
                                <w:tcPr>
                                  <w:tcW w:w="2901" w:type="dxa"/>
                                  <w:gridSpan w:val="2"/>
                                </w:tcPr>
                                <w:p>
                                  <w:pPr>
                                    <w:pStyle w:val="18"/>
                                    <w:spacing w:before="36"/>
                                    <w:ind w:left="1009" w:right="997"/>
                                    <w:rPr>
                                      <w:b/>
                                      <w:sz w:val="21"/>
                                    </w:rPr>
                                  </w:pPr>
                                  <w:r>
                                    <w:rPr>
                                      <w:b/>
                                      <w:sz w:val="21"/>
                                    </w:rPr>
                                    <w:t>排放参数</w:t>
                                  </w:r>
                                </w:p>
                              </w:tc>
                              <w:tc>
                                <w:tcPr>
                                  <w:tcW w:w="1145" w:type="dxa"/>
                                  <w:vMerge w:val="restart"/>
                                </w:tcPr>
                                <w:p>
                                  <w:pPr>
                                    <w:pStyle w:val="18"/>
                                    <w:spacing w:before="6"/>
                                    <w:jc w:val="left"/>
                                    <w:rPr>
                                      <w:b/>
                                      <w:sz w:val="27"/>
                                    </w:rPr>
                                  </w:pPr>
                                </w:p>
                                <w:p>
                                  <w:pPr>
                                    <w:pStyle w:val="18"/>
                                    <w:spacing w:before="1"/>
                                    <w:ind w:left="255"/>
                                    <w:jc w:val="left"/>
                                    <w:rPr>
                                      <w:b/>
                                      <w:sz w:val="21"/>
                                    </w:rPr>
                                  </w:pPr>
                                  <w:r>
                                    <w:rPr>
                                      <w:b/>
                                      <w:sz w:val="21"/>
                                    </w:rPr>
                                    <w:t>标准值</w:t>
                                  </w:r>
                                </w:p>
                              </w:tc>
                              <w:tc>
                                <w:tcPr>
                                  <w:tcW w:w="1967" w:type="dxa"/>
                                  <w:vMerge w:val="restart"/>
                                </w:tcPr>
                                <w:p>
                                  <w:pPr>
                                    <w:pStyle w:val="18"/>
                                    <w:spacing w:before="6"/>
                                    <w:jc w:val="left"/>
                                    <w:rPr>
                                      <w:b/>
                                      <w:sz w:val="27"/>
                                    </w:rPr>
                                  </w:pPr>
                                </w:p>
                                <w:p>
                                  <w:pPr>
                                    <w:pStyle w:val="18"/>
                                    <w:spacing w:before="1"/>
                                    <w:ind w:left="562"/>
                                    <w:jc w:val="left"/>
                                    <w:rPr>
                                      <w:b/>
                                      <w:sz w:val="21"/>
                                    </w:rPr>
                                  </w:pPr>
                                  <w:r>
                                    <w:rPr>
                                      <w:b/>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671" w:type="dxa"/>
                                  <w:gridSpan w:val="2"/>
                                  <w:vMerge w:val="continue"/>
                                  <w:tcBorders>
                                    <w:top w:val="nil"/>
                                  </w:tcBorders>
                                </w:tcPr>
                                <w:p>
                                  <w:pPr>
                                    <w:rPr>
                                      <w:sz w:val="2"/>
                                      <w:szCs w:val="2"/>
                                    </w:rPr>
                                  </w:pPr>
                                </w:p>
                              </w:tc>
                              <w:tc>
                                <w:tcPr>
                                  <w:tcW w:w="835" w:type="dxa"/>
                                  <w:vMerge w:val="continue"/>
                                  <w:tcBorders>
                                    <w:top w:val="nil"/>
                                  </w:tcBorders>
                                </w:tcPr>
                                <w:p>
                                  <w:pPr>
                                    <w:rPr>
                                      <w:sz w:val="2"/>
                                      <w:szCs w:val="2"/>
                                    </w:rPr>
                                  </w:pPr>
                                </w:p>
                              </w:tc>
                              <w:tc>
                                <w:tcPr>
                                  <w:tcW w:w="1253" w:type="dxa"/>
                                </w:tcPr>
                                <w:p>
                                  <w:pPr>
                                    <w:pStyle w:val="18"/>
                                    <w:spacing w:before="22"/>
                                    <w:ind w:left="204"/>
                                    <w:jc w:val="left"/>
                                    <w:rPr>
                                      <w:b/>
                                      <w:sz w:val="21"/>
                                    </w:rPr>
                                  </w:pPr>
                                  <w:r>
                                    <w:rPr>
                                      <w:b/>
                                      <w:sz w:val="21"/>
                                    </w:rPr>
                                    <w:t>污染物排</w:t>
                                  </w:r>
                                </w:p>
                                <w:p>
                                  <w:pPr>
                                    <w:pStyle w:val="18"/>
                                    <w:spacing w:before="43"/>
                                    <w:ind w:left="108"/>
                                    <w:jc w:val="left"/>
                                    <w:rPr>
                                      <w:b/>
                                      <w:sz w:val="21"/>
                                    </w:rPr>
                                  </w:pPr>
                                  <w:r>
                                    <w:rPr>
                                      <w:b/>
                                      <w:sz w:val="21"/>
                                    </w:rPr>
                                    <w:t>放量（</w:t>
                                  </w:r>
                                  <w:r>
                                    <w:rPr>
                                      <w:rFonts w:ascii="Times New Roman" w:eastAsia="Times New Roman"/>
                                      <w:b/>
                                      <w:sz w:val="21"/>
                                    </w:rPr>
                                    <w:t>t/a</w:t>
                                  </w:r>
                                  <w:r>
                                    <w:rPr>
                                      <w:b/>
                                      <w:sz w:val="21"/>
                                    </w:rPr>
                                    <w:t>）</w:t>
                                  </w:r>
                                </w:p>
                              </w:tc>
                              <w:tc>
                                <w:tcPr>
                                  <w:tcW w:w="1648" w:type="dxa"/>
                                </w:tcPr>
                                <w:p>
                                  <w:pPr>
                                    <w:pStyle w:val="18"/>
                                    <w:spacing w:before="178"/>
                                    <w:ind w:left="171" w:right="162"/>
                                    <w:rPr>
                                      <w:b/>
                                      <w:sz w:val="21"/>
                                    </w:rPr>
                                  </w:pPr>
                                  <w:r>
                                    <w:rPr>
                                      <w:b/>
                                      <w:sz w:val="21"/>
                                    </w:rPr>
                                    <w:t>污染源参数</w:t>
                                  </w:r>
                                </w:p>
                              </w:tc>
                              <w:tc>
                                <w:tcPr>
                                  <w:tcW w:w="1145" w:type="dxa"/>
                                  <w:vMerge w:val="continue"/>
                                  <w:tcBorders>
                                    <w:top w:val="nil"/>
                                  </w:tcBorders>
                                </w:tcPr>
                                <w:p>
                                  <w:pPr>
                                    <w:rPr>
                                      <w:sz w:val="2"/>
                                      <w:szCs w:val="2"/>
                                    </w:rPr>
                                  </w:pP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3" w:type="dxa"/>
                                  <w:vMerge w:val="restart"/>
                                </w:tcPr>
                                <w:p>
                                  <w:pPr>
                                    <w:pStyle w:val="18"/>
                                    <w:jc w:val="left"/>
                                    <w:rPr>
                                      <w:b/>
                                      <w:sz w:val="20"/>
                                    </w:rPr>
                                  </w:pPr>
                                </w:p>
                                <w:p>
                                  <w:pPr>
                                    <w:pStyle w:val="18"/>
                                    <w:spacing w:before="178" w:line="278" w:lineRule="auto"/>
                                    <w:ind w:left="145" w:right="136"/>
                                    <w:jc w:val="left"/>
                                    <w:rPr>
                                      <w:sz w:val="21"/>
                                    </w:rPr>
                                  </w:pPr>
                                  <w:r>
                                    <w:rPr>
                                      <w:sz w:val="21"/>
                                    </w:rPr>
                                    <w:t>面源</w:t>
                                  </w:r>
                                </w:p>
                              </w:tc>
                              <w:tc>
                                <w:tcPr>
                                  <w:tcW w:w="1168" w:type="dxa"/>
                                  <w:vMerge w:val="restart"/>
                                </w:tcPr>
                                <w:p>
                                  <w:pPr>
                                    <w:pStyle w:val="18"/>
                                    <w:spacing w:before="7"/>
                                    <w:jc w:val="left"/>
                                    <w:rPr>
                                      <w:b/>
                                      <w:sz w:val="17"/>
                                    </w:rPr>
                                  </w:pPr>
                                </w:p>
                                <w:p>
                                  <w:pPr>
                                    <w:pStyle w:val="18"/>
                                    <w:ind w:left="162"/>
                                    <w:jc w:val="left"/>
                                    <w:rPr>
                                      <w:sz w:val="21"/>
                                    </w:rPr>
                                  </w:pPr>
                                  <w:r>
                                    <w:rPr>
                                      <w:sz w:val="21"/>
                                    </w:rPr>
                                    <w:t>养羊棚舍</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50"/>
                                    <w:ind w:left="336"/>
                                    <w:jc w:val="left"/>
                                    <w:rPr>
                                      <w:rFonts w:ascii="Times New Roman"/>
                                      <w:sz w:val="21"/>
                                    </w:rPr>
                                  </w:pPr>
                                  <w:r>
                                    <w:rPr>
                                      <w:rFonts w:ascii="Times New Roman"/>
                                      <w:sz w:val="21"/>
                                    </w:rPr>
                                    <w:t>0.0306</w:t>
                                  </w:r>
                                </w:p>
                              </w:tc>
                              <w:tc>
                                <w:tcPr>
                                  <w:tcW w:w="1648" w:type="dxa"/>
                                  <w:vMerge w:val="restart"/>
                                </w:tcPr>
                                <w:p>
                                  <w:pPr>
                                    <w:pStyle w:val="18"/>
                                    <w:spacing w:line="245"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8"/>
                                    <w:spacing w:line="226" w:lineRule="exact"/>
                                    <w:ind w:left="336"/>
                                    <w:jc w:val="left"/>
                                    <w:rPr>
                                      <w:rFonts w:ascii="Times New Roman" w:hAnsi="Times New Roman"/>
                                      <w:sz w:val="21"/>
                                    </w:rPr>
                                  </w:pPr>
                                  <w:r>
                                    <w:rPr>
                                      <w:rFonts w:ascii="Times New Roman" w:hAnsi="Times New Roman"/>
                                      <w:sz w:val="21"/>
                                    </w:rPr>
                                    <w:t>631×437×8</w:t>
                                  </w:r>
                                </w:p>
                                <w:p>
                                  <w:pPr>
                                    <w:pStyle w:val="18"/>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45" w:type="dxa"/>
                                </w:tcPr>
                                <w:p>
                                  <w:pPr>
                                    <w:pStyle w:val="18"/>
                                    <w:spacing w:before="50"/>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restart"/>
                                </w:tcPr>
                                <w:p>
                                  <w:pPr>
                                    <w:pStyle w:val="18"/>
                                    <w:jc w:val="left"/>
                                    <w:rPr>
                                      <w:b/>
                                      <w:sz w:val="22"/>
                                    </w:rPr>
                                  </w:pPr>
                                </w:p>
                                <w:p>
                                  <w:pPr>
                                    <w:pStyle w:val="18"/>
                                    <w:spacing w:before="8"/>
                                    <w:jc w:val="left"/>
                                    <w:rPr>
                                      <w:b/>
                                      <w:sz w:val="20"/>
                                    </w:rPr>
                                  </w:pPr>
                                </w:p>
                                <w:p>
                                  <w:pPr>
                                    <w:pStyle w:val="18"/>
                                    <w:spacing w:line="213" w:lineRule="auto"/>
                                    <w:ind w:left="109" w:right="98" w:hanging="3"/>
                                    <w:rPr>
                                      <w:sz w:val="21"/>
                                    </w:rPr>
                                  </w:pPr>
                                  <w:r>
                                    <w:rPr>
                                      <w:sz w:val="21"/>
                                    </w:rPr>
                                    <w:t>《环境影响评价技术导则</w:t>
                                  </w:r>
                                  <w:r>
                                    <w:rPr>
                                      <w:rFonts w:ascii="Times New Roman" w:hAnsi="Times New Roman" w:eastAsia="Times New Roman"/>
                                      <w:sz w:val="21"/>
                                    </w:rPr>
                                    <w:t>·</w:t>
                                  </w:r>
                                  <w:r>
                                    <w:rPr>
                                      <w:sz w:val="21"/>
                                    </w:rPr>
                                    <w:t>大气环境》</w:t>
                                  </w:r>
                                </w:p>
                                <w:p>
                                  <w:pPr>
                                    <w:pStyle w:val="18"/>
                                    <w:spacing w:line="247" w:lineRule="exact"/>
                                    <w:ind w:left="261" w:right="250"/>
                                    <w:rPr>
                                      <w:sz w:val="21"/>
                                    </w:rPr>
                                  </w:pPr>
                                  <w:r>
                                    <w:rPr>
                                      <w:sz w:val="21"/>
                                    </w:rPr>
                                    <w:t>（</w:t>
                                  </w:r>
                                  <w:r>
                                    <w:rPr>
                                      <w:rFonts w:ascii="Times New Roman" w:eastAsia="Times New Roman"/>
                                      <w:sz w:val="21"/>
                                    </w:rPr>
                                    <w:t>HJ2.2-2018</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03" w:type="dxa"/>
                                  <w:vMerge w:val="continue"/>
                                  <w:tcBorders>
                                    <w:top w:val="nil"/>
                                  </w:tcBorders>
                                </w:tcPr>
                                <w:p>
                                  <w:pPr>
                                    <w:rPr>
                                      <w:sz w:val="2"/>
                                      <w:szCs w:val="2"/>
                                    </w:rPr>
                                  </w:pPr>
                                </w:p>
                              </w:tc>
                              <w:tc>
                                <w:tcPr>
                                  <w:tcW w:w="1168" w:type="dxa"/>
                                  <w:vMerge w:val="continue"/>
                                  <w:tcBorders>
                                    <w:top w:val="nil"/>
                                  </w:tcBorders>
                                </w:tcPr>
                                <w:p>
                                  <w:pPr>
                                    <w:rPr>
                                      <w:sz w:val="2"/>
                                      <w:szCs w:val="2"/>
                                    </w:rPr>
                                  </w:pPr>
                                </w:p>
                              </w:tc>
                              <w:tc>
                                <w:tcPr>
                                  <w:tcW w:w="835" w:type="dxa"/>
                                </w:tcPr>
                                <w:p>
                                  <w:pPr>
                                    <w:pStyle w:val="18"/>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64"/>
                                    <w:ind w:left="283"/>
                                    <w:jc w:val="left"/>
                                    <w:rPr>
                                      <w:rFonts w:ascii="Times New Roman"/>
                                      <w:sz w:val="21"/>
                                    </w:rPr>
                                  </w:pPr>
                                  <w:r>
                                    <w:rPr>
                                      <w:rFonts w:ascii="Times New Roman"/>
                                      <w:sz w:val="21"/>
                                    </w:rPr>
                                    <w:t>0.00306</w:t>
                                  </w:r>
                                </w:p>
                              </w:tc>
                              <w:tc>
                                <w:tcPr>
                                  <w:tcW w:w="1648" w:type="dxa"/>
                                  <w:vMerge w:val="continue"/>
                                  <w:tcBorders>
                                    <w:top w:val="nil"/>
                                  </w:tcBorders>
                                </w:tcPr>
                                <w:p>
                                  <w:pPr>
                                    <w:rPr>
                                      <w:sz w:val="2"/>
                                      <w:szCs w:val="2"/>
                                    </w:rPr>
                                  </w:pPr>
                                </w:p>
                              </w:tc>
                              <w:tc>
                                <w:tcPr>
                                  <w:tcW w:w="1145" w:type="dxa"/>
                                </w:tcPr>
                                <w:p>
                                  <w:pPr>
                                    <w:pStyle w:val="18"/>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3" w:type="dxa"/>
                                  <w:vMerge w:val="continue"/>
                                  <w:tcBorders>
                                    <w:top w:val="nil"/>
                                  </w:tcBorders>
                                </w:tcPr>
                                <w:p>
                                  <w:pPr>
                                    <w:rPr>
                                      <w:sz w:val="2"/>
                                      <w:szCs w:val="2"/>
                                    </w:rPr>
                                  </w:pPr>
                                </w:p>
                              </w:tc>
                              <w:tc>
                                <w:tcPr>
                                  <w:tcW w:w="1168" w:type="dxa"/>
                                  <w:vMerge w:val="restart"/>
                                </w:tcPr>
                                <w:p>
                                  <w:pPr>
                                    <w:pStyle w:val="18"/>
                                    <w:spacing w:before="7"/>
                                    <w:jc w:val="left"/>
                                    <w:rPr>
                                      <w:b/>
                                      <w:sz w:val="17"/>
                                    </w:rPr>
                                  </w:pPr>
                                </w:p>
                                <w:p>
                                  <w:pPr>
                                    <w:pStyle w:val="18"/>
                                    <w:ind w:left="268"/>
                                    <w:jc w:val="left"/>
                                    <w:rPr>
                                      <w:sz w:val="21"/>
                                    </w:rPr>
                                  </w:pPr>
                                  <w:r>
                                    <w:rPr>
                                      <w:sz w:val="21"/>
                                    </w:rPr>
                                    <w:t>堆肥厂</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49"/>
                                    <w:ind w:left="336"/>
                                    <w:jc w:val="left"/>
                                    <w:rPr>
                                      <w:rFonts w:ascii="Times New Roman"/>
                                      <w:sz w:val="21"/>
                                    </w:rPr>
                                  </w:pPr>
                                  <w:r>
                                    <w:rPr>
                                      <w:rFonts w:ascii="Times New Roman"/>
                                      <w:sz w:val="21"/>
                                    </w:rPr>
                                    <w:t>0.0026</w:t>
                                  </w:r>
                                </w:p>
                              </w:tc>
                              <w:tc>
                                <w:tcPr>
                                  <w:tcW w:w="1648" w:type="dxa"/>
                                  <w:vMerge w:val="restart"/>
                                </w:tcPr>
                                <w:p>
                                  <w:pPr>
                                    <w:pStyle w:val="18"/>
                                    <w:spacing w:line="244"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8"/>
                                    <w:spacing w:line="226" w:lineRule="exact"/>
                                    <w:ind w:left="442"/>
                                    <w:jc w:val="left"/>
                                    <w:rPr>
                                      <w:rFonts w:ascii="Times New Roman" w:hAnsi="Times New Roman"/>
                                      <w:sz w:val="21"/>
                                    </w:rPr>
                                  </w:pPr>
                                  <w:r>
                                    <w:rPr>
                                      <w:rFonts w:ascii="Times New Roman" w:hAnsi="Times New Roman"/>
                                      <w:sz w:val="21"/>
                                    </w:rPr>
                                    <w:t>80×50×8</w:t>
                                  </w:r>
                                </w:p>
                                <w:p>
                                  <w:pPr>
                                    <w:pStyle w:val="18"/>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45" w:type="dxa"/>
                                </w:tcPr>
                                <w:p>
                                  <w:pPr>
                                    <w:pStyle w:val="18"/>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03" w:type="dxa"/>
                                  <w:vMerge w:val="continue"/>
                                  <w:tcBorders>
                                    <w:top w:val="nil"/>
                                  </w:tcBorders>
                                </w:tcPr>
                                <w:p>
                                  <w:pPr>
                                    <w:rPr>
                                      <w:sz w:val="2"/>
                                      <w:szCs w:val="2"/>
                                    </w:rPr>
                                  </w:pPr>
                                </w:p>
                              </w:tc>
                              <w:tc>
                                <w:tcPr>
                                  <w:tcW w:w="1168" w:type="dxa"/>
                                  <w:vMerge w:val="continue"/>
                                  <w:tcBorders>
                                    <w:top w:val="nil"/>
                                  </w:tcBorders>
                                </w:tcPr>
                                <w:p>
                                  <w:pPr>
                                    <w:rPr>
                                      <w:sz w:val="2"/>
                                      <w:szCs w:val="2"/>
                                    </w:rPr>
                                  </w:pPr>
                                </w:p>
                              </w:tc>
                              <w:tc>
                                <w:tcPr>
                                  <w:tcW w:w="835" w:type="dxa"/>
                                </w:tcPr>
                                <w:p>
                                  <w:pPr>
                                    <w:pStyle w:val="18"/>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64"/>
                                    <w:ind w:left="283"/>
                                    <w:jc w:val="left"/>
                                    <w:rPr>
                                      <w:rFonts w:ascii="Times New Roman"/>
                                      <w:sz w:val="21"/>
                                    </w:rPr>
                                  </w:pPr>
                                  <w:r>
                                    <w:rPr>
                                      <w:rFonts w:ascii="Times New Roman"/>
                                      <w:sz w:val="21"/>
                                    </w:rPr>
                                    <w:t>0.00026</w:t>
                                  </w:r>
                                </w:p>
                              </w:tc>
                              <w:tc>
                                <w:tcPr>
                                  <w:tcW w:w="1648" w:type="dxa"/>
                                  <w:vMerge w:val="continue"/>
                                  <w:tcBorders>
                                    <w:top w:val="nil"/>
                                  </w:tcBorders>
                                </w:tcPr>
                                <w:p>
                                  <w:pPr>
                                    <w:rPr>
                                      <w:sz w:val="2"/>
                                      <w:szCs w:val="2"/>
                                    </w:rPr>
                                  </w:pPr>
                                </w:p>
                              </w:tc>
                              <w:tc>
                                <w:tcPr>
                                  <w:tcW w:w="1145" w:type="dxa"/>
                                </w:tcPr>
                                <w:p>
                                  <w:pPr>
                                    <w:pStyle w:val="18"/>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03" w:type="dxa"/>
                                  <w:vMerge w:val="restart"/>
                                </w:tcPr>
                                <w:p>
                                  <w:pPr>
                                    <w:pStyle w:val="18"/>
                                    <w:spacing w:before="35"/>
                                    <w:ind w:left="145"/>
                                    <w:jc w:val="left"/>
                                    <w:rPr>
                                      <w:rFonts w:hint="default" w:eastAsia="宋体"/>
                                      <w:sz w:val="21"/>
                                      <w:lang w:val="en-US" w:eastAsia="zh-CN"/>
                                    </w:rPr>
                                  </w:pPr>
                                  <w:r>
                                    <w:rPr>
                                      <w:rFonts w:hint="eastAsia"/>
                                      <w:sz w:val="21"/>
                                      <w:lang w:val="en-US" w:eastAsia="zh-CN"/>
                                    </w:rPr>
                                    <w:t>点源</w:t>
                                  </w:r>
                                </w:p>
                              </w:tc>
                              <w:tc>
                                <w:tcPr>
                                  <w:tcW w:w="1168" w:type="dxa"/>
                                </w:tcPr>
                                <w:p>
                                  <w:pPr>
                                    <w:pStyle w:val="18"/>
                                    <w:spacing w:before="33"/>
                                    <w:ind w:left="162"/>
                                    <w:jc w:val="left"/>
                                    <w:rPr>
                                      <w:sz w:val="21"/>
                                    </w:rPr>
                                  </w:pPr>
                                  <w:r>
                                    <w:rPr>
                                      <w:sz w:val="21"/>
                                    </w:rPr>
                                    <w:t>无害化处</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49"/>
                                    <w:ind w:left="283"/>
                                    <w:jc w:val="left"/>
                                    <w:rPr>
                                      <w:rFonts w:ascii="Times New Roman"/>
                                      <w:sz w:val="21"/>
                                    </w:rPr>
                                  </w:pPr>
                                  <w:r>
                                    <w:rPr>
                                      <w:rFonts w:ascii="Times New Roman"/>
                                      <w:sz w:val="21"/>
                                    </w:rPr>
                                    <w:t>0.00125</w:t>
                                  </w:r>
                                </w:p>
                              </w:tc>
                              <w:tc>
                                <w:tcPr>
                                  <w:tcW w:w="1648" w:type="dxa"/>
                                </w:tcPr>
                                <w:p>
                                  <w:pPr>
                                    <w:pStyle w:val="18"/>
                                    <w:spacing w:before="33"/>
                                    <w:ind w:left="171" w:right="167"/>
                                    <w:rPr>
                                      <w:sz w:val="21"/>
                                    </w:rPr>
                                  </w:pPr>
                                  <w:r>
                                    <w:rPr>
                                      <w:sz w:val="21"/>
                                    </w:rPr>
                                    <w:t>排气筒几何高</w:t>
                                  </w:r>
                                </w:p>
                              </w:tc>
                              <w:tc>
                                <w:tcPr>
                                  <w:tcW w:w="1145" w:type="dxa"/>
                                </w:tcPr>
                                <w:p>
                                  <w:pPr>
                                    <w:pStyle w:val="18"/>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03" w:type="dxa"/>
                                  <w:vMerge w:val="continue"/>
                                </w:tcPr>
                                <w:p>
                                  <w:pPr>
                                    <w:pStyle w:val="18"/>
                                    <w:spacing w:before="35"/>
                                    <w:ind w:left="145"/>
                                    <w:jc w:val="left"/>
                                    <w:rPr>
                                      <w:w w:val="99"/>
                                      <w:sz w:val="21"/>
                                    </w:rPr>
                                  </w:pPr>
                                </w:p>
                              </w:tc>
                              <w:tc>
                                <w:tcPr>
                                  <w:tcW w:w="1168" w:type="dxa"/>
                                </w:tcPr>
                                <w:p>
                                  <w:pPr>
                                    <w:pStyle w:val="18"/>
                                    <w:spacing w:before="33"/>
                                    <w:ind w:left="162"/>
                                    <w:jc w:val="left"/>
                                    <w:rPr>
                                      <w:rFonts w:hint="eastAsia" w:eastAsia="宋体"/>
                                      <w:sz w:val="21"/>
                                      <w:lang w:val="en-US" w:eastAsia="zh-CN"/>
                                    </w:rPr>
                                  </w:pPr>
                                  <w:r>
                                    <w:rPr>
                                      <w:rFonts w:hint="eastAsia"/>
                                      <w:sz w:val="21"/>
                                      <w:lang w:val="en-US" w:eastAsia="zh-CN"/>
                                    </w:rPr>
                                    <w:t>处理车间</w:t>
                                  </w:r>
                                </w:p>
                              </w:tc>
                              <w:tc>
                                <w:tcPr>
                                  <w:tcW w:w="835" w:type="dxa"/>
                                </w:tcPr>
                                <w:p>
                                  <w:pPr>
                                    <w:pStyle w:val="18"/>
                                    <w:spacing w:before="46"/>
                                    <w:ind w:left="211" w:right="201"/>
                                    <w:rPr>
                                      <w:rFonts w:ascii="Times New Roman"/>
                                      <w:position w:val="2"/>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49"/>
                                    <w:ind w:left="283"/>
                                    <w:jc w:val="left"/>
                                    <w:rPr>
                                      <w:rFonts w:ascii="Times New Roman"/>
                                      <w:sz w:val="21"/>
                                    </w:rPr>
                                  </w:pPr>
                                  <w:r>
                                    <w:rPr>
                                      <w:rFonts w:ascii="Times New Roman"/>
                                      <w:sz w:val="21"/>
                                    </w:rPr>
                                    <w:t>0.000125</w:t>
                                  </w:r>
                                </w:p>
                              </w:tc>
                              <w:tc>
                                <w:tcPr>
                                  <w:tcW w:w="1648" w:type="dxa"/>
                                </w:tcPr>
                                <w:p>
                                  <w:pPr>
                                    <w:pStyle w:val="18"/>
                                    <w:spacing w:before="33"/>
                                    <w:ind w:left="171" w:right="167"/>
                                    <w:rPr>
                                      <w:sz w:val="21"/>
                                    </w:rPr>
                                  </w:pPr>
                                  <w:r>
                                    <w:rPr>
                                      <w:sz w:val="21"/>
                                    </w:rPr>
                                    <w:t>度</w:t>
                                  </w:r>
                                  <w:r>
                                    <w:rPr>
                                      <w:rFonts w:ascii="Times New Roman" w:eastAsia="Times New Roman"/>
                                      <w:sz w:val="21"/>
                                    </w:rPr>
                                    <w:t>15m</w:t>
                                  </w:r>
                                </w:p>
                              </w:tc>
                              <w:tc>
                                <w:tcPr>
                                  <w:tcW w:w="1145" w:type="dxa"/>
                                </w:tcPr>
                                <w:p>
                                  <w:pPr>
                                    <w:pStyle w:val="18"/>
                                    <w:spacing w:before="49"/>
                                    <w:ind w:left="143" w:right="132"/>
                                    <w:rPr>
                                      <w:rFonts w:ascii="Times New Roman" w:hAnsi="Times New Roman"/>
                                      <w:sz w:val="21"/>
                                    </w:rPr>
                                  </w:pPr>
                                  <w:r>
                                    <w:rPr>
                                      <w:rFonts w:ascii="Times New Roman" w:hAnsi="Times New Roman"/>
                                      <w:sz w:val="21"/>
                                    </w:rPr>
                                    <w:t>10μg/m</w:t>
                                  </w:r>
                                  <w:r>
                                    <w:rPr>
                                      <w:rFonts w:ascii="Times New Roman" w:hAnsi="Times New Roman"/>
                                      <w:position w:val="7"/>
                                      <w:sz w:val="13"/>
                                    </w:rPr>
                                    <w:t>3</w:t>
                                  </w:r>
                                </w:p>
                              </w:tc>
                              <w:tc>
                                <w:tcPr>
                                  <w:tcW w:w="1967" w:type="dxa"/>
                                  <w:tcBorders>
                                    <w:top w:val="nil"/>
                                  </w:tcBorders>
                                </w:tcPr>
                                <w:p>
                                  <w:pPr>
                                    <w:rPr>
                                      <w:sz w:val="2"/>
                                      <w:szCs w:val="2"/>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0.3pt;height:184.25pt;width:445pt;z-index:251764736;mso-width-relative:page;mso-height-relative:page;" filled="f" stroked="f" coordsize="21600,21600" o:gfxdata="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1cSa1gAAAAYBAAAPAAAAAAAAAAEAIAAAACIAAABkcnMvZG93bnJldi54bWxQSwECFAAU&#10;AAAACACHTuJARRGfbywCAAAoBAAADgAAAAAAAAABACAAAAAlAQAAZHJzL2Uyb0RvYy54bWxQSwUG&#10;AAAAAAYABgBZAQAAwwUAAAAA&#10;">
                <v:fill on="f" focussize="0,0"/>
                <v:stroke on="f" weight="0.5pt"/>
                <v:imagedata o:title=""/>
                <o:lock v:ext="edit" aspectratio="f"/>
                <v:textbox>
                  <w:txbxContent>
                    <w:tbl>
                      <w:tblPr>
                        <w:tblStyle w:val="14"/>
                        <w:tblpPr w:leftFromText="180" w:rightFromText="180" w:vertAnchor="page" w:horzAnchor="page" w:tblpX="1798" w:tblpY="143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168"/>
                        <w:gridCol w:w="835"/>
                        <w:gridCol w:w="1253"/>
                        <w:gridCol w:w="1648"/>
                        <w:gridCol w:w="1145"/>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71" w:type="dxa"/>
                            <w:gridSpan w:val="2"/>
                            <w:vMerge w:val="restart"/>
                          </w:tcPr>
                          <w:p>
                            <w:pPr>
                              <w:pStyle w:val="18"/>
                              <w:spacing w:before="6"/>
                              <w:jc w:val="left"/>
                              <w:rPr>
                                <w:b/>
                                <w:sz w:val="27"/>
                              </w:rPr>
                            </w:pPr>
                          </w:p>
                          <w:p>
                            <w:pPr>
                              <w:pStyle w:val="18"/>
                              <w:spacing w:before="1"/>
                              <w:ind w:left="519"/>
                              <w:jc w:val="left"/>
                              <w:rPr>
                                <w:b/>
                                <w:sz w:val="21"/>
                              </w:rPr>
                            </w:pPr>
                            <w:r>
                              <w:rPr>
                                <w:b/>
                                <w:sz w:val="21"/>
                              </w:rPr>
                              <w:t>污染源</w:t>
                            </w:r>
                          </w:p>
                        </w:tc>
                        <w:tc>
                          <w:tcPr>
                            <w:tcW w:w="835" w:type="dxa"/>
                            <w:vMerge w:val="restart"/>
                          </w:tcPr>
                          <w:p>
                            <w:pPr>
                              <w:pStyle w:val="18"/>
                              <w:spacing w:before="4"/>
                              <w:jc w:val="left"/>
                              <w:rPr>
                                <w:b/>
                                <w:sz w:val="15"/>
                              </w:rPr>
                            </w:pPr>
                          </w:p>
                          <w:p>
                            <w:pPr>
                              <w:pStyle w:val="18"/>
                              <w:spacing w:line="278" w:lineRule="auto"/>
                              <w:ind w:left="312" w:right="195" w:hanging="106"/>
                              <w:jc w:val="left"/>
                              <w:rPr>
                                <w:b/>
                                <w:sz w:val="21"/>
                              </w:rPr>
                            </w:pPr>
                            <w:r>
                              <w:rPr>
                                <w:b/>
                                <w:sz w:val="21"/>
                              </w:rPr>
                              <w:t>污染物</w:t>
                            </w:r>
                          </w:p>
                        </w:tc>
                        <w:tc>
                          <w:tcPr>
                            <w:tcW w:w="2901" w:type="dxa"/>
                            <w:gridSpan w:val="2"/>
                          </w:tcPr>
                          <w:p>
                            <w:pPr>
                              <w:pStyle w:val="18"/>
                              <w:spacing w:before="36"/>
                              <w:ind w:left="1009" w:right="997"/>
                              <w:rPr>
                                <w:b/>
                                <w:sz w:val="21"/>
                              </w:rPr>
                            </w:pPr>
                            <w:r>
                              <w:rPr>
                                <w:b/>
                                <w:sz w:val="21"/>
                              </w:rPr>
                              <w:t>排放参数</w:t>
                            </w:r>
                          </w:p>
                        </w:tc>
                        <w:tc>
                          <w:tcPr>
                            <w:tcW w:w="1145" w:type="dxa"/>
                            <w:vMerge w:val="restart"/>
                          </w:tcPr>
                          <w:p>
                            <w:pPr>
                              <w:pStyle w:val="18"/>
                              <w:spacing w:before="6"/>
                              <w:jc w:val="left"/>
                              <w:rPr>
                                <w:b/>
                                <w:sz w:val="27"/>
                              </w:rPr>
                            </w:pPr>
                          </w:p>
                          <w:p>
                            <w:pPr>
                              <w:pStyle w:val="18"/>
                              <w:spacing w:before="1"/>
                              <w:ind w:left="255"/>
                              <w:jc w:val="left"/>
                              <w:rPr>
                                <w:b/>
                                <w:sz w:val="21"/>
                              </w:rPr>
                            </w:pPr>
                            <w:r>
                              <w:rPr>
                                <w:b/>
                                <w:sz w:val="21"/>
                              </w:rPr>
                              <w:t>标准值</w:t>
                            </w:r>
                          </w:p>
                        </w:tc>
                        <w:tc>
                          <w:tcPr>
                            <w:tcW w:w="1967" w:type="dxa"/>
                            <w:vMerge w:val="restart"/>
                          </w:tcPr>
                          <w:p>
                            <w:pPr>
                              <w:pStyle w:val="18"/>
                              <w:spacing w:before="6"/>
                              <w:jc w:val="left"/>
                              <w:rPr>
                                <w:b/>
                                <w:sz w:val="27"/>
                              </w:rPr>
                            </w:pPr>
                          </w:p>
                          <w:p>
                            <w:pPr>
                              <w:pStyle w:val="18"/>
                              <w:spacing w:before="1"/>
                              <w:ind w:left="562"/>
                              <w:jc w:val="left"/>
                              <w:rPr>
                                <w:b/>
                                <w:sz w:val="21"/>
                              </w:rPr>
                            </w:pPr>
                            <w:r>
                              <w:rPr>
                                <w:b/>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671" w:type="dxa"/>
                            <w:gridSpan w:val="2"/>
                            <w:vMerge w:val="continue"/>
                            <w:tcBorders>
                              <w:top w:val="nil"/>
                            </w:tcBorders>
                          </w:tcPr>
                          <w:p>
                            <w:pPr>
                              <w:rPr>
                                <w:sz w:val="2"/>
                                <w:szCs w:val="2"/>
                              </w:rPr>
                            </w:pPr>
                          </w:p>
                        </w:tc>
                        <w:tc>
                          <w:tcPr>
                            <w:tcW w:w="835" w:type="dxa"/>
                            <w:vMerge w:val="continue"/>
                            <w:tcBorders>
                              <w:top w:val="nil"/>
                            </w:tcBorders>
                          </w:tcPr>
                          <w:p>
                            <w:pPr>
                              <w:rPr>
                                <w:sz w:val="2"/>
                                <w:szCs w:val="2"/>
                              </w:rPr>
                            </w:pPr>
                          </w:p>
                        </w:tc>
                        <w:tc>
                          <w:tcPr>
                            <w:tcW w:w="1253" w:type="dxa"/>
                          </w:tcPr>
                          <w:p>
                            <w:pPr>
                              <w:pStyle w:val="18"/>
                              <w:spacing w:before="22"/>
                              <w:ind w:left="204"/>
                              <w:jc w:val="left"/>
                              <w:rPr>
                                <w:b/>
                                <w:sz w:val="21"/>
                              </w:rPr>
                            </w:pPr>
                            <w:r>
                              <w:rPr>
                                <w:b/>
                                <w:sz w:val="21"/>
                              </w:rPr>
                              <w:t>污染物排</w:t>
                            </w:r>
                          </w:p>
                          <w:p>
                            <w:pPr>
                              <w:pStyle w:val="18"/>
                              <w:spacing w:before="43"/>
                              <w:ind w:left="108"/>
                              <w:jc w:val="left"/>
                              <w:rPr>
                                <w:b/>
                                <w:sz w:val="21"/>
                              </w:rPr>
                            </w:pPr>
                            <w:r>
                              <w:rPr>
                                <w:b/>
                                <w:sz w:val="21"/>
                              </w:rPr>
                              <w:t>放量（</w:t>
                            </w:r>
                            <w:r>
                              <w:rPr>
                                <w:rFonts w:ascii="Times New Roman" w:eastAsia="Times New Roman"/>
                                <w:b/>
                                <w:sz w:val="21"/>
                              </w:rPr>
                              <w:t>t/a</w:t>
                            </w:r>
                            <w:r>
                              <w:rPr>
                                <w:b/>
                                <w:sz w:val="21"/>
                              </w:rPr>
                              <w:t>）</w:t>
                            </w:r>
                          </w:p>
                        </w:tc>
                        <w:tc>
                          <w:tcPr>
                            <w:tcW w:w="1648" w:type="dxa"/>
                          </w:tcPr>
                          <w:p>
                            <w:pPr>
                              <w:pStyle w:val="18"/>
                              <w:spacing w:before="178"/>
                              <w:ind w:left="171" w:right="162"/>
                              <w:rPr>
                                <w:b/>
                                <w:sz w:val="21"/>
                              </w:rPr>
                            </w:pPr>
                            <w:r>
                              <w:rPr>
                                <w:b/>
                                <w:sz w:val="21"/>
                              </w:rPr>
                              <w:t>污染源参数</w:t>
                            </w:r>
                          </w:p>
                        </w:tc>
                        <w:tc>
                          <w:tcPr>
                            <w:tcW w:w="1145" w:type="dxa"/>
                            <w:vMerge w:val="continue"/>
                            <w:tcBorders>
                              <w:top w:val="nil"/>
                            </w:tcBorders>
                          </w:tcPr>
                          <w:p>
                            <w:pPr>
                              <w:rPr>
                                <w:sz w:val="2"/>
                                <w:szCs w:val="2"/>
                              </w:rPr>
                            </w:pP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3" w:type="dxa"/>
                            <w:vMerge w:val="restart"/>
                          </w:tcPr>
                          <w:p>
                            <w:pPr>
                              <w:pStyle w:val="18"/>
                              <w:jc w:val="left"/>
                              <w:rPr>
                                <w:b/>
                                <w:sz w:val="20"/>
                              </w:rPr>
                            </w:pPr>
                          </w:p>
                          <w:p>
                            <w:pPr>
                              <w:pStyle w:val="18"/>
                              <w:spacing w:before="178" w:line="278" w:lineRule="auto"/>
                              <w:ind w:left="145" w:right="136"/>
                              <w:jc w:val="left"/>
                              <w:rPr>
                                <w:sz w:val="21"/>
                              </w:rPr>
                            </w:pPr>
                            <w:r>
                              <w:rPr>
                                <w:sz w:val="21"/>
                              </w:rPr>
                              <w:t>面源</w:t>
                            </w:r>
                          </w:p>
                        </w:tc>
                        <w:tc>
                          <w:tcPr>
                            <w:tcW w:w="1168" w:type="dxa"/>
                            <w:vMerge w:val="restart"/>
                          </w:tcPr>
                          <w:p>
                            <w:pPr>
                              <w:pStyle w:val="18"/>
                              <w:spacing w:before="7"/>
                              <w:jc w:val="left"/>
                              <w:rPr>
                                <w:b/>
                                <w:sz w:val="17"/>
                              </w:rPr>
                            </w:pPr>
                          </w:p>
                          <w:p>
                            <w:pPr>
                              <w:pStyle w:val="18"/>
                              <w:ind w:left="162"/>
                              <w:jc w:val="left"/>
                              <w:rPr>
                                <w:sz w:val="21"/>
                              </w:rPr>
                            </w:pPr>
                            <w:r>
                              <w:rPr>
                                <w:sz w:val="21"/>
                              </w:rPr>
                              <w:t>养羊棚舍</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50"/>
                              <w:ind w:left="336"/>
                              <w:jc w:val="left"/>
                              <w:rPr>
                                <w:rFonts w:ascii="Times New Roman"/>
                                <w:sz w:val="21"/>
                              </w:rPr>
                            </w:pPr>
                            <w:r>
                              <w:rPr>
                                <w:rFonts w:ascii="Times New Roman"/>
                                <w:sz w:val="21"/>
                              </w:rPr>
                              <w:t>0.0306</w:t>
                            </w:r>
                          </w:p>
                        </w:tc>
                        <w:tc>
                          <w:tcPr>
                            <w:tcW w:w="1648" w:type="dxa"/>
                            <w:vMerge w:val="restart"/>
                          </w:tcPr>
                          <w:p>
                            <w:pPr>
                              <w:pStyle w:val="18"/>
                              <w:spacing w:line="245"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8"/>
                              <w:spacing w:line="226" w:lineRule="exact"/>
                              <w:ind w:left="336"/>
                              <w:jc w:val="left"/>
                              <w:rPr>
                                <w:rFonts w:ascii="Times New Roman" w:hAnsi="Times New Roman"/>
                                <w:sz w:val="21"/>
                              </w:rPr>
                            </w:pPr>
                            <w:r>
                              <w:rPr>
                                <w:rFonts w:ascii="Times New Roman" w:hAnsi="Times New Roman"/>
                                <w:sz w:val="21"/>
                              </w:rPr>
                              <w:t>631×437×8</w:t>
                            </w:r>
                          </w:p>
                          <w:p>
                            <w:pPr>
                              <w:pStyle w:val="18"/>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45" w:type="dxa"/>
                          </w:tcPr>
                          <w:p>
                            <w:pPr>
                              <w:pStyle w:val="18"/>
                              <w:spacing w:before="50"/>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restart"/>
                          </w:tcPr>
                          <w:p>
                            <w:pPr>
                              <w:pStyle w:val="18"/>
                              <w:jc w:val="left"/>
                              <w:rPr>
                                <w:b/>
                                <w:sz w:val="22"/>
                              </w:rPr>
                            </w:pPr>
                          </w:p>
                          <w:p>
                            <w:pPr>
                              <w:pStyle w:val="18"/>
                              <w:spacing w:before="8"/>
                              <w:jc w:val="left"/>
                              <w:rPr>
                                <w:b/>
                                <w:sz w:val="20"/>
                              </w:rPr>
                            </w:pPr>
                          </w:p>
                          <w:p>
                            <w:pPr>
                              <w:pStyle w:val="18"/>
                              <w:spacing w:line="213" w:lineRule="auto"/>
                              <w:ind w:left="109" w:right="98" w:hanging="3"/>
                              <w:rPr>
                                <w:sz w:val="21"/>
                              </w:rPr>
                            </w:pPr>
                            <w:r>
                              <w:rPr>
                                <w:sz w:val="21"/>
                              </w:rPr>
                              <w:t>《环境影响评价技术导则</w:t>
                            </w:r>
                            <w:r>
                              <w:rPr>
                                <w:rFonts w:ascii="Times New Roman" w:hAnsi="Times New Roman" w:eastAsia="Times New Roman"/>
                                <w:sz w:val="21"/>
                              </w:rPr>
                              <w:t>·</w:t>
                            </w:r>
                            <w:r>
                              <w:rPr>
                                <w:sz w:val="21"/>
                              </w:rPr>
                              <w:t>大气环境》</w:t>
                            </w:r>
                          </w:p>
                          <w:p>
                            <w:pPr>
                              <w:pStyle w:val="18"/>
                              <w:spacing w:line="247" w:lineRule="exact"/>
                              <w:ind w:left="261" w:right="250"/>
                              <w:rPr>
                                <w:sz w:val="21"/>
                              </w:rPr>
                            </w:pPr>
                            <w:r>
                              <w:rPr>
                                <w:sz w:val="21"/>
                              </w:rPr>
                              <w:t>（</w:t>
                            </w:r>
                            <w:r>
                              <w:rPr>
                                <w:rFonts w:ascii="Times New Roman" w:eastAsia="Times New Roman"/>
                                <w:sz w:val="21"/>
                              </w:rPr>
                              <w:t>HJ2.2-2018</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03" w:type="dxa"/>
                            <w:vMerge w:val="continue"/>
                            <w:tcBorders>
                              <w:top w:val="nil"/>
                            </w:tcBorders>
                          </w:tcPr>
                          <w:p>
                            <w:pPr>
                              <w:rPr>
                                <w:sz w:val="2"/>
                                <w:szCs w:val="2"/>
                              </w:rPr>
                            </w:pPr>
                          </w:p>
                        </w:tc>
                        <w:tc>
                          <w:tcPr>
                            <w:tcW w:w="1168" w:type="dxa"/>
                            <w:vMerge w:val="continue"/>
                            <w:tcBorders>
                              <w:top w:val="nil"/>
                            </w:tcBorders>
                          </w:tcPr>
                          <w:p>
                            <w:pPr>
                              <w:rPr>
                                <w:sz w:val="2"/>
                                <w:szCs w:val="2"/>
                              </w:rPr>
                            </w:pPr>
                          </w:p>
                        </w:tc>
                        <w:tc>
                          <w:tcPr>
                            <w:tcW w:w="835" w:type="dxa"/>
                          </w:tcPr>
                          <w:p>
                            <w:pPr>
                              <w:pStyle w:val="18"/>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64"/>
                              <w:ind w:left="283"/>
                              <w:jc w:val="left"/>
                              <w:rPr>
                                <w:rFonts w:ascii="Times New Roman"/>
                                <w:sz w:val="21"/>
                              </w:rPr>
                            </w:pPr>
                            <w:r>
                              <w:rPr>
                                <w:rFonts w:ascii="Times New Roman"/>
                                <w:sz w:val="21"/>
                              </w:rPr>
                              <w:t>0.00306</w:t>
                            </w:r>
                          </w:p>
                        </w:tc>
                        <w:tc>
                          <w:tcPr>
                            <w:tcW w:w="1648" w:type="dxa"/>
                            <w:vMerge w:val="continue"/>
                            <w:tcBorders>
                              <w:top w:val="nil"/>
                            </w:tcBorders>
                          </w:tcPr>
                          <w:p>
                            <w:pPr>
                              <w:rPr>
                                <w:sz w:val="2"/>
                                <w:szCs w:val="2"/>
                              </w:rPr>
                            </w:pPr>
                          </w:p>
                        </w:tc>
                        <w:tc>
                          <w:tcPr>
                            <w:tcW w:w="1145" w:type="dxa"/>
                          </w:tcPr>
                          <w:p>
                            <w:pPr>
                              <w:pStyle w:val="18"/>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3" w:type="dxa"/>
                            <w:vMerge w:val="continue"/>
                            <w:tcBorders>
                              <w:top w:val="nil"/>
                            </w:tcBorders>
                          </w:tcPr>
                          <w:p>
                            <w:pPr>
                              <w:rPr>
                                <w:sz w:val="2"/>
                                <w:szCs w:val="2"/>
                              </w:rPr>
                            </w:pPr>
                          </w:p>
                        </w:tc>
                        <w:tc>
                          <w:tcPr>
                            <w:tcW w:w="1168" w:type="dxa"/>
                            <w:vMerge w:val="restart"/>
                          </w:tcPr>
                          <w:p>
                            <w:pPr>
                              <w:pStyle w:val="18"/>
                              <w:spacing w:before="7"/>
                              <w:jc w:val="left"/>
                              <w:rPr>
                                <w:b/>
                                <w:sz w:val="17"/>
                              </w:rPr>
                            </w:pPr>
                          </w:p>
                          <w:p>
                            <w:pPr>
                              <w:pStyle w:val="18"/>
                              <w:ind w:left="268"/>
                              <w:jc w:val="left"/>
                              <w:rPr>
                                <w:sz w:val="21"/>
                              </w:rPr>
                            </w:pPr>
                            <w:r>
                              <w:rPr>
                                <w:sz w:val="21"/>
                              </w:rPr>
                              <w:t>堆肥厂</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49"/>
                              <w:ind w:left="336"/>
                              <w:jc w:val="left"/>
                              <w:rPr>
                                <w:rFonts w:ascii="Times New Roman"/>
                                <w:sz w:val="21"/>
                              </w:rPr>
                            </w:pPr>
                            <w:r>
                              <w:rPr>
                                <w:rFonts w:ascii="Times New Roman"/>
                                <w:sz w:val="21"/>
                              </w:rPr>
                              <w:t>0.0026</w:t>
                            </w:r>
                          </w:p>
                        </w:tc>
                        <w:tc>
                          <w:tcPr>
                            <w:tcW w:w="1648" w:type="dxa"/>
                            <w:vMerge w:val="restart"/>
                          </w:tcPr>
                          <w:p>
                            <w:pPr>
                              <w:pStyle w:val="18"/>
                              <w:spacing w:line="244"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8"/>
                              <w:spacing w:line="226" w:lineRule="exact"/>
                              <w:ind w:left="442"/>
                              <w:jc w:val="left"/>
                              <w:rPr>
                                <w:rFonts w:ascii="Times New Roman" w:hAnsi="Times New Roman"/>
                                <w:sz w:val="21"/>
                              </w:rPr>
                            </w:pPr>
                            <w:r>
                              <w:rPr>
                                <w:rFonts w:ascii="Times New Roman" w:hAnsi="Times New Roman"/>
                                <w:sz w:val="21"/>
                              </w:rPr>
                              <w:t>80×50×8</w:t>
                            </w:r>
                          </w:p>
                          <w:p>
                            <w:pPr>
                              <w:pStyle w:val="18"/>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45" w:type="dxa"/>
                          </w:tcPr>
                          <w:p>
                            <w:pPr>
                              <w:pStyle w:val="18"/>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03" w:type="dxa"/>
                            <w:vMerge w:val="continue"/>
                            <w:tcBorders>
                              <w:top w:val="nil"/>
                            </w:tcBorders>
                          </w:tcPr>
                          <w:p>
                            <w:pPr>
                              <w:rPr>
                                <w:sz w:val="2"/>
                                <w:szCs w:val="2"/>
                              </w:rPr>
                            </w:pPr>
                          </w:p>
                        </w:tc>
                        <w:tc>
                          <w:tcPr>
                            <w:tcW w:w="1168" w:type="dxa"/>
                            <w:vMerge w:val="continue"/>
                            <w:tcBorders>
                              <w:top w:val="nil"/>
                            </w:tcBorders>
                          </w:tcPr>
                          <w:p>
                            <w:pPr>
                              <w:rPr>
                                <w:sz w:val="2"/>
                                <w:szCs w:val="2"/>
                              </w:rPr>
                            </w:pPr>
                          </w:p>
                        </w:tc>
                        <w:tc>
                          <w:tcPr>
                            <w:tcW w:w="835" w:type="dxa"/>
                          </w:tcPr>
                          <w:p>
                            <w:pPr>
                              <w:pStyle w:val="18"/>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64"/>
                              <w:ind w:left="283"/>
                              <w:jc w:val="left"/>
                              <w:rPr>
                                <w:rFonts w:ascii="Times New Roman"/>
                                <w:sz w:val="21"/>
                              </w:rPr>
                            </w:pPr>
                            <w:r>
                              <w:rPr>
                                <w:rFonts w:ascii="Times New Roman"/>
                                <w:sz w:val="21"/>
                              </w:rPr>
                              <w:t>0.00026</w:t>
                            </w:r>
                          </w:p>
                        </w:tc>
                        <w:tc>
                          <w:tcPr>
                            <w:tcW w:w="1648" w:type="dxa"/>
                            <w:vMerge w:val="continue"/>
                            <w:tcBorders>
                              <w:top w:val="nil"/>
                            </w:tcBorders>
                          </w:tcPr>
                          <w:p>
                            <w:pPr>
                              <w:rPr>
                                <w:sz w:val="2"/>
                                <w:szCs w:val="2"/>
                              </w:rPr>
                            </w:pPr>
                          </w:p>
                        </w:tc>
                        <w:tc>
                          <w:tcPr>
                            <w:tcW w:w="1145" w:type="dxa"/>
                          </w:tcPr>
                          <w:p>
                            <w:pPr>
                              <w:pStyle w:val="18"/>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1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03" w:type="dxa"/>
                            <w:vMerge w:val="restart"/>
                          </w:tcPr>
                          <w:p>
                            <w:pPr>
                              <w:pStyle w:val="18"/>
                              <w:spacing w:before="35"/>
                              <w:ind w:left="145"/>
                              <w:jc w:val="left"/>
                              <w:rPr>
                                <w:rFonts w:hint="default" w:eastAsia="宋体"/>
                                <w:sz w:val="21"/>
                                <w:lang w:val="en-US" w:eastAsia="zh-CN"/>
                              </w:rPr>
                            </w:pPr>
                            <w:r>
                              <w:rPr>
                                <w:rFonts w:hint="eastAsia"/>
                                <w:sz w:val="21"/>
                                <w:lang w:val="en-US" w:eastAsia="zh-CN"/>
                              </w:rPr>
                              <w:t>点源</w:t>
                            </w:r>
                          </w:p>
                        </w:tc>
                        <w:tc>
                          <w:tcPr>
                            <w:tcW w:w="1168" w:type="dxa"/>
                          </w:tcPr>
                          <w:p>
                            <w:pPr>
                              <w:pStyle w:val="18"/>
                              <w:spacing w:before="33"/>
                              <w:ind w:left="162"/>
                              <w:jc w:val="left"/>
                              <w:rPr>
                                <w:sz w:val="21"/>
                              </w:rPr>
                            </w:pPr>
                            <w:r>
                              <w:rPr>
                                <w:sz w:val="21"/>
                              </w:rPr>
                              <w:t>无害化处</w:t>
                            </w:r>
                          </w:p>
                        </w:tc>
                        <w:tc>
                          <w:tcPr>
                            <w:tcW w:w="835" w:type="dxa"/>
                          </w:tcPr>
                          <w:p>
                            <w:pPr>
                              <w:pStyle w:val="18"/>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53" w:type="dxa"/>
                          </w:tcPr>
                          <w:p>
                            <w:pPr>
                              <w:pStyle w:val="18"/>
                              <w:spacing w:before="49"/>
                              <w:ind w:left="283"/>
                              <w:jc w:val="left"/>
                              <w:rPr>
                                <w:rFonts w:ascii="Times New Roman"/>
                                <w:sz w:val="21"/>
                              </w:rPr>
                            </w:pPr>
                            <w:r>
                              <w:rPr>
                                <w:rFonts w:ascii="Times New Roman"/>
                                <w:sz w:val="21"/>
                              </w:rPr>
                              <w:t>0.00125</w:t>
                            </w:r>
                          </w:p>
                        </w:tc>
                        <w:tc>
                          <w:tcPr>
                            <w:tcW w:w="1648" w:type="dxa"/>
                          </w:tcPr>
                          <w:p>
                            <w:pPr>
                              <w:pStyle w:val="18"/>
                              <w:spacing w:before="33"/>
                              <w:ind w:left="171" w:right="167"/>
                              <w:rPr>
                                <w:sz w:val="21"/>
                              </w:rPr>
                            </w:pPr>
                            <w:r>
                              <w:rPr>
                                <w:sz w:val="21"/>
                              </w:rPr>
                              <w:t>排气筒几何高</w:t>
                            </w:r>
                          </w:p>
                        </w:tc>
                        <w:tc>
                          <w:tcPr>
                            <w:tcW w:w="1145" w:type="dxa"/>
                          </w:tcPr>
                          <w:p>
                            <w:pPr>
                              <w:pStyle w:val="18"/>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196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03" w:type="dxa"/>
                            <w:vMerge w:val="continue"/>
                          </w:tcPr>
                          <w:p>
                            <w:pPr>
                              <w:pStyle w:val="18"/>
                              <w:spacing w:before="35"/>
                              <w:ind w:left="145"/>
                              <w:jc w:val="left"/>
                              <w:rPr>
                                <w:w w:val="99"/>
                                <w:sz w:val="21"/>
                              </w:rPr>
                            </w:pPr>
                          </w:p>
                        </w:tc>
                        <w:tc>
                          <w:tcPr>
                            <w:tcW w:w="1168" w:type="dxa"/>
                          </w:tcPr>
                          <w:p>
                            <w:pPr>
                              <w:pStyle w:val="18"/>
                              <w:spacing w:before="33"/>
                              <w:ind w:left="162"/>
                              <w:jc w:val="left"/>
                              <w:rPr>
                                <w:rFonts w:hint="eastAsia" w:eastAsia="宋体"/>
                                <w:sz w:val="21"/>
                                <w:lang w:val="en-US" w:eastAsia="zh-CN"/>
                              </w:rPr>
                            </w:pPr>
                            <w:r>
                              <w:rPr>
                                <w:rFonts w:hint="eastAsia"/>
                                <w:sz w:val="21"/>
                                <w:lang w:val="en-US" w:eastAsia="zh-CN"/>
                              </w:rPr>
                              <w:t>处理车间</w:t>
                            </w:r>
                          </w:p>
                        </w:tc>
                        <w:tc>
                          <w:tcPr>
                            <w:tcW w:w="835" w:type="dxa"/>
                          </w:tcPr>
                          <w:p>
                            <w:pPr>
                              <w:pStyle w:val="18"/>
                              <w:spacing w:before="46"/>
                              <w:ind w:left="211" w:right="201"/>
                              <w:rPr>
                                <w:rFonts w:ascii="Times New Roman"/>
                                <w:position w:val="2"/>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53" w:type="dxa"/>
                          </w:tcPr>
                          <w:p>
                            <w:pPr>
                              <w:pStyle w:val="18"/>
                              <w:spacing w:before="49"/>
                              <w:ind w:left="283"/>
                              <w:jc w:val="left"/>
                              <w:rPr>
                                <w:rFonts w:ascii="Times New Roman"/>
                                <w:sz w:val="21"/>
                              </w:rPr>
                            </w:pPr>
                            <w:r>
                              <w:rPr>
                                <w:rFonts w:ascii="Times New Roman"/>
                                <w:sz w:val="21"/>
                              </w:rPr>
                              <w:t>0.000125</w:t>
                            </w:r>
                          </w:p>
                        </w:tc>
                        <w:tc>
                          <w:tcPr>
                            <w:tcW w:w="1648" w:type="dxa"/>
                          </w:tcPr>
                          <w:p>
                            <w:pPr>
                              <w:pStyle w:val="18"/>
                              <w:spacing w:before="33"/>
                              <w:ind w:left="171" w:right="167"/>
                              <w:rPr>
                                <w:sz w:val="21"/>
                              </w:rPr>
                            </w:pPr>
                            <w:r>
                              <w:rPr>
                                <w:sz w:val="21"/>
                              </w:rPr>
                              <w:t>度</w:t>
                            </w:r>
                            <w:r>
                              <w:rPr>
                                <w:rFonts w:ascii="Times New Roman" w:eastAsia="Times New Roman"/>
                                <w:sz w:val="21"/>
                              </w:rPr>
                              <w:t>15m</w:t>
                            </w:r>
                          </w:p>
                        </w:tc>
                        <w:tc>
                          <w:tcPr>
                            <w:tcW w:w="1145" w:type="dxa"/>
                          </w:tcPr>
                          <w:p>
                            <w:pPr>
                              <w:pStyle w:val="18"/>
                              <w:spacing w:before="49"/>
                              <w:ind w:left="143" w:right="132"/>
                              <w:rPr>
                                <w:rFonts w:ascii="Times New Roman" w:hAnsi="Times New Roman"/>
                                <w:sz w:val="21"/>
                              </w:rPr>
                            </w:pPr>
                            <w:r>
                              <w:rPr>
                                <w:rFonts w:ascii="Times New Roman" w:hAnsi="Times New Roman"/>
                                <w:sz w:val="21"/>
                              </w:rPr>
                              <w:t>10μg/m</w:t>
                            </w:r>
                            <w:r>
                              <w:rPr>
                                <w:rFonts w:ascii="Times New Roman" w:hAnsi="Times New Roman"/>
                                <w:position w:val="7"/>
                                <w:sz w:val="13"/>
                              </w:rPr>
                              <w:t>3</w:t>
                            </w:r>
                          </w:p>
                        </w:tc>
                        <w:tc>
                          <w:tcPr>
                            <w:tcW w:w="1967" w:type="dxa"/>
                            <w:tcBorders>
                              <w:top w:val="nil"/>
                            </w:tcBorders>
                          </w:tcPr>
                          <w:p>
                            <w:pPr>
                              <w:rPr>
                                <w:sz w:val="2"/>
                                <w:szCs w:val="2"/>
                              </w:rPr>
                            </w:pPr>
                          </w:p>
                        </w:tc>
                      </w:tr>
                    </w:tbl>
                    <w:p/>
                  </w:txbxContent>
                </v:textbox>
              </v:shape>
            </w:pict>
          </mc:Fallback>
        </mc:AlternateContent>
      </w: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pPr>
    </w:p>
    <w:p>
      <w:pPr>
        <w:tabs>
          <w:tab w:val="left" w:pos="1519"/>
        </w:tabs>
        <w:spacing w:before="76"/>
        <w:ind w:right="32"/>
        <w:jc w:val="center"/>
      </w:pPr>
      <w:r>
        <w:t>表</w:t>
      </w:r>
      <w:r>
        <w:rPr>
          <w:rFonts w:ascii="Times New Roman" w:eastAsia="Times New Roman"/>
        </w:rPr>
        <w:t>2.6-3</w:t>
      </w:r>
      <w:r>
        <w:rPr>
          <w:rFonts w:ascii="Times New Roman" w:eastAsia="Times New Roman"/>
        </w:rPr>
        <w:tab/>
      </w:r>
      <w:r>
        <w:t>估算模型参数表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8"/>
              <w:spacing w:before="31"/>
              <w:ind w:left="2409" w:right="2400"/>
              <w:rPr>
                <w:b/>
                <w:sz w:val="21"/>
              </w:rPr>
            </w:pPr>
            <w:r>
              <w:rPr>
                <w:b/>
                <w:sz w:val="21"/>
              </w:rPr>
              <w:t>参数</w:t>
            </w:r>
          </w:p>
        </w:tc>
        <w:tc>
          <w:tcPr>
            <w:tcW w:w="2131" w:type="dxa"/>
          </w:tcPr>
          <w:p>
            <w:pPr>
              <w:pStyle w:val="18"/>
              <w:spacing w:before="31"/>
              <w:ind w:left="29" w:right="22"/>
              <w:rPr>
                <w:b/>
                <w:sz w:val="21"/>
              </w:rPr>
            </w:pPr>
            <w:r>
              <w:rPr>
                <w:b/>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8"/>
              <w:spacing w:before="7"/>
              <w:jc w:val="left"/>
              <w:rPr>
                <w:b/>
                <w:sz w:val="15"/>
              </w:rPr>
            </w:pPr>
          </w:p>
          <w:p>
            <w:pPr>
              <w:pStyle w:val="18"/>
              <w:ind w:left="1394"/>
              <w:jc w:val="left"/>
              <w:rPr>
                <w:sz w:val="21"/>
              </w:rPr>
            </w:pPr>
            <w:r>
              <w:rPr>
                <w:sz w:val="21"/>
              </w:rPr>
              <w:t>城市、农村选项</w:t>
            </w:r>
          </w:p>
        </w:tc>
        <w:tc>
          <w:tcPr>
            <w:tcW w:w="2131" w:type="dxa"/>
          </w:tcPr>
          <w:p>
            <w:pPr>
              <w:pStyle w:val="18"/>
              <w:spacing w:before="29"/>
              <w:ind w:left="29" w:right="22"/>
              <w:rPr>
                <w:sz w:val="21"/>
              </w:rPr>
            </w:pPr>
            <w:r>
              <w:rPr>
                <w:sz w:val="21"/>
              </w:rPr>
              <w:t>城市、农村</w:t>
            </w:r>
          </w:p>
        </w:tc>
        <w:tc>
          <w:tcPr>
            <w:tcW w:w="2131" w:type="dxa"/>
          </w:tcPr>
          <w:p>
            <w:pPr>
              <w:pStyle w:val="18"/>
              <w:spacing w:before="29"/>
              <w:ind w:left="27" w:right="22"/>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8"/>
              <w:spacing w:before="30"/>
              <w:ind w:left="144" w:right="22"/>
              <w:rPr>
                <w:sz w:val="21"/>
              </w:rPr>
            </w:pPr>
            <w:r>
              <w:rPr>
                <w:spacing w:val="-27"/>
                <w:w w:val="95"/>
                <w:sz w:val="21"/>
              </w:rPr>
              <w:t>人口数</w:t>
            </w:r>
            <w:r>
              <w:rPr>
                <w:w w:val="95"/>
                <w:sz w:val="21"/>
              </w:rPr>
              <w:t>（城市选项时）</w:t>
            </w:r>
          </w:p>
        </w:tc>
        <w:tc>
          <w:tcPr>
            <w:tcW w:w="2131" w:type="dxa"/>
          </w:tcPr>
          <w:p>
            <w:pPr>
              <w:pStyle w:val="18"/>
              <w:spacing w:before="44"/>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8"/>
              <w:spacing w:before="31"/>
              <w:ind w:left="2409" w:right="2402"/>
              <w:rPr>
                <w:sz w:val="21"/>
              </w:rPr>
            </w:pPr>
            <w:r>
              <w:rPr>
                <w:sz w:val="21"/>
              </w:rPr>
              <w:t>最高环境温度</w:t>
            </w:r>
            <w:r>
              <w:rPr>
                <w:rFonts w:ascii="Times New Roman" w:hAnsi="Times New Roman" w:eastAsia="Times New Roman"/>
                <w:sz w:val="21"/>
              </w:rPr>
              <w:t>/</w:t>
            </w:r>
            <w:r>
              <w:rPr>
                <w:sz w:val="21"/>
              </w:rPr>
              <w:t>℃</w:t>
            </w:r>
          </w:p>
        </w:tc>
        <w:tc>
          <w:tcPr>
            <w:tcW w:w="2131" w:type="dxa"/>
          </w:tcPr>
          <w:p>
            <w:pPr>
              <w:pStyle w:val="18"/>
              <w:spacing w:before="44"/>
              <w:ind w:left="31" w:right="22"/>
              <w:rPr>
                <w:rFonts w:hint="default" w:ascii="Times New Roman" w:eastAsia="宋体"/>
                <w:sz w:val="21"/>
                <w:lang w:val="en-US" w:eastAsia="zh-CN"/>
              </w:rPr>
            </w:pPr>
            <w:r>
              <w:rPr>
                <w:rFonts w:hint="eastAsia" w:ascii="Times New Roman"/>
                <w:sz w:val="21"/>
                <w:lang w:val="en-US" w:eastAsia="zh-CN"/>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8"/>
              <w:spacing w:before="29"/>
              <w:ind w:left="2409" w:right="2402"/>
              <w:rPr>
                <w:sz w:val="21"/>
              </w:rPr>
            </w:pPr>
            <w:r>
              <w:rPr>
                <w:sz w:val="21"/>
              </w:rPr>
              <w:t>最低环境温度</w:t>
            </w:r>
            <w:r>
              <w:rPr>
                <w:rFonts w:ascii="Times New Roman" w:hAnsi="Times New Roman" w:eastAsia="Times New Roman"/>
                <w:sz w:val="21"/>
              </w:rPr>
              <w:t>/</w:t>
            </w:r>
            <w:r>
              <w:rPr>
                <w:sz w:val="21"/>
              </w:rPr>
              <w:t>℃</w:t>
            </w:r>
          </w:p>
        </w:tc>
        <w:tc>
          <w:tcPr>
            <w:tcW w:w="2131" w:type="dxa"/>
          </w:tcPr>
          <w:p>
            <w:pPr>
              <w:pStyle w:val="18"/>
              <w:spacing w:before="29"/>
              <w:ind w:left="33" w:right="22"/>
              <w:rPr>
                <w:rFonts w:hint="default" w:ascii="Times New Roman" w:eastAsia="宋体"/>
                <w:sz w:val="21"/>
                <w:lang w:val="en-US" w:eastAsia="zh-CN"/>
              </w:rPr>
            </w:pPr>
            <w:r>
              <w:rPr>
                <w:rFonts w:hint="eastAsia" w:eastAsia="宋体"/>
                <w:sz w:val="21"/>
                <w:lang w:val="en-US"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8"/>
              <w:spacing w:before="30"/>
              <w:ind w:left="2409" w:right="2402"/>
              <w:rPr>
                <w:sz w:val="21"/>
              </w:rPr>
            </w:pPr>
            <w:r>
              <w:rPr>
                <w:sz w:val="21"/>
              </w:rPr>
              <w:t>土地利用类型</w:t>
            </w:r>
          </w:p>
        </w:tc>
        <w:tc>
          <w:tcPr>
            <w:tcW w:w="2131" w:type="dxa"/>
          </w:tcPr>
          <w:p>
            <w:pPr>
              <w:pStyle w:val="18"/>
              <w:spacing w:before="30"/>
              <w:ind w:right="530"/>
              <w:jc w:val="right"/>
              <w:rPr>
                <w:sz w:val="21"/>
              </w:rPr>
            </w:pPr>
            <w:r>
              <w:rPr>
                <w:w w:val="95"/>
                <w:sz w:val="21"/>
              </w:rPr>
              <w:t>沙漠化荒地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8"/>
              <w:spacing w:before="31"/>
              <w:ind w:left="2409" w:right="2402"/>
              <w:rPr>
                <w:sz w:val="21"/>
              </w:rPr>
            </w:pPr>
            <w:r>
              <w:rPr>
                <w:sz w:val="21"/>
              </w:rPr>
              <w:t>区域湿度条件</w:t>
            </w:r>
          </w:p>
        </w:tc>
        <w:tc>
          <w:tcPr>
            <w:tcW w:w="2131" w:type="dxa"/>
          </w:tcPr>
          <w:p>
            <w:pPr>
              <w:pStyle w:val="18"/>
              <w:spacing w:before="31"/>
              <w:ind w:right="635"/>
              <w:jc w:val="right"/>
              <w:rPr>
                <w:sz w:val="21"/>
              </w:rPr>
            </w:pPr>
            <w:r>
              <w:rPr>
                <w:w w:val="95"/>
                <w:sz w:val="21"/>
              </w:rPr>
              <w:t>干燥气候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8"/>
              <w:spacing w:before="7"/>
              <w:jc w:val="left"/>
              <w:rPr>
                <w:b/>
                <w:sz w:val="15"/>
              </w:rPr>
            </w:pPr>
          </w:p>
          <w:p>
            <w:pPr>
              <w:pStyle w:val="18"/>
              <w:ind w:left="1478" w:right="1471"/>
              <w:rPr>
                <w:sz w:val="21"/>
              </w:rPr>
            </w:pPr>
            <w:r>
              <w:rPr>
                <w:sz w:val="21"/>
              </w:rPr>
              <w:t>是否考虑地形</w:t>
            </w:r>
          </w:p>
        </w:tc>
        <w:tc>
          <w:tcPr>
            <w:tcW w:w="2131" w:type="dxa"/>
          </w:tcPr>
          <w:p>
            <w:pPr>
              <w:pStyle w:val="18"/>
              <w:spacing w:before="29"/>
              <w:ind w:left="29" w:right="22"/>
              <w:rPr>
                <w:sz w:val="21"/>
              </w:rPr>
            </w:pPr>
            <w:r>
              <w:rPr>
                <w:sz w:val="21"/>
              </w:rPr>
              <w:t>考虑地形</w:t>
            </w:r>
          </w:p>
        </w:tc>
        <w:tc>
          <w:tcPr>
            <w:tcW w:w="2131" w:type="dxa"/>
          </w:tcPr>
          <w:p>
            <w:pPr>
              <w:pStyle w:val="18"/>
              <w:tabs>
                <w:tab w:val="left" w:pos="578"/>
              </w:tabs>
              <w:spacing w:before="31"/>
              <w:ind w:right="570"/>
              <w:jc w:val="right"/>
              <w:rPr>
                <w:sz w:val="21"/>
              </w:rPr>
            </w:pPr>
            <w:r>
              <w:rPr>
                <w:rFonts w:ascii="Wingdings 2" w:hAnsi="Wingdings 2" w:eastAsia="Wingdings 2"/>
                <w:spacing w:val="-3"/>
                <w:sz w:val="18"/>
              </w:rPr>
              <w:t></w:t>
            </w:r>
            <w:r>
              <w:rPr>
                <w:sz w:val="21"/>
              </w:rPr>
              <w:t>是</w:t>
            </w:r>
            <w:r>
              <w:rPr>
                <w:sz w:val="21"/>
              </w:rPr>
              <w:tab/>
            </w:r>
            <w:r>
              <w:rPr>
                <w:w w:val="95"/>
                <w:sz w:val="18"/>
              </w:rPr>
              <w:t>□</w:t>
            </w:r>
            <w:r>
              <w:rPr>
                <w:w w:val="95"/>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8"/>
              <w:spacing w:before="30"/>
              <w:ind w:left="31" w:right="22"/>
              <w:rPr>
                <w:rFonts w:ascii="Times New Roman" w:eastAsia="Times New Roman"/>
                <w:sz w:val="21"/>
              </w:rPr>
            </w:pPr>
            <w:r>
              <w:rPr>
                <w:sz w:val="21"/>
              </w:rPr>
              <w:t>地形数据分辨率</w:t>
            </w:r>
            <w:r>
              <w:rPr>
                <w:rFonts w:ascii="Times New Roman" w:eastAsia="Times New Roman"/>
                <w:sz w:val="21"/>
              </w:rPr>
              <w:t>/m</w:t>
            </w:r>
          </w:p>
        </w:tc>
        <w:tc>
          <w:tcPr>
            <w:tcW w:w="2131" w:type="dxa"/>
          </w:tcPr>
          <w:p>
            <w:pPr>
              <w:pStyle w:val="18"/>
              <w:spacing w:before="44"/>
              <w:ind w:left="31" w:right="22"/>
              <w:rPr>
                <w:rFonts w:ascii="Times New Roman"/>
                <w:sz w:val="21"/>
              </w:rPr>
            </w:pPr>
            <w:r>
              <w:rPr>
                <w:rFonts w:ascii="Times New Roman"/>
                <w:sz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8"/>
              <w:spacing w:before="10"/>
              <w:jc w:val="left"/>
              <w:rPr>
                <w:b/>
                <w:sz w:val="28"/>
              </w:rPr>
            </w:pPr>
          </w:p>
          <w:p>
            <w:pPr>
              <w:pStyle w:val="18"/>
              <w:ind w:left="1288"/>
              <w:jc w:val="left"/>
              <w:rPr>
                <w:sz w:val="21"/>
              </w:rPr>
            </w:pPr>
            <w:r>
              <w:rPr>
                <w:sz w:val="21"/>
              </w:rPr>
              <w:t>是否考虑岸线熏烟</w:t>
            </w:r>
          </w:p>
        </w:tc>
        <w:tc>
          <w:tcPr>
            <w:tcW w:w="2131" w:type="dxa"/>
          </w:tcPr>
          <w:p>
            <w:pPr>
              <w:pStyle w:val="18"/>
              <w:spacing w:before="31"/>
              <w:ind w:left="27" w:right="22"/>
              <w:rPr>
                <w:sz w:val="21"/>
              </w:rPr>
            </w:pPr>
            <w:r>
              <w:rPr>
                <w:sz w:val="21"/>
              </w:rPr>
              <w:t>考虑岸线熏烟</w:t>
            </w:r>
          </w:p>
        </w:tc>
        <w:tc>
          <w:tcPr>
            <w:tcW w:w="2131" w:type="dxa"/>
          </w:tcPr>
          <w:p>
            <w:pPr>
              <w:pStyle w:val="18"/>
              <w:tabs>
                <w:tab w:val="left" w:pos="599"/>
              </w:tabs>
              <w:spacing w:before="31"/>
              <w:ind w:right="570"/>
              <w:jc w:val="right"/>
              <w:rPr>
                <w:sz w:val="21"/>
              </w:rPr>
            </w:pPr>
            <w:r>
              <w:rPr>
                <w:sz w:val="18"/>
              </w:rPr>
              <w:t>□</w:t>
            </w:r>
            <w:r>
              <w:rPr>
                <w:sz w:val="21"/>
              </w:rPr>
              <w:t>是</w:t>
            </w:r>
            <w:r>
              <w:rPr>
                <w:sz w:val="21"/>
              </w:rPr>
              <w:tab/>
            </w:r>
            <w:r>
              <w:rPr>
                <w:rFonts w:ascii="Wingdings 2" w:hAnsi="Wingdings 2" w:eastAsia="Wingdings 2"/>
                <w:spacing w:val="-3"/>
                <w:w w:val="95"/>
                <w:sz w:val="18"/>
              </w:rPr>
              <w:t></w:t>
            </w:r>
            <w:r>
              <w:rPr>
                <w:w w:val="95"/>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8"/>
              <w:spacing w:before="29"/>
              <w:ind w:left="28" w:right="22"/>
              <w:rPr>
                <w:rFonts w:ascii="Times New Roman" w:eastAsia="Times New Roman"/>
                <w:sz w:val="21"/>
              </w:rPr>
            </w:pPr>
            <w:r>
              <w:rPr>
                <w:sz w:val="21"/>
              </w:rPr>
              <w:t>岸线距离</w:t>
            </w:r>
            <w:r>
              <w:rPr>
                <w:rFonts w:ascii="Times New Roman" w:eastAsia="Times New Roman"/>
                <w:sz w:val="21"/>
              </w:rPr>
              <w:t>/km</w:t>
            </w:r>
          </w:p>
        </w:tc>
        <w:tc>
          <w:tcPr>
            <w:tcW w:w="2131" w:type="dxa"/>
          </w:tcPr>
          <w:p>
            <w:pPr>
              <w:pStyle w:val="18"/>
              <w:spacing w:before="43"/>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8"/>
              <w:spacing w:before="30"/>
              <w:ind w:left="33" w:right="22"/>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131" w:type="dxa"/>
          </w:tcPr>
          <w:p>
            <w:pPr>
              <w:pStyle w:val="18"/>
              <w:spacing w:before="44"/>
              <w:ind w:left="10"/>
              <w:rPr>
                <w:rFonts w:ascii="Times New Roman"/>
                <w:sz w:val="21"/>
              </w:rPr>
            </w:pPr>
            <w:r>
              <w:rPr>
                <w:rFonts w:ascii="Times New Roman"/>
                <w:w w:val="99"/>
                <w:sz w:val="21"/>
              </w:rPr>
              <w:t>/</w:t>
            </w:r>
          </w:p>
        </w:tc>
      </w:tr>
    </w:tbl>
    <w:p>
      <w:pPr>
        <w:pStyle w:val="7"/>
        <w:spacing w:before="80"/>
        <w:ind w:left="1020"/>
      </w:pPr>
      <w:r>
        <w:t>②估算结果</w:t>
      </w:r>
    </w:p>
    <w:p>
      <w:pPr>
        <w:pStyle w:val="7"/>
        <w:spacing w:before="160"/>
        <w:ind w:left="1020"/>
      </w:pPr>
      <w:r>
        <w:t>估算结果见表</w:t>
      </w:r>
      <w:r>
        <w:rPr>
          <w:rFonts w:ascii="Times New Roman" w:eastAsia="Times New Roman"/>
        </w:rPr>
        <w:t>2.6-4</w:t>
      </w:r>
      <w:r>
        <w:t>。</w:t>
      </w:r>
    </w:p>
    <w:p>
      <w:pPr>
        <w:pStyle w:val="7"/>
        <w:spacing w:before="161" w:line="364" w:lineRule="auto"/>
        <w:ind w:right="452" w:firstLine="480"/>
      </w:pPr>
      <w:r>
        <w:rPr>
          <w:spacing w:val="-13"/>
        </w:rPr>
        <w:t>根据表</w:t>
      </w:r>
      <w:r>
        <w:rPr>
          <w:rFonts w:ascii="Times New Roman" w:hAnsi="Times New Roman" w:eastAsia="Times New Roman"/>
        </w:rPr>
        <w:t>2.6-4</w:t>
      </w:r>
      <w:r>
        <w:rPr>
          <w:spacing w:val="-12"/>
        </w:rPr>
        <w:t>的计算结果和《环境影响评价技术导则</w:t>
      </w:r>
      <w:r>
        <w:rPr>
          <w:rFonts w:ascii="Times New Roman" w:hAnsi="Times New Roman" w:eastAsia="Times New Roman"/>
        </w:rPr>
        <w:t>·</w:t>
      </w:r>
      <w:r>
        <w:t>大气环境</w:t>
      </w:r>
      <w:r>
        <w:rPr>
          <w:spacing w:val="-238"/>
        </w:rPr>
        <w:t>》</w:t>
      </w:r>
      <w:r>
        <w:rPr>
          <w:spacing w:val="-3"/>
        </w:rPr>
        <w:t>（</w:t>
      </w:r>
      <w:r>
        <w:rPr>
          <w:rFonts w:ascii="Times New Roman" w:hAnsi="Times New Roman" w:eastAsia="Times New Roman"/>
          <w:spacing w:val="-3"/>
        </w:rPr>
        <w:t>HJ2.2-2018</w:t>
      </w:r>
      <w:r>
        <w:rPr>
          <w:spacing w:val="-3"/>
        </w:rPr>
        <w:t>）</w:t>
      </w:r>
      <w:r>
        <w:t>相关要求，本次确定养殖场大气环境影响评价工作等级为二级。</w:t>
      </w:r>
    </w:p>
    <w:p>
      <w:pPr>
        <w:pStyle w:val="17"/>
        <w:numPr>
          <w:ilvl w:val="3"/>
          <w:numId w:val="13"/>
        </w:numPr>
        <w:tabs>
          <w:tab w:val="left" w:pos="1621"/>
        </w:tabs>
        <w:spacing w:before="1" w:after="0" w:line="240" w:lineRule="auto"/>
        <w:ind w:left="1621" w:right="0" w:hanging="601"/>
        <w:jc w:val="left"/>
        <w:rPr>
          <w:sz w:val="24"/>
        </w:rPr>
      </w:pPr>
      <w:r>
        <w:rPr>
          <w:sz w:val="24"/>
        </w:rPr>
        <w:t>地表水环境影响评价工作等级</w:t>
      </w:r>
    </w:p>
    <w:p>
      <w:pPr>
        <w:pStyle w:val="7"/>
        <w:spacing w:before="161" w:line="364" w:lineRule="auto"/>
        <w:ind w:right="577" w:firstLine="480"/>
        <w:jc w:val="both"/>
      </w:pPr>
      <w:r>
        <w:t>根据《环境影响评价技术导则地表水环境》（</w:t>
      </w:r>
      <w:r>
        <w:rPr>
          <w:rFonts w:ascii="Times New Roman" w:eastAsia="Times New Roman"/>
        </w:rPr>
        <w:t>HJ2.3-2018</w:t>
      </w:r>
      <w:r>
        <w:t>）中规定：水环</w:t>
      </w:r>
      <w:r>
        <w:rPr>
          <w:spacing w:val="-7"/>
        </w:rPr>
        <w:t>境影响评价工作等级的确定，按照建设项目的影响类型、排放方式、排放量或影</w:t>
      </w:r>
      <w:r>
        <w:rPr>
          <w:spacing w:val="-10"/>
        </w:rPr>
        <w:t>响情况、受纳水体环境质量现状、水环境保护目标等综合确定，具体判定依据内</w:t>
      </w:r>
      <w:r>
        <w:rPr>
          <w:spacing w:val="-15"/>
        </w:rPr>
        <w:t>容见表</w:t>
      </w:r>
      <w:r>
        <w:rPr>
          <w:rFonts w:ascii="Times New Roman" w:eastAsia="Times New Roman"/>
        </w:rPr>
        <w:t>2.6-5</w:t>
      </w:r>
      <w:r>
        <w:t>。</w:t>
      </w:r>
    </w:p>
    <w:p>
      <w:pPr>
        <w:tabs>
          <w:tab w:val="left" w:pos="3892"/>
        </w:tabs>
        <w:spacing w:before="81"/>
        <w:ind w:left="2373"/>
        <w:jc w:val="both"/>
      </w:pPr>
      <w:r>
        <w:t>表</w:t>
      </w:r>
      <w:r>
        <w:rPr>
          <w:rFonts w:ascii="Times New Roman" w:eastAsia="Times New Roman"/>
        </w:rPr>
        <w:t>2.6-5</w:t>
      </w:r>
      <w:r>
        <w:rPr>
          <w:rFonts w:ascii="Times New Roman" w:eastAsia="Times New Roman"/>
        </w:rPr>
        <w:tab/>
      </w:r>
      <w:r>
        <w:t>水污染影响评价工作等级划分</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9"/>
        <w:gridCol w:w="3490"/>
        <w:gridCol w:w="3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vMerge w:val="restart"/>
          </w:tcPr>
          <w:p>
            <w:pPr>
              <w:pStyle w:val="18"/>
              <w:spacing w:before="10"/>
              <w:jc w:val="left"/>
              <w:rPr>
                <w:b/>
                <w:sz w:val="21"/>
              </w:rPr>
            </w:pPr>
          </w:p>
          <w:p>
            <w:pPr>
              <w:pStyle w:val="18"/>
              <w:spacing w:before="1"/>
              <w:ind w:left="349"/>
              <w:jc w:val="left"/>
              <w:rPr>
                <w:b/>
                <w:sz w:val="21"/>
              </w:rPr>
            </w:pPr>
            <w:r>
              <w:rPr>
                <w:b/>
                <w:sz w:val="21"/>
              </w:rPr>
              <w:t>评价等级</w:t>
            </w:r>
          </w:p>
        </w:tc>
        <w:tc>
          <w:tcPr>
            <w:tcW w:w="6980" w:type="dxa"/>
            <w:gridSpan w:val="2"/>
          </w:tcPr>
          <w:p>
            <w:pPr>
              <w:pStyle w:val="18"/>
              <w:spacing w:before="35"/>
              <w:ind w:left="3049" w:right="3037"/>
              <w:rPr>
                <w:b/>
                <w:sz w:val="21"/>
              </w:rPr>
            </w:pPr>
            <w:r>
              <w:rPr>
                <w:b/>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39" w:type="dxa"/>
            <w:vMerge w:val="continue"/>
            <w:tcBorders>
              <w:top w:val="nil"/>
            </w:tcBorders>
          </w:tcPr>
          <w:p>
            <w:pPr>
              <w:rPr>
                <w:sz w:val="2"/>
                <w:szCs w:val="2"/>
              </w:rPr>
            </w:pPr>
          </w:p>
        </w:tc>
        <w:tc>
          <w:tcPr>
            <w:tcW w:w="3490" w:type="dxa"/>
          </w:tcPr>
          <w:p>
            <w:pPr>
              <w:pStyle w:val="18"/>
              <w:spacing w:before="105"/>
              <w:ind w:left="274" w:right="261"/>
              <w:rPr>
                <w:b/>
                <w:sz w:val="21"/>
              </w:rPr>
            </w:pPr>
            <w:r>
              <w:rPr>
                <w:b/>
                <w:sz w:val="21"/>
              </w:rPr>
              <w:t>排放方式</w:t>
            </w:r>
          </w:p>
        </w:tc>
        <w:tc>
          <w:tcPr>
            <w:tcW w:w="3490" w:type="dxa"/>
          </w:tcPr>
          <w:p>
            <w:pPr>
              <w:pStyle w:val="18"/>
              <w:spacing w:line="237" w:lineRule="exact"/>
              <w:ind w:left="275" w:right="261"/>
              <w:rPr>
                <w:b/>
                <w:sz w:val="21"/>
              </w:rPr>
            </w:pPr>
            <w:r>
              <w:rPr>
                <w:b/>
                <w:sz w:val="21"/>
              </w:rPr>
              <w:t>废水排放量</w:t>
            </w:r>
            <w:r>
              <w:rPr>
                <w:rFonts w:ascii="Times New Roman" w:eastAsia="Times New Roman"/>
                <w:b/>
                <w:sz w:val="21"/>
              </w:rPr>
              <w:t>Q/</w:t>
            </w: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r>
              <w:rPr>
                <w:b/>
                <w:sz w:val="21"/>
              </w:rPr>
              <w:t>）</w:t>
            </w:r>
          </w:p>
          <w:p>
            <w:pPr>
              <w:pStyle w:val="18"/>
              <w:spacing w:line="223" w:lineRule="exact"/>
              <w:ind w:left="275" w:right="261"/>
              <w:rPr>
                <w:b/>
                <w:sz w:val="21"/>
              </w:rPr>
            </w:pPr>
            <w:r>
              <w:rPr>
                <w:b/>
                <w:sz w:val="21"/>
              </w:rPr>
              <w:t>水污染物当量数</w:t>
            </w:r>
            <w:r>
              <w:rPr>
                <w:rFonts w:ascii="Times New Roman" w:eastAsia="Times New Roman"/>
                <w:b/>
                <w:sz w:val="21"/>
              </w:rPr>
              <w:t>W/</w:t>
            </w:r>
            <w:r>
              <w:rPr>
                <w:b/>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8"/>
              <w:spacing w:before="35"/>
              <w:ind w:left="405" w:right="401"/>
              <w:rPr>
                <w:sz w:val="21"/>
              </w:rPr>
            </w:pPr>
            <w:r>
              <w:rPr>
                <w:sz w:val="21"/>
              </w:rPr>
              <w:t>一级</w:t>
            </w:r>
          </w:p>
        </w:tc>
        <w:tc>
          <w:tcPr>
            <w:tcW w:w="3490" w:type="dxa"/>
          </w:tcPr>
          <w:p>
            <w:pPr>
              <w:pStyle w:val="18"/>
              <w:spacing w:before="35"/>
              <w:ind w:left="269" w:right="261"/>
              <w:rPr>
                <w:sz w:val="21"/>
              </w:rPr>
            </w:pPr>
            <w:r>
              <w:rPr>
                <w:sz w:val="21"/>
              </w:rPr>
              <w:t>直接排放</w:t>
            </w:r>
          </w:p>
        </w:tc>
        <w:tc>
          <w:tcPr>
            <w:tcW w:w="3490" w:type="dxa"/>
          </w:tcPr>
          <w:p>
            <w:pPr>
              <w:pStyle w:val="18"/>
              <w:spacing w:before="35"/>
              <w:ind w:left="272" w:right="261"/>
              <w:rPr>
                <w:rFonts w:ascii="Times New Roman" w:hAnsi="Times New Roman" w:eastAsia="Times New Roman"/>
                <w:sz w:val="21"/>
              </w:rPr>
            </w:pPr>
            <w:r>
              <w:rPr>
                <w:rFonts w:ascii="Times New Roman" w:hAnsi="Times New Roman" w:eastAsia="Times New Roman"/>
                <w:sz w:val="21"/>
              </w:rPr>
              <w:t>Q</w:t>
            </w:r>
            <w:r>
              <w:rPr>
                <w:sz w:val="21"/>
              </w:rPr>
              <w:t>≥</w:t>
            </w:r>
            <w:r>
              <w:rPr>
                <w:rFonts w:ascii="Times New Roman" w:hAnsi="Times New Roman" w:eastAsia="Times New Roman"/>
                <w:sz w:val="21"/>
              </w:rPr>
              <w:t>20000</w:t>
            </w:r>
            <w:r>
              <w:rPr>
                <w:sz w:val="21"/>
              </w:rPr>
              <w:t>或</w:t>
            </w:r>
            <w:r>
              <w:rPr>
                <w:rFonts w:ascii="Times New Roman" w:hAnsi="Times New Roman" w:eastAsia="Times New Roman"/>
                <w:sz w:val="21"/>
              </w:rPr>
              <w:t>W</w:t>
            </w:r>
            <w:r>
              <w:rPr>
                <w:sz w:val="21"/>
              </w:rPr>
              <w:t>≥</w:t>
            </w:r>
            <w:r>
              <w:rPr>
                <w:rFonts w:ascii="Times New Roman" w:hAnsi="Times New Roman" w:eastAsia="Times New Roman"/>
                <w:sz w:val="21"/>
              </w:rPr>
              <w:t>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8"/>
              <w:spacing w:before="35"/>
              <w:ind w:left="405" w:right="401"/>
              <w:rPr>
                <w:sz w:val="21"/>
              </w:rPr>
            </w:pPr>
            <w:r>
              <w:rPr>
                <w:sz w:val="21"/>
              </w:rPr>
              <w:t>二级</w:t>
            </w:r>
          </w:p>
        </w:tc>
        <w:tc>
          <w:tcPr>
            <w:tcW w:w="3490" w:type="dxa"/>
          </w:tcPr>
          <w:p>
            <w:pPr>
              <w:pStyle w:val="18"/>
              <w:spacing w:before="35"/>
              <w:ind w:left="269" w:right="261"/>
              <w:rPr>
                <w:sz w:val="21"/>
              </w:rPr>
            </w:pPr>
            <w:r>
              <w:rPr>
                <w:sz w:val="21"/>
              </w:rPr>
              <w:t>直接排放</w:t>
            </w:r>
          </w:p>
        </w:tc>
        <w:tc>
          <w:tcPr>
            <w:tcW w:w="3490" w:type="dxa"/>
          </w:tcPr>
          <w:p>
            <w:pPr>
              <w:pStyle w:val="18"/>
              <w:spacing w:before="35"/>
              <w:ind w:left="266" w:right="261"/>
              <w:rPr>
                <w:sz w:val="21"/>
              </w:rPr>
            </w:pP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8"/>
              <w:spacing w:before="36"/>
              <w:ind w:left="410" w:right="401"/>
              <w:rPr>
                <w:rFonts w:ascii="Times New Roman" w:eastAsia="Times New Roman"/>
                <w:sz w:val="21"/>
              </w:rPr>
            </w:pPr>
            <w:r>
              <w:rPr>
                <w:sz w:val="21"/>
              </w:rPr>
              <w:t>三级</w:t>
            </w:r>
            <w:r>
              <w:rPr>
                <w:rFonts w:ascii="Times New Roman" w:eastAsia="Times New Roman"/>
                <w:sz w:val="21"/>
              </w:rPr>
              <w:t>A</w:t>
            </w:r>
          </w:p>
        </w:tc>
        <w:tc>
          <w:tcPr>
            <w:tcW w:w="3490" w:type="dxa"/>
          </w:tcPr>
          <w:p>
            <w:pPr>
              <w:pStyle w:val="18"/>
              <w:spacing w:before="36"/>
              <w:ind w:left="269" w:right="261"/>
              <w:rPr>
                <w:sz w:val="21"/>
              </w:rPr>
            </w:pPr>
            <w:r>
              <w:rPr>
                <w:sz w:val="21"/>
              </w:rPr>
              <w:t>直接排放</w:t>
            </w:r>
          </w:p>
        </w:tc>
        <w:tc>
          <w:tcPr>
            <w:tcW w:w="3490" w:type="dxa"/>
          </w:tcPr>
          <w:p>
            <w:pPr>
              <w:pStyle w:val="18"/>
              <w:spacing w:before="36"/>
              <w:ind w:left="272" w:right="261"/>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r>
              <w:rPr>
                <w:sz w:val="21"/>
              </w:rPr>
              <w:t>或</w:t>
            </w: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8"/>
              <w:spacing w:before="34"/>
              <w:ind w:left="408" w:right="401"/>
              <w:rPr>
                <w:rFonts w:ascii="Times New Roman" w:eastAsia="Times New Roman"/>
                <w:sz w:val="21"/>
              </w:rPr>
            </w:pPr>
            <w:r>
              <w:rPr>
                <w:sz w:val="21"/>
              </w:rPr>
              <w:t>三级</w:t>
            </w:r>
            <w:r>
              <w:rPr>
                <w:rFonts w:ascii="Times New Roman" w:eastAsia="Times New Roman"/>
                <w:sz w:val="21"/>
              </w:rPr>
              <w:t>B</w:t>
            </w:r>
          </w:p>
        </w:tc>
        <w:tc>
          <w:tcPr>
            <w:tcW w:w="3490" w:type="dxa"/>
          </w:tcPr>
          <w:p>
            <w:pPr>
              <w:pStyle w:val="18"/>
              <w:spacing w:before="34"/>
              <w:ind w:left="269" w:right="261"/>
              <w:rPr>
                <w:sz w:val="21"/>
              </w:rPr>
            </w:pPr>
            <w:r>
              <w:rPr>
                <w:sz w:val="21"/>
              </w:rPr>
              <w:t>间接排放</w:t>
            </w:r>
          </w:p>
        </w:tc>
        <w:tc>
          <w:tcPr>
            <w:tcW w:w="3490" w:type="dxa"/>
          </w:tcPr>
          <w:p>
            <w:pPr>
              <w:pStyle w:val="18"/>
              <w:spacing w:before="34"/>
              <w:ind w:left="7"/>
              <w:rPr>
                <w:sz w:val="21"/>
              </w:rPr>
            </w:pPr>
            <w:r>
              <w:rPr>
                <w:w w:val="99"/>
                <w:sz w:val="21"/>
              </w:rPr>
              <w:t>—</w:t>
            </w:r>
          </w:p>
        </w:tc>
      </w:tr>
    </w:tbl>
    <w:p>
      <w:pPr>
        <w:pStyle w:val="7"/>
        <w:spacing w:before="6"/>
        <w:ind w:left="0"/>
        <w:rPr>
          <w:b/>
          <w:sz w:val="18"/>
        </w:rPr>
      </w:pPr>
    </w:p>
    <w:p>
      <w:pPr>
        <w:pStyle w:val="7"/>
        <w:spacing w:line="364" w:lineRule="auto"/>
        <w:ind w:right="457" w:firstLine="482"/>
      </w:pPr>
      <w:r>
        <w:rPr>
          <w:spacing w:val="-5"/>
        </w:rPr>
        <w:t>根据工程分析，本项目废水主要包括养殖废水</w:t>
      </w:r>
      <w:r>
        <w:t>（</w:t>
      </w:r>
      <w:r>
        <w:rPr>
          <w:spacing w:val="-5"/>
        </w:rPr>
        <w:t>羊尿、羊舍冲洗废水</w:t>
      </w:r>
      <w:r>
        <w:rPr>
          <w:spacing w:val="-25"/>
        </w:rPr>
        <w:t>）</w:t>
      </w:r>
      <w:r>
        <w:t>和职</w:t>
      </w:r>
      <w:r>
        <w:rPr>
          <w:spacing w:val="-14"/>
        </w:rPr>
        <w:t>工生活污水。本项目养殖场每栋羊舍地面为混凝土地面，上端覆盖</w:t>
      </w:r>
      <w:r>
        <w:rPr>
          <w:rFonts w:ascii="Times New Roman" w:eastAsia="Times New Roman"/>
        </w:rPr>
        <w:t>35cm</w:t>
      </w:r>
      <w:r>
        <w:rPr>
          <w:spacing w:val="-4"/>
        </w:rPr>
        <w:t>厚垫料，</w:t>
      </w:r>
      <w:r>
        <w:rPr>
          <w:spacing w:val="-6"/>
        </w:rPr>
        <w:t>铺设垫床一般采用废气杂草、农作物秸秆粉、锯末等农业材料，羊排泄的尿液被</w:t>
      </w:r>
      <w:r>
        <w:rPr>
          <w:spacing w:val="-11"/>
        </w:rPr>
        <w:t>垫料吸收、蒸发，项目定期对垫料层和粪便进行清理更换，不需要对畜舍进行冲</w:t>
      </w:r>
    </w:p>
    <w:p>
      <w:pPr>
        <w:pStyle w:val="7"/>
        <w:spacing w:before="143" w:line="364" w:lineRule="auto"/>
        <w:ind w:right="577"/>
        <w:jc w:val="both"/>
      </w:pPr>
      <w:r>
        <w:rPr>
          <w:spacing w:val="-11"/>
        </w:rPr>
        <w:t>洗，无冲栏废水产生。垫料层与羊粪一起进入堆肥厂堆肥发酵，废水实现综合利</w:t>
      </w:r>
      <w:r>
        <w:rPr>
          <w:spacing w:val="-10"/>
        </w:rPr>
        <w:t>用，不外排。</w:t>
      </w:r>
      <w:r>
        <w:rPr>
          <w:spacing w:val="-6"/>
        </w:rPr>
        <w:t>本项目职工</w:t>
      </w:r>
      <w:r>
        <w:rPr>
          <w:rFonts w:hint="eastAsia"/>
          <w:spacing w:val="-6"/>
          <w:lang w:val="en-US" w:eastAsia="zh-CN"/>
        </w:rPr>
        <w:t>产生的生活污水</w:t>
      </w:r>
      <w:r>
        <w:rPr>
          <w:rFonts w:hint="eastAsia" w:ascii="宋体" w:hAnsi="宋体" w:eastAsia="宋体" w:cs="宋体"/>
          <w:color w:val="FF0000"/>
          <w:spacing w:val="-1"/>
          <w:sz w:val="24"/>
          <w:szCs w:val="24"/>
          <w:lang w:val="en-US" w:eastAsia="zh-CN"/>
        </w:rPr>
        <w:t>经过</w:t>
      </w:r>
      <w:r>
        <w:rPr>
          <w:rFonts w:hint="eastAsia" w:ascii="宋体" w:hAnsi="宋体" w:eastAsia="宋体" w:cs="宋体"/>
          <w:color w:val="FF0000"/>
          <w:sz w:val="24"/>
          <w:szCs w:val="24"/>
        </w:rPr>
        <w:t>化粪池及一套地埋式污水处理设备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w:t>
      </w:r>
      <w:r>
        <w:rPr>
          <w:rFonts w:hint="eastAsia" w:cs="宋体"/>
          <w:color w:val="FF0000"/>
          <w:spacing w:val="-1"/>
          <w:sz w:val="24"/>
          <w:szCs w:val="24"/>
          <w:lang w:val="en-US" w:eastAsia="zh-CN"/>
        </w:rPr>
        <w:t>。</w:t>
      </w:r>
    </w:p>
    <w:p>
      <w:pPr>
        <w:pStyle w:val="7"/>
        <w:spacing w:before="2" w:line="364" w:lineRule="auto"/>
        <w:ind w:right="572" w:firstLine="480"/>
        <w:jc w:val="both"/>
      </w:pPr>
      <w:r>
        <w:rPr>
          <w:spacing w:val="-16"/>
        </w:rPr>
        <w:t>根据</w:t>
      </w:r>
      <w:r>
        <w:rPr>
          <w:rFonts w:ascii="Times New Roman" w:eastAsia="Times New Roman"/>
        </w:rPr>
        <w:t>HJ2.3-2018</w:t>
      </w:r>
      <w:r>
        <w:t>地表水环境影响评价分级判据标准，本项目废水不外排外</w:t>
      </w:r>
      <w:r>
        <w:rPr>
          <w:spacing w:val="-8"/>
        </w:rPr>
        <w:t>排总废水量</w:t>
      </w:r>
      <w:r>
        <w:rPr>
          <w:rFonts w:ascii="Times New Roman" w:eastAsia="Times New Roman"/>
          <w:spacing w:val="-4"/>
        </w:rPr>
        <w:t>Q=0mm</w:t>
      </w:r>
      <w:r>
        <w:rPr>
          <w:rFonts w:ascii="Times New Roman" w:eastAsia="Times New Roman"/>
          <w:spacing w:val="-4"/>
          <w:position w:val="8"/>
          <w:sz w:val="15"/>
        </w:rPr>
        <w:t>3</w:t>
      </w:r>
      <w:r>
        <w:rPr>
          <w:rFonts w:ascii="Times New Roman" w:eastAsia="Times New Roman"/>
          <w:spacing w:val="-4"/>
        </w:rPr>
        <w:t>/d</w:t>
      </w:r>
      <w:r>
        <w:rPr>
          <w:spacing w:val="-4"/>
        </w:rPr>
        <w:t>＜</w:t>
      </w:r>
      <w:r>
        <w:rPr>
          <w:rFonts w:ascii="Times New Roman" w:eastAsia="Times New Roman"/>
          <w:spacing w:val="-4"/>
        </w:rPr>
        <w:t>200m</w:t>
      </w:r>
      <w:r>
        <w:rPr>
          <w:rFonts w:ascii="Times New Roman" w:eastAsia="Times New Roman"/>
          <w:spacing w:val="-4"/>
          <w:position w:val="8"/>
          <w:sz w:val="15"/>
        </w:rPr>
        <w:t>3</w:t>
      </w:r>
      <w:r>
        <w:rPr>
          <w:rFonts w:ascii="Times New Roman" w:eastAsia="Times New Roman"/>
          <w:spacing w:val="-4"/>
        </w:rPr>
        <w:t>/d</w:t>
      </w:r>
      <w:r>
        <w:rPr>
          <w:spacing w:val="-9"/>
        </w:rPr>
        <w:t>，项目区周边无地表水，不涉及地表水环境保护</w:t>
      </w:r>
      <w:r>
        <w:rPr>
          <w:spacing w:val="-3"/>
        </w:rPr>
        <w:t>目标，因此，判定本项目地面水环境评价级别为三级</w:t>
      </w:r>
      <w:r>
        <w:rPr>
          <w:rFonts w:ascii="Times New Roman" w:eastAsia="Times New Roman"/>
        </w:rPr>
        <w:t>B</w:t>
      </w:r>
      <w:r>
        <w:t>。</w:t>
      </w:r>
    </w:p>
    <w:p>
      <w:pPr>
        <w:pStyle w:val="17"/>
        <w:numPr>
          <w:ilvl w:val="3"/>
          <w:numId w:val="13"/>
        </w:numPr>
        <w:tabs>
          <w:tab w:val="left" w:pos="1621"/>
        </w:tabs>
        <w:spacing w:before="1" w:after="0" w:line="240" w:lineRule="auto"/>
        <w:ind w:left="1621" w:right="0" w:hanging="601"/>
        <w:jc w:val="left"/>
        <w:rPr>
          <w:sz w:val="24"/>
        </w:rPr>
      </w:pPr>
      <w:r>
        <w:rPr>
          <w:sz w:val="24"/>
        </w:rPr>
        <w:t>地下水环境影响评价工作等级</w:t>
      </w:r>
    </w:p>
    <w:p>
      <w:pPr>
        <w:pStyle w:val="7"/>
        <w:spacing w:before="161" w:line="364" w:lineRule="auto"/>
        <w:ind w:right="575" w:firstLine="480"/>
        <w:jc w:val="both"/>
      </w:pPr>
      <w:r>
        <w:t>根据建设项目对地下水环境影响的程度，参照《环境影响评价技术导则</w:t>
      </w:r>
      <w:r>
        <w:rPr>
          <w:rFonts w:ascii="Times New Roman" w:hAnsi="Times New Roman" w:eastAsia="Times New Roman"/>
        </w:rPr>
        <w:t>·</w:t>
      </w:r>
      <w:r>
        <w:t>地</w:t>
      </w:r>
      <w:r>
        <w:rPr>
          <w:spacing w:val="-9"/>
        </w:rPr>
        <w:t>下水环境》</w:t>
      </w:r>
      <w:r>
        <w:rPr>
          <w:spacing w:val="-4"/>
        </w:rPr>
        <w:t>（</w:t>
      </w:r>
      <w:r>
        <w:rPr>
          <w:rFonts w:ascii="Times New Roman" w:hAnsi="Times New Roman" w:eastAsia="Times New Roman"/>
          <w:spacing w:val="-4"/>
        </w:rPr>
        <w:t>HJ610-2016</w:t>
      </w:r>
      <w:r>
        <w:rPr>
          <w:spacing w:val="-4"/>
        </w:rPr>
        <w:t>）</w:t>
      </w:r>
      <w:r>
        <w:rPr>
          <w:spacing w:val="-3"/>
        </w:rPr>
        <w:t>，建设项目地下水环境影响评价工作等级划分主要根</w:t>
      </w:r>
      <w:r>
        <w:t>据建设项目所属的地下水环境影响评价项目类别以及地下水环境敏感程度两项指标确定。</w:t>
      </w:r>
    </w:p>
    <w:p>
      <w:pPr>
        <w:pStyle w:val="7"/>
        <w:spacing w:before="2"/>
        <w:ind w:left="1020"/>
      </w:pPr>
      <w:r>
        <w:t>本项目地下水环境影响评价工作等级的判定依据如下：</w:t>
      </w:r>
    </w:p>
    <w:p>
      <w:pPr>
        <w:pStyle w:val="7"/>
        <w:spacing w:before="161"/>
        <w:ind w:left="1020"/>
        <w:jc w:val="both"/>
      </w:pPr>
      <w:r>
        <w:t>①建设项目所属的地下水环境影响评价项目类别</w:t>
      </w:r>
    </w:p>
    <w:p>
      <w:pPr>
        <w:pStyle w:val="7"/>
        <w:spacing w:before="160" w:line="364" w:lineRule="auto"/>
        <w:ind w:right="572" w:firstLine="480"/>
        <w:jc w:val="both"/>
      </w:pPr>
      <w:r>
        <w:t>根据《环境影响评价技术导则</w:t>
      </w:r>
      <w:r>
        <w:rPr>
          <w:rFonts w:ascii="Times New Roman" w:hAnsi="Times New Roman" w:eastAsia="Times New Roman"/>
        </w:rPr>
        <w:t>·</w:t>
      </w:r>
      <w:r>
        <w:t>地下水环境》（</w:t>
      </w:r>
      <w:r>
        <w:rPr>
          <w:rFonts w:ascii="Times New Roman" w:hAnsi="Times New Roman" w:eastAsia="Times New Roman"/>
        </w:rPr>
        <w:t>HJ 610-2016</w:t>
      </w:r>
      <w:r>
        <w:t>）</w:t>
      </w:r>
      <w:r>
        <w:rPr>
          <w:spacing w:val="-17"/>
        </w:rPr>
        <w:t>附录</w:t>
      </w:r>
      <w:r>
        <w:rPr>
          <w:rFonts w:ascii="Times New Roman" w:hAnsi="Times New Roman" w:eastAsia="Times New Roman"/>
        </w:rPr>
        <w:t>A</w:t>
      </w:r>
      <w:r>
        <w:t>，本项</w:t>
      </w:r>
      <w:r>
        <w:rPr>
          <w:spacing w:val="-1"/>
        </w:rPr>
        <w:t>目行业类别为：</w:t>
      </w:r>
      <w:r>
        <w:rPr>
          <w:rFonts w:ascii="Times New Roman" w:hAnsi="Times New Roman" w:eastAsia="Times New Roman"/>
          <w:spacing w:val="-4"/>
        </w:rPr>
        <w:t>B</w:t>
      </w:r>
      <w:r>
        <w:rPr>
          <w:spacing w:val="-6"/>
        </w:rPr>
        <w:t>农、林、牧、渔、海洋，</w:t>
      </w:r>
      <w:r>
        <w:rPr>
          <w:rFonts w:ascii="Times New Roman" w:hAnsi="Times New Roman" w:eastAsia="Times New Roman"/>
          <w:spacing w:val="-4"/>
        </w:rPr>
        <w:t>14</w:t>
      </w:r>
      <w:r>
        <w:rPr>
          <w:spacing w:val="-6"/>
        </w:rPr>
        <w:t>、畜禽养殖场、养殖小区，环评类</w:t>
      </w:r>
      <w:r>
        <w:t>别属于地下水环境影响评价项目类别Ⅲ类。</w:t>
      </w:r>
    </w:p>
    <w:p>
      <w:pPr>
        <w:pStyle w:val="7"/>
        <w:spacing w:before="2"/>
        <w:ind w:left="1020"/>
        <w:jc w:val="both"/>
      </w:pPr>
      <w:r>
        <w:t>②建设项目地下水环境敏感程度</w:t>
      </w:r>
    </w:p>
    <w:p>
      <w:pPr>
        <w:pStyle w:val="7"/>
        <w:spacing w:before="161" w:line="364" w:lineRule="auto"/>
        <w:ind w:right="577" w:firstLine="480"/>
        <w:jc w:val="both"/>
      </w:pPr>
      <w:r>
        <w:rPr>
          <w:spacing w:val="-7"/>
        </w:rPr>
        <w:t>建设项目的地下水环境敏感程度分为敏感、较敏感、不敏感三级，分级原则</w:t>
      </w:r>
      <w:r>
        <w:rPr>
          <w:spacing w:val="-20"/>
        </w:rPr>
        <w:t>见表</w:t>
      </w:r>
      <w:r>
        <w:rPr>
          <w:rFonts w:ascii="Times New Roman" w:eastAsia="Times New Roman"/>
        </w:rPr>
        <w:t>2.6-5</w:t>
      </w:r>
      <w:r>
        <w:t>。</w:t>
      </w:r>
    </w:p>
    <w:p>
      <w:pPr>
        <w:tabs>
          <w:tab w:val="left" w:pos="4132"/>
        </w:tabs>
        <w:spacing w:before="80"/>
        <w:ind w:left="2613"/>
        <w:jc w:val="both"/>
      </w:pPr>
      <w:r>
        <w:t>表</w:t>
      </w:r>
      <w:r>
        <w:rPr>
          <w:rFonts w:ascii="Times New Roman" w:eastAsia="Times New Roman"/>
        </w:rPr>
        <w:t>2.6-5</w:t>
      </w:r>
      <w:r>
        <w:rPr>
          <w:rFonts w:ascii="Times New Roman" w:eastAsia="Times New Roman"/>
        </w:rPr>
        <w:tab/>
      </w:r>
      <w:r>
        <w:t>地下水环境敏感程度分级</w:t>
      </w:r>
    </w:p>
    <w:tbl>
      <w:tblPr>
        <w:tblStyle w:val="14"/>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6"/>
        <w:gridCol w:w="7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6" w:type="dxa"/>
          </w:tcPr>
          <w:p>
            <w:pPr>
              <w:pStyle w:val="18"/>
              <w:spacing w:before="33"/>
              <w:ind w:left="211" w:right="203"/>
              <w:rPr>
                <w:b/>
                <w:sz w:val="21"/>
              </w:rPr>
            </w:pPr>
            <w:r>
              <w:rPr>
                <w:b/>
                <w:sz w:val="21"/>
              </w:rPr>
              <w:t>分级</w:t>
            </w:r>
          </w:p>
        </w:tc>
        <w:tc>
          <w:tcPr>
            <w:tcW w:w="7289" w:type="dxa"/>
          </w:tcPr>
          <w:p>
            <w:pPr>
              <w:pStyle w:val="18"/>
              <w:spacing w:before="33"/>
              <w:ind w:left="2153" w:right="2134"/>
              <w:rPr>
                <w:b/>
                <w:sz w:val="21"/>
              </w:rPr>
            </w:pPr>
            <w:r>
              <w:rPr>
                <w:b/>
                <w:sz w:val="21"/>
              </w:rPr>
              <w:t>项目场地的地下水环境敏感特征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96" w:type="dxa"/>
          </w:tcPr>
          <w:p>
            <w:pPr>
              <w:pStyle w:val="18"/>
              <w:spacing w:before="4"/>
              <w:jc w:val="left"/>
              <w:rPr>
                <w:b/>
                <w:sz w:val="21"/>
              </w:rPr>
            </w:pPr>
          </w:p>
          <w:p>
            <w:pPr>
              <w:pStyle w:val="18"/>
              <w:ind w:left="211" w:right="205"/>
              <w:rPr>
                <w:sz w:val="21"/>
              </w:rPr>
            </w:pPr>
            <w:r>
              <w:rPr>
                <w:sz w:val="21"/>
              </w:rPr>
              <w:t>敏感</w:t>
            </w:r>
          </w:p>
        </w:tc>
        <w:tc>
          <w:tcPr>
            <w:tcW w:w="7289" w:type="dxa"/>
          </w:tcPr>
          <w:p>
            <w:pPr>
              <w:pStyle w:val="18"/>
              <w:ind w:left="107"/>
              <w:jc w:val="left"/>
              <w:rPr>
                <w:sz w:val="21"/>
              </w:rPr>
            </w:pPr>
            <w:r>
              <w:rPr>
                <w:sz w:val="21"/>
              </w:rPr>
              <w:t>集中式饮用水水源（包括已建成的在用、备用、应急水源地，在建和规划的饮</w:t>
            </w:r>
          </w:p>
          <w:p>
            <w:pPr>
              <w:pStyle w:val="18"/>
              <w:spacing w:before="3" w:line="270" w:lineRule="atLeast"/>
              <w:ind w:left="107" w:right="-15"/>
              <w:jc w:val="left"/>
              <w:rPr>
                <w:sz w:val="21"/>
              </w:rPr>
            </w:pPr>
            <w:r>
              <w:rPr>
                <w:sz w:val="21"/>
              </w:rPr>
              <w:t>用水水源</w:t>
            </w:r>
            <w:r>
              <w:rPr>
                <w:spacing w:val="-34"/>
                <w:sz w:val="21"/>
              </w:rPr>
              <w:t>）</w:t>
            </w:r>
            <w:r>
              <w:rPr>
                <w:spacing w:val="-6"/>
                <w:sz w:val="21"/>
              </w:rPr>
              <w:t>准保护区；除集中式饮用水水源以外的国家或地方政府设定的与地</w:t>
            </w:r>
            <w:r>
              <w:rPr>
                <w:spacing w:val="-16"/>
                <w:sz w:val="21"/>
              </w:rPr>
              <w:t>下水环境相关的其它保护区，如热水、矿泉水、温泉等特殊地下水资源保护区。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096" w:type="dxa"/>
          </w:tcPr>
          <w:p>
            <w:pPr>
              <w:pStyle w:val="18"/>
              <w:jc w:val="left"/>
              <w:rPr>
                <w:b/>
                <w:sz w:val="20"/>
              </w:rPr>
            </w:pPr>
          </w:p>
          <w:p>
            <w:pPr>
              <w:pStyle w:val="18"/>
              <w:spacing w:before="152"/>
              <w:ind w:left="211" w:right="205"/>
              <w:rPr>
                <w:sz w:val="21"/>
              </w:rPr>
            </w:pPr>
            <w:r>
              <w:rPr>
                <w:sz w:val="21"/>
              </w:rPr>
              <w:t>较敏感</w:t>
            </w:r>
          </w:p>
        </w:tc>
        <w:tc>
          <w:tcPr>
            <w:tcW w:w="7289" w:type="dxa"/>
          </w:tcPr>
          <w:p>
            <w:pPr>
              <w:pStyle w:val="18"/>
              <w:spacing w:before="1" w:line="242" w:lineRule="auto"/>
              <w:ind w:left="107" w:right="-15"/>
              <w:jc w:val="both"/>
              <w:rPr>
                <w:sz w:val="21"/>
              </w:rPr>
            </w:pPr>
            <w:r>
              <w:rPr>
                <w:spacing w:val="-2"/>
                <w:sz w:val="21"/>
              </w:rPr>
              <w:t>集中式饮用水水源</w:t>
            </w:r>
            <w:r>
              <w:rPr>
                <w:sz w:val="21"/>
              </w:rPr>
              <w:t>（</w:t>
            </w:r>
            <w:r>
              <w:rPr>
                <w:spacing w:val="-5"/>
                <w:sz w:val="21"/>
              </w:rPr>
              <w:t>包括已建成的在用、备用、应急水源，在建和规划的饮用水水源）准保护区以外的补给径流区；未划定准保护区的集中式饮用水水源，</w:t>
            </w:r>
            <w:r>
              <w:rPr>
                <w:spacing w:val="-14"/>
                <w:sz w:val="21"/>
              </w:rPr>
              <w:t>其保护区以外的补给径流区；分散式饮用水水源地；特殊地下水资源</w:t>
            </w:r>
            <w:r>
              <w:rPr>
                <w:sz w:val="21"/>
              </w:rPr>
              <w:t>（矿泉水、</w:t>
            </w:r>
          </w:p>
          <w:p>
            <w:pPr>
              <w:pStyle w:val="18"/>
              <w:spacing w:line="252" w:lineRule="exact"/>
              <w:ind w:left="107"/>
              <w:jc w:val="left"/>
              <w:rPr>
                <w:sz w:val="21"/>
              </w:rPr>
            </w:pPr>
            <w:r>
              <w:rPr>
                <w:sz w:val="21"/>
              </w:rPr>
              <w:t>温泉等）保护区以外的分布区等其它未列入上述敏感分级的环境敏感区。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6" w:type="dxa"/>
          </w:tcPr>
          <w:p>
            <w:pPr>
              <w:pStyle w:val="18"/>
              <w:spacing w:before="35"/>
              <w:ind w:left="211" w:right="205"/>
              <w:rPr>
                <w:sz w:val="21"/>
              </w:rPr>
            </w:pPr>
            <w:r>
              <w:rPr>
                <w:sz w:val="21"/>
              </w:rPr>
              <w:t>不敏感</w:t>
            </w:r>
          </w:p>
        </w:tc>
        <w:tc>
          <w:tcPr>
            <w:tcW w:w="7289" w:type="dxa"/>
          </w:tcPr>
          <w:p>
            <w:pPr>
              <w:pStyle w:val="18"/>
              <w:spacing w:before="35"/>
              <w:ind w:left="2138" w:right="2134"/>
              <w:rPr>
                <w:sz w:val="21"/>
              </w:rPr>
            </w:pPr>
            <w:r>
              <w:rPr>
                <w:sz w:val="21"/>
              </w:rPr>
              <w:t>上述地区之外的其它地区。</w:t>
            </w:r>
          </w:p>
        </w:tc>
      </w:tr>
    </w:tbl>
    <w:p>
      <w:pPr>
        <w:spacing w:before="21" w:line="278" w:lineRule="auto"/>
        <w:ind w:left="540" w:right="579" w:firstLine="420"/>
        <w:jc w:val="left"/>
        <w:rPr>
          <w:sz w:val="21"/>
        </w:rPr>
      </w:pPr>
      <w:r>
        <w:rPr>
          <w:spacing w:val="-11"/>
          <w:w w:val="95"/>
          <w:sz w:val="21"/>
        </w:rPr>
        <w:t>注：“环境敏感区”是指《建设项目环境影响评价分类管理名录》中界定的涉及地下水</w:t>
      </w:r>
      <w:r>
        <w:rPr>
          <w:spacing w:val="-11"/>
          <w:sz w:val="21"/>
        </w:rPr>
        <w:t>的环境敏感区。</w:t>
      </w:r>
    </w:p>
    <w:p>
      <w:pPr>
        <w:pStyle w:val="7"/>
        <w:spacing w:before="11"/>
        <w:ind w:left="0"/>
        <w:rPr>
          <w:sz w:val="16"/>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220" w:rightChars="100" w:firstLine="480" w:firstLineChars="200"/>
        <w:jc w:val="both"/>
        <w:textAlignment w:val="auto"/>
      </w:pPr>
      <w:r>
        <w:t>根据实地调查及咨询当地有关部门，本项目场地不属于集中式饮用水源地、集中式饮用水源地准保护区以外的补给径流区和国家或地方政府设定的与地下水环境相关的其它保护区。因此，地下水环境敏感程度为“不敏感”。</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67" w:right="220" w:rightChars="100" w:firstLine="0"/>
        <w:jc w:val="left"/>
        <w:textAlignment w:val="auto"/>
      </w:pPr>
      <w:r>
        <w:t>根据《环境影响评价技术导则地下水环境》（</w:t>
      </w:r>
      <w:r>
        <w:rPr>
          <w:rFonts w:ascii="Times New Roman" w:eastAsia="Times New Roman"/>
        </w:rPr>
        <w:t>HJ60-2016</w:t>
      </w:r>
      <w:r>
        <w:t>）的分级判据，建设项目地下水环境影响评价工作等级划分见表</w:t>
      </w:r>
      <w:r>
        <w:rPr>
          <w:rFonts w:ascii="Times New Roman" w:eastAsia="Times New Roman"/>
        </w:rPr>
        <w:t>2.6-6</w:t>
      </w:r>
      <w:r>
        <w:t>。</w:t>
      </w:r>
    </w:p>
    <w:p>
      <w:pPr>
        <w:tabs>
          <w:tab w:val="left" w:pos="3892"/>
        </w:tabs>
        <w:spacing w:before="81"/>
        <w:ind w:left="2373"/>
        <w:jc w:val="left"/>
      </w:pPr>
      <w:r>
        <mc:AlternateContent>
          <mc:Choice Requires="wps">
            <w:drawing>
              <wp:anchor distT="0" distB="0" distL="114300" distR="114300" simplePos="0" relativeHeight="232245248" behindDoc="1" locked="0" layoutInCell="1" allowOverlap="1">
                <wp:simplePos x="0" y="0"/>
                <wp:positionH relativeFrom="page">
                  <wp:posOffset>1100455</wp:posOffset>
                </wp:positionH>
                <wp:positionV relativeFrom="paragraph">
                  <wp:posOffset>252095</wp:posOffset>
                </wp:positionV>
                <wp:extent cx="1292860" cy="390525"/>
                <wp:effectExtent l="1270" t="4445" r="1270" b="5080"/>
                <wp:wrapNone/>
                <wp:docPr id="38" name="直线 33"/>
                <wp:cNvGraphicFramePr/>
                <a:graphic xmlns:a="http://schemas.openxmlformats.org/drawingml/2006/main">
                  <a:graphicData uri="http://schemas.microsoft.com/office/word/2010/wordprocessingShape">
                    <wps:wsp>
                      <wps:cNvCnPr/>
                      <wps:spPr>
                        <a:xfrm>
                          <a:off x="0" y="0"/>
                          <a:ext cx="1292860" cy="39052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3" o:spid="_x0000_s1026" o:spt="20" style="position:absolute;left:0pt;margin-left:86.65pt;margin-top:19.85pt;height:30.75pt;width:101.8pt;mso-position-horizontal-relative:page;z-index:-271071232;mso-width-relative:page;mso-height-relative:page;" filled="f" stroked="t" coordsize="21600,21600" o:gfxdata="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OLPmtcAAAAKAQAADwAAAAAAAAABACAAAAAi&#10;AAAAZHJzL2Rvd25yZXYueG1sUEsBAhQAFAAAAAgAh07iQBVrrtnSAQAAlAMAAA4AAAAAAAAAAQAg&#10;AAAAJgEAAGRycy9lMm9Eb2MueG1sUEsFBgAAAAAGAAYAWQEAAGoFAAAAAA==&#10;">
                <v:fill on="f" focussize="0,0"/>
                <v:stroke weight="0.5pt" color="#000000" joinstyle="round"/>
                <v:imagedata o:title=""/>
                <o:lock v:ext="edit" aspectratio="f"/>
              </v:line>
            </w:pict>
          </mc:Fallback>
        </mc:AlternateContent>
      </w:r>
      <w:r>
        <w:t>表</w:t>
      </w:r>
      <w:r>
        <w:rPr>
          <w:rFonts w:ascii="Times New Roman" w:eastAsia="Times New Roman"/>
        </w:rPr>
        <w:t>2.6-6</w:t>
      </w:r>
      <w:r>
        <w:rPr>
          <w:rFonts w:ascii="Times New Roman" w:eastAsia="Times New Roman"/>
        </w:rPr>
        <w:tab/>
      </w:r>
      <w:r>
        <w:t>地下水环境影响评价工作等级</w:t>
      </w:r>
    </w:p>
    <w:tbl>
      <w:tblPr>
        <w:tblStyle w:val="14"/>
        <w:tblW w:w="0" w:type="auto"/>
        <w:tblInd w:w="4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2"/>
        <w:gridCol w:w="2293"/>
        <w:gridCol w:w="2294"/>
        <w:gridCol w:w="1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2042" w:type="dxa"/>
          </w:tcPr>
          <w:p>
            <w:pPr>
              <w:pStyle w:val="18"/>
              <w:spacing w:before="21"/>
              <w:ind w:left="1093"/>
              <w:jc w:val="left"/>
              <w:rPr>
                <w:b/>
                <w:sz w:val="21"/>
              </w:rPr>
            </w:pPr>
            <w:r>
              <w:rPr>
                <w:b/>
                <w:sz w:val="21"/>
              </w:rPr>
              <w:t>项目类别</w:t>
            </w:r>
          </w:p>
          <w:p>
            <w:pPr>
              <w:pStyle w:val="18"/>
              <w:spacing w:before="43" w:line="257" w:lineRule="exact"/>
              <w:ind w:left="107"/>
              <w:jc w:val="left"/>
              <w:rPr>
                <w:b/>
                <w:sz w:val="21"/>
              </w:rPr>
            </w:pPr>
            <w:r>
              <w:rPr>
                <w:b/>
                <w:sz w:val="21"/>
              </w:rPr>
              <w:t>环境敏感程度</w:t>
            </w:r>
          </w:p>
        </w:tc>
        <w:tc>
          <w:tcPr>
            <w:tcW w:w="2293" w:type="dxa"/>
          </w:tcPr>
          <w:p>
            <w:pPr>
              <w:pStyle w:val="18"/>
              <w:spacing w:before="170"/>
              <w:ind w:left="704" w:right="694"/>
              <w:rPr>
                <w:b/>
                <w:sz w:val="21"/>
              </w:rPr>
            </w:pPr>
            <w:r>
              <w:rPr>
                <w:b/>
                <w:sz w:val="21"/>
              </w:rPr>
              <w:t>Ⅰ类项目</w:t>
            </w:r>
          </w:p>
        </w:tc>
        <w:tc>
          <w:tcPr>
            <w:tcW w:w="2294" w:type="dxa"/>
          </w:tcPr>
          <w:p>
            <w:pPr>
              <w:pStyle w:val="18"/>
              <w:spacing w:before="170"/>
              <w:ind w:left="705" w:right="695"/>
              <w:rPr>
                <w:b/>
                <w:sz w:val="21"/>
              </w:rPr>
            </w:pPr>
            <w:r>
              <w:rPr>
                <w:b/>
                <w:sz w:val="21"/>
              </w:rPr>
              <w:t>Ⅱ类项目</w:t>
            </w:r>
          </w:p>
        </w:tc>
        <w:tc>
          <w:tcPr>
            <w:tcW w:w="1814" w:type="dxa"/>
          </w:tcPr>
          <w:p>
            <w:pPr>
              <w:pStyle w:val="18"/>
              <w:spacing w:before="170"/>
              <w:ind w:left="465" w:right="455"/>
              <w:rPr>
                <w:b/>
                <w:sz w:val="21"/>
              </w:rPr>
            </w:pPr>
            <w:r>
              <w:rPr>
                <w:b/>
                <w:sz w:val="21"/>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8"/>
              <w:spacing w:before="30"/>
              <w:ind w:left="684" w:right="678"/>
              <w:rPr>
                <w:sz w:val="21"/>
              </w:rPr>
            </w:pPr>
            <w:r>
              <w:rPr>
                <w:sz w:val="21"/>
              </w:rPr>
              <w:t>敏感</w:t>
            </w:r>
          </w:p>
        </w:tc>
        <w:tc>
          <w:tcPr>
            <w:tcW w:w="2293" w:type="dxa"/>
          </w:tcPr>
          <w:p>
            <w:pPr>
              <w:pStyle w:val="18"/>
              <w:spacing w:before="30"/>
              <w:ind w:left="8"/>
              <w:rPr>
                <w:sz w:val="21"/>
              </w:rPr>
            </w:pPr>
            <w:r>
              <w:rPr>
                <w:w w:val="99"/>
                <w:sz w:val="21"/>
              </w:rPr>
              <w:t>一</w:t>
            </w:r>
          </w:p>
        </w:tc>
        <w:tc>
          <w:tcPr>
            <w:tcW w:w="2294" w:type="dxa"/>
          </w:tcPr>
          <w:p>
            <w:pPr>
              <w:pStyle w:val="18"/>
              <w:spacing w:before="30"/>
              <w:ind w:left="10"/>
              <w:rPr>
                <w:sz w:val="21"/>
              </w:rPr>
            </w:pPr>
            <w:r>
              <w:rPr>
                <w:w w:val="99"/>
                <w:sz w:val="21"/>
              </w:rPr>
              <w:t>一</w:t>
            </w:r>
          </w:p>
        </w:tc>
        <w:tc>
          <w:tcPr>
            <w:tcW w:w="1814" w:type="dxa"/>
          </w:tcPr>
          <w:p>
            <w:pPr>
              <w:pStyle w:val="18"/>
              <w:spacing w:before="30"/>
              <w:ind w:left="6"/>
              <w:rPr>
                <w:sz w:val="21"/>
              </w:rPr>
            </w:pPr>
            <w:r>
              <w:rPr>
                <w:w w:val="99"/>
                <w:sz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8"/>
              <w:spacing w:before="30"/>
              <w:ind w:left="684" w:right="678"/>
              <w:rPr>
                <w:sz w:val="21"/>
              </w:rPr>
            </w:pPr>
            <w:r>
              <w:rPr>
                <w:sz w:val="21"/>
              </w:rPr>
              <w:t>较敏感</w:t>
            </w:r>
          </w:p>
        </w:tc>
        <w:tc>
          <w:tcPr>
            <w:tcW w:w="2293" w:type="dxa"/>
          </w:tcPr>
          <w:p>
            <w:pPr>
              <w:pStyle w:val="18"/>
              <w:spacing w:before="30"/>
              <w:ind w:left="8"/>
              <w:rPr>
                <w:sz w:val="21"/>
              </w:rPr>
            </w:pPr>
            <w:r>
              <w:rPr>
                <w:w w:val="99"/>
                <w:sz w:val="21"/>
              </w:rPr>
              <w:t>一</w:t>
            </w:r>
          </w:p>
        </w:tc>
        <w:tc>
          <w:tcPr>
            <w:tcW w:w="2294" w:type="dxa"/>
          </w:tcPr>
          <w:p>
            <w:pPr>
              <w:pStyle w:val="18"/>
              <w:spacing w:before="30"/>
              <w:ind w:left="10"/>
              <w:rPr>
                <w:sz w:val="21"/>
              </w:rPr>
            </w:pPr>
            <w:r>
              <w:rPr>
                <w:w w:val="99"/>
                <w:sz w:val="21"/>
              </w:rPr>
              <w:t>二</w:t>
            </w:r>
          </w:p>
        </w:tc>
        <w:tc>
          <w:tcPr>
            <w:tcW w:w="1814" w:type="dxa"/>
          </w:tcPr>
          <w:p>
            <w:pPr>
              <w:pStyle w:val="18"/>
              <w:spacing w:before="30"/>
              <w:ind w:left="6"/>
              <w:rPr>
                <w:sz w:val="21"/>
              </w:rPr>
            </w:pPr>
            <w:r>
              <w:rPr>
                <w:w w:val="99"/>
                <w:sz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8"/>
              <w:spacing w:before="29"/>
              <w:ind w:left="684" w:right="678"/>
              <w:rPr>
                <w:sz w:val="21"/>
              </w:rPr>
            </w:pPr>
            <w:r>
              <w:rPr>
                <w:sz w:val="21"/>
              </w:rPr>
              <w:t>不敏感</w:t>
            </w:r>
          </w:p>
        </w:tc>
        <w:tc>
          <w:tcPr>
            <w:tcW w:w="2293" w:type="dxa"/>
          </w:tcPr>
          <w:p>
            <w:pPr>
              <w:pStyle w:val="18"/>
              <w:spacing w:before="29"/>
              <w:ind w:left="8"/>
              <w:rPr>
                <w:sz w:val="21"/>
              </w:rPr>
            </w:pPr>
            <w:r>
              <w:rPr>
                <w:w w:val="99"/>
                <w:sz w:val="21"/>
              </w:rPr>
              <w:t>二</w:t>
            </w:r>
          </w:p>
        </w:tc>
        <w:tc>
          <w:tcPr>
            <w:tcW w:w="2294" w:type="dxa"/>
          </w:tcPr>
          <w:p>
            <w:pPr>
              <w:pStyle w:val="18"/>
              <w:spacing w:before="29"/>
              <w:ind w:left="10"/>
              <w:rPr>
                <w:sz w:val="21"/>
              </w:rPr>
            </w:pPr>
            <w:r>
              <w:rPr>
                <w:w w:val="99"/>
                <w:sz w:val="21"/>
              </w:rPr>
              <w:t>三</w:t>
            </w:r>
          </w:p>
        </w:tc>
        <w:tc>
          <w:tcPr>
            <w:tcW w:w="1814" w:type="dxa"/>
          </w:tcPr>
          <w:p>
            <w:pPr>
              <w:pStyle w:val="18"/>
              <w:spacing w:before="29"/>
              <w:ind w:left="6"/>
              <w:rPr>
                <w:sz w:val="21"/>
              </w:rPr>
            </w:pPr>
            <w:r>
              <w:rPr>
                <w:w w:val="99"/>
                <w:sz w:val="21"/>
              </w:rPr>
              <w:t>三</w:t>
            </w:r>
          </w:p>
        </w:tc>
      </w:tr>
    </w:tbl>
    <w:p>
      <w:pPr>
        <w:pStyle w:val="7"/>
        <w:spacing w:before="7"/>
        <w:ind w:left="0"/>
        <w:rPr>
          <w:b/>
          <w:sz w:val="18"/>
        </w:rPr>
      </w:pPr>
    </w:p>
    <w:p>
      <w:pPr>
        <w:pStyle w:val="7"/>
        <w:spacing w:line="364" w:lineRule="auto"/>
        <w:ind w:right="577" w:firstLine="480"/>
      </w:pPr>
      <w:r>
        <w:t>本项目地下水环境影响评价项目类别为Ⅲ类，地下水环境敏感程度为不敏感，根据表</w:t>
      </w:r>
      <w:r>
        <w:rPr>
          <w:rFonts w:ascii="Times New Roman" w:hAnsi="Times New Roman" w:eastAsia="Times New Roman"/>
        </w:rPr>
        <w:t>2.6-6</w:t>
      </w:r>
      <w:r>
        <w:t>，判定本次地下水环境影响评价等级为三级。</w:t>
      </w:r>
    </w:p>
    <w:p>
      <w:pPr>
        <w:pStyle w:val="17"/>
        <w:numPr>
          <w:ilvl w:val="3"/>
          <w:numId w:val="13"/>
        </w:numPr>
        <w:tabs>
          <w:tab w:val="left" w:pos="1621"/>
        </w:tabs>
        <w:spacing w:before="1" w:after="0" w:line="240" w:lineRule="auto"/>
        <w:ind w:left="1621" w:right="0" w:hanging="601"/>
        <w:jc w:val="left"/>
        <w:rPr>
          <w:sz w:val="24"/>
        </w:rPr>
      </w:pPr>
      <w:r>
        <w:rPr>
          <w:sz w:val="24"/>
        </w:rPr>
        <w:t>声环境影响评价工作等级</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567" w:firstLine="482"/>
        <w:jc w:val="both"/>
        <w:textAlignment w:val="auto"/>
        <w:rPr>
          <w:color w:val="0000FF"/>
        </w:rPr>
      </w:pPr>
      <w:r>
        <w:rPr>
          <w:color w:val="0000FF"/>
          <w:spacing w:val="-5"/>
        </w:rPr>
        <w:t>根据《环境影响评价技术导则</w:t>
      </w:r>
      <w:r>
        <w:rPr>
          <w:rFonts w:ascii="Times New Roman" w:hAnsi="Times New Roman" w:eastAsia="Times New Roman"/>
          <w:color w:val="0000FF"/>
        </w:rPr>
        <w:t>·</w:t>
      </w:r>
      <w:r>
        <w:rPr>
          <w:color w:val="0000FF"/>
          <w:spacing w:val="-10"/>
        </w:rPr>
        <w:t>声环境》</w:t>
      </w:r>
      <w:r>
        <w:rPr>
          <w:color w:val="0000FF"/>
          <w:spacing w:val="-4"/>
        </w:rPr>
        <w:t>（</w:t>
      </w:r>
      <w:r>
        <w:rPr>
          <w:rFonts w:ascii="Times New Roman" w:hAnsi="Times New Roman" w:eastAsia="Times New Roman"/>
          <w:color w:val="0000FF"/>
          <w:spacing w:val="-4"/>
        </w:rPr>
        <w:t>HJ2.4-2009</w:t>
      </w:r>
      <w:r>
        <w:rPr>
          <w:color w:val="0000FF"/>
          <w:spacing w:val="-4"/>
        </w:rPr>
        <w:t>），项目位于新疆</w:t>
      </w:r>
      <w:r>
        <w:rPr>
          <w:rFonts w:hint="eastAsia"/>
          <w:color w:val="0000FF"/>
          <w:spacing w:val="-4"/>
          <w:lang w:val="en-US" w:eastAsia="zh-CN"/>
        </w:rPr>
        <w:t>喀什</w:t>
      </w:r>
      <w:r>
        <w:rPr>
          <w:color w:val="0000FF"/>
          <w:spacing w:val="-1"/>
        </w:rPr>
        <w:t>地区</w:t>
      </w:r>
      <w:r>
        <w:rPr>
          <w:rFonts w:hint="eastAsia"/>
          <w:color w:val="0000FF"/>
          <w:spacing w:val="-1"/>
          <w:lang w:val="en-US" w:eastAsia="zh-CN"/>
        </w:rPr>
        <w:t>莎车</w:t>
      </w:r>
      <w:r>
        <w:rPr>
          <w:color w:val="0000FF"/>
          <w:spacing w:val="-1"/>
        </w:rPr>
        <w:t>县</w:t>
      </w:r>
      <w:r>
        <w:rPr>
          <w:rFonts w:hint="eastAsia"/>
          <w:color w:val="0000FF"/>
          <w:spacing w:val="-1"/>
          <w:lang w:val="en-US" w:eastAsia="zh-CN"/>
        </w:rPr>
        <w:t>托万巴格托格克拉村</w:t>
      </w:r>
      <w:r>
        <w:rPr>
          <w:color w:val="0000FF"/>
          <w:spacing w:val="-1"/>
        </w:rPr>
        <w:t>村</w:t>
      </w:r>
      <w:r>
        <w:rPr>
          <w:rFonts w:hint="eastAsia"/>
          <w:color w:val="0000FF"/>
          <w:spacing w:val="-1"/>
          <w:lang w:val="en-US" w:eastAsia="zh-CN"/>
        </w:rPr>
        <w:t>北</w:t>
      </w:r>
      <w:r>
        <w:rPr>
          <w:color w:val="0000FF"/>
          <w:spacing w:val="-1"/>
        </w:rPr>
        <w:t>侧约</w:t>
      </w:r>
      <w:r>
        <w:rPr>
          <w:rFonts w:hint="eastAsia"/>
          <w:color w:val="0000FF"/>
          <w:spacing w:val="-1"/>
          <w:lang w:val="en-US" w:eastAsia="zh-CN"/>
        </w:rPr>
        <w:t>2</w:t>
      </w:r>
      <w:r>
        <w:rPr>
          <w:rFonts w:ascii="Times New Roman" w:hAnsi="Times New Roman" w:eastAsia="Times New Roman"/>
          <w:color w:val="0000FF"/>
        </w:rPr>
        <w:t>km</w:t>
      </w:r>
      <w:r>
        <w:rPr>
          <w:color w:val="0000FF"/>
          <w:spacing w:val="-1"/>
        </w:rPr>
        <w:t>处，独立于村庄和集镇之外，属于</w:t>
      </w:r>
      <w:r>
        <w:rPr>
          <w:rFonts w:ascii="Times New Roman" w:hAnsi="Times New Roman" w:eastAsia="Times New Roman"/>
          <w:color w:val="0000FF"/>
        </w:rPr>
        <w:t>2</w:t>
      </w:r>
      <w:r>
        <w:rPr>
          <w:color w:val="0000FF"/>
          <w:spacing w:val="-11"/>
        </w:rPr>
        <w:t>类声环境功能区。项目工程项目建成后运营期主要噪声源是畜禽叫声以及水泵等</w:t>
      </w:r>
      <w:r>
        <w:rPr>
          <w:color w:val="0000FF"/>
          <w:spacing w:val="-9"/>
        </w:rPr>
        <w:t>设备运行时产生的噪声，经墙体隔声、基础减震以及距离衰减后对厂界贡献值较</w:t>
      </w:r>
      <w:r>
        <w:rPr>
          <w:color w:val="0000FF"/>
          <w:spacing w:val="-7"/>
        </w:rPr>
        <w:t>小，敏感目标噪声级增高量在</w:t>
      </w:r>
      <w:r>
        <w:rPr>
          <w:rFonts w:ascii="Times New Roman" w:hAnsi="Times New Roman" w:eastAsia="Times New Roman"/>
          <w:color w:val="0000FF"/>
        </w:rPr>
        <w:t>3dB</w:t>
      </w:r>
      <w:r>
        <w:rPr>
          <w:color w:val="0000FF"/>
        </w:rPr>
        <w:t>（</w:t>
      </w:r>
      <w:r>
        <w:rPr>
          <w:rFonts w:ascii="Times New Roman" w:hAnsi="Times New Roman" w:eastAsia="Times New Roman"/>
          <w:color w:val="0000FF"/>
        </w:rPr>
        <w:t>A</w:t>
      </w:r>
      <w:r>
        <w:rPr>
          <w:color w:val="0000FF"/>
        </w:rPr>
        <w:t>）</w:t>
      </w:r>
      <w:r>
        <w:rPr>
          <w:color w:val="0000FF"/>
          <w:spacing w:val="-1"/>
        </w:rPr>
        <w:t>以下，并且评价范围为设施农用地，无</w:t>
      </w:r>
      <w:r>
        <w:rPr>
          <w:color w:val="0000FF"/>
        </w:rPr>
        <w:t>常驻人口，受影响人口数量无变化。</w:t>
      </w:r>
    </w:p>
    <w:p>
      <w:pPr>
        <w:pStyle w:val="7"/>
        <w:keepNext w:val="0"/>
        <w:keepLines w:val="0"/>
        <w:pageBreakBefore w:val="0"/>
        <w:widowControl w:val="0"/>
        <w:kinsoku/>
        <w:wordWrap/>
        <w:overflowPunct/>
        <w:topLinePunct w:val="0"/>
        <w:autoSpaceDE w:val="0"/>
        <w:autoSpaceDN w:val="0"/>
        <w:bidi w:val="0"/>
        <w:adjustRightInd/>
        <w:snapToGrid/>
        <w:spacing w:before="3" w:line="360" w:lineRule="auto"/>
        <w:ind w:left="220" w:leftChars="100" w:right="220" w:rightChars="100" w:firstLine="480" w:firstLineChars="200"/>
        <w:jc w:val="both"/>
        <w:textAlignment w:val="auto"/>
        <w:rPr>
          <w:color w:val="0000FF"/>
        </w:rPr>
      </w:pPr>
      <w:r>
        <w:rPr>
          <w:color w:val="0000FF"/>
        </w:rPr>
        <w:t>根据该项目的污染特征、环境特征和《环境影响评价技术导则</w:t>
      </w:r>
      <w:r>
        <w:rPr>
          <w:rFonts w:ascii="Times New Roman" w:hAnsi="Times New Roman" w:eastAsia="Times New Roman"/>
          <w:color w:val="0000FF"/>
        </w:rPr>
        <w:t>·</w:t>
      </w:r>
      <w:r>
        <w:rPr>
          <w:color w:val="0000FF"/>
        </w:rPr>
        <w:t>声环境》（</w:t>
      </w:r>
      <w:r>
        <w:rPr>
          <w:rFonts w:ascii="Times New Roman" w:eastAsia="Times New Roman"/>
          <w:color w:val="0000FF"/>
        </w:rPr>
        <w:t>HJ2.4-2009</w:t>
      </w:r>
      <w:r>
        <w:rPr>
          <w:color w:val="0000FF"/>
        </w:rPr>
        <w:t>）中有关评价工作分级的规定，噪声环境影响评价级别的划分是根据建设项目类型、所在功能区及项目建设前后噪声级变化情况确定级别。</w:t>
      </w:r>
    </w:p>
    <w:p>
      <w:pPr>
        <w:pStyle w:val="7"/>
        <w:spacing w:before="1"/>
        <w:ind w:left="1020"/>
      </w:pPr>
      <w:r>
        <w:t>本次声环境影响评价等级详见表</w:t>
      </w:r>
      <w:r>
        <w:rPr>
          <w:rFonts w:ascii="Times New Roman" w:eastAsia="Times New Roman"/>
        </w:rPr>
        <w:t>2.6-7</w:t>
      </w:r>
      <w:r>
        <w:t>和表</w:t>
      </w:r>
      <w:r>
        <w:rPr>
          <w:rFonts w:ascii="Times New Roman" w:eastAsia="Times New Roman"/>
        </w:rPr>
        <w:t>2.6-8</w:t>
      </w:r>
      <w:r>
        <w:t>。</w:t>
      </w:r>
    </w:p>
    <w:p>
      <w:pPr>
        <w:pStyle w:val="7"/>
        <w:spacing w:before="6"/>
        <w:ind w:left="0"/>
        <w:rPr>
          <w:sz w:val="18"/>
        </w:rPr>
      </w:pPr>
    </w:p>
    <w:p>
      <w:pPr>
        <w:tabs>
          <w:tab w:val="left" w:pos="1519"/>
        </w:tabs>
        <w:spacing w:before="1" w:after="2"/>
        <w:ind w:right="28"/>
      </w:pPr>
      <w:r>
        <mc:AlternateContent>
          <mc:Choice Requires="wps">
            <w:drawing>
              <wp:anchor distT="0" distB="0" distL="114300" distR="114300" simplePos="0" relativeHeight="232246272" behindDoc="1" locked="0" layoutInCell="1" allowOverlap="1">
                <wp:simplePos x="0" y="0"/>
                <wp:positionH relativeFrom="page">
                  <wp:posOffset>1076960</wp:posOffset>
                </wp:positionH>
                <wp:positionV relativeFrom="paragraph">
                  <wp:posOffset>201930</wp:posOffset>
                </wp:positionV>
                <wp:extent cx="1086485" cy="348615"/>
                <wp:effectExtent l="1270" t="4445" r="17145" b="8890"/>
                <wp:wrapNone/>
                <wp:docPr id="39" name="直线 34"/>
                <wp:cNvGraphicFramePr/>
                <a:graphic xmlns:a="http://schemas.openxmlformats.org/drawingml/2006/main">
                  <a:graphicData uri="http://schemas.microsoft.com/office/word/2010/wordprocessingShape">
                    <wps:wsp>
                      <wps:cNvCnPr/>
                      <wps:spPr>
                        <a:xfrm>
                          <a:off x="0" y="0"/>
                          <a:ext cx="1086485" cy="3486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4" o:spid="_x0000_s1026" o:spt="20" style="position:absolute;left:0pt;margin-left:84.8pt;margin-top:15.9pt;height:27.45pt;width:85.55pt;mso-position-horizontal-relative:page;z-index:-271070208;mso-width-relative:page;mso-height-relative:page;" filled="f" stroked="t" coordsize="21600,21600" o:gfxdata="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rkxG3WAAAACQEAAA8AAAAAAAAAAQAgAAAA&#10;IgAAAGRycy9kb3ducmV2LnhtbFBLAQIUABQAAAAIAIdO4kD5IOuP1AEAAJQDAAAOAAAAAAAAAAEA&#10;IAAAACUBAABkcnMvZTJvRG9jLnhtbFBLBQYAAAAABgAGAFkBAABrBQAAAAA=&#10;">
                <v:fill on="f" focussize="0,0"/>
                <v:stroke weight="0.5pt" color="#000000" joinstyle="round"/>
                <v:imagedata o:title=""/>
                <o:lock v:ext="edit" aspectratio="f"/>
              </v:line>
            </w:pict>
          </mc:Fallback>
        </mc:AlternateContent>
      </w:r>
      <w:r>
        <w:t>表</w:t>
      </w:r>
      <w:r>
        <w:rPr>
          <w:rFonts w:ascii="Times New Roman" w:eastAsia="Times New Roman"/>
        </w:rPr>
        <w:t>2.6-7</w:t>
      </w:r>
      <w:r>
        <w:rPr>
          <w:rFonts w:ascii="Times New Roman" w:eastAsia="Times New Roman"/>
        </w:rPr>
        <w:tab/>
      </w:r>
      <w:r>
        <w:t>声评价工作等级判定表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1441"/>
        <w:gridCol w:w="2334"/>
        <w:gridCol w:w="1716"/>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717" w:type="dxa"/>
          </w:tcPr>
          <w:p>
            <w:pPr>
              <w:pStyle w:val="18"/>
              <w:spacing w:before="1"/>
              <w:ind w:left="752"/>
              <w:jc w:val="left"/>
              <w:rPr>
                <w:b/>
                <w:sz w:val="21"/>
              </w:rPr>
            </w:pPr>
            <w:r>
              <w:rPr>
                <w:b/>
                <w:sz w:val="21"/>
              </w:rPr>
              <w:t>影响因素</w:t>
            </w:r>
          </w:p>
          <w:p>
            <w:pPr>
              <w:pStyle w:val="18"/>
              <w:spacing w:before="2" w:line="253" w:lineRule="exact"/>
              <w:ind w:left="106"/>
              <w:jc w:val="left"/>
              <w:rPr>
                <w:b/>
                <w:sz w:val="21"/>
              </w:rPr>
            </w:pPr>
            <w:r>
              <w:rPr>
                <w:b/>
                <w:sz w:val="21"/>
              </w:rPr>
              <w:t>评价等级</w:t>
            </w:r>
          </w:p>
        </w:tc>
        <w:tc>
          <w:tcPr>
            <w:tcW w:w="1441" w:type="dxa"/>
          </w:tcPr>
          <w:p>
            <w:pPr>
              <w:pStyle w:val="18"/>
              <w:spacing w:before="1"/>
              <w:ind w:left="172" w:right="163"/>
              <w:rPr>
                <w:b/>
                <w:sz w:val="21"/>
              </w:rPr>
            </w:pPr>
            <w:r>
              <w:rPr>
                <w:b/>
                <w:sz w:val="21"/>
              </w:rPr>
              <w:t>声环境功能</w:t>
            </w:r>
          </w:p>
          <w:p>
            <w:pPr>
              <w:pStyle w:val="18"/>
              <w:spacing w:before="2" w:line="253" w:lineRule="exact"/>
              <w:ind w:left="172" w:right="161"/>
              <w:rPr>
                <w:b/>
                <w:sz w:val="21"/>
              </w:rPr>
            </w:pPr>
            <w:r>
              <w:rPr>
                <w:b/>
                <w:sz w:val="21"/>
              </w:rPr>
              <w:t>区类别</w:t>
            </w:r>
          </w:p>
        </w:tc>
        <w:tc>
          <w:tcPr>
            <w:tcW w:w="2334" w:type="dxa"/>
          </w:tcPr>
          <w:p>
            <w:pPr>
              <w:pStyle w:val="18"/>
              <w:spacing w:before="137"/>
              <w:ind w:left="92" w:right="76"/>
              <w:rPr>
                <w:b/>
                <w:sz w:val="21"/>
              </w:rPr>
            </w:pPr>
            <w:r>
              <w:rPr>
                <w:b/>
                <w:sz w:val="21"/>
              </w:rPr>
              <w:t>敏感目标声级增加量</w:t>
            </w:r>
          </w:p>
        </w:tc>
        <w:tc>
          <w:tcPr>
            <w:tcW w:w="1716" w:type="dxa"/>
          </w:tcPr>
          <w:p>
            <w:pPr>
              <w:pStyle w:val="18"/>
              <w:spacing w:before="137"/>
              <w:ind w:left="207" w:right="194"/>
              <w:rPr>
                <w:b/>
                <w:sz w:val="21"/>
              </w:rPr>
            </w:pPr>
            <w:r>
              <w:rPr>
                <w:b/>
                <w:sz w:val="21"/>
              </w:rPr>
              <w:t>影响人口变化</w:t>
            </w:r>
          </w:p>
        </w:tc>
        <w:tc>
          <w:tcPr>
            <w:tcW w:w="1311" w:type="dxa"/>
          </w:tcPr>
          <w:p>
            <w:pPr>
              <w:pStyle w:val="18"/>
              <w:spacing w:before="137"/>
              <w:ind w:left="292" w:right="285"/>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8"/>
              <w:spacing w:before="29"/>
              <w:ind w:left="646"/>
              <w:jc w:val="left"/>
              <w:rPr>
                <w:sz w:val="21"/>
              </w:rPr>
            </w:pPr>
            <w:r>
              <w:rPr>
                <w:sz w:val="21"/>
              </w:rPr>
              <w:t>一级</w:t>
            </w:r>
          </w:p>
        </w:tc>
        <w:tc>
          <w:tcPr>
            <w:tcW w:w="1441" w:type="dxa"/>
          </w:tcPr>
          <w:p>
            <w:pPr>
              <w:pStyle w:val="18"/>
              <w:spacing w:before="29"/>
              <w:ind w:left="172" w:right="163"/>
              <w:rPr>
                <w:sz w:val="21"/>
              </w:rPr>
            </w:pPr>
            <w:r>
              <w:rPr>
                <w:rFonts w:ascii="Times New Roman" w:eastAsia="Times New Roman"/>
                <w:sz w:val="21"/>
              </w:rPr>
              <w:t>0</w:t>
            </w:r>
            <w:r>
              <w:rPr>
                <w:sz w:val="21"/>
              </w:rPr>
              <w:t>类</w:t>
            </w:r>
          </w:p>
        </w:tc>
        <w:tc>
          <w:tcPr>
            <w:tcW w:w="2334" w:type="dxa"/>
          </w:tcPr>
          <w:p>
            <w:pPr>
              <w:pStyle w:val="18"/>
              <w:spacing w:before="29"/>
              <w:ind w:left="89" w:right="80"/>
              <w:rPr>
                <w:sz w:val="21"/>
              </w:rPr>
            </w:pPr>
            <w:r>
              <w:rPr>
                <w:rFonts w:ascii="Times New Roman" w:eastAsia="Times New Roman"/>
                <w:sz w:val="21"/>
              </w:rPr>
              <w:t>&gt;5dB</w:t>
            </w:r>
            <w:r>
              <w:rPr>
                <w:sz w:val="21"/>
              </w:rPr>
              <w:t>（</w:t>
            </w:r>
            <w:r>
              <w:rPr>
                <w:rFonts w:ascii="Times New Roman" w:eastAsia="Times New Roman"/>
                <w:sz w:val="21"/>
              </w:rPr>
              <w:t>A</w:t>
            </w:r>
            <w:r>
              <w:rPr>
                <w:sz w:val="21"/>
              </w:rPr>
              <w:t>）</w:t>
            </w:r>
          </w:p>
        </w:tc>
        <w:tc>
          <w:tcPr>
            <w:tcW w:w="1716" w:type="dxa"/>
          </w:tcPr>
          <w:p>
            <w:pPr>
              <w:pStyle w:val="18"/>
              <w:spacing w:before="29"/>
              <w:ind w:left="202" w:right="194"/>
              <w:rPr>
                <w:sz w:val="21"/>
              </w:rPr>
            </w:pPr>
            <w:r>
              <w:rPr>
                <w:sz w:val="21"/>
              </w:rPr>
              <w:t>显著</w:t>
            </w:r>
          </w:p>
        </w:tc>
        <w:tc>
          <w:tcPr>
            <w:tcW w:w="1311" w:type="dxa"/>
            <w:vMerge w:val="restart"/>
          </w:tcPr>
          <w:p>
            <w:pPr>
              <w:pStyle w:val="18"/>
              <w:spacing w:before="148" w:line="213" w:lineRule="auto"/>
              <w:ind w:left="129" w:right="120"/>
              <w:jc w:val="both"/>
              <w:rPr>
                <w:sz w:val="21"/>
              </w:rPr>
            </w:pPr>
            <w:r>
              <w:rPr>
                <w:sz w:val="21"/>
              </w:rPr>
              <w:t>三个因素独立，只要满足任意项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8"/>
              <w:spacing w:before="30"/>
              <w:ind w:left="646"/>
              <w:jc w:val="left"/>
              <w:rPr>
                <w:sz w:val="21"/>
              </w:rPr>
            </w:pPr>
            <w:r>
              <w:rPr>
                <w:sz w:val="21"/>
              </w:rPr>
              <w:t>二级</w:t>
            </w:r>
          </w:p>
        </w:tc>
        <w:tc>
          <w:tcPr>
            <w:tcW w:w="1441" w:type="dxa"/>
          </w:tcPr>
          <w:p>
            <w:pPr>
              <w:pStyle w:val="18"/>
              <w:spacing w:before="30"/>
              <w:ind w:left="170" w:right="163"/>
              <w:rPr>
                <w:sz w:val="21"/>
              </w:rPr>
            </w:pPr>
            <w:r>
              <w:rPr>
                <w:rFonts w:ascii="Times New Roman" w:eastAsia="Times New Roman"/>
                <w:sz w:val="21"/>
              </w:rPr>
              <w:t>0</w:t>
            </w:r>
            <w:r>
              <w:rPr>
                <w:sz w:val="21"/>
              </w:rPr>
              <w:t>类、</w:t>
            </w:r>
            <w:r>
              <w:rPr>
                <w:rFonts w:ascii="Times New Roman" w:eastAsia="Times New Roman"/>
                <w:sz w:val="21"/>
              </w:rPr>
              <w:t>2</w:t>
            </w:r>
            <w:r>
              <w:rPr>
                <w:sz w:val="21"/>
              </w:rPr>
              <w:t>类</w:t>
            </w:r>
          </w:p>
        </w:tc>
        <w:tc>
          <w:tcPr>
            <w:tcW w:w="2334" w:type="dxa"/>
          </w:tcPr>
          <w:p>
            <w:pPr>
              <w:pStyle w:val="18"/>
              <w:spacing w:before="20"/>
              <w:ind w:left="92" w:right="80"/>
              <w:rPr>
                <w:rFonts w:ascii="Times New Roman" w:eastAsia="Times New Roman"/>
                <w:sz w:val="21"/>
              </w:rPr>
            </w:pPr>
            <w:r>
              <w:rPr>
                <w:rFonts w:ascii="Times New Roman" w:eastAsia="Times New Roman"/>
                <w:sz w:val="21"/>
              </w:rPr>
              <w:t>3</w:t>
            </w:r>
            <w:r>
              <w:rPr>
                <w:sz w:val="21"/>
              </w:rPr>
              <w:t>～</w:t>
            </w:r>
            <w:r>
              <w:rPr>
                <w:rFonts w:ascii="Times New Roman" w:eastAsia="Times New Roman"/>
                <w:sz w:val="21"/>
              </w:rPr>
              <w:t>5dB</w:t>
            </w:r>
            <w:r>
              <w:rPr>
                <w:sz w:val="21"/>
              </w:rPr>
              <w:t>（</w:t>
            </w:r>
            <w:r>
              <w:rPr>
                <w:rFonts w:ascii="Times New Roman" w:eastAsia="Times New Roman"/>
                <w:sz w:val="21"/>
              </w:rPr>
              <w:t>A</w:t>
            </w:r>
            <w:r>
              <w:rPr>
                <w:sz w:val="21"/>
              </w:rPr>
              <w:t>）（含</w:t>
            </w:r>
            <w:r>
              <w:rPr>
                <w:rFonts w:ascii="Times New Roman" w:eastAsia="Times New Roman"/>
                <w:sz w:val="21"/>
              </w:rPr>
              <w:t>5dB</w:t>
            </w:r>
          </w:p>
        </w:tc>
        <w:tc>
          <w:tcPr>
            <w:tcW w:w="1716" w:type="dxa"/>
          </w:tcPr>
          <w:p>
            <w:pPr>
              <w:pStyle w:val="18"/>
              <w:spacing w:before="30"/>
              <w:ind w:left="202" w:right="194"/>
              <w:rPr>
                <w:sz w:val="21"/>
              </w:rPr>
            </w:pPr>
            <w:r>
              <w:rPr>
                <w:sz w:val="21"/>
              </w:rPr>
              <w:t>较多</w:t>
            </w:r>
          </w:p>
        </w:tc>
        <w:tc>
          <w:tcPr>
            <w:tcW w:w="13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8"/>
              <w:spacing w:before="28"/>
              <w:ind w:left="646"/>
              <w:jc w:val="left"/>
              <w:rPr>
                <w:sz w:val="21"/>
              </w:rPr>
            </w:pPr>
            <w:r>
              <w:rPr>
                <w:sz w:val="21"/>
              </w:rPr>
              <w:t>三级</w:t>
            </w:r>
          </w:p>
        </w:tc>
        <w:tc>
          <w:tcPr>
            <w:tcW w:w="1441" w:type="dxa"/>
          </w:tcPr>
          <w:p>
            <w:pPr>
              <w:pStyle w:val="18"/>
              <w:spacing w:before="28"/>
              <w:ind w:left="170" w:right="163"/>
              <w:rPr>
                <w:sz w:val="21"/>
              </w:rPr>
            </w:pPr>
            <w:r>
              <w:rPr>
                <w:rFonts w:ascii="Times New Roman" w:eastAsia="Times New Roman"/>
                <w:sz w:val="21"/>
              </w:rPr>
              <w:t>3</w:t>
            </w:r>
            <w:r>
              <w:rPr>
                <w:sz w:val="21"/>
              </w:rPr>
              <w:t>类、</w:t>
            </w:r>
            <w:r>
              <w:rPr>
                <w:rFonts w:ascii="Times New Roman" w:eastAsia="Times New Roman"/>
                <w:sz w:val="21"/>
              </w:rPr>
              <w:t>4</w:t>
            </w:r>
            <w:r>
              <w:rPr>
                <w:sz w:val="21"/>
              </w:rPr>
              <w:t>类</w:t>
            </w:r>
          </w:p>
        </w:tc>
        <w:tc>
          <w:tcPr>
            <w:tcW w:w="2334" w:type="dxa"/>
          </w:tcPr>
          <w:p>
            <w:pPr>
              <w:pStyle w:val="18"/>
              <w:spacing w:before="28"/>
              <w:ind w:left="89" w:right="80"/>
              <w:rPr>
                <w:sz w:val="21"/>
              </w:rPr>
            </w:pPr>
            <w:r>
              <w:rPr>
                <w:rFonts w:ascii="Times New Roman" w:eastAsia="Times New Roman"/>
                <w:sz w:val="21"/>
              </w:rPr>
              <w:t>&lt;3dB</w:t>
            </w:r>
            <w:r>
              <w:rPr>
                <w:sz w:val="21"/>
              </w:rPr>
              <w:t>（</w:t>
            </w:r>
            <w:r>
              <w:rPr>
                <w:rFonts w:ascii="Times New Roman" w:eastAsia="Times New Roman"/>
                <w:sz w:val="21"/>
              </w:rPr>
              <w:t>A</w:t>
            </w:r>
            <w:r>
              <w:rPr>
                <w:sz w:val="21"/>
              </w:rPr>
              <w:t>）</w:t>
            </w:r>
          </w:p>
        </w:tc>
        <w:tc>
          <w:tcPr>
            <w:tcW w:w="1716" w:type="dxa"/>
          </w:tcPr>
          <w:p>
            <w:pPr>
              <w:pStyle w:val="18"/>
              <w:spacing w:before="28"/>
              <w:ind w:left="202" w:right="194"/>
              <w:rPr>
                <w:sz w:val="21"/>
              </w:rPr>
            </w:pPr>
            <w:r>
              <w:rPr>
                <w:sz w:val="21"/>
              </w:rPr>
              <w:t>不大</w:t>
            </w:r>
          </w:p>
        </w:tc>
        <w:tc>
          <w:tcPr>
            <w:tcW w:w="1311" w:type="dxa"/>
            <w:vMerge w:val="continue"/>
            <w:tcBorders>
              <w:top w:val="nil"/>
            </w:tcBorders>
          </w:tcPr>
          <w:p>
            <w:pPr>
              <w:rPr>
                <w:sz w:val="2"/>
                <w:szCs w:val="2"/>
              </w:rPr>
            </w:pPr>
          </w:p>
        </w:tc>
      </w:tr>
    </w:tbl>
    <w:p>
      <w:pPr>
        <w:tabs>
          <w:tab w:val="left" w:pos="1519"/>
        </w:tabs>
        <w:spacing w:before="157" w:after="4"/>
        <w:ind w:left="0" w:right="28" w:firstLine="0"/>
        <w:jc w:val="center"/>
        <w:rPr>
          <w:b/>
          <w:sz w:val="24"/>
        </w:rPr>
      </w:pPr>
      <w:r>
        <w:rPr>
          <w:b/>
          <w:sz w:val="24"/>
        </w:rPr>
        <w:t>表</w:t>
      </w:r>
      <w:r>
        <w:rPr>
          <w:rFonts w:ascii="Times New Roman" w:eastAsia="Times New Roman"/>
          <w:b/>
          <w:sz w:val="24"/>
        </w:rPr>
        <w:t>2.6-8</w:t>
      </w:r>
      <w:r>
        <w:rPr>
          <w:rFonts w:ascii="Times New Roman" w:eastAsia="Times New Roman"/>
          <w:b/>
          <w:sz w:val="24"/>
        </w:rPr>
        <w:tab/>
      </w:r>
      <w:r>
        <w:rPr>
          <w:b/>
          <w:sz w:val="24"/>
        </w:rPr>
        <w:t>项目声环境影响评价等级表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0"/>
        <w:gridCol w:w="2793"/>
        <w:gridCol w:w="3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13" w:type="dxa"/>
            <w:gridSpan w:val="2"/>
          </w:tcPr>
          <w:p>
            <w:pPr>
              <w:pStyle w:val="18"/>
              <w:spacing w:before="33"/>
              <w:ind w:left="2164" w:right="2155"/>
              <w:rPr>
                <w:b/>
                <w:sz w:val="21"/>
              </w:rPr>
            </w:pPr>
            <w:r>
              <w:rPr>
                <w:b/>
                <w:sz w:val="21"/>
              </w:rPr>
              <w:t>环境要素</w:t>
            </w:r>
          </w:p>
        </w:tc>
        <w:tc>
          <w:tcPr>
            <w:tcW w:w="3306" w:type="dxa"/>
          </w:tcPr>
          <w:p>
            <w:pPr>
              <w:pStyle w:val="18"/>
              <w:spacing w:before="33"/>
              <w:ind w:left="1111" w:right="1101"/>
              <w:rPr>
                <w:b/>
                <w:sz w:val="21"/>
              </w:rPr>
            </w:pPr>
            <w:r>
              <w:rPr>
                <w:b/>
                <w:sz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0" w:type="dxa"/>
            <w:vMerge w:val="restart"/>
          </w:tcPr>
          <w:p>
            <w:pPr>
              <w:pStyle w:val="18"/>
              <w:spacing w:before="12"/>
              <w:jc w:val="left"/>
              <w:rPr>
                <w:b/>
                <w:sz w:val="29"/>
              </w:rPr>
            </w:pPr>
          </w:p>
          <w:p>
            <w:pPr>
              <w:pStyle w:val="18"/>
              <w:ind w:left="873" w:right="867"/>
              <w:rPr>
                <w:sz w:val="21"/>
              </w:rPr>
            </w:pPr>
            <w:r>
              <w:rPr>
                <w:sz w:val="21"/>
              </w:rPr>
              <w:t>声环境</w:t>
            </w:r>
          </w:p>
        </w:tc>
        <w:tc>
          <w:tcPr>
            <w:tcW w:w="2793" w:type="dxa"/>
          </w:tcPr>
          <w:p>
            <w:pPr>
              <w:pStyle w:val="18"/>
              <w:spacing w:before="34"/>
              <w:ind w:left="219" w:right="213"/>
              <w:rPr>
                <w:sz w:val="21"/>
              </w:rPr>
            </w:pPr>
            <w:r>
              <w:rPr>
                <w:sz w:val="21"/>
              </w:rPr>
              <w:t>功能区</w:t>
            </w:r>
          </w:p>
        </w:tc>
        <w:tc>
          <w:tcPr>
            <w:tcW w:w="3306" w:type="dxa"/>
          </w:tcPr>
          <w:p>
            <w:pPr>
              <w:pStyle w:val="18"/>
              <w:spacing w:before="34"/>
              <w:ind w:left="1109" w:right="1103"/>
              <w:rPr>
                <w:sz w:val="21"/>
              </w:rPr>
            </w:pPr>
            <w:r>
              <w:rPr>
                <w:rFonts w:ascii="Times New Roman" w:eastAsia="Times New Roman"/>
                <w:sz w:val="21"/>
              </w:rPr>
              <w:t>2</w:t>
            </w:r>
            <w:r>
              <w:rPr>
                <w:sz w:val="21"/>
              </w:rPr>
              <w:t>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0" w:type="dxa"/>
            <w:vMerge w:val="continue"/>
            <w:tcBorders>
              <w:top w:val="nil"/>
            </w:tcBorders>
          </w:tcPr>
          <w:p>
            <w:pPr>
              <w:rPr>
                <w:sz w:val="2"/>
                <w:szCs w:val="2"/>
              </w:rPr>
            </w:pPr>
          </w:p>
        </w:tc>
        <w:tc>
          <w:tcPr>
            <w:tcW w:w="2793" w:type="dxa"/>
          </w:tcPr>
          <w:p>
            <w:pPr>
              <w:pStyle w:val="18"/>
              <w:spacing w:before="34"/>
              <w:ind w:left="217" w:right="213"/>
              <w:rPr>
                <w:sz w:val="21"/>
              </w:rPr>
            </w:pPr>
            <w:r>
              <w:rPr>
                <w:sz w:val="21"/>
              </w:rPr>
              <w:t>影响人口</w:t>
            </w:r>
          </w:p>
        </w:tc>
        <w:tc>
          <w:tcPr>
            <w:tcW w:w="3306" w:type="dxa"/>
          </w:tcPr>
          <w:p>
            <w:pPr>
              <w:pStyle w:val="18"/>
              <w:spacing w:before="34"/>
              <w:ind w:left="1111" w:right="1103"/>
              <w:rPr>
                <w:sz w:val="21"/>
              </w:rPr>
            </w:pPr>
            <w:r>
              <w:rPr>
                <w:sz w:val="21"/>
              </w:rPr>
              <w:t>较少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420" w:type="dxa"/>
            <w:vMerge w:val="continue"/>
            <w:tcBorders>
              <w:top w:val="nil"/>
              <w:bottom w:val="nil"/>
            </w:tcBorders>
          </w:tcPr>
          <w:p>
            <w:pPr>
              <w:rPr>
                <w:sz w:val="2"/>
                <w:szCs w:val="2"/>
              </w:rPr>
            </w:pPr>
          </w:p>
        </w:tc>
        <w:tc>
          <w:tcPr>
            <w:tcW w:w="2793" w:type="dxa"/>
          </w:tcPr>
          <w:p>
            <w:pPr>
              <w:pStyle w:val="18"/>
              <w:spacing w:before="34"/>
              <w:ind w:left="219" w:right="213"/>
              <w:rPr>
                <w:sz w:val="21"/>
              </w:rPr>
            </w:pPr>
            <w:r>
              <w:rPr>
                <w:sz w:val="21"/>
              </w:rPr>
              <w:t>预计敏感目标噪声增加值</w:t>
            </w:r>
          </w:p>
        </w:tc>
        <w:tc>
          <w:tcPr>
            <w:tcW w:w="3306" w:type="dxa"/>
          </w:tcPr>
          <w:p>
            <w:pPr>
              <w:pStyle w:val="18"/>
              <w:spacing w:before="34"/>
              <w:ind w:left="1111" w:right="1103"/>
              <w:rPr>
                <w:sz w:val="21"/>
              </w:rPr>
            </w:pPr>
            <w:r>
              <w:rPr>
                <w:rFonts w:ascii="Times New Roman" w:eastAsia="Times New Roman"/>
                <w:sz w:val="21"/>
              </w:rPr>
              <w:t>&lt;3dB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420" w:type="dxa"/>
            <w:tcBorders>
              <w:top w:val="nil"/>
            </w:tcBorders>
          </w:tcPr>
          <w:p>
            <w:pPr>
              <w:rPr>
                <w:sz w:val="2"/>
                <w:szCs w:val="2"/>
              </w:rPr>
            </w:pPr>
          </w:p>
        </w:tc>
        <w:tc>
          <w:tcPr>
            <w:tcW w:w="2793" w:type="dxa"/>
          </w:tcPr>
          <w:p>
            <w:pPr>
              <w:pStyle w:val="18"/>
              <w:spacing w:before="34"/>
              <w:ind w:left="219" w:right="213"/>
              <w:rPr>
                <w:sz w:val="21"/>
              </w:rPr>
            </w:pPr>
            <w:r>
              <w:rPr>
                <w:sz w:val="21"/>
              </w:rPr>
              <w:t>评价等级</w:t>
            </w:r>
          </w:p>
        </w:tc>
        <w:tc>
          <w:tcPr>
            <w:tcW w:w="3306" w:type="dxa"/>
          </w:tcPr>
          <w:p>
            <w:pPr>
              <w:pStyle w:val="18"/>
              <w:spacing w:before="34"/>
              <w:ind w:left="1111" w:right="1103"/>
              <w:rPr>
                <w:rFonts w:ascii="Times New Roman" w:eastAsia="Times New Roman"/>
                <w:sz w:val="21"/>
              </w:rPr>
            </w:pPr>
            <w:r>
              <w:rPr>
                <w:sz w:val="21"/>
              </w:rPr>
              <w:t>二级</w:t>
            </w:r>
          </w:p>
        </w:tc>
      </w:tr>
    </w:tbl>
    <w:p>
      <w:pPr>
        <w:pStyle w:val="7"/>
        <w:spacing w:before="11"/>
        <w:ind w:left="0"/>
        <w:rPr>
          <w:b/>
          <w:sz w:val="4"/>
        </w:rPr>
      </w:pPr>
    </w:p>
    <w:p>
      <w:pPr>
        <w:pStyle w:val="7"/>
        <w:spacing w:before="4"/>
        <w:ind w:left="0"/>
        <w:rPr>
          <w:b/>
          <w:sz w:val="13"/>
        </w:rPr>
      </w:pPr>
    </w:p>
    <w:p>
      <w:pPr>
        <w:pStyle w:val="7"/>
        <w:spacing w:before="66"/>
        <w:ind w:left="1020"/>
      </w:pPr>
      <w:r>
        <w:t>本项目声环境影响评价等级定为二级。</w:t>
      </w:r>
    </w:p>
    <w:p>
      <w:pPr>
        <w:pStyle w:val="17"/>
        <w:numPr>
          <w:ilvl w:val="3"/>
          <w:numId w:val="13"/>
        </w:numPr>
        <w:tabs>
          <w:tab w:val="left" w:pos="1621"/>
        </w:tabs>
        <w:spacing w:before="161" w:after="0" w:line="240" w:lineRule="auto"/>
        <w:ind w:left="1621" w:right="0" w:hanging="601"/>
        <w:jc w:val="left"/>
        <w:rPr>
          <w:sz w:val="24"/>
        </w:rPr>
      </w:pPr>
      <w:r>
        <w:rPr>
          <w:sz w:val="24"/>
        </w:rPr>
        <w:t>土壤环境评价工作等级</w:t>
      </w:r>
    </w:p>
    <w:p>
      <w:pPr>
        <w:pStyle w:val="7"/>
        <w:spacing w:before="160" w:line="364" w:lineRule="auto"/>
        <w:ind w:right="570" w:firstLine="480"/>
        <w:jc w:val="both"/>
        <w:rPr>
          <w:color w:val="0000FF"/>
        </w:rPr>
      </w:pPr>
      <w:r>
        <w:rPr>
          <w:color w:val="0000FF"/>
        </w:rPr>
        <w:t>根据《环境影响评价技术导则土壤环境（试行）》（</w:t>
      </w:r>
      <w:r>
        <w:rPr>
          <w:rFonts w:ascii="Times New Roman" w:hAnsi="Times New Roman" w:eastAsia="Times New Roman"/>
          <w:color w:val="0000FF"/>
        </w:rPr>
        <w:t>HJ964-2018</w:t>
      </w:r>
      <w:r>
        <w:rPr>
          <w:color w:val="0000FF"/>
        </w:rPr>
        <w:t>），污染</w:t>
      </w:r>
      <w:r>
        <w:rPr>
          <w:color w:val="0000FF"/>
          <w:spacing w:val="-1"/>
        </w:rPr>
        <w:t>影响型建设项目占地规模分为大型</w:t>
      </w:r>
      <w:r>
        <w:rPr>
          <w:color w:val="0000FF"/>
        </w:rPr>
        <w:t>（≥</w:t>
      </w:r>
      <w:r>
        <w:rPr>
          <w:rFonts w:ascii="Times New Roman" w:hAnsi="Times New Roman" w:eastAsia="Times New Roman"/>
          <w:color w:val="0000FF"/>
        </w:rPr>
        <w:t>50hm</w:t>
      </w:r>
      <w:r>
        <w:rPr>
          <w:rFonts w:ascii="Times New Roman" w:hAnsi="Times New Roman" w:eastAsia="Times New Roman"/>
          <w:color w:val="0000FF"/>
          <w:position w:val="8"/>
          <w:sz w:val="15"/>
        </w:rPr>
        <w:t>2</w:t>
      </w:r>
      <w:r>
        <w:rPr>
          <w:color w:val="0000FF"/>
        </w:rPr>
        <w:t>）</w:t>
      </w:r>
      <w:r>
        <w:rPr>
          <w:color w:val="0000FF"/>
          <w:spacing w:val="-3"/>
        </w:rPr>
        <w:t>、中型</w:t>
      </w:r>
      <w:r>
        <w:rPr>
          <w:color w:val="0000FF"/>
        </w:rPr>
        <w:t>（</w:t>
      </w:r>
      <w:r>
        <w:rPr>
          <w:rFonts w:ascii="Times New Roman" w:hAnsi="Times New Roman" w:eastAsia="Times New Roman"/>
          <w:color w:val="0000FF"/>
        </w:rPr>
        <w:t>5</w:t>
      </w:r>
      <w:r>
        <w:rPr>
          <w:color w:val="0000FF"/>
        </w:rPr>
        <w:t>～</w:t>
      </w:r>
      <w:r>
        <w:rPr>
          <w:rFonts w:ascii="Times New Roman" w:hAnsi="Times New Roman" w:eastAsia="Times New Roman"/>
          <w:color w:val="0000FF"/>
        </w:rPr>
        <w:t>50hm</w:t>
      </w:r>
      <w:r>
        <w:rPr>
          <w:rFonts w:ascii="Times New Roman" w:hAnsi="Times New Roman" w:eastAsia="Times New Roman"/>
          <w:color w:val="0000FF"/>
          <w:position w:val="8"/>
          <w:sz w:val="15"/>
        </w:rPr>
        <w:t>2</w:t>
      </w:r>
      <w:r>
        <w:rPr>
          <w:color w:val="0000FF"/>
        </w:rPr>
        <w:t>）</w:t>
      </w:r>
      <w:r>
        <w:rPr>
          <w:color w:val="0000FF"/>
          <w:spacing w:val="-3"/>
        </w:rPr>
        <w:t>、小型</w:t>
      </w:r>
      <w:r>
        <w:rPr>
          <w:color w:val="0000FF"/>
          <w:spacing w:val="-6"/>
        </w:rPr>
        <w:t>（≤</w:t>
      </w:r>
      <w:r>
        <w:rPr>
          <w:rFonts w:ascii="Times New Roman" w:hAnsi="Times New Roman" w:eastAsia="Times New Roman"/>
          <w:color w:val="0000FF"/>
          <w:spacing w:val="-3"/>
        </w:rPr>
        <w:t>5hm</w:t>
      </w:r>
      <w:r>
        <w:rPr>
          <w:rFonts w:ascii="Times New Roman" w:hAnsi="Times New Roman" w:eastAsia="Times New Roman"/>
          <w:color w:val="0000FF"/>
          <w:spacing w:val="-3"/>
          <w:position w:val="8"/>
          <w:sz w:val="15"/>
        </w:rPr>
        <w:t>2</w:t>
      </w:r>
      <w:r>
        <w:rPr>
          <w:color w:val="0000FF"/>
          <w:spacing w:val="-3"/>
        </w:rPr>
        <w:t>）</w:t>
      </w:r>
      <w:r>
        <w:rPr>
          <w:color w:val="0000FF"/>
          <w:spacing w:val="-6"/>
        </w:rPr>
        <w:t>，建设项目占地主要为永久占地。</w:t>
      </w:r>
      <w:r>
        <w:rPr>
          <w:rFonts w:hint="eastAsia" w:ascii="Times New Roman" w:hAnsi="Times New Roman" w:eastAsia="宋体" w:cs="Times New Roman"/>
          <w:color w:val="0000FF"/>
          <w:sz w:val="24"/>
          <w:lang w:val="en-US" w:eastAsia="zh-CN"/>
        </w:rPr>
        <w:t>本项目永久占地面积</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rPr>
        <w:t>，属于</w:t>
      </w:r>
      <w:r>
        <w:rPr>
          <w:rFonts w:hint="eastAsia"/>
          <w:color w:val="0000FF"/>
          <w:lang w:val="en-US" w:eastAsia="zh-CN"/>
        </w:rPr>
        <w:t>小</w:t>
      </w:r>
      <w:r>
        <w:rPr>
          <w:color w:val="0000FF"/>
        </w:rPr>
        <w:t>型建设项目。</w:t>
      </w:r>
    </w:p>
    <w:p>
      <w:pPr>
        <w:pStyle w:val="7"/>
        <w:spacing w:before="3" w:line="364" w:lineRule="auto"/>
        <w:ind w:right="577" w:firstLine="480"/>
        <w:jc w:val="both"/>
        <w:rPr>
          <w:color w:val="0000FF"/>
        </w:rPr>
      </w:pPr>
      <w:r>
        <w:rPr>
          <w:color w:val="0000FF"/>
          <w:spacing w:val="-6"/>
        </w:rPr>
        <w:t>建设项目所在地周边的土壤环境敏感程度分为敏感、较敏感、不敏感，其敏</w:t>
      </w:r>
      <w:r>
        <w:rPr>
          <w:color w:val="0000FF"/>
          <w:spacing w:val="-7"/>
        </w:rPr>
        <w:t>感程度分级情况见表</w:t>
      </w:r>
      <w:r>
        <w:rPr>
          <w:rFonts w:ascii="Times New Roman" w:eastAsia="Times New Roman"/>
          <w:color w:val="0000FF"/>
        </w:rPr>
        <w:t>2.6-9</w:t>
      </w:r>
      <w:r>
        <w:rPr>
          <w:color w:val="0000FF"/>
        </w:rPr>
        <w:t>。</w:t>
      </w:r>
    </w:p>
    <w:p>
      <w:pPr>
        <w:tabs>
          <w:tab w:val="left" w:pos="4012"/>
        </w:tabs>
        <w:spacing w:before="80"/>
        <w:ind w:left="2493"/>
        <w:jc w:val="both"/>
        <w:rPr>
          <w:color w:val="0000FF"/>
        </w:rPr>
      </w:pPr>
      <w:r>
        <w:rPr>
          <w:color w:val="0000FF"/>
        </w:rPr>
        <w:t>表</w:t>
      </w:r>
      <w:r>
        <w:rPr>
          <w:rFonts w:ascii="Times New Roman" w:eastAsia="Times New Roman"/>
          <w:color w:val="0000FF"/>
        </w:rPr>
        <w:t>2.6-9</w:t>
      </w:r>
      <w:r>
        <w:rPr>
          <w:rFonts w:ascii="Times New Roman" w:eastAsia="Times New Roman"/>
          <w:color w:val="0000FF"/>
        </w:rPr>
        <w:tab/>
      </w:r>
      <w:r>
        <w:rPr>
          <w:color w:val="0000FF"/>
        </w:rPr>
        <w:t>污染影响型敏感程度分级表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9"/>
        <w:gridCol w:w="6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9" w:type="dxa"/>
          </w:tcPr>
          <w:p>
            <w:pPr>
              <w:pStyle w:val="18"/>
              <w:spacing w:before="35"/>
              <w:ind w:left="372" w:right="362"/>
              <w:rPr>
                <w:b/>
                <w:color w:val="0000FF"/>
                <w:sz w:val="21"/>
              </w:rPr>
            </w:pPr>
            <w:r>
              <w:rPr>
                <w:b/>
                <w:color w:val="0000FF"/>
                <w:sz w:val="21"/>
              </w:rPr>
              <w:t>敏感程度</w:t>
            </w:r>
          </w:p>
        </w:tc>
        <w:tc>
          <w:tcPr>
            <w:tcW w:w="6893" w:type="dxa"/>
          </w:tcPr>
          <w:p>
            <w:pPr>
              <w:pStyle w:val="18"/>
              <w:spacing w:before="35"/>
              <w:ind w:left="3006" w:right="2993"/>
              <w:rPr>
                <w:b/>
                <w:color w:val="0000FF"/>
                <w:sz w:val="21"/>
              </w:rPr>
            </w:pPr>
            <w:r>
              <w:rPr>
                <w:b/>
                <w:color w:val="0000FF"/>
                <w:sz w:val="21"/>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29" w:type="dxa"/>
          </w:tcPr>
          <w:p>
            <w:pPr>
              <w:pStyle w:val="18"/>
              <w:spacing w:before="105"/>
              <w:ind w:left="369" w:right="362"/>
              <w:rPr>
                <w:color w:val="0000FF"/>
                <w:sz w:val="21"/>
              </w:rPr>
            </w:pPr>
            <w:r>
              <w:rPr>
                <w:color w:val="0000FF"/>
                <w:sz w:val="21"/>
              </w:rPr>
              <w:t>敏感</w:t>
            </w:r>
          </w:p>
        </w:tc>
        <w:tc>
          <w:tcPr>
            <w:tcW w:w="6893" w:type="dxa"/>
          </w:tcPr>
          <w:p>
            <w:pPr>
              <w:pStyle w:val="18"/>
              <w:spacing w:before="1" w:line="240" w:lineRule="exact"/>
              <w:ind w:left="108" w:right="54"/>
              <w:jc w:val="left"/>
              <w:rPr>
                <w:color w:val="0000FF"/>
                <w:sz w:val="21"/>
              </w:rPr>
            </w:pPr>
            <w:r>
              <w:rPr>
                <w:color w:val="0000FF"/>
                <w:w w:val="95"/>
                <w:sz w:val="21"/>
              </w:rPr>
              <w:t>建设项目周边存在耕地、园地、牧草地、饮用水水源地或居民区、学校、</w:t>
            </w:r>
            <w:r>
              <w:rPr>
                <w:color w:val="0000FF"/>
                <w:sz w:val="21"/>
              </w:rPr>
              <w:t>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629" w:type="dxa"/>
          </w:tcPr>
          <w:p>
            <w:pPr>
              <w:pStyle w:val="18"/>
              <w:spacing w:before="34"/>
              <w:ind w:left="369" w:right="362"/>
              <w:rPr>
                <w:color w:val="0000FF"/>
                <w:sz w:val="21"/>
              </w:rPr>
            </w:pPr>
            <w:r>
              <w:rPr>
                <w:color w:val="0000FF"/>
                <w:sz w:val="21"/>
              </w:rPr>
              <w:t>较敏感</w:t>
            </w:r>
          </w:p>
        </w:tc>
        <w:tc>
          <w:tcPr>
            <w:tcW w:w="6893" w:type="dxa"/>
          </w:tcPr>
          <w:p>
            <w:pPr>
              <w:pStyle w:val="18"/>
              <w:spacing w:before="34"/>
              <w:ind w:left="108"/>
              <w:jc w:val="left"/>
              <w:rPr>
                <w:color w:val="0000FF"/>
                <w:sz w:val="21"/>
              </w:rPr>
            </w:pPr>
            <w:r>
              <w:rPr>
                <w:color w:val="0000FF"/>
                <w:sz w:val="21"/>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9" w:type="dxa"/>
          </w:tcPr>
          <w:p>
            <w:pPr>
              <w:pStyle w:val="18"/>
              <w:spacing w:before="36"/>
              <w:ind w:left="369" w:right="362"/>
              <w:rPr>
                <w:color w:val="0000FF"/>
                <w:sz w:val="21"/>
              </w:rPr>
            </w:pPr>
            <w:r>
              <w:rPr>
                <w:color w:val="0000FF"/>
                <w:sz w:val="21"/>
              </w:rPr>
              <w:t>不敏感</w:t>
            </w:r>
          </w:p>
        </w:tc>
        <w:tc>
          <w:tcPr>
            <w:tcW w:w="6893" w:type="dxa"/>
          </w:tcPr>
          <w:p>
            <w:pPr>
              <w:pStyle w:val="18"/>
              <w:spacing w:before="36"/>
              <w:ind w:left="108"/>
              <w:jc w:val="left"/>
              <w:rPr>
                <w:color w:val="0000FF"/>
                <w:sz w:val="21"/>
              </w:rPr>
            </w:pPr>
            <w:r>
              <w:rPr>
                <w:color w:val="0000FF"/>
                <w:sz w:val="21"/>
              </w:rPr>
              <w:t>其他情况</w:t>
            </w:r>
          </w:p>
        </w:tc>
      </w:tr>
    </w:tbl>
    <w:p>
      <w:pPr>
        <w:pStyle w:val="7"/>
        <w:spacing w:before="6"/>
        <w:ind w:left="0"/>
        <w:rPr>
          <w:b/>
          <w:color w:val="0000FF"/>
          <w:sz w:val="18"/>
        </w:rPr>
      </w:pPr>
    </w:p>
    <w:p>
      <w:pPr>
        <w:pStyle w:val="7"/>
        <w:spacing w:line="364" w:lineRule="auto"/>
        <w:ind w:right="577" w:firstLine="480"/>
        <w:jc w:val="both"/>
        <w:rPr>
          <w:color w:val="0000FF"/>
        </w:rPr>
      </w:pPr>
      <w:r>
        <w:rPr>
          <w:color w:val="0000FF"/>
          <w:spacing w:val="-8"/>
        </w:rPr>
        <w:t>本项目周边为天然草场、农田，种植作物主要为饲草、玉米和苜蓿草，根据</w:t>
      </w:r>
      <w:r>
        <w:rPr>
          <w:color w:val="0000FF"/>
          <w:spacing w:val="-31"/>
        </w:rPr>
        <w:t>表</w:t>
      </w:r>
      <w:r>
        <w:rPr>
          <w:rFonts w:ascii="Times New Roman" w:eastAsia="Times New Roman"/>
          <w:color w:val="0000FF"/>
        </w:rPr>
        <w:t>2.6-9</w:t>
      </w:r>
      <w:r>
        <w:rPr>
          <w:color w:val="0000FF"/>
        </w:rPr>
        <w:t>，本项目土壤环境敏感程度为敏感。</w:t>
      </w:r>
    </w:p>
    <w:p>
      <w:pPr>
        <w:pStyle w:val="7"/>
        <w:spacing w:before="1"/>
        <w:ind w:left="1020"/>
        <w:rPr>
          <w:color w:val="0000FF"/>
        </w:rPr>
      </w:pPr>
      <w:r>
        <w:rPr>
          <w:color w:val="0000FF"/>
          <w:spacing w:val="-10"/>
        </w:rPr>
        <w:t>根据《环境影响评价技术导则土壤环境</w:t>
      </w:r>
      <w:r>
        <w:rPr>
          <w:color w:val="0000FF"/>
        </w:rPr>
        <w:t>（试行</w:t>
      </w:r>
      <w:r>
        <w:rPr>
          <w:color w:val="0000FF"/>
          <w:spacing w:val="-53"/>
        </w:rPr>
        <w:t>）</w:t>
      </w:r>
      <w:r>
        <w:rPr>
          <w:color w:val="0000FF"/>
          <w:spacing w:val="-104"/>
        </w:rPr>
        <w:t>》</w:t>
      </w:r>
      <w:r>
        <w:rPr>
          <w:color w:val="0000FF"/>
        </w:rPr>
        <w:t>（</w:t>
      </w:r>
      <w:r>
        <w:rPr>
          <w:rFonts w:ascii="Times New Roman" w:hAnsi="Times New Roman" w:eastAsia="Times New Roman"/>
          <w:color w:val="0000FF"/>
          <w:spacing w:val="-1"/>
        </w:rPr>
        <w:t>H</w:t>
      </w:r>
      <w:r>
        <w:rPr>
          <w:rFonts w:ascii="Times New Roman" w:hAnsi="Times New Roman" w:eastAsia="Times New Roman"/>
          <w:color w:val="0000FF"/>
          <w:spacing w:val="2"/>
        </w:rPr>
        <w:t>J</w:t>
      </w:r>
      <w:r>
        <w:rPr>
          <w:rFonts w:ascii="Times New Roman" w:hAnsi="Times New Roman" w:eastAsia="Times New Roman"/>
          <w:color w:val="0000FF"/>
        </w:rPr>
        <w:t>964</w:t>
      </w:r>
      <w:r>
        <w:rPr>
          <w:rFonts w:ascii="Times New Roman" w:hAnsi="Times New Roman" w:eastAsia="Times New Roman"/>
          <w:color w:val="0000FF"/>
          <w:spacing w:val="-1"/>
        </w:rPr>
        <w:t>-</w:t>
      </w:r>
      <w:r>
        <w:rPr>
          <w:rFonts w:ascii="Times New Roman" w:hAnsi="Times New Roman" w:eastAsia="Times New Roman"/>
          <w:color w:val="0000FF"/>
        </w:rPr>
        <w:t>201</w:t>
      </w:r>
      <w:r>
        <w:rPr>
          <w:rFonts w:ascii="Times New Roman" w:hAnsi="Times New Roman" w:eastAsia="Times New Roman"/>
          <w:color w:val="0000FF"/>
          <w:spacing w:val="-3"/>
        </w:rPr>
        <w:t>8</w:t>
      </w:r>
      <w:r>
        <w:rPr>
          <w:color w:val="0000FF"/>
          <w:spacing w:val="-53"/>
        </w:rPr>
        <w:t>）</w:t>
      </w:r>
      <w:r>
        <w:rPr>
          <w:color w:val="0000FF"/>
          <w:spacing w:val="-20"/>
        </w:rPr>
        <w:t>附录</w:t>
      </w:r>
      <w:r>
        <w:rPr>
          <w:rFonts w:ascii="Times New Roman" w:hAnsi="Times New Roman" w:eastAsia="Times New Roman"/>
          <w:color w:val="0000FF"/>
          <w:spacing w:val="-1"/>
        </w:rPr>
        <w:t>A</w:t>
      </w:r>
      <w:r>
        <w:rPr>
          <w:color w:val="0000FF"/>
          <w:spacing w:val="-120"/>
        </w:rPr>
        <w:t>·</w:t>
      </w:r>
      <w:r>
        <w:rPr>
          <w:color w:val="0000FF"/>
        </w:rPr>
        <w:t>表</w:t>
      </w:r>
    </w:p>
    <w:p>
      <w:pPr>
        <w:pStyle w:val="7"/>
        <w:spacing w:before="161"/>
        <w:rPr>
          <w:rFonts w:hint="default" w:ascii="Times New Roman" w:eastAsia="宋体"/>
          <w:color w:val="0000FF"/>
          <w:lang w:val="en-US" w:eastAsia="zh-CN"/>
        </w:rPr>
      </w:pPr>
      <w:r>
        <w:rPr>
          <w:rFonts w:ascii="Times New Roman" w:eastAsia="Times New Roman"/>
          <w:color w:val="0000FF"/>
        </w:rPr>
        <w:t>A.1</w:t>
      </w:r>
      <w:r>
        <w:rPr>
          <w:color w:val="0000FF"/>
        </w:rPr>
        <w:t>土壤环境影响评价项目类别，本项目为年出栏</w:t>
      </w:r>
      <w:r>
        <w:rPr>
          <w:rFonts w:hint="eastAsia"/>
          <w:color w:val="0000FF"/>
          <w:lang w:val="en-US" w:eastAsia="zh-CN"/>
        </w:rPr>
        <w:t>种公羊4万余</w:t>
      </w:r>
      <w:r>
        <w:rPr>
          <w:color w:val="0000FF"/>
        </w:rPr>
        <w:t>只（折合猪约</w:t>
      </w:r>
      <w:r>
        <w:rPr>
          <w:rFonts w:hint="eastAsia" w:ascii="Times New Roman" w:eastAsia="宋体"/>
          <w:color w:val="0000FF"/>
          <w:lang w:val="en-US" w:eastAsia="zh-CN"/>
        </w:rPr>
        <w:t>1.3</w:t>
      </w:r>
    </w:p>
    <w:p>
      <w:pPr>
        <w:pStyle w:val="7"/>
        <w:spacing w:before="160"/>
        <w:rPr>
          <w:color w:val="0000FF"/>
        </w:rPr>
      </w:pPr>
      <w:r>
        <w:rPr>
          <w:color w:val="0000FF"/>
        </w:rPr>
        <w:t>万头）的畜禽养殖场，属于Ⅲ类。</w:t>
      </w:r>
    </w:p>
    <w:p>
      <w:pPr>
        <w:pStyle w:val="7"/>
        <w:spacing w:before="161" w:line="364" w:lineRule="auto"/>
        <w:ind w:right="577" w:firstLine="480"/>
      </w:pPr>
      <w:r>
        <w:rPr>
          <w:spacing w:val="-7"/>
        </w:rPr>
        <w:t>污染影响型建设根据项目类别、占地规模与敏感程度划分评价工作等级，详</w:t>
      </w:r>
      <w:r>
        <w:rPr>
          <w:spacing w:val="-20"/>
        </w:rPr>
        <w:t>见表</w:t>
      </w:r>
      <w:r>
        <w:rPr>
          <w:rFonts w:ascii="Times New Roman" w:eastAsia="Times New Roman"/>
        </w:rPr>
        <w:t>2.6-10</w:t>
      </w:r>
      <w:r>
        <w:t>。</w:t>
      </w:r>
    </w:p>
    <w:p>
      <w:pPr>
        <w:tabs>
          <w:tab w:val="left" w:pos="3832"/>
        </w:tabs>
        <w:spacing w:before="80"/>
        <w:ind w:left="2193"/>
        <w:jc w:val="left"/>
      </w:pPr>
    </w:p>
    <w:p>
      <w:pPr>
        <w:tabs>
          <w:tab w:val="left" w:pos="3832"/>
        </w:tabs>
        <w:spacing w:before="80"/>
        <w:ind w:left="2193"/>
        <w:jc w:val="left"/>
      </w:pPr>
      <w:r>
        <w:t>表</w:t>
      </w:r>
      <w:r>
        <w:rPr>
          <w:rFonts w:ascii="Times New Roman" w:eastAsia="Times New Roman"/>
        </w:rPr>
        <w:t>2.6-10</w:t>
      </w:r>
      <w:r>
        <w:rPr>
          <w:rFonts w:ascii="Times New Roman" w:eastAsia="Times New Roman"/>
        </w:rPr>
        <w:tab/>
      </w:r>
      <w:r>
        <w:t>污染影响型评价工作等级划分表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295"/>
        <w:gridCol w:w="267"/>
        <w:gridCol w:w="735"/>
        <w:gridCol w:w="735"/>
        <w:gridCol w:w="735"/>
        <w:gridCol w:w="735"/>
        <w:gridCol w:w="735"/>
        <w:gridCol w:w="735"/>
        <w:gridCol w:w="735"/>
        <w:gridCol w:w="735"/>
        <w:gridCol w:w="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632" w:type="dxa"/>
            <w:gridSpan w:val="2"/>
            <w:tcBorders>
              <w:bottom w:val="single" w:color="000000" w:sz="6" w:space="0"/>
              <w:right w:val="nil"/>
            </w:tcBorders>
          </w:tcPr>
          <w:p>
            <w:pPr>
              <w:pStyle w:val="18"/>
              <w:spacing w:before="21"/>
              <w:ind w:left="107"/>
              <w:jc w:val="left"/>
              <w:rPr>
                <w:b/>
                <w:sz w:val="21"/>
              </w:rPr>
            </w:pPr>
            <w:r>
              <w:rPr>
                <w:b/>
                <w:sz w:val="21"/>
              </w:rPr>
              <w:t>占地规模</w:t>
            </w:r>
          </w:p>
        </w:tc>
        <w:tc>
          <w:tcPr>
            <w:tcW w:w="267" w:type="dxa"/>
            <w:vMerge w:val="restart"/>
            <w:tcBorders>
              <w:left w:val="nil"/>
            </w:tcBorders>
          </w:tcPr>
          <w:p>
            <w:pPr>
              <w:pStyle w:val="18"/>
              <w:jc w:val="left"/>
              <w:rPr>
                <w:rFonts w:ascii="Times New Roman"/>
                <w:sz w:val="22"/>
              </w:rPr>
            </w:pPr>
          </w:p>
        </w:tc>
        <w:tc>
          <w:tcPr>
            <w:tcW w:w="2205" w:type="dxa"/>
            <w:gridSpan w:val="3"/>
          </w:tcPr>
          <w:p>
            <w:pPr>
              <w:pStyle w:val="18"/>
              <w:spacing w:before="36"/>
              <w:ind w:left="868" w:right="862"/>
              <w:rPr>
                <w:b/>
                <w:sz w:val="21"/>
              </w:rPr>
            </w:pPr>
            <w:r>
              <w:rPr>
                <w:b/>
                <w:sz w:val="21"/>
              </w:rPr>
              <w:t>Ⅰ类</w:t>
            </w:r>
          </w:p>
        </w:tc>
        <w:tc>
          <w:tcPr>
            <w:tcW w:w="2205" w:type="dxa"/>
            <w:gridSpan w:val="3"/>
          </w:tcPr>
          <w:p>
            <w:pPr>
              <w:pStyle w:val="18"/>
              <w:spacing w:before="36"/>
              <w:ind w:left="869" w:right="861"/>
              <w:rPr>
                <w:b/>
                <w:sz w:val="21"/>
              </w:rPr>
            </w:pPr>
            <w:r>
              <w:rPr>
                <w:b/>
                <w:sz w:val="21"/>
              </w:rPr>
              <w:t>Ⅱ类</w:t>
            </w:r>
          </w:p>
        </w:tc>
        <w:tc>
          <w:tcPr>
            <w:tcW w:w="2213" w:type="dxa"/>
            <w:gridSpan w:val="3"/>
          </w:tcPr>
          <w:p>
            <w:pPr>
              <w:pStyle w:val="18"/>
              <w:spacing w:before="36"/>
              <w:ind w:left="874" w:right="866"/>
              <w:rPr>
                <w:b/>
                <w:sz w:val="21"/>
              </w:rPr>
            </w:pPr>
            <w:r>
              <w:rPr>
                <w:b/>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632" w:type="dxa"/>
            <w:gridSpan w:val="2"/>
            <w:tcBorders>
              <w:top w:val="single" w:color="000000" w:sz="6" w:space="0"/>
              <w:bottom w:val="nil"/>
              <w:right w:val="nil"/>
            </w:tcBorders>
          </w:tcPr>
          <w:p>
            <w:pPr>
              <w:pStyle w:val="18"/>
              <w:spacing w:line="234" w:lineRule="exact"/>
              <w:ind w:left="107"/>
              <w:jc w:val="left"/>
              <w:rPr>
                <w:b/>
                <w:sz w:val="21"/>
              </w:rPr>
            </w:pPr>
            <w:r>
              <w:rPr>
                <w:b/>
                <w:sz w:val="21"/>
              </w:rPr>
              <w:t>评价工作等级</w:t>
            </w:r>
          </w:p>
        </w:tc>
        <w:tc>
          <w:tcPr>
            <w:tcW w:w="267" w:type="dxa"/>
            <w:vMerge w:val="continue"/>
            <w:tcBorders>
              <w:top w:val="nil"/>
              <w:left w:val="nil"/>
            </w:tcBorders>
          </w:tcPr>
          <w:p>
            <w:pPr>
              <w:rPr>
                <w:sz w:val="2"/>
                <w:szCs w:val="2"/>
              </w:rPr>
            </w:pPr>
          </w:p>
        </w:tc>
        <w:tc>
          <w:tcPr>
            <w:tcW w:w="735" w:type="dxa"/>
            <w:vMerge w:val="restart"/>
          </w:tcPr>
          <w:p>
            <w:pPr>
              <w:pStyle w:val="18"/>
              <w:spacing w:before="156"/>
              <w:ind w:left="5"/>
              <w:rPr>
                <w:b/>
                <w:sz w:val="21"/>
              </w:rPr>
            </w:pPr>
            <w:r>
              <w:rPr>
                <w:b/>
                <w:w w:val="99"/>
                <w:sz w:val="21"/>
              </w:rPr>
              <w:t>大</w:t>
            </w:r>
          </w:p>
        </w:tc>
        <w:tc>
          <w:tcPr>
            <w:tcW w:w="735" w:type="dxa"/>
            <w:vMerge w:val="restart"/>
          </w:tcPr>
          <w:p>
            <w:pPr>
              <w:pStyle w:val="18"/>
              <w:spacing w:before="156"/>
              <w:ind w:left="9"/>
              <w:rPr>
                <w:b/>
                <w:sz w:val="21"/>
              </w:rPr>
            </w:pPr>
            <w:r>
              <w:rPr>
                <w:b/>
                <w:w w:val="99"/>
                <w:sz w:val="21"/>
              </w:rPr>
              <w:t>中</w:t>
            </w:r>
          </w:p>
        </w:tc>
        <w:tc>
          <w:tcPr>
            <w:tcW w:w="735" w:type="dxa"/>
            <w:vMerge w:val="restart"/>
          </w:tcPr>
          <w:p>
            <w:pPr>
              <w:pStyle w:val="18"/>
              <w:spacing w:before="156"/>
              <w:ind w:left="7"/>
              <w:rPr>
                <w:b/>
                <w:sz w:val="21"/>
              </w:rPr>
            </w:pPr>
            <w:r>
              <w:rPr>
                <w:b/>
                <w:w w:val="99"/>
                <w:sz w:val="21"/>
              </w:rPr>
              <w:t>小</w:t>
            </w:r>
          </w:p>
        </w:tc>
        <w:tc>
          <w:tcPr>
            <w:tcW w:w="735" w:type="dxa"/>
            <w:vMerge w:val="restart"/>
          </w:tcPr>
          <w:p>
            <w:pPr>
              <w:pStyle w:val="18"/>
              <w:spacing w:before="156"/>
              <w:ind w:left="6"/>
              <w:rPr>
                <w:b/>
                <w:sz w:val="21"/>
              </w:rPr>
            </w:pPr>
            <w:r>
              <w:rPr>
                <w:b/>
                <w:w w:val="99"/>
                <w:sz w:val="21"/>
              </w:rPr>
              <w:t>大</w:t>
            </w:r>
          </w:p>
        </w:tc>
        <w:tc>
          <w:tcPr>
            <w:tcW w:w="735" w:type="dxa"/>
            <w:vMerge w:val="restart"/>
          </w:tcPr>
          <w:p>
            <w:pPr>
              <w:pStyle w:val="18"/>
              <w:spacing w:before="156"/>
              <w:ind w:left="5"/>
              <w:rPr>
                <w:b/>
                <w:sz w:val="21"/>
              </w:rPr>
            </w:pPr>
            <w:r>
              <w:rPr>
                <w:b/>
                <w:w w:val="99"/>
                <w:sz w:val="21"/>
              </w:rPr>
              <w:t>中</w:t>
            </w:r>
          </w:p>
        </w:tc>
        <w:tc>
          <w:tcPr>
            <w:tcW w:w="735" w:type="dxa"/>
            <w:vMerge w:val="restart"/>
          </w:tcPr>
          <w:p>
            <w:pPr>
              <w:pStyle w:val="18"/>
              <w:spacing w:before="156"/>
              <w:ind w:left="9"/>
              <w:rPr>
                <w:b/>
                <w:sz w:val="21"/>
              </w:rPr>
            </w:pPr>
            <w:r>
              <w:rPr>
                <w:b/>
                <w:w w:val="99"/>
                <w:sz w:val="21"/>
              </w:rPr>
              <w:t>小</w:t>
            </w:r>
          </w:p>
        </w:tc>
        <w:tc>
          <w:tcPr>
            <w:tcW w:w="735" w:type="dxa"/>
            <w:vMerge w:val="restart"/>
          </w:tcPr>
          <w:p>
            <w:pPr>
              <w:pStyle w:val="18"/>
              <w:spacing w:before="156"/>
              <w:ind w:left="7"/>
              <w:rPr>
                <w:b/>
                <w:sz w:val="21"/>
              </w:rPr>
            </w:pPr>
            <w:r>
              <w:rPr>
                <w:b/>
                <w:w w:val="99"/>
                <w:sz w:val="21"/>
              </w:rPr>
              <w:t>大</w:t>
            </w:r>
          </w:p>
        </w:tc>
        <w:tc>
          <w:tcPr>
            <w:tcW w:w="735" w:type="dxa"/>
            <w:vMerge w:val="restart"/>
          </w:tcPr>
          <w:p>
            <w:pPr>
              <w:pStyle w:val="18"/>
              <w:spacing w:before="156"/>
              <w:ind w:left="6"/>
              <w:rPr>
                <w:b/>
                <w:sz w:val="21"/>
              </w:rPr>
            </w:pPr>
            <w:r>
              <w:rPr>
                <w:b/>
                <w:w w:val="99"/>
                <w:sz w:val="21"/>
              </w:rPr>
              <w:t>中</w:t>
            </w:r>
          </w:p>
        </w:tc>
        <w:tc>
          <w:tcPr>
            <w:tcW w:w="743" w:type="dxa"/>
            <w:vMerge w:val="restart"/>
          </w:tcPr>
          <w:p>
            <w:pPr>
              <w:pStyle w:val="18"/>
              <w:spacing w:before="156"/>
              <w:ind w:left="7"/>
              <w:rPr>
                <w:b/>
                <w:sz w:val="21"/>
              </w:rPr>
            </w:pPr>
            <w:r>
              <w:rPr>
                <w:b/>
                <w:w w:val="99"/>
                <w:sz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37" w:type="dxa"/>
            <w:tcBorders>
              <w:top w:val="single" w:color="000000" w:sz="6" w:space="0"/>
              <w:right w:val="nil"/>
            </w:tcBorders>
          </w:tcPr>
          <w:p>
            <w:pPr>
              <w:pStyle w:val="18"/>
              <w:spacing w:before="24"/>
              <w:ind w:left="107"/>
              <w:jc w:val="left"/>
              <w:rPr>
                <w:b/>
                <w:sz w:val="21"/>
              </w:rPr>
            </w:pPr>
            <w:r>
              <w:rPr>
                <w:b/>
                <w:sz w:val="21"/>
              </w:rPr>
              <w:t>敏感程度</w:t>
            </w:r>
          </w:p>
        </w:tc>
        <w:tc>
          <w:tcPr>
            <w:tcW w:w="295" w:type="dxa"/>
            <w:tcBorders>
              <w:top w:val="nil"/>
              <w:left w:val="nil"/>
              <w:right w:val="nil"/>
            </w:tcBorders>
          </w:tcPr>
          <w:p>
            <w:pPr>
              <w:pStyle w:val="18"/>
              <w:jc w:val="left"/>
              <w:rPr>
                <w:rFonts w:ascii="Times New Roman"/>
                <w:sz w:val="22"/>
              </w:rPr>
            </w:pPr>
          </w:p>
        </w:tc>
        <w:tc>
          <w:tcPr>
            <w:tcW w:w="267" w:type="dxa"/>
            <w:vMerge w:val="continue"/>
            <w:tcBorders>
              <w:top w:val="nil"/>
              <w:left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8"/>
              <w:spacing w:before="35"/>
              <w:ind w:left="718" w:right="709"/>
              <w:rPr>
                <w:b/>
                <w:sz w:val="21"/>
              </w:rPr>
            </w:pPr>
            <w:r>
              <w:rPr>
                <w:b/>
                <w:sz w:val="21"/>
              </w:rPr>
              <w:t>敏感</w:t>
            </w:r>
          </w:p>
        </w:tc>
        <w:tc>
          <w:tcPr>
            <w:tcW w:w="735" w:type="dxa"/>
          </w:tcPr>
          <w:p>
            <w:pPr>
              <w:pStyle w:val="18"/>
              <w:spacing w:before="35"/>
              <w:ind w:left="134" w:right="127"/>
              <w:rPr>
                <w:sz w:val="21"/>
              </w:rPr>
            </w:pPr>
            <w:r>
              <w:rPr>
                <w:sz w:val="21"/>
              </w:rPr>
              <w:t>一级</w:t>
            </w:r>
          </w:p>
        </w:tc>
        <w:tc>
          <w:tcPr>
            <w:tcW w:w="735" w:type="dxa"/>
          </w:tcPr>
          <w:p>
            <w:pPr>
              <w:pStyle w:val="18"/>
              <w:spacing w:before="35"/>
              <w:ind w:left="134" w:right="128"/>
              <w:rPr>
                <w:sz w:val="21"/>
              </w:rPr>
            </w:pPr>
            <w:r>
              <w:rPr>
                <w:sz w:val="21"/>
              </w:rPr>
              <w:t>一级</w:t>
            </w:r>
          </w:p>
        </w:tc>
        <w:tc>
          <w:tcPr>
            <w:tcW w:w="735" w:type="dxa"/>
          </w:tcPr>
          <w:p>
            <w:pPr>
              <w:pStyle w:val="18"/>
              <w:spacing w:before="35"/>
              <w:ind w:left="134" w:right="129"/>
              <w:rPr>
                <w:sz w:val="21"/>
              </w:rPr>
            </w:pPr>
            <w:r>
              <w:rPr>
                <w:sz w:val="21"/>
              </w:rPr>
              <w:t>一级</w:t>
            </w:r>
          </w:p>
        </w:tc>
        <w:tc>
          <w:tcPr>
            <w:tcW w:w="735" w:type="dxa"/>
          </w:tcPr>
          <w:p>
            <w:pPr>
              <w:pStyle w:val="18"/>
              <w:spacing w:before="35"/>
              <w:ind w:left="133" w:right="129"/>
              <w:rPr>
                <w:sz w:val="21"/>
              </w:rPr>
            </w:pPr>
            <w:r>
              <w:rPr>
                <w:sz w:val="21"/>
              </w:rPr>
              <w:t>二级</w:t>
            </w:r>
          </w:p>
        </w:tc>
        <w:tc>
          <w:tcPr>
            <w:tcW w:w="735" w:type="dxa"/>
          </w:tcPr>
          <w:p>
            <w:pPr>
              <w:pStyle w:val="18"/>
              <w:spacing w:before="35"/>
              <w:ind w:left="134" w:right="127"/>
              <w:rPr>
                <w:sz w:val="21"/>
              </w:rPr>
            </w:pPr>
            <w:r>
              <w:rPr>
                <w:sz w:val="21"/>
              </w:rPr>
              <w:t>二级</w:t>
            </w:r>
          </w:p>
        </w:tc>
        <w:tc>
          <w:tcPr>
            <w:tcW w:w="735" w:type="dxa"/>
          </w:tcPr>
          <w:p>
            <w:pPr>
              <w:pStyle w:val="18"/>
              <w:spacing w:before="35"/>
              <w:ind w:left="134" w:right="128"/>
              <w:rPr>
                <w:sz w:val="21"/>
              </w:rPr>
            </w:pPr>
            <w:r>
              <w:rPr>
                <w:sz w:val="21"/>
              </w:rPr>
              <w:t>二级</w:t>
            </w:r>
          </w:p>
        </w:tc>
        <w:tc>
          <w:tcPr>
            <w:tcW w:w="735" w:type="dxa"/>
          </w:tcPr>
          <w:p>
            <w:pPr>
              <w:pStyle w:val="18"/>
              <w:spacing w:before="35"/>
              <w:ind w:left="134" w:right="129"/>
              <w:rPr>
                <w:sz w:val="21"/>
              </w:rPr>
            </w:pPr>
            <w:r>
              <w:rPr>
                <w:sz w:val="21"/>
              </w:rPr>
              <w:t>三级</w:t>
            </w:r>
          </w:p>
        </w:tc>
        <w:tc>
          <w:tcPr>
            <w:tcW w:w="735" w:type="dxa"/>
          </w:tcPr>
          <w:p>
            <w:pPr>
              <w:pStyle w:val="18"/>
              <w:spacing w:before="35"/>
              <w:ind w:left="133" w:right="129"/>
              <w:rPr>
                <w:sz w:val="21"/>
              </w:rPr>
            </w:pPr>
            <w:r>
              <w:rPr>
                <w:sz w:val="21"/>
              </w:rPr>
              <w:t>三级</w:t>
            </w:r>
          </w:p>
        </w:tc>
        <w:tc>
          <w:tcPr>
            <w:tcW w:w="743" w:type="dxa"/>
          </w:tcPr>
          <w:p>
            <w:pPr>
              <w:pStyle w:val="18"/>
              <w:spacing w:before="35"/>
              <w:ind w:left="138" w:right="134"/>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8"/>
              <w:spacing w:before="36"/>
              <w:ind w:left="633"/>
              <w:jc w:val="left"/>
              <w:rPr>
                <w:b/>
                <w:sz w:val="21"/>
              </w:rPr>
            </w:pPr>
            <w:r>
              <w:rPr>
                <w:b/>
                <w:sz w:val="21"/>
              </w:rPr>
              <w:t>较敏感</w:t>
            </w:r>
          </w:p>
        </w:tc>
        <w:tc>
          <w:tcPr>
            <w:tcW w:w="735" w:type="dxa"/>
          </w:tcPr>
          <w:p>
            <w:pPr>
              <w:pStyle w:val="18"/>
              <w:spacing w:before="36"/>
              <w:ind w:left="134" w:right="127"/>
              <w:rPr>
                <w:sz w:val="21"/>
              </w:rPr>
            </w:pPr>
            <w:r>
              <w:rPr>
                <w:sz w:val="21"/>
              </w:rPr>
              <w:t>一级</w:t>
            </w:r>
          </w:p>
        </w:tc>
        <w:tc>
          <w:tcPr>
            <w:tcW w:w="735" w:type="dxa"/>
          </w:tcPr>
          <w:p>
            <w:pPr>
              <w:pStyle w:val="18"/>
              <w:spacing w:before="36"/>
              <w:ind w:left="134" w:right="128"/>
              <w:rPr>
                <w:sz w:val="21"/>
              </w:rPr>
            </w:pPr>
            <w:r>
              <w:rPr>
                <w:sz w:val="21"/>
              </w:rPr>
              <w:t>一级</w:t>
            </w:r>
          </w:p>
        </w:tc>
        <w:tc>
          <w:tcPr>
            <w:tcW w:w="735" w:type="dxa"/>
          </w:tcPr>
          <w:p>
            <w:pPr>
              <w:pStyle w:val="18"/>
              <w:spacing w:before="36"/>
              <w:ind w:left="134" w:right="129"/>
              <w:rPr>
                <w:sz w:val="21"/>
              </w:rPr>
            </w:pPr>
            <w:r>
              <w:rPr>
                <w:sz w:val="21"/>
              </w:rPr>
              <w:t>二级</w:t>
            </w:r>
          </w:p>
        </w:tc>
        <w:tc>
          <w:tcPr>
            <w:tcW w:w="735" w:type="dxa"/>
          </w:tcPr>
          <w:p>
            <w:pPr>
              <w:pStyle w:val="18"/>
              <w:spacing w:before="36"/>
              <w:ind w:left="133" w:right="129"/>
              <w:rPr>
                <w:sz w:val="21"/>
              </w:rPr>
            </w:pPr>
            <w:r>
              <w:rPr>
                <w:sz w:val="21"/>
              </w:rPr>
              <w:t>二级</w:t>
            </w:r>
          </w:p>
        </w:tc>
        <w:tc>
          <w:tcPr>
            <w:tcW w:w="735" w:type="dxa"/>
          </w:tcPr>
          <w:p>
            <w:pPr>
              <w:pStyle w:val="18"/>
              <w:spacing w:before="36"/>
              <w:ind w:left="134" w:right="127"/>
              <w:rPr>
                <w:sz w:val="21"/>
              </w:rPr>
            </w:pPr>
            <w:r>
              <w:rPr>
                <w:sz w:val="21"/>
              </w:rPr>
              <w:t>二级</w:t>
            </w:r>
          </w:p>
        </w:tc>
        <w:tc>
          <w:tcPr>
            <w:tcW w:w="735" w:type="dxa"/>
          </w:tcPr>
          <w:p>
            <w:pPr>
              <w:pStyle w:val="18"/>
              <w:spacing w:before="36"/>
              <w:ind w:left="134" w:right="128"/>
              <w:rPr>
                <w:sz w:val="21"/>
              </w:rPr>
            </w:pPr>
            <w:r>
              <w:rPr>
                <w:sz w:val="21"/>
              </w:rPr>
              <w:t>三级</w:t>
            </w:r>
          </w:p>
        </w:tc>
        <w:tc>
          <w:tcPr>
            <w:tcW w:w="735" w:type="dxa"/>
          </w:tcPr>
          <w:p>
            <w:pPr>
              <w:pStyle w:val="18"/>
              <w:spacing w:before="36"/>
              <w:ind w:left="134" w:right="129"/>
              <w:rPr>
                <w:sz w:val="21"/>
              </w:rPr>
            </w:pPr>
            <w:r>
              <w:rPr>
                <w:sz w:val="21"/>
              </w:rPr>
              <w:t>三级</w:t>
            </w:r>
          </w:p>
        </w:tc>
        <w:tc>
          <w:tcPr>
            <w:tcW w:w="735" w:type="dxa"/>
          </w:tcPr>
          <w:p>
            <w:pPr>
              <w:pStyle w:val="18"/>
              <w:spacing w:before="36"/>
              <w:ind w:left="133" w:right="129"/>
              <w:rPr>
                <w:sz w:val="21"/>
              </w:rPr>
            </w:pPr>
            <w:r>
              <w:rPr>
                <w:sz w:val="21"/>
              </w:rPr>
              <w:t>三级</w:t>
            </w:r>
          </w:p>
        </w:tc>
        <w:tc>
          <w:tcPr>
            <w:tcW w:w="743" w:type="dxa"/>
          </w:tcPr>
          <w:p>
            <w:pPr>
              <w:pStyle w:val="18"/>
              <w:spacing w:before="18" w:line="302" w:lineRule="exact"/>
              <w:ind w:left="9"/>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8"/>
              <w:spacing w:before="34"/>
              <w:ind w:left="633"/>
              <w:jc w:val="left"/>
              <w:rPr>
                <w:b/>
                <w:sz w:val="21"/>
              </w:rPr>
            </w:pPr>
            <w:r>
              <w:rPr>
                <w:b/>
                <w:sz w:val="21"/>
              </w:rPr>
              <w:t>不敏感</w:t>
            </w:r>
          </w:p>
        </w:tc>
        <w:tc>
          <w:tcPr>
            <w:tcW w:w="735" w:type="dxa"/>
          </w:tcPr>
          <w:p>
            <w:pPr>
              <w:pStyle w:val="18"/>
              <w:spacing w:before="34"/>
              <w:ind w:left="134" w:right="127"/>
              <w:rPr>
                <w:sz w:val="21"/>
              </w:rPr>
            </w:pPr>
            <w:r>
              <w:rPr>
                <w:sz w:val="21"/>
              </w:rPr>
              <w:t>一级</w:t>
            </w:r>
          </w:p>
        </w:tc>
        <w:tc>
          <w:tcPr>
            <w:tcW w:w="735" w:type="dxa"/>
          </w:tcPr>
          <w:p>
            <w:pPr>
              <w:pStyle w:val="18"/>
              <w:spacing w:before="34"/>
              <w:ind w:left="134" w:right="128"/>
              <w:rPr>
                <w:sz w:val="21"/>
              </w:rPr>
            </w:pPr>
            <w:r>
              <w:rPr>
                <w:sz w:val="21"/>
              </w:rPr>
              <w:t>二级</w:t>
            </w:r>
          </w:p>
        </w:tc>
        <w:tc>
          <w:tcPr>
            <w:tcW w:w="735" w:type="dxa"/>
          </w:tcPr>
          <w:p>
            <w:pPr>
              <w:pStyle w:val="18"/>
              <w:spacing w:before="34"/>
              <w:ind w:left="134" w:right="129"/>
              <w:rPr>
                <w:sz w:val="21"/>
              </w:rPr>
            </w:pPr>
            <w:r>
              <w:rPr>
                <w:sz w:val="21"/>
              </w:rPr>
              <w:t>二级</w:t>
            </w:r>
          </w:p>
        </w:tc>
        <w:tc>
          <w:tcPr>
            <w:tcW w:w="735" w:type="dxa"/>
          </w:tcPr>
          <w:p>
            <w:pPr>
              <w:pStyle w:val="18"/>
              <w:spacing w:before="34"/>
              <w:ind w:left="133" w:right="129"/>
              <w:rPr>
                <w:sz w:val="21"/>
              </w:rPr>
            </w:pPr>
            <w:r>
              <w:rPr>
                <w:sz w:val="21"/>
              </w:rPr>
              <w:t>二级</w:t>
            </w:r>
          </w:p>
        </w:tc>
        <w:tc>
          <w:tcPr>
            <w:tcW w:w="735" w:type="dxa"/>
          </w:tcPr>
          <w:p>
            <w:pPr>
              <w:pStyle w:val="18"/>
              <w:spacing w:before="34"/>
              <w:ind w:left="134" w:right="127"/>
              <w:rPr>
                <w:sz w:val="21"/>
              </w:rPr>
            </w:pPr>
            <w:r>
              <w:rPr>
                <w:sz w:val="21"/>
              </w:rPr>
              <w:t>三级</w:t>
            </w:r>
          </w:p>
        </w:tc>
        <w:tc>
          <w:tcPr>
            <w:tcW w:w="735" w:type="dxa"/>
          </w:tcPr>
          <w:p>
            <w:pPr>
              <w:pStyle w:val="18"/>
              <w:spacing w:before="34"/>
              <w:ind w:left="134" w:right="128"/>
              <w:rPr>
                <w:sz w:val="21"/>
              </w:rPr>
            </w:pPr>
            <w:r>
              <w:rPr>
                <w:sz w:val="21"/>
              </w:rPr>
              <w:t>三级</w:t>
            </w:r>
          </w:p>
        </w:tc>
        <w:tc>
          <w:tcPr>
            <w:tcW w:w="735" w:type="dxa"/>
          </w:tcPr>
          <w:p>
            <w:pPr>
              <w:pStyle w:val="18"/>
              <w:spacing w:before="34"/>
              <w:ind w:left="134" w:right="129"/>
              <w:rPr>
                <w:sz w:val="21"/>
              </w:rPr>
            </w:pPr>
            <w:r>
              <w:rPr>
                <w:sz w:val="21"/>
              </w:rPr>
              <w:t>三级</w:t>
            </w:r>
          </w:p>
        </w:tc>
        <w:tc>
          <w:tcPr>
            <w:tcW w:w="735" w:type="dxa"/>
          </w:tcPr>
          <w:p>
            <w:pPr>
              <w:pStyle w:val="18"/>
              <w:spacing w:before="34"/>
              <w:ind w:left="6"/>
              <w:rPr>
                <w:sz w:val="21"/>
              </w:rPr>
            </w:pPr>
            <w:r>
              <w:rPr>
                <w:w w:val="99"/>
                <w:sz w:val="21"/>
              </w:rPr>
              <w:t>—</w:t>
            </w:r>
          </w:p>
        </w:tc>
        <w:tc>
          <w:tcPr>
            <w:tcW w:w="743" w:type="dxa"/>
          </w:tcPr>
          <w:p>
            <w:pPr>
              <w:pStyle w:val="18"/>
              <w:spacing w:before="16" w:line="304" w:lineRule="exact"/>
              <w:ind w:left="9"/>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2" w:type="dxa"/>
            <w:gridSpan w:val="12"/>
          </w:tcPr>
          <w:p>
            <w:pPr>
              <w:pStyle w:val="18"/>
              <w:spacing w:before="34"/>
              <w:ind w:left="107"/>
              <w:jc w:val="left"/>
              <w:rPr>
                <w:sz w:val="21"/>
              </w:rPr>
            </w:pPr>
            <w:r>
              <w:rPr>
                <w:sz w:val="21"/>
              </w:rPr>
              <w:t>注：“—”表示可不开展土壤环境影响评价工作</w:t>
            </w:r>
          </w:p>
        </w:tc>
      </w:tr>
    </w:tbl>
    <w:p>
      <w:pPr>
        <w:pStyle w:val="7"/>
        <w:spacing w:before="7"/>
        <w:ind w:left="0"/>
        <w:rPr>
          <w:b/>
          <w:sz w:val="18"/>
        </w:rPr>
      </w:pP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220" w:leftChars="100" w:right="220" w:rightChars="100" w:firstLine="0" w:firstLineChars="0"/>
        <w:jc w:val="both"/>
        <w:textAlignment w:val="auto"/>
        <w:rPr>
          <w:rFonts w:hint="eastAsia" w:ascii="宋体" w:hAnsi="宋体" w:eastAsia="宋体" w:cs="宋体"/>
          <w:sz w:val="24"/>
          <w:szCs w:val="24"/>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6</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根据《环境影响评价技术导则</w:t>
      </w:r>
      <w:r>
        <w:rPr>
          <w:rFonts w:hint="eastAsia" w:ascii="宋体" w:hAnsi="宋体" w:eastAsia="宋体" w:cs="宋体"/>
          <w:spacing w:val="-27"/>
          <w:sz w:val="24"/>
          <w:szCs w:val="24"/>
        </w:rPr>
        <w:t>·</w:t>
      </w:r>
      <w:r>
        <w:rPr>
          <w:rFonts w:hint="eastAsia" w:ascii="宋体" w:hAnsi="宋体" w:eastAsia="宋体" w:cs="宋体"/>
          <w:spacing w:val="-8"/>
          <w:sz w:val="24"/>
          <w:szCs w:val="24"/>
        </w:rPr>
        <w:t>土壤环境</w:t>
      </w:r>
      <w:r>
        <w:rPr>
          <w:rFonts w:hint="eastAsia" w:ascii="宋体" w:hAnsi="宋体" w:eastAsia="宋体" w:cs="宋体"/>
          <w:sz w:val="24"/>
          <w:szCs w:val="24"/>
        </w:rPr>
        <w:t>（试行</w:t>
      </w:r>
      <w:r>
        <w:rPr>
          <w:rFonts w:hint="eastAsia" w:ascii="宋体" w:hAnsi="宋体" w:eastAsia="宋体" w:cs="宋体"/>
          <w:spacing w:val="-27"/>
          <w:sz w:val="24"/>
          <w:szCs w:val="24"/>
        </w:rPr>
        <w:t>）</w:t>
      </w:r>
      <w:r>
        <w:rPr>
          <w:rFonts w:hint="eastAsia" w:ascii="宋体" w:hAnsi="宋体" w:eastAsia="宋体" w:cs="宋体"/>
          <w:spacing w:val="-56"/>
          <w:sz w:val="24"/>
          <w:szCs w:val="24"/>
        </w:rPr>
        <w:t>》</w:t>
      </w:r>
      <w:r>
        <w:rPr>
          <w:rFonts w:hint="eastAsia" w:ascii="宋体" w:hAnsi="宋体" w:eastAsia="宋体" w:cs="宋体"/>
          <w:spacing w:val="-3"/>
          <w:sz w:val="24"/>
          <w:szCs w:val="24"/>
        </w:rPr>
        <w:t>（HJ964-2018）</w:t>
      </w:r>
      <w:r>
        <w:rPr>
          <w:rFonts w:hint="eastAsia" w:ascii="宋体" w:hAnsi="宋体" w:eastAsia="宋体" w:cs="宋体"/>
          <w:spacing w:val="-19"/>
          <w:sz w:val="24"/>
          <w:szCs w:val="24"/>
        </w:rPr>
        <w:t>附录</w:t>
      </w:r>
      <w:r>
        <w:rPr>
          <w:rFonts w:hint="eastAsia" w:ascii="宋体" w:hAnsi="宋体" w:eastAsia="宋体" w:cs="宋体"/>
          <w:spacing w:val="-6"/>
          <w:sz w:val="24"/>
          <w:szCs w:val="24"/>
        </w:rPr>
        <w:t>A，</w:t>
      </w:r>
      <w:r>
        <w:rPr>
          <w:rFonts w:hint="eastAsia" w:ascii="宋体" w:hAnsi="宋体" w:eastAsia="宋体" w:cs="宋体"/>
          <w:spacing w:val="-5"/>
          <w:sz w:val="24"/>
          <w:szCs w:val="24"/>
        </w:rPr>
        <w:t>本项目属于Ⅲ类项目，由表</w:t>
      </w:r>
      <w:r>
        <w:rPr>
          <w:rFonts w:hint="eastAsia" w:ascii="宋体" w:hAnsi="宋体" w:eastAsia="宋体" w:cs="宋体"/>
          <w:sz w:val="24"/>
          <w:szCs w:val="24"/>
        </w:rPr>
        <w:t>2.6-10可判定本次土壤环境影响评价等级为三级。生态环境影响评价工作等级</w:t>
      </w:r>
    </w:p>
    <w:p>
      <w:pPr>
        <w:pStyle w:val="7"/>
        <w:keepNext w:val="0"/>
        <w:keepLines w:val="0"/>
        <w:pageBreakBefore w:val="0"/>
        <w:widowControl w:val="0"/>
        <w:kinsoku/>
        <w:wordWrap/>
        <w:overflowPunct/>
        <w:topLinePunct w:val="0"/>
        <w:autoSpaceDE w:val="0"/>
        <w:autoSpaceDN w:val="0"/>
        <w:bidi w:val="0"/>
        <w:adjustRightInd/>
        <w:snapToGrid/>
        <w:spacing w:before="0" w:line="365" w:lineRule="auto"/>
        <w:ind w:left="220" w:leftChars="100" w:right="220" w:rightChars="100" w:firstLine="460" w:firstLineChars="200"/>
        <w:jc w:val="both"/>
        <w:textAlignment w:val="auto"/>
        <w:rPr>
          <w:color w:val="0000FF"/>
        </w:rPr>
      </w:pPr>
      <w:r>
        <w:rPr>
          <w:color w:val="0000FF"/>
          <w:spacing w:val="-5"/>
        </w:rPr>
        <w:t>依据生态影响评价工作等级划分的原则，本项目属于新建项目，占地面积为</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rFonts w:hint="eastAsia" w:ascii="Times New Roman" w:hAnsi="Times New Roman" w:cs="Times New Roman"/>
          <w:color w:val="0000FF"/>
          <w:sz w:val="24"/>
          <w:vertAlign w:val="baseline"/>
          <w:lang w:val="en-US" w:eastAsia="zh-CN"/>
        </w:rPr>
        <w:t>）</w:t>
      </w:r>
      <w:r>
        <w:rPr>
          <w:rFonts w:ascii="Times New Roman" w:hAnsi="Times New Roman" w:eastAsia="Times New Roman"/>
          <w:color w:val="0000FF"/>
        </w:rPr>
        <w:t>&lt;2km</w:t>
      </w:r>
      <w:r>
        <w:rPr>
          <w:rFonts w:ascii="Times New Roman" w:hAnsi="Times New Roman" w:eastAsia="Times New Roman"/>
          <w:color w:val="0000FF"/>
          <w:position w:val="8"/>
          <w:sz w:val="15"/>
        </w:rPr>
        <w:t>2</w:t>
      </w:r>
      <w:r>
        <w:rPr>
          <w:color w:val="0000FF"/>
        </w:rPr>
        <w:t>，项目区不涉及特殊及重要生态敏感区，占地类型为</w:t>
      </w:r>
      <w:r>
        <w:rPr>
          <w:color w:val="0000FF"/>
          <w:spacing w:val="-25"/>
        </w:rPr>
        <w:t>设施农用地，区域生态敏感性属于“一般区域”，根据《环境影响评价技术导则</w:t>
      </w:r>
      <w:r>
        <w:rPr>
          <w:rFonts w:ascii="Times New Roman" w:hAnsi="Times New Roman" w:eastAsia="Times New Roman"/>
          <w:color w:val="0000FF"/>
        </w:rPr>
        <w:t>·</w:t>
      </w:r>
      <w:r>
        <w:rPr>
          <w:color w:val="0000FF"/>
        </w:rPr>
        <w:t>生</w:t>
      </w:r>
      <w:r>
        <w:rPr>
          <w:color w:val="0000FF"/>
          <w:spacing w:val="-8"/>
        </w:rPr>
        <w:t>态影响》</w:t>
      </w:r>
      <w:r>
        <w:rPr>
          <w:color w:val="0000FF"/>
          <w:spacing w:val="-4"/>
        </w:rPr>
        <w:t>（</w:t>
      </w:r>
      <w:r>
        <w:rPr>
          <w:rFonts w:ascii="Times New Roman" w:hAnsi="Times New Roman" w:eastAsia="Times New Roman"/>
          <w:color w:val="0000FF"/>
          <w:spacing w:val="-4"/>
        </w:rPr>
        <w:t>HJ19-2011</w:t>
      </w:r>
      <w:r>
        <w:rPr>
          <w:color w:val="0000FF"/>
          <w:spacing w:val="-4"/>
        </w:rPr>
        <w:t>），并结合项目特点，本次生态影响评价工作等级为三级，</w:t>
      </w:r>
      <w:r>
        <w:rPr>
          <w:color w:val="0000FF"/>
          <w:spacing w:val="-7"/>
        </w:rPr>
        <w:t>具体判断依据见表</w:t>
      </w:r>
      <w:r>
        <w:rPr>
          <w:rFonts w:ascii="Times New Roman" w:hAnsi="Times New Roman" w:eastAsia="Times New Roman"/>
          <w:color w:val="0000FF"/>
        </w:rPr>
        <w:t>2.6-11</w:t>
      </w:r>
      <w:r>
        <w:rPr>
          <w:color w:val="0000FF"/>
        </w:rPr>
        <w:t>所示。</w:t>
      </w:r>
    </w:p>
    <w:p>
      <w:pPr>
        <w:tabs>
          <w:tab w:val="left" w:pos="3947"/>
        </w:tabs>
        <w:spacing w:before="82"/>
        <w:ind w:left="2320"/>
        <w:jc w:val="left"/>
      </w:pPr>
      <w:r>
        <w:t>表</w:t>
      </w:r>
      <w:r>
        <w:rPr>
          <w:rFonts w:ascii="Times New Roman" w:eastAsia="Times New Roman"/>
        </w:rPr>
        <w:t>2.6-11</w:t>
      </w:r>
      <w:r>
        <w:rPr>
          <w:rFonts w:ascii="Times New Roman" w:eastAsia="Times New Roman"/>
        </w:rPr>
        <w:tab/>
      </w:r>
      <w:r>
        <w:t>生态影响评价工作等级划分表</w:t>
      </w:r>
    </w:p>
    <w:tbl>
      <w:tblPr>
        <w:tblStyle w:val="14"/>
        <w:tblW w:w="0" w:type="auto"/>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7"/>
        <w:gridCol w:w="2130"/>
        <w:gridCol w:w="2131"/>
        <w:gridCol w:w="2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vMerge w:val="restart"/>
          </w:tcPr>
          <w:p>
            <w:pPr>
              <w:pStyle w:val="18"/>
              <w:spacing w:before="5"/>
              <w:jc w:val="left"/>
              <w:rPr>
                <w:b/>
                <w:sz w:val="28"/>
              </w:rPr>
            </w:pPr>
          </w:p>
          <w:p>
            <w:pPr>
              <w:pStyle w:val="18"/>
              <w:ind w:left="66"/>
              <w:jc w:val="left"/>
              <w:rPr>
                <w:b/>
                <w:sz w:val="21"/>
              </w:rPr>
            </w:pPr>
            <w:r>
              <w:rPr>
                <w:b/>
                <w:sz w:val="21"/>
              </w:rPr>
              <w:t>影响区域生态敏感性</w:t>
            </w:r>
          </w:p>
        </w:tc>
        <w:tc>
          <w:tcPr>
            <w:tcW w:w="6283" w:type="dxa"/>
            <w:gridSpan w:val="3"/>
          </w:tcPr>
          <w:p>
            <w:pPr>
              <w:pStyle w:val="18"/>
              <w:spacing w:before="26"/>
              <w:ind w:left="2489" w:right="2478"/>
              <w:rPr>
                <w:b/>
                <w:sz w:val="21"/>
              </w:rPr>
            </w:pPr>
            <w:r>
              <w:rPr>
                <w:b/>
                <w:sz w:val="21"/>
              </w:rPr>
              <w:t>工程占地范围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2027" w:type="dxa"/>
            <w:vMerge w:val="continue"/>
            <w:tcBorders>
              <w:top w:val="nil"/>
            </w:tcBorders>
          </w:tcPr>
          <w:p>
            <w:pPr>
              <w:rPr>
                <w:sz w:val="2"/>
                <w:szCs w:val="2"/>
              </w:rPr>
            </w:pPr>
          </w:p>
        </w:tc>
        <w:tc>
          <w:tcPr>
            <w:tcW w:w="2130" w:type="dxa"/>
          </w:tcPr>
          <w:p>
            <w:pPr>
              <w:pStyle w:val="18"/>
              <w:spacing w:before="98" w:line="213" w:lineRule="auto"/>
              <w:ind w:left="341" w:right="289" w:firstLine="124"/>
              <w:jc w:val="left"/>
              <w:rPr>
                <w:rFonts w:ascii="Times New Roman" w:hAnsi="Times New Roman" w:eastAsia="Times New Roman"/>
                <w:b/>
                <w:sz w:val="21"/>
              </w:rPr>
            </w:pPr>
            <w:r>
              <w:rPr>
                <w:b/>
                <w:sz w:val="21"/>
              </w:rPr>
              <w:t>面积≥</w:t>
            </w:r>
            <w:r>
              <w:rPr>
                <w:rFonts w:ascii="Times New Roman" w:hAnsi="Times New Roman" w:eastAsia="Times New Roman"/>
                <w:b/>
                <w:sz w:val="21"/>
              </w:rPr>
              <w:t>20km</w:t>
            </w:r>
            <w:r>
              <w:rPr>
                <w:rFonts w:ascii="Times New Roman" w:hAnsi="Times New Roman" w:eastAsia="Times New Roman"/>
                <w:b/>
                <w:position w:val="7"/>
                <w:sz w:val="13"/>
              </w:rPr>
              <w:t>2</w:t>
            </w:r>
            <w:r>
              <w:rPr>
                <w:b/>
                <w:sz w:val="21"/>
              </w:rPr>
              <w:t>或长度≥</w:t>
            </w:r>
            <w:r>
              <w:rPr>
                <w:rFonts w:ascii="Times New Roman" w:hAnsi="Times New Roman" w:eastAsia="Times New Roman"/>
                <w:b/>
                <w:sz w:val="21"/>
              </w:rPr>
              <w:t>100km</w:t>
            </w:r>
          </w:p>
        </w:tc>
        <w:tc>
          <w:tcPr>
            <w:tcW w:w="2131" w:type="dxa"/>
          </w:tcPr>
          <w:p>
            <w:pPr>
              <w:pStyle w:val="18"/>
              <w:spacing w:before="98" w:line="213" w:lineRule="auto"/>
              <w:ind w:left="169" w:right="12" w:hanging="84"/>
              <w:jc w:val="left"/>
              <w:rPr>
                <w:rFonts w:ascii="Times New Roman" w:eastAsia="Times New Roman"/>
                <w:b/>
                <w:sz w:val="21"/>
              </w:rPr>
            </w:pPr>
            <w:r>
              <w:rPr>
                <w:b/>
                <w:sz w:val="21"/>
              </w:rPr>
              <w:t>面积</w:t>
            </w:r>
            <w:r>
              <w:rPr>
                <w:rFonts w:ascii="Times New Roman" w:eastAsia="Times New Roman"/>
                <w:b/>
                <w:sz w:val="21"/>
              </w:rPr>
              <w:t>2km</w:t>
            </w:r>
            <w:r>
              <w:rPr>
                <w:rFonts w:ascii="Times New Roman" w:eastAsia="Times New Roman"/>
                <w:b/>
                <w:position w:val="7"/>
                <w:sz w:val="13"/>
              </w:rPr>
              <w:t>2</w:t>
            </w:r>
            <w:r>
              <w:rPr>
                <w:b/>
                <w:sz w:val="21"/>
              </w:rPr>
              <w:t>～</w:t>
            </w:r>
            <w:r>
              <w:rPr>
                <w:rFonts w:ascii="Times New Roman" w:eastAsia="Times New Roman"/>
                <w:b/>
                <w:sz w:val="21"/>
              </w:rPr>
              <w:t>20km</w:t>
            </w:r>
            <w:r>
              <w:rPr>
                <w:rFonts w:ascii="Times New Roman" w:eastAsia="Times New Roman"/>
                <w:b/>
                <w:position w:val="7"/>
                <w:sz w:val="13"/>
              </w:rPr>
              <w:t>2</w:t>
            </w:r>
            <w:r>
              <w:rPr>
                <w:b/>
                <w:sz w:val="21"/>
              </w:rPr>
              <w:t>或长度</w:t>
            </w:r>
            <w:r>
              <w:rPr>
                <w:rFonts w:ascii="Times New Roman" w:eastAsia="Times New Roman"/>
                <w:b/>
                <w:sz w:val="21"/>
              </w:rPr>
              <w:t>50km</w:t>
            </w:r>
            <w:r>
              <w:rPr>
                <w:b/>
                <w:sz w:val="21"/>
              </w:rPr>
              <w:t>～</w:t>
            </w:r>
            <w:r>
              <w:rPr>
                <w:rFonts w:ascii="Times New Roman" w:eastAsia="Times New Roman"/>
                <w:b/>
                <w:sz w:val="21"/>
              </w:rPr>
              <w:t>100km</w:t>
            </w:r>
          </w:p>
        </w:tc>
        <w:tc>
          <w:tcPr>
            <w:tcW w:w="2022" w:type="dxa"/>
          </w:tcPr>
          <w:p>
            <w:pPr>
              <w:pStyle w:val="18"/>
              <w:spacing w:before="98" w:line="213" w:lineRule="auto"/>
              <w:ind w:left="340" w:right="326" w:firstLine="122"/>
              <w:jc w:val="left"/>
              <w:rPr>
                <w:rFonts w:ascii="Times New Roman" w:hAnsi="Times New Roman" w:eastAsia="Times New Roman"/>
                <w:b/>
                <w:sz w:val="21"/>
              </w:rPr>
            </w:pPr>
            <w:r>
              <w:rPr>
                <w:b/>
                <w:sz w:val="21"/>
              </w:rPr>
              <w:t>面积≤</w:t>
            </w:r>
            <w:r>
              <w:rPr>
                <w:rFonts w:ascii="Times New Roman" w:hAnsi="Times New Roman" w:eastAsia="Times New Roman"/>
                <w:b/>
                <w:sz w:val="21"/>
              </w:rPr>
              <w:t>2km</w:t>
            </w:r>
            <w:r>
              <w:rPr>
                <w:rFonts w:ascii="Times New Roman" w:hAnsi="Times New Roman" w:eastAsia="Times New Roman"/>
                <w:b/>
                <w:position w:val="7"/>
                <w:sz w:val="13"/>
              </w:rPr>
              <w:t>2</w:t>
            </w:r>
            <w:r>
              <w:rPr>
                <w:b/>
                <w:sz w:val="21"/>
              </w:rPr>
              <w:t>或长度≤</w:t>
            </w:r>
            <w:r>
              <w:rPr>
                <w:rFonts w:ascii="Times New Roman" w:hAnsi="Times New Roman" w:eastAsia="Times New Roman"/>
                <w:b/>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8"/>
              <w:spacing w:before="27"/>
              <w:ind w:left="257" w:right="250"/>
              <w:rPr>
                <w:sz w:val="21"/>
              </w:rPr>
            </w:pPr>
            <w:r>
              <w:rPr>
                <w:sz w:val="21"/>
              </w:rPr>
              <w:t>特殊生态敏感区</w:t>
            </w:r>
          </w:p>
        </w:tc>
        <w:tc>
          <w:tcPr>
            <w:tcW w:w="2130" w:type="dxa"/>
          </w:tcPr>
          <w:p>
            <w:pPr>
              <w:pStyle w:val="18"/>
              <w:spacing w:before="27"/>
              <w:ind w:right="845"/>
              <w:jc w:val="right"/>
              <w:rPr>
                <w:sz w:val="21"/>
              </w:rPr>
            </w:pPr>
            <w:r>
              <w:rPr>
                <w:w w:val="95"/>
                <w:sz w:val="21"/>
              </w:rPr>
              <w:t>一级</w:t>
            </w:r>
          </w:p>
        </w:tc>
        <w:tc>
          <w:tcPr>
            <w:tcW w:w="2131" w:type="dxa"/>
          </w:tcPr>
          <w:p>
            <w:pPr>
              <w:pStyle w:val="18"/>
              <w:spacing w:before="27"/>
              <w:ind w:left="25" w:right="22"/>
              <w:rPr>
                <w:sz w:val="21"/>
              </w:rPr>
            </w:pPr>
            <w:r>
              <w:rPr>
                <w:sz w:val="21"/>
              </w:rPr>
              <w:t>一级</w:t>
            </w:r>
          </w:p>
        </w:tc>
        <w:tc>
          <w:tcPr>
            <w:tcW w:w="2022" w:type="dxa"/>
          </w:tcPr>
          <w:p>
            <w:pPr>
              <w:pStyle w:val="18"/>
              <w:spacing w:before="27"/>
              <w:ind w:left="779" w:right="772"/>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8"/>
              <w:spacing w:before="28"/>
              <w:ind w:left="257" w:right="250"/>
              <w:rPr>
                <w:sz w:val="21"/>
              </w:rPr>
            </w:pPr>
            <w:r>
              <w:rPr>
                <w:sz w:val="21"/>
              </w:rPr>
              <w:t>重要生态敏感区</w:t>
            </w:r>
          </w:p>
        </w:tc>
        <w:tc>
          <w:tcPr>
            <w:tcW w:w="2130" w:type="dxa"/>
          </w:tcPr>
          <w:p>
            <w:pPr>
              <w:pStyle w:val="18"/>
              <w:spacing w:before="28"/>
              <w:ind w:right="845"/>
              <w:jc w:val="right"/>
              <w:rPr>
                <w:sz w:val="21"/>
              </w:rPr>
            </w:pPr>
            <w:r>
              <w:rPr>
                <w:w w:val="95"/>
                <w:sz w:val="21"/>
              </w:rPr>
              <w:t>一级</w:t>
            </w:r>
          </w:p>
        </w:tc>
        <w:tc>
          <w:tcPr>
            <w:tcW w:w="2131" w:type="dxa"/>
          </w:tcPr>
          <w:p>
            <w:pPr>
              <w:pStyle w:val="18"/>
              <w:spacing w:before="28"/>
              <w:ind w:left="25" w:right="22"/>
              <w:rPr>
                <w:sz w:val="21"/>
              </w:rPr>
            </w:pPr>
            <w:r>
              <w:rPr>
                <w:sz w:val="21"/>
              </w:rPr>
              <w:t>二级</w:t>
            </w:r>
          </w:p>
        </w:tc>
        <w:tc>
          <w:tcPr>
            <w:tcW w:w="2022" w:type="dxa"/>
          </w:tcPr>
          <w:p>
            <w:pPr>
              <w:pStyle w:val="18"/>
              <w:spacing w:before="28"/>
              <w:ind w:left="779" w:right="772"/>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8"/>
              <w:spacing w:before="26"/>
              <w:ind w:left="255" w:right="250"/>
              <w:rPr>
                <w:sz w:val="21"/>
              </w:rPr>
            </w:pPr>
            <w:r>
              <w:rPr>
                <w:sz w:val="21"/>
              </w:rPr>
              <w:t>一般区域</w:t>
            </w:r>
          </w:p>
        </w:tc>
        <w:tc>
          <w:tcPr>
            <w:tcW w:w="2130" w:type="dxa"/>
          </w:tcPr>
          <w:p>
            <w:pPr>
              <w:pStyle w:val="18"/>
              <w:spacing w:before="26"/>
              <w:ind w:right="845"/>
              <w:jc w:val="right"/>
              <w:rPr>
                <w:sz w:val="21"/>
              </w:rPr>
            </w:pPr>
            <w:r>
              <w:rPr>
                <w:w w:val="95"/>
                <w:sz w:val="21"/>
              </w:rPr>
              <w:t>二级</w:t>
            </w:r>
          </w:p>
        </w:tc>
        <w:tc>
          <w:tcPr>
            <w:tcW w:w="2131" w:type="dxa"/>
          </w:tcPr>
          <w:p>
            <w:pPr>
              <w:pStyle w:val="18"/>
              <w:spacing w:before="26"/>
              <w:ind w:left="25" w:right="22"/>
              <w:rPr>
                <w:sz w:val="21"/>
              </w:rPr>
            </w:pPr>
            <w:r>
              <w:rPr>
                <w:sz w:val="21"/>
              </w:rPr>
              <w:t>三级</w:t>
            </w:r>
          </w:p>
        </w:tc>
        <w:tc>
          <w:tcPr>
            <w:tcW w:w="2022" w:type="dxa"/>
          </w:tcPr>
          <w:p>
            <w:pPr>
              <w:pStyle w:val="18"/>
              <w:spacing w:before="26"/>
              <w:ind w:left="779" w:right="772"/>
              <w:rPr>
                <w:sz w:val="21"/>
              </w:rPr>
            </w:pPr>
            <w:r>
              <w:rPr>
                <w:sz w:val="21"/>
              </w:rPr>
              <w:t>三级</w:t>
            </w:r>
          </w:p>
        </w:tc>
      </w:tr>
    </w:tbl>
    <w:p>
      <w:pPr>
        <w:pStyle w:val="7"/>
        <w:spacing w:before="6"/>
        <w:ind w:left="0"/>
        <w:rPr>
          <w:b/>
          <w:sz w:val="18"/>
        </w:rPr>
      </w:pPr>
    </w:p>
    <w:p>
      <w:pPr>
        <w:pStyle w:val="7"/>
        <w:ind w:left="1020"/>
      </w:pPr>
      <w:r>
        <w:t>（</w:t>
      </w:r>
      <w:r>
        <w:rPr>
          <w:rFonts w:ascii="Times New Roman" w:eastAsia="Times New Roman"/>
        </w:rPr>
        <w:t>6</w:t>
      </w:r>
      <w:r>
        <w:t>）风险评价工作等级</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539" w:right="573" w:firstLine="482"/>
        <w:jc w:val="both"/>
        <w:textAlignment w:val="auto"/>
      </w:pPr>
      <w:r>
        <w:rPr>
          <w:spacing w:val="-7"/>
        </w:rPr>
        <w:t>根据《建设项目环境风险评价技术导则》</w:t>
      </w:r>
      <w:r>
        <w:t>（</w:t>
      </w:r>
      <w:r>
        <w:rPr>
          <w:rFonts w:ascii="Times New Roman" w:eastAsia="Times New Roman"/>
        </w:rPr>
        <w:t>HJ169-2018</w:t>
      </w:r>
      <w:r>
        <w:t>）</w:t>
      </w:r>
      <w:r>
        <w:rPr>
          <w:spacing w:val="-2"/>
        </w:rPr>
        <w:t>中对评价工作等级</w:t>
      </w:r>
      <w:r>
        <w:rPr>
          <w:spacing w:val="-8"/>
        </w:rPr>
        <w:t>确定的规定，环境风险评价工作等级划分为一级、二级、三级，根据建设项目设</w:t>
      </w:r>
      <w:r>
        <w:t>计的物质及工艺系统危险性和所在地的环境敏感性确定环境风险潜势，按照表</w:t>
      </w:r>
      <w:r>
        <w:rPr>
          <w:rFonts w:ascii="Times New Roman" w:eastAsia="Times New Roman"/>
        </w:rPr>
        <w:t>2.6-12</w:t>
      </w:r>
      <w:r>
        <w:t>确定评价工作等级。</w:t>
      </w:r>
    </w:p>
    <w:p>
      <w:pPr>
        <w:tabs>
          <w:tab w:val="left" w:pos="3923"/>
        </w:tabs>
        <w:spacing w:before="79" w:after="3"/>
        <w:ind w:left="2342"/>
        <w:jc w:val="both"/>
      </w:pPr>
      <w:r>
        <w:t>表</w:t>
      </w:r>
      <w:r>
        <w:rPr>
          <w:rFonts w:ascii="Times New Roman" w:eastAsia="Times New Roman"/>
        </w:rPr>
        <w:t>2.6-12</w:t>
      </w:r>
      <w:r>
        <w:rPr>
          <w:rFonts w:ascii="Times New Roman" w:eastAsia="Times New Roman"/>
        </w:rPr>
        <w:tab/>
      </w:r>
      <w:r>
        <w:t>环境风险评价工作等级划分表</w:t>
      </w:r>
    </w:p>
    <w:tbl>
      <w:tblPr>
        <w:tblStyle w:val="14"/>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1712"/>
        <w:gridCol w:w="1712"/>
        <w:gridCol w:w="17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8"/>
              <w:spacing w:before="34"/>
              <w:ind w:left="95" w:right="89"/>
              <w:rPr>
                <w:sz w:val="21"/>
              </w:rPr>
            </w:pPr>
            <w:r>
              <w:rPr>
                <w:sz w:val="21"/>
              </w:rPr>
              <w:t>环境风险潜势</w:t>
            </w:r>
          </w:p>
        </w:tc>
        <w:tc>
          <w:tcPr>
            <w:tcW w:w="1712" w:type="dxa"/>
          </w:tcPr>
          <w:p>
            <w:pPr>
              <w:pStyle w:val="18"/>
              <w:spacing w:before="34"/>
              <w:ind w:left="334" w:right="323"/>
              <w:rPr>
                <w:rFonts w:ascii="Times New Roman" w:hAnsi="Times New Roman" w:eastAsia="Times New Roman"/>
                <w:sz w:val="13"/>
              </w:rPr>
            </w:pPr>
            <w:r>
              <w:rPr>
                <w:sz w:val="21"/>
              </w:rPr>
              <w:t>Ⅳ、Ⅵ</w:t>
            </w:r>
            <w:r>
              <w:rPr>
                <w:rFonts w:ascii="Times New Roman" w:hAnsi="Times New Roman" w:eastAsia="Times New Roman"/>
                <w:position w:val="7"/>
                <w:sz w:val="13"/>
              </w:rPr>
              <w:t>+</w:t>
            </w:r>
          </w:p>
        </w:tc>
        <w:tc>
          <w:tcPr>
            <w:tcW w:w="1712" w:type="dxa"/>
          </w:tcPr>
          <w:p>
            <w:pPr>
              <w:pStyle w:val="18"/>
              <w:spacing w:before="34"/>
              <w:ind w:left="9"/>
              <w:rPr>
                <w:sz w:val="21"/>
              </w:rPr>
            </w:pPr>
            <w:r>
              <w:rPr>
                <w:w w:val="99"/>
                <w:sz w:val="21"/>
              </w:rPr>
              <w:t>Ⅲ</w:t>
            </w:r>
          </w:p>
        </w:tc>
        <w:tc>
          <w:tcPr>
            <w:tcW w:w="1712" w:type="dxa"/>
          </w:tcPr>
          <w:p>
            <w:pPr>
              <w:pStyle w:val="18"/>
              <w:spacing w:before="34"/>
              <w:ind w:left="8"/>
              <w:rPr>
                <w:sz w:val="21"/>
              </w:rPr>
            </w:pPr>
            <w:r>
              <w:rPr>
                <w:w w:val="99"/>
                <w:sz w:val="21"/>
              </w:rPr>
              <w:t>Ⅱ</w:t>
            </w:r>
          </w:p>
        </w:tc>
        <w:tc>
          <w:tcPr>
            <w:tcW w:w="1712" w:type="dxa"/>
          </w:tcPr>
          <w:p>
            <w:pPr>
              <w:pStyle w:val="18"/>
              <w:spacing w:before="34"/>
              <w:ind w:left="6"/>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8"/>
              <w:spacing w:before="34"/>
              <w:ind w:left="95" w:right="89"/>
              <w:rPr>
                <w:sz w:val="21"/>
              </w:rPr>
            </w:pPr>
            <w:r>
              <w:rPr>
                <w:sz w:val="21"/>
              </w:rPr>
              <w:t>评价工作等级</w:t>
            </w:r>
          </w:p>
        </w:tc>
        <w:tc>
          <w:tcPr>
            <w:tcW w:w="1712" w:type="dxa"/>
          </w:tcPr>
          <w:p>
            <w:pPr>
              <w:pStyle w:val="18"/>
              <w:spacing w:before="34"/>
              <w:ind w:left="6"/>
              <w:rPr>
                <w:sz w:val="21"/>
              </w:rPr>
            </w:pPr>
            <w:r>
              <w:rPr>
                <w:w w:val="99"/>
                <w:sz w:val="21"/>
              </w:rPr>
              <w:t>一</w:t>
            </w:r>
          </w:p>
        </w:tc>
        <w:tc>
          <w:tcPr>
            <w:tcW w:w="1712" w:type="dxa"/>
          </w:tcPr>
          <w:p>
            <w:pPr>
              <w:pStyle w:val="18"/>
              <w:spacing w:before="34"/>
              <w:ind w:left="9"/>
              <w:rPr>
                <w:sz w:val="21"/>
              </w:rPr>
            </w:pPr>
            <w:r>
              <w:rPr>
                <w:w w:val="99"/>
                <w:sz w:val="21"/>
              </w:rPr>
              <w:t>二</w:t>
            </w:r>
          </w:p>
        </w:tc>
        <w:tc>
          <w:tcPr>
            <w:tcW w:w="1712" w:type="dxa"/>
          </w:tcPr>
          <w:p>
            <w:pPr>
              <w:pStyle w:val="18"/>
              <w:spacing w:before="34"/>
              <w:ind w:left="8"/>
              <w:rPr>
                <w:sz w:val="21"/>
              </w:rPr>
            </w:pPr>
            <w:r>
              <w:rPr>
                <w:w w:val="99"/>
                <w:sz w:val="21"/>
              </w:rPr>
              <w:t>三</w:t>
            </w:r>
          </w:p>
        </w:tc>
        <w:tc>
          <w:tcPr>
            <w:tcW w:w="1712" w:type="dxa"/>
          </w:tcPr>
          <w:p>
            <w:pPr>
              <w:pStyle w:val="18"/>
              <w:spacing w:before="34"/>
              <w:ind w:left="334" w:right="325"/>
              <w:rPr>
                <w:rFonts w:ascii="Times New Roman" w:eastAsia="Times New Roman"/>
                <w:sz w:val="13"/>
              </w:rPr>
            </w:pPr>
            <w:r>
              <w:rPr>
                <w:sz w:val="21"/>
              </w:rPr>
              <w:t>简单分析</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98" w:type="dxa"/>
            <w:gridSpan w:val="5"/>
          </w:tcPr>
          <w:p>
            <w:pPr>
              <w:pStyle w:val="18"/>
              <w:spacing w:line="240" w:lineRule="exact"/>
              <w:ind w:left="107" w:right="29"/>
              <w:jc w:val="left"/>
              <w:rPr>
                <w:sz w:val="21"/>
              </w:rPr>
            </w:pPr>
            <w:r>
              <w:rPr>
                <w:rFonts w:ascii="Times New Roman" w:eastAsia="Times New Roman"/>
                <w:sz w:val="21"/>
              </w:rPr>
              <w:t>a</w:t>
            </w:r>
            <w:r>
              <w:rPr>
                <w:sz w:val="21"/>
              </w:rPr>
              <w:t>是相对于详细评价工作内容而言，在描述危险物质、环境影响途径、环境危险后果、风险防范措施等方面给出定性的说明。</w:t>
            </w:r>
          </w:p>
        </w:tc>
      </w:tr>
    </w:tbl>
    <w:p>
      <w:pPr>
        <w:pStyle w:val="7"/>
        <w:spacing w:before="6"/>
        <w:ind w:left="0"/>
        <w:rPr>
          <w:b/>
          <w:sz w:val="18"/>
        </w:rPr>
      </w:pPr>
    </w:p>
    <w:p>
      <w:pPr>
        <w:pStyle w:val="7"/>
        <w:spacing w:line="364" w:lineRule="auto"/>
        <w:ind w:right="485" w:firstLine="480"/>
      </w:pPr>
      <w:r>
        <w:t>根据建设项目涉及的物质和工艺系统的危险性及其所在地的环境敏感程度，结合事故情形下环境影响途径，对建设项目潜在环境危害程度进行概化分析，按照建设项目环境风险潜势划分依据进行确定，潜势划分依据见表</w:t>
      </w:r>
      <w:r>
        <w:rPr>
          <w:rFonts w:ascii="Times New Roman" w:eastAsia="Times New Roman"/>
        </w:rPr>
        <w:t>2.6-13</w:t>
      </w:r>
      <w:r>
        <w:t>。</w:t>
      </w:r>
    </w:p>
    <w:p>
      <w:pPr>
        <w:tabs>
          <w:tab w:val="left" w:pos="3952"/>
        </w:tabs>
        <w:spacing w:before="79" w:after="3"/>
        <w:ind w:left="2313"/>
        <w:jc w:val="left"/>
      </w:pPr>
      <w:r>
        <w:t>表</w:t>
      </w:r>
      <w:r>
        <w:rPr>
          <w:rFonts w:ascii="Times New Roman" w:eastAsia="Times New Roman"/>
        </w:rPr>
        <w:t>2.6-13</w:t>
      </w:r>
      <w:r>
        <w:rPr>
          <w:rFonts w:ascii="Times New Roman" w:eastAsia="Times New Roman"/>
        </w:rPr>
        <w:tab/>
      </w:r>
      <w:r>
        <w:t>建设项目环境风险潜势划分表</w:t>
      </w:r>
    </w:p>
    <w:tbl>
      <w:tblPr>
        <w:tblStyle w:val="14"/>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5"/>
        <w:gridCol w:w="1541"/>
        <w:gridCol w:w="1527"/>
        <w:gridCol w:w="1595"/>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8"/>
              <w:spacing w:before="29"/>
              <w:ind w:left="31" w:right="24"/>
              <w:rPr>
                <w:sz w:val="21"/>
              </w:rPr>
            </w:pPr>
            <w:r>
              <w:rPr>
                <w:sz w:val="21"/>
              </w:rPr>
              <w:t>环境敏感程度（</w:t>
            </w:r>
            <w:r>
              <w:rPr>
                <w:rFonts w:ascii="Times New Roman" w:eastAsia="Times New Roman"/>
                <w:sz w:val="21"/>
              </w:rPr>
              <w:t>E</w:t>
            </w:r>
            <w:r>
              <w:rPr>
                <w:sz w:val="21"/>
              </w:rPr>
              <w:t>）</w:t>
            </w:r>
          </w:p>
        </w:tc>
        <w:tc>
          <w:tcPr>
            <w:tcW w:w="6273" w:type="dxa"/>
            <w:gridSpan w:val="4"/>
          </w:tcPr>
          <w:p>
            <w:pPr>
              <w:pStyle w:val="18"/>
              <w:spacing w:before="29"/>
              <w:ind w:left="1607"/>
              <w:jc w:val="left"/>
              <w:rPr>
                <w:sz w:val="21"/>
              </w:rPr>
            </w:pPr>
            <w:r>
              <w:rPr>
                <w:sz w:val="21"/>
              </w:rPr>
              <w:t>危害物质及工艺系统危害性（</w:t>
            </w:r>
            <w:r>
              <w:rPr>
                <w:rFonts w:ascii="Times New Roman" w:eastAsia="Times New Roman"/>
                <w:sz w:val="21"/>
              </w:rPr>
              <w:t>P</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8"/>
              <w:spacing w:before="30"/>
              <w:ind w:left="31" w:right="24"/>
              <w:rPr>
                <w:sz w:val="21"/>
              </w:rPr>
            </w:pPr>
            <w:r>
              <w:rPr>
                <w:sz w:val="21"/>
              </w:rPr>
              <w:t>评价工作等级</w:t>
            </w:r>
          </w:p>
        </w:tc>
        <w:tc>
          <w:tcPr>
            <w:tcW w:w="1541" w:type="dxa"/>
          </w:tcPr>
          <w:p>
            <w:pPr>
              <w:pStyle w:val="18"/>
              <w:spacing w:before="30"/>
              <w:ind w:left="128" w:right="6"/>
              <w:rPr>
                <w:sz w:val="21"/>
              </w:rPr>
            </w:pPr>
            <w:r>
              <w:rPr>
                <w:spacing w:val="-13"/>
                <w:w w:val="95"/>
                <w:sz w:val="21"/>
              </w:rPr>
              <w:t>极高危害</w:t>
            </w:r>
            <w:r>
              <w:rPr>
                <w:w w:val="95"/>
                <w:sz w:val="21"/>
              </w:rPr>
              <w:t>（</w:t>
            </w:r>
            <w:r>
              <w:rPr>
                <w:rFonts w:ascii="Times New Roman" w:eastAsia="Times New Roman"/>
                <w:w w:val="95"/>
                <w:sz w:val="21"/>
              </w:rPr>
              <w:t>P1</w:t>
            </w:r>
            <w:r>
              <w:rPr>
                <w:w w:val="95"/>
                <w:sz w:val="21"/>
              </w:rPr>
              <w:t>）</w:t>
            </w:r>
          </w:p>
        </w:tc>
        <w:tc>
          <w:tcPr>
            <w:tcW w:w="1527" w:type="dxa"/>
          </w:tcPr>
          <w:p>
            <w:pPr>
              <w:pStyle w:val="18"/>
              <w:spacing w:before="30"/>
              <w:ind w:left="107" w:right="-15"/>
              <w:jc w:val="left"/>
              <w:rPr>
                <w:sz w:val="21"/>
              </w:rPr>
            </w:pPr>
            <w:r>
              <w:rPr>
                <w:spacing w:val="-16"/>
                <w:sz w:val="21"/>
              </w:rPr>
              <w:t>高度危害</w:t>
            </w:r>
            <w:r>
              <w:rPr>
                <w:sz w:val="21"/>
              </w:rPr>
              <w:t>（</w:t>
            </w:r>
            <w:r>
              <w:rPr>
                <w:rFonts w:ascii="Times New Roman" w:eastAsia="Times New Roman"/>
                <w:sz w:val="21"/>
              </w:rPr>
              <w:t>P2</w:t>
            </w:r>
            <w:r>
              <w:rPr>
                <w:sz w:val="21"/>
              </w:rPr>
              <w:t>）</w:t>
            </w:r>
          </w:p>
        </w:tc>
        <w:tc>
          <w:tcPr>
            <w:tcW w:w="1595" w:type="dxa"/>
          </w:tcPr>
          <w:p>
            <w:pPr>
              <w:pStyle w:val="18"/>
              <w:spacing w:before="30"/>
              <w:ind w:left="106" w:right="-15"/>
              <w:jc w:val="left"/>
              <w:rPr>
                <w:sz w:val="21"/>
              </w:rPr>
            </w:pPr>
            <w:r>
              <w:rPr>
                <w:sz w:val="21"/>
              </w:rPr>
              <w:t>中度危害（</w:t>
            </w:r>
            <w:r>
              <w:rPr>
                <w:rFonts w:ascii="Times New Roman" w:eastAsia="Times New Roman"/>
                <w:sz w:val="21"/>
              </w:rPr>
              <w:t>P3</w:t>
            </w:r>
            <w:r>
              <w:rPr>
                <w:sz w:val="21"/>
              </w:rPr>
              <w:t>）</w:t>
            </w:r>
          </w:p>
        </w:tc>
        <w:tc>
          <w:tcPr>
            <w:tcW w:w="1610" w:type="dxa"/>
          </w:tcPr>
          <w:p>
            <w:pPr>
              <w:pStyle w:val="18"/>
              <w:spacing w:before="30"/>
              <w:ind w:left="107"/>
              <w:jc w:val="left"/>
              <w:rPr>
                <w:sz w:val="21"/>
              </w:rPr>
            </w:pPr>
            <w:r>
              <w:rPr>
                <w:sz w:val="21"/>
              </w:rPr>
              <w:t>轻度危害（</w:t>
            </w:r>
            <w:r>
              <w:rPr>
                <w:rFonts w:ascii="Times New Roman" w:eastAsia="Times New Roman"/>
                <w:sz w:val="21"/>
              </w:rPr>
              <w:t>P4</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8"/>
              <w:spacing w:before="30"/>
              <w:ind w:left="146" w:right="24"/>
              <w:rPr>
                <w:sz w:val="21"/>
              </w:rPr>
            </w:pPr>
            <w:r>
              <w:rPr>
                <w:spacing w:val="-2"/>
                <w:w w:val="95"/>
                <w:sz w:val="21"/>
              </w:rPr>
              <w:t>环境高度敏感区</w:t>
            </w:r>
            <w:r>
              <w:rPr>
                <w:w w:val="95"/>
                <w:sz w:val="21"/>
              </w:rPr>
              <w:t>（</w:t>
            </w:r>
            <w:r>
              <w:rPr>
                <w:rFonts w:ascii="Times New Roman" w:eastAsia="Times New Roman"/>
                <w:w w:val="95"/>
                <w:sz w:val="21"/>
              </w:rPr>
              <w:t>E1</w:t>
            </w:r>
            <w:r>
              <w:rPr>
                <w:w w:val="95"/>
                <w:sz w:val="21"/>
              </w:rPr>
              <w:t>）</w:t>
            </w:r>
          </w:p>
        </w:tc>
        <w:tc>
          <w:tcPr>
            <w:tcW w:w="1541" w:type="dxa"/>
          </w:tcPr>
          <w:p>
            <w:pPr>
              <w:pStyle w:val="18"/>
              <w:spacing w:before="31"/>
              <w:ind w:left="15" w:right="6"/>
              <w:rPr>
                <w:rFonts w:ascii="Times New Roman" w:hAnsi="Times New Roman"/>
                <w:sz w:val="13"/>
              </w:rPr>
            </w:pPr>
            <w:r>
              <w:rPr>
                <w:position w:val="-6"/>
                <w:sz w:val="21"/>
              </w:rPr>
              <w:t>Ⅵ</w:t>
            </w:r>
            <w:r>
              <w:rPr>
                <w:rFonts w:ascii="Times New Roman" w:hAnsi="Times New Roman"/>
                <w:sz w:val="13"/>
              </w:rPr>
              <w:t>+</w:t>
            </w:r>
          </w:p>
        </w:tc>
        <w:tc>
          <w:tcPr>
            <w:tcW w:w="1527" w:type="dxa"/>
          </w:tcPr>
          <w:p>
            <w:pPr>
              <w:pStyle w:val="18"/>
              <w:spacing w:before="30"/>
              <w:ind w:left="5"/>
              <w:rPr>
                <w:sz w:val="21"/>
              </w:rPr>
            </w:pPr>
            <w:r>
              <w:rPr>
                <w:w w:val="99"/>
                <w:sz w:val="21"/>
              </w:rPr>
              <w:t>Ⅳ</w:t>
            </w:r>
          </w:p>
        </w:tc>
        <w:tc>
          <w:tcPr>
            <w:tcW w:w="1595" w:type="dxa"/>
          </w:tcPr>
          <w:p>
            <w:pPr>
              <w:pStyle w:val="18"/>
              <w:spacing w:before="30"/>
              <w:ind w:left="8"/>
              <w:rPr>
                <w:sz w:val="21"/>
              </w:rPr>
            </w:pPr>
            <w:r>
              <w:rPr>
                <w:w w:val="99"/>
                <w:sz w:val="21"/>
              </w:rPr>
              <w:t>Ⅲ</w:t>
            </w:r>
          </w:p>
        </w:tc>
        <w:tc>
          <w:tcPr>
            <w:tcW w:w="1610" w:type="dxa"/>
          </w:tcPr>
          <w:p>
            <w:pPr>
              <w:pStyle w:val="18"/>
              <w:spacing w:before="30"/>
              <w:ind w:left="10"/>
              <w:rPr>
                <w:sz w:val="21"/>
              </w:rPr>
            </w:pPr>
            <w:r>
              <w:rPr>
                <w:w w:val="99"/>
                <w:sz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8"/>
              <w:spacing w:before="29"/>
              <w:ind w:left="146" w:right="24"/>
              <w:rPr>
                <w:sz w:val="21"/>
              </w:rPr>
            </w:pPr>
            <w:r>
              <w:rPr>
                <w:spacing w:val="-2"/>
                <w:w w:val="95"/>
                <w:sz w:val="21"/>
              </w:rPr>
              <w:t>环境中度敏感区</w:t>
            </w:r>
            <w:r>
              <w:rPr>
                <w:w w:val="95"/>
                <w:sz w:val="21"/>
              </w:rPr>
              <w:t>（</w:t>
            </w:r>
            <w:r>
              <w:rPr>
                <w:rFonts w:ascii="Times New Roman" w:eastAsia="Times New Roman"/>
                <w:w w:val="95"/>
                <w:sz w:val="21"/>
              </w:rPr>
              <w:t>E2</w:t>
            </w:r>
            <w:r>
              <w:rPr>
                <w:w w:val="95"/>
                <w:sz w:val="21"/>
              </w:rPr>
              <w:t>）</w:t>
            </w:r>
          </w:p>
        </w:tc>
        <w:tc>
          <w:tcPr>
            <w:tcW w:w="1541" w:type="dxa"/>
          </w:tcPr>
          <w:p>
            <w:pPr>
              <w:pStyle w:val="18"/>
              <w:spacing w:before="29"/>
              <w:ind w:left="6"/>
              <w:rPr>
                <w:sz w:val="21"/>
              </w:rPr>
            </w:pPr>
            <w:r>
              <w:rPr>
                <w:w w:val="99"/>
                <w:sz w:val="21"/>
              </w:rPr>
              <w:t>Ⅳ</w:t>
            </w:r>
          </w:p>
        </w:tc>
        <w:tc>
          <w:tcPr>
            <w:tcW w:w="1527" w:type="dxa"/>
          </w:tcPr>
          <w:p>
            <w:pPr>
              <w:pStyle w:val="18"/>
              <w:spacing w:before="29"/>
              <w:ind w:left="5"/>
              <w:rPr>
                <w:sz w:val="21"/>
              </w:rPr>
            </w:pPr>
            <w:r>
              <w:rPr>
                <w:w w:val="99"/>
                <w:sz w:val="21"/>
              </w:rPr>
              <w:t>Ⅲ</w:t>
            </w:r>
          </w:p>
        </w:tc>
        <w:tc>
          <w:tcPr>
            <w:tcW w:w="1595" w:type="dxa"/>
          </w:tcPr>
          <w:p>
            <w:pPr>
              <w:pStyle w:val="18"/>
              <w:spacing w:before="29"/>
              <w:ind w:left="8"/>
              <w:rPr>
                <w:sz w:val="21"/>
              </w:rPr>
            </w:pPr>
            <w:r>
              <w:rPr>
                <w:w w:val="99"/>
                <w:sz w:val="21"/>
              </w:rPr>
              <w:t>Ⅲ</w:t>
            </w:r>
          </w:p>
        </w:tc>
        <w:tc>
          <w:tcPr>
            <w:tcW w:w="1610" w:type="dxa"/>
          </w:tcPr>
          <w:p>
            <w:pPr>
              <w:pStyle w:val="18"/>
              <w:spacing w:before="29"/>
              <w:ind w:left="10"/>
              <w:rPr>
                <w:sz w:val="21"/>
              </w:rPr>
            </w:pPr>
            <w:r>
              <w:rPr>
                <w:w w:val="99"/>
                <w:sz w:val="21"/>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8"/>
              <w:spacing w:before="30"/>
              <w:ind w:left="146" w:right="24"/>
              <w:rPr>
                <w:sz w:val="21"/>
              </w:rPr>
            </w:pPr>
            <w:r>
              <w:rPr>
                <w:spacing w:val="-2"/>
                <w:w w:val="95"/>
                <w:sz w:val="21"/>
              </w:rPr>
              <w:t>环境低度敏感区</w:t>
            </w:r>
            <w:r>
              <w:rPr>
                <w:w w:val="95"/>
                <w:sz w:val="21"/>
              </w:rPr>
              <w:t>（</w:t>
            </w:r>
            <w:r>
              <w:rPr>
                <w:rFonts w:ascii="Times New Roman" w:eastAsia="Times New Roman"/>
                <w:w w:val="95"/>
                <w:sz w:val="21"/>
              </w:rPr>
              <w:t>E3</w:t>
            </w:r>
            <w:r>
              <w:rPr>
                <w:w w:val="95"/>
                <w:sz w:val="21"/>
              </w:rPr>
              <w:t>）</w:t>
            </w:r>
          </w:p>
        </w:tc>
        <w:tc>
          <w:tcPr>
            <w:tcW w:w="1541" w:type="dxa"/>
          </w:tcPr>
          <w:p>
            <w:pPr>
              <w:pStyle w:val="18"/>
              <w:spacing w:before="30"/>
              <w:ind w:left="6"/>
              <w:rPr>
                <w:sz w:val="21"/>
              </w:rPr>
            </w:pPr>
            <w:r>
              <w:rPr>
                <w:w w:val="99"/>
                <w:sz w:val="21"/>
              </w:rPr>
              <w:t>Ⅲ</w:t>
            </w:r>
          </w:p>
        </w:tc>
        <w:tc>
          <w:tcPr>
            <w:tcW w:w="1527" w:type="dxa"/>
          </w:tcPr>
          <w:p>
            <w:pPr>
              <w:pStyle w:val="18"/>
              <w:spacing w:before="30"/>
              <w:ind w:left="5"/>
              <w:rPr>
                <w:sz w:val="21"/>
              </w:rPr>
            </w:pPr>
            <w:r>
              <w:rPr>
                <w:w w:val="99"/>
                <w:sz w:val="21"/>
              </w:rPr>
              <w:t>Ⅲ</w:t>
            </w:r>
          </w:p>
        </w:tc>
        <w:tc>
          <w:tcPr>
            <w:tcW w:w="1595" w:type="dxa"/>
          </w:tcPr>
          <w:p>
            <w:pPr>
              <w:pStyle w:val="18"/>
              <w:spacing w:before="30"/>
              <w:ind w:left="8"/>
              <w:rPr>
                <w:sz w:val="21"/>
              </w:rPr>
            </w:pPr>
            <w:r>
              <w:rPr>
                <w:w w:val="99"/>
                <w:sz w:val="21"/>
              </w:rPr>
              <w:t>Ⅱ</w:t>
            </w:r>
          </w:p>
        </w:tc>
        <w:tc>
          <w:tcPr>
            <w:tcW w:w="1610" w:type="dxa"/>
          </w:tcPr>
          <w:p>
            <w:pPr>
              <w:pStyle w:val="18"/>
              <w:spacing w:before="30"/>
              <w:ind w:left="10"/>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498" w:type="dxa"/>
            <w:gridSpan w:val="5"/>
          </w:tcPr>
          <w:p>
            <w:pPr>
              <w:pStyle w:val="18"/>
              <w:spacing w:before="31"/>
              <w:ind w:left="107"/>
              <w:jc w:val="left"/>
              <w:rPr>
                <w:sz w:val="21"/>
              </w:rPr>
            </w:pPr>
            <w:r>
              <w:rPr>
                <w:sz w:val="21"/>
              </w:rPr>
              <w:t>注：Ⅵ</w:t>
            </w:r>
            <w:r>
              <w:rPr>
                <w:rFonts w:ascii="Times New Roman" w:hAnsi="Times New Roman" w:eastAsia="Times New Roman"/>
                <w:position w:val="7"/>
                <w:sz w:val="13"/>
              </w:rPr>
              <w:t>+</w:t>
            </w:r>
            <w:r>
              <w:rPr>
                <w:sz w:val="21"/>
              </w:rPr>
              <w:t>为极高环境风险</w:t>
            </w:r>
          </w:p>
        </w:tc>
      </w:tr>
    </w:tbl>
    <w:p>
      <w:pPr>
        <w:pStyle w:val="7"/>
        <w:spacing w:before="143" w:line="364" w:lineRule="auto"/>
        <w:ind w:right="572" w:firstLine="480"/>
        <w:jc w:val="both"/>
      </w:pPr>
      <w:r>
        <w:rPr>
          <w:spacing w:val="-20"/>
        </w:rPr>
        <w:t>根据</w:t>
      </w:r>
      <w:r>
        <w:rPr>
          <w:rFonts w:ascii="Times New Roman" w:eastAsia="Times New Roman"/>
        </w:rPr>
        <w:t>HJ169-2018</w:t>
      </w:r>
      <w:r>
        <w:rPr>
          <w:spacing w:val="-20"/>
        </w:rPr>
        <w:t>附录</w:t>
      </w:r>
      <w:r>
        <w:rPr>
          <w:rFonts w:ascii="Times New Roman" w:eastAsia="Times New Roman"/>
        </w:rPr>
        <w:t>C</w:t>
      </w:r>
      <w:r>
        <w:rPr>
          <w:spacing w:val="-1"/>
        </w:rPr>
        <w:t>计算所涉及的每种危险物质在厂界内的最大存在总</w:t>
      </w:r>
      <w:r>
        <w:rPr>
          <w:spacing w:val="-7"/>
        </w:rPr>
        <w:t>量与其在附录</w:t>
      </w:r>
      <w:r>
        <w:rPr>
          <w:rFonts w:ascii="Times New Roman" w:eastAsia="Times New Roman"/>
        </w:rPr>
        <w:t>B</w:t>
      </w:r>
      <w:r>
        <w:rPr>
          <w:spacing w:val="-5"/>
        </w:rPr>
        <w:t>中对应临界量的比值</w:t>
      </w:r>
      <w:r>
        <w:rPr>
          <w:rFonts w:ascii="Times New Roman" w:eastAsia="Times New Roman"/>
          <w:spacing w:val="4"/>
        </w:rPr>
        <w:t>Q</w:t>
      </w:r>
      <w:r>
        <w:t>。在不同场区的同一种物质，按其在厂界内的最大存在总量计算。</w:t>
      </w:r>
    </w:p>
    <w:p>
      <w:pPr>
        <w:spacing w:before="54" w:line="349" w:lineRule="exact"/>
        <w:ind w:left="0" w:right="113" w:firstLine="0"/>
        <w:jc w:val="center"/>
        <w:rPr>
          <w:rFonts w:ascii="Times New Roman" w:hAnsi="Times New Roman"/>
          <w:sz w:val="14"/>
        </w:rPr>
      </w:pPr>
      <w:r>
        <mc:AlternateContent>
          <mc:Choice Requires="wps">
            <w:drawing>
              <wp:anchor distT="0" distB="0" distL="114300" distR="114300" simplePos="0" relativeHeight="251670528" behindDoc="0" locked="0" layoutInCell="1" allowOverlap="1">
                <wp:simplePos x="0" y="0"/>
                <wp:positionH relativeFrom="page">
                  <wp:posOffset>3368675</wp:posOffset>
                </wp:positionH>
                <wp:positionV relativeFrom="paragraph">
                  <wp:posOffset>233045</wp:posOffset>
                </wp:positionV>
                <wp:extent cx="162560" cy="0"/>
                <wp:effectExtent l="0" t="0" r="0" b="0"/>
                <wp:wrapNone/>
                <wp:docPr id="103" name="直线 36"/>
                <wp:cNvGraphicFramePr/>
                <a:graphic xmlns:a="http://schemas.openxmlformats.org/drawingml/2006/main">
                  <a:graphicData uri="http://schemas.microsoft.com/office/word/2010/wordprocessingShape">
                    <wps:wsp>
                      <wps:cNvCnPr/>
                      <wps:spPr>
                        <a:xfrm>
                          <a:off x="0" y="0"/>
                          <a:ext cx="16256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6" o:spid="_x0000_s1026" o:spt="20" style="position:absolute;left:0pt;margin-left:265.25pt;margin-top:18.35pt;height:0pt;width:12.8pt;mso-position-horizontal-relative:page;z-index:251670528;mso-width-relative:page;mso-height-relative:page;" filled="f" stroked="t" coordsize="21600,21600" o:gfxdata="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y9qZzUAAAACQEAAA8AAAAAAAAAAQAgAAAAIgAAAGRycy9k&#10;b3ducmV2LnhtbFBLAQIUABQAAAAIAIdO4kCXOrzrzQEAAI8DAAAOAAAAAAAAAAEAIAAAACMBAABk&#10;cnMvZTJvRG9jLnhtbFBLBQYAAAAABgAGAFkBAABi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page">
                  <wp:posOffset>3677285</wp:posOffset>
                </wp:positionH>
                <wp:positionV relativeFrom="paragraph">
                  <wp:posOffset>233045</wp:posOffset>
                </wp:positionV>
                <wp:extent cx="179705" cy="0"/>
                <wp:effectExtent l="0" t="0" r="0" b="0"/>
                <wp:wrapNone/>
                <wp:docPr id="104" name="直线 37"/>
                <wp:cNvGraphicFramePr/>
                <a:graphic xmlns:a="http://schemas.openxmlformats.org/drawingml/2006/main">
                  <a:graphicData uri="http://schemas.microsoft.com/office/word/2010/wordprocessingShape">
                    <wps:wsp>
                      <wps:cNvCnPr/>
                      <wps:spPr>
                        <a:xfrm>
                          <a:off x="0" y="0"/>
                          <a:ext cx="17970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7" o:spid="_x0000_s1026" o:spt="20" style="position:absolute;left:0pt;margin-left:289.55pt;margin-top:18.35pt;height:0pt;width:14.15pt;mso-position-horizontal-relative:page;z-index:251671552;mso-width-relative:page;mso-height-relative:page;" filled="f" stroked="t" coordsize="21600,21600" o:gfxdata="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&#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Xp7R1QAAAAkBAAAPAAAAAAAAAAEAIAAAACIAAABk&#10;cnMvZG93bnJldi54bWxQSwECFAAUAAAACACHTuJAk6pfIdABAACPAwAADgAAAAAAAAABACAAAAAk&#10;AQAAZHJzL2Uyb0RvYy54bWxQSwUGAAAAAAYABgBZAQAAZg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page">
                  <wp:posOffset>4267200</wp:posOffset>
                </wp:positionH>
                <wp:positionV relativeFrom="paragraph">
                  <wp:posOffset>233045</wp:posOffset>
                </wp:positionV>
                <wp:extent cx="184150" cy="0"/>
                <wp:effectExtent l="0" t="0" r="0" b="0"/>
                <wp:wrapNone/>
                <wp:docPr id="105" name="直线 38"/>
                <wp:cNvGraphicFramePr/>
                <a:graphic xmlns:a="http://schemas.openxmlformats.org/drawingml/2006/main">
                  <a:graphicData uri="http://schemas.microsoft.com/office/word/2010/wordprocessingShape">
                    <wps:wsp>
                      <wps:cNvCnPr/>
                      <wps:spPr>
                        <a:xfrm>
                          <a:off x="0" y="0"/>
                          <a:ext cx="18415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8" o:spid="_x0000_s1026" o:spt="20" style="position:absolute;left:0pt;margin-left:336pt;margin-top:18.35pt;height:0pt;width:14.5pt;mso-position-horizontal-relative:page;z-index:251672576;mso-width-relative:page;mso-height-relative:page;" filled="f" stroked="t" coordsize="21600,21600" o:gfxdata="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tKNO9UAAAAJAQAADwAAAAAAAAABACAAAAAiAAAAZHJz&#10;L2Rvd25yZXYueG1sUEsBAhQAFAAAAAgAh07iQJcpT4fOAQAAjwMAAA4AAAAAAAAAAQAgAAAAJAEA&#10;AGRycy9lMm9Eb2MueG1sUEsFBgAAAAAGAAYAWQEAAGQFAAAAAA==&#10;">
                <v:fill on="f" focussize="0,0"/>
                <v:stroke weight="0.5pt" color="#000000" joinstyle="round"/>
                <v:imagedata o:title=""/>
                <o:lock v:ext="edit" aspectratio="f"/>
              </v:line>
            </w:pict>
          </mc:Fallback>
        </mc:AlternateContent>
      </w:r>
      <w:r>
        <w:rPr>
          <w:rFonts w:ascii="Times New Roman" w:hAnsi="Times New Roman"/>
          <w:i/>
          <w:sz w:val="24"/>
        </w:rPr>
        <w:t>Q</w:t>
      </w:r>
      <w:r>
        <w:rPr>
          <w:rFonts w:ascii="Symbol" w:hAnsi="Symbol"/>
          <w:sz w:val="24"/>
        </w:rPr>
        <w:t></w:t>
      </w:r>
      <w:r>
        <w:rPr>
          <w:rFonts w:ascii="Times New Roman" w:hAnsi="Times New Roman"/>
          <w:i/>
          <w:spacing w:val="-6"/>
          <w:position w:val="15"/>
          <w:sz w:val="24"/>
        </w:rPr>
        <w:t>q</w:t>
      </w:r>
      <w:r>
        <w:rPr>
          <w:rFonts w:ascii="Times New Roman" w:hAnsi="Times New Roman"/>
          <w:spacing w:val="-6"/>
          <w:position w:val="9"/>
          <w:sz w:val="14"/>
        </w:rPr>
        <w:t>1</w:t>
      </w:r>
      <w:r>
        <w:rPr>
          <w:rFonts w:ascii="Symbol" w:hAnsi="Symbol"/>
          <w:sz w:val="24"/>
        </w:rPr>
        <w:t></w:t>
      </w:r>
      <w:r>
        <w:rPr>
          <w:rFonts w:ascii="Times New Roman" w:hAnsi="Times New Roman"/>
          <w:i/>
          <w:position w:val="15"/>
          <w:sz w:val="24"/>
        </w:rPr>
        <w:t>q</w:t>
      </w:r>
      <w:r>
        <w:rPr>
          <w:rFonts w:ascii="Times New Roman" w:hAnsi="Times New Roman"/>
          <w:position w:val="9"/>
          <w:sz w:val="14"/>
        </w:rPr>
        <w:t>2</w:t>
      </w:r>
      <w:r>
        <w:rPr>
          <w:rFonts w:ascii="Symbol" w:hAnsi="Symbol"/>
          <w:spacing w:val="15"/>
          <w:sz w:val="24"/>
        </w:rPr>
        <w:t></w:t>
      </w:r>
      <w:r>
        <w:rPr>
          <w:rFonts w:ascii="MT Extra" w:hAnsi="MT Extra"/>
          <w:spacing w:val="15"/>
          <w:sz w:val="24"/>
        </w:rPr>
        <w:t></w:t>
      </w:r>
      <w:r>
        <w:rPr>
          <w:rFonts w:ascii="Symbol" w:hAnsi="Symbol"/>
          <w:spacing w:val="15"/>
          <w:sz w:val="24"/>
        </w:rPr>
        <w:t></w:t>
      </w:r>
      <w:r>
        <w:rPr>
          <w:rFonts w:ascii="Times New Roman" w:hAnsi="Times New Roman"/>
          <w:i/>
          <w:position w:val="15"/>
          <w:sz w:val="24"/>
        </w:rPr>
        <w:t>q</w:t>
      </w:r>
      <w:r>
        <w:rPr>
          <w:rFonts w:ascii="Times New Roman" w:hAnsi="Times New Roman"/>
          <w:position w:val="9"/>
          <w:sz w:val="14"/>
        </w:rPr>
        <w:t>n</w:t>
      </w:r>
    </w:p>
    <w:p>
      <w:pPr>
        <w:tabs>
          <w:tab w:val="left" w:pos="821"/>
          <w:tab w:val="left" w:pos="1749"/>
        </w:tabs>
        <w:spacing w:before="0" w:line="303" w:lineRule="exact"/>
        <w:ind w:left="335" w:right="0" w:firstLine="0"/>
        <w:jc w:val="center"/>
        <w:rPr>
          <w:rFonts w:ascii="Times New Roman"/>
          <w:sz w:val="14"/>
        </w:rPr>
      </w:pPr>
      <w:r>
        <w:rPr>
          <w:rFonts w:ascii="Times New Roman"/>
          <w:i/>
          <w:spacing w:val="-10"/>
          <w:sz w:val="24"/>
        </w:rPr>
        <w:t>Q</w:t>
      </w:r>
      <w:r>
        <w:rPr>
          <w:rFonts w:ascii="Times New Roman"/>
          <w:spacing w:val="-10"/>
          <w:position w:val="-5"/>
          <w:sz w:val="14"/>
        </w:rPr>
        <w:t>1</w:t>
      </w:r>
      <w:r>
        <w:rPr>
          <w:rFonts w:ascii="Times New Roman"/>
          <w:spacing w:val="-10"/>
          <w:position w:val="-5"/>
          <w:sz w:val="14"/>
        </w:rPr>
        <w:tab/>
      </w:r>
      <w:r>
        <w:rPr>
          <w:rFonts w:ascii="Times New Roman"/>
          <w:i/>
          <w:sz w:val="24"/>
        </w:rPr>
        <w:t>Q</w:t>
      </w:r>
      <w:r>
        <w:rPr>
          <w:rFonts w:ascii="Times New Roman"/>
          <w:position w:val="-5"/>
          <w:sz w:val="14"/>
        </w:rPr>
        <w:t>2</w:t>
      </w:r>
      <w:r>
        <w:rPr>
          <w:rFonts w:ascii="Times New Roman"/>
          <w:position w:val="-5"/>
          <w:sz w:val="14"/>
        </w:rPr>
        <w:tab/>
      </w:r>
      <w:r>
        <w:rPr>
          <w:rFonts w:ascii="Times New Roman"/>
          <w:i/>
          <w:sz w:val="24"/>
        </w:rPr>
        <w:t>Q</w:t>
      </w:r>
      <w:r>
        <w:rPr>
          <w:rFonts w:ascii="Times New Roman"/>
          <w:position w:val="-5"/>
          <w:sz w:val="14"/>
        </w:rPr>
        <w:t>n</w:t>
      </w:r>
    </w:p>
    <w:p>
      <w:pPr>
        <w:pStyle w:val="7"/>
        <w:spacing w:before="8"/>
        <w:ind w:left="0"/>
        <w:rPr>
          <w:rFonts w:ascii="Times New Roman"/>
          <w:sz w:val="13"/>
        </w:rPr>
      </w:pPr>
    </w:p>
    <w:p>
      <w:pPr>
        <w:pStyle w:val="7"/>
        <w:spacing w:before="71"/>
        <w:ind w:left="1044"/>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7"/>
        <w:spacing w:before="156" w:line="364" w:lineRule="auto"/>
        <w:ind w:left="1800" w:right="2513" w:hanging="24"/>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1</w:t>
      </w:r>
      <w:r>
        <w:rPr>
          <w:vertAlign w:val="baseline"/>
        </w:rPr>
        <w:t>时，该项目环境风险潜势为Ⅰ；</w:t>
      </w:r>
    </w:p>
    <w:p>
      <w:pPr>
        <w:pStyle w:val="7"/>
        <w:ind w:left="1800"/>
      </w:pPr>
      <w:r>
        <w:t>当</w:t>
      </w:r>
      <w:r>
        <w:rPr>
          <w:rFonts w:ascii="Times New Roman" w:hAnsi="Times New Roman" w:eastAsia="Times New Roman"/>
        </w:rPr>
        <w:t>Q</w:t>
      </w:r>
      <w:r>
        <w:t>≥</w:t>
      </w:r>
      <w:r>
        <w:rPr>
          <w:rFonts w:ascii="Times New Roman" w:hAnsi="Times New Roman" w:eastAsia="Times New Roman"/>
        </w:rPr>
        <w:t>1</w:t>
      </w:r>
      <w:r>
        <w:t>时，将</w:t>
      </w:r>
      <w:r>
        <w:rPr>
          <w:rFonts w:ascii="Times New Roman" w:hAnsi="Times New Roman" w:eastAsia="Times New Roman"/>
        </w:rPr>
        <w:t>Q</w:t>
      </w:r>
      <w:r>
        <w:t>值划分为：（</w:t>
      </w:r>
      <w:r>
        <w:rPr>
          <w:rFonts w:ascii="Times New Roman" w:hAnsi="Times New Roman" w:eastAsia="Times New Roman"/>
        </w:rPr>
        <w:t>1</w:t>
      </w:r>
      <w:r>
        <w:t>）</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t>；（</w:t>
      </w:r>
      <w:r>
        <w:rPr>
          <w:rFonts w:ascii="Times New Roman" w:hAnsi="Times New Roman" w:eastAsia="Times New Roman"/>
        </w:rPr>
        <w:t>2</w:t>
      </w:r>
      <w:r>
        <w:t>）</w:t>
      </w:r>
      <w:r>
        <w:rPr>
          <w:rFonts w:ascii="Times New Roman" w:hAnsi="Times New Roman" w:eastAsia="Times New Roman"/>
        </w:rPr>
        <w:t>10</w:t>
      </w:r>
      <w:r>
        <w:t>≤</w:t>
      </w:r>
      <w:r>
        <w:rPr>
          <w:rFonts w:ascii="Times New Roman" w:hAnsi="Times New Roman" w:eastAsia="Times New Roman"/>
        </w:rPr>
        <w:t>Q</w:t>
      </w:r>
      <w:r>
        <w:t>＜</w:t>
      </w:r>
      <w:r>
        <w:rPr>
          <w:rFonts w:ascii="Times New Roman" w:hAnsi="Times New Roman" w:eastAsia="Times New Roman"/>
        </w:rPr>
        <w:t>100</w:t>
      </w:r>
      <w:r>
        <w:t>；</w:t>
      </w:r>
    </w:p>
    <w:p>
      <w:pPr>
        <w:pStyle w:val="7"/>
        <w:spacing w:before="160"/>
      </w:pPr>
      <w:r>
        <w:t>（</w:t>
      </w:r>
      <w:r>
        <w:rPr>
          <w:rFonts w:ascii="Times New Roman" w:hAnsi="Times New Roman" w:eastAsia="Times New Roman"/>
        </w:rPr>
        <w:t>3</w:t>
      </w:r>
      <w:r>
        <w:t>）</w:t>
      </w:r>
      <w:r>
        <w:rPr>
          <w:rFonts w:ascii="Times New Roman" w:hAnsi="Times New Roman" w:eastAsia="Times New Roman"/>
        </w:rPr>
        <w:t>Q</w:t>
      </w:r>
      <w:r>
        <w:t>≥</w:t>
      </w:r>
      <w:r>
        <w:rPr>
          <w:rFonts w:ascii="Times New Roman" w:hAnsi="Times New Roman" w:eastAsia="Times New Roman"/>
        </w:rPr>
        <w:t>100</w:t>
      </w:r>
      <w:r>
        <w:t>。</w:t>
      </w:r>
    </w:p>
    <w:p>
      <w:pPr>
        <w:pStyle w:val="7"/>
        <w:ind w:left="0"/>
        <w:rPr>
          <w:sz w:val="20"/>
        </w:rPr>
      </w:pPr>
      <w:r>
        <w:rPr>
          <w:spacing w:val="-6"/>
        </w:rPr>
        <w:t>本项目涉及的有毒有害物质主要为氨和硫化氢，本项目危险物质数量与临界</w:t>
      </w:r>
      <w:r>
        <w:rPr>
          <w:spacing w:val="-9"/>
        </w:rPr>
        <w:t>量的比值见表</w:t>
      </w:r>
      <w:r>
        <w:rPr>
          <w:rFonts w:ascii="Times New Roman" w:eastAsia="Times New Roman"/>
        </w:rPr>
        <w:t>2.6-14</w:t>
      </w:r>
      <w:r>
        <w:t>。</w:t>
      </w:r>
    </w:p>
    <w:p>
      <w:pPr>
        <w:pStyle w:val="7"/>
        <w:spacing w:before="9"/>
        <w:ind w:left="0"/>
        <w:rPr>
          <w:sz w:val="15"/>
        </w:rPr>
      </w:pPr>
    </w:p>
    <w:p>
      <w:pPr>
        <w:pStyle w:val="7"/>
        <w:bidi w:val="0"/>
        <w:jc w:val="center"/>
      </w:pPr>
      <w:r>
        <w:t>表</w:t>
      </w:r>
      <w:r>
        <w:rPr>
          <w:rFonts w:ascii="Times New Roman" w:eastAsia="Times New Roman"/>
        </w:rPr>
        <w:t>2.6-14</w:t>
      </w:r>
      <w:r>
        <w:rPr>
          <w:rFonts w:ascii="Times New Roman" w:eastAsia="Times New Roman"/>
        </w:rPr>
        <w:tab/>
      </w:r>
      <w:r>
        <w:t>本项目危险物质数量与临界量的比值</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740"/>
        <w:gridCol w:w="2010"/>
        <w:gridCol w:w="2580"/>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8"/>
              <w:spacing w:before="31"/>
              <w:ind w:left="305" w:right="297"/>
              <w:rPr>
                <w:b/>
                <w:sz w:val="21"/>
              </w:rPr>
            </w:pPr>
            <w:r>
              <w:rPr>
                <w:b/>
                <w:sz w:val="21"/>
              </w:rPr>
              <w:t>序号</w:t>
            </w:r>
          </w:p>
        </w:tc>
        <w:tc>
          <w:tcPr>
            <w:tcW w:w="1740" w:type="dxa"/>
          </w:tcPr>
          <w:p>
            <w:pPr>
              <w:pStyle w:val="18"/>
              <w:spacing w:before="31"/>
              <w:ind w:left="534" w:right="522"/>
              <w:rPr>
                <w:b/>
                <w:sz w:val="21"/>
              </w:rPr>
            </w:pPr>
            <w:r>
              <w:rPr>
                <w:b/>
                <w:sz w:val="21"/>
              </w:rPr>
              <w:t>危险物</w:t>
            </w:r>
          </w:p>
        </w:tc>
        <w:tc>
          <w:tcPr>
            <w:tcW w:w="2010" w:type="dxa"/>
          </w:tcPr>
          <w:p>
            <w:pPr>
              <w:pStyle w:val="18"/>
              <w:spacing w:before="31"/>
              <w:ind w:left="212" w:right="201"/>
              <w:rPr>
                <w:b/>
                <w:sz w:val="21"/>
              </w:rPr>
            </w:pPr>
            <w:r>
              <w:rPr>
                <w:b/>
                <w:sz w:val="21"/>
              </w:rPr>
              <w:t>临界量标准（</w:t>
            </w:r>
            <w:r>
              <w:rPr>
                <w:rFonts w:ascii="Times New Roman" w:eastAsia="Times New Roman"/>
                <w:b/>
                <w:sz w:val="21"/>
              </w:rPr>
              <w:t>t</w:t>
            </w:r>
            <w:r>
              <w:rPr>
                <w:b/>
                <w:sz w:val="21"/>
              </w:rPr>
              <w:t>）</w:t>
            </w:r>
          </w:p>
        </w:tc>
        <w:tc>
          <w:tcPr>
            <w:tcW w:w="2580" w:type="dxa"/>
          </w:tcPr>
          <w:p>
            <w:pPr>
              <w:pStyle w:val="18"/>
              <w:spacing w:before="26"/>
              <w:ind w:left="92" w:right="49"/>
              <w:rPr>
                <w:b/>
                <w:sz w:val="21"/>
              </w:rPr>
            </w:pPr>
            <w:r>
              <w:rPr>
                <w:b/>
                <w:sz w:val="21"/>
              </w:rPr>
              <w:t>拟建项目最大储存量（</w:t>
            </w:r>
            <w:r>
              <w:rPr>
                <w:rFonts w:ascii="Times New Roman" w:eastAsia="Times New Roman"/>
                <w:b/>
                <w:sz w:val="21"/>
              </w:rPr>
              <w:t>t</w:t>
            </w:r>
            <w:r>
              <w:rPr>
                <w:b/>
                <w:sz w:val="21"/>
              </w:rPr>
              <w:t>）</w:t>
            </w:r>
          </w:p>
        </w:tc>
        <w:tc>
          <w:tcPr>
            <w:tcW w:w="1118" w:type="dxa"/>
          </w:tcPr>
          <w:p>
            <w:pPr>
              <w:pStyle w:val="18"/>
              <w:spacing w:before="44"/>
              <w:ind w:left="477"/>
              <w:jc w:val="left"/>
              <w:rPr>
                <w:rFonts w:ascii="Times New Roman"/>
                <w:b/>
                <w:sz w:val="21"/>
              </w:rPr>
            </w:pPr>
            <w:r>
              <w:rPr>
                <w:rFonts w:ascii="Times New Roman"/>
                <w:b/>
                <w:w w:val="99"/>
                <w:sz w:val="21"/>
              </w:rPr>
              <w:t>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8"/>
              <w:spacing w:before="43"/>
              <w:ind w:left="9"/>
              <w:rPr>
                <w:rFonts w:ascii="Times New Roman"/>
                <w:sz w:val="21"/>
              </w:rPr>
            </w:pPr>
            <w:r>
              <w:rPr>
                <w:rFonts w:ascii="Times New Roman"/>
                <w:w w:val="99"/>
                <w:sz w:val="21"/>
              </w:rPr>
              <w:t>1</w:t>
            </w:r>
          </w:p>
        </w:tc>
        <w:tc>
          <w:tcPr>
            <w:tcW w:w="1740" w:type="dxa"/>
          </w:tcPr>
          <w:p>
            <w:pPr>
              <w:pStyle w:val="18"/>
              <w:spacing w:before="29"/>
              <w:ind w:left="526" w:right="522"/>
              <w:rPr>
                <w:sz w:val="21"/>
              </w:rPr>
            </w:pPr>
            <w:r>
              <w:rPr>
                <w:sz w:val="21"/>
              </w:rPr>
              <w:t>氨气</w:t>
            </w:r>
          </w:p>
        </w:tc>
        <w:tc>
          <w:tcPr>
            <w:tcW w:w="2010" w:type="dxa"/>
          </w:tcPr>
          <w:p>
            <w:pPr>
              <w:pStyle w:val="18"/>
              <w:spacing w:before="43"/>
              <w:ind w:left="7"/>
              <w:rPr>
                <w:rFonts w:ascii="Times New Roman"/>
                <w:sz w:val="21"/>
              </w:rPr>
            </w:pPr>
            <w:r>
              <w:rPr>
                <w:rFonts w:ascii="Times New Roman"/>
                <w:w w:val="99"/>
                <w:sz w:val="21"/>
              </w:rPr>
              <w:t>5</w:t>
            </w:r>
          </w:p>
        </w:tc>
        <w:tc>
          <w:tcPr>
            <w:tcW w:w="2580" w:type="dxa"/>
          </w:tcPr>
          <w:p>
            <w:pPr>
              <w:pStyle w:val="18"/>
              <w:spacing w:before="43"/>
              <w:ind w:left="6"/>
              <w:rPr>
                <w:rFonts w:ascii="Times New Roman"/>
                <w:sz w:val="21"/>
              </w:rPr>
            </w:pPr>
            <w:r>
              <w:rPr>
                <w:rFonts w:ascii="Times New Roman"/>
                <w:w w:val="99"/>
                <w:sz w:val="21"/>
              </w:rPr>
              <w:t>0</w:t>
            </w:r>
          </w:p>
        </w:tc>
        <w:tc>
          <w:tcPr>
            <w:tcW w:w="1118" w:type="dxa"/>
          </w:tcPr>
          <w:p>
            <w:pPr>
              <w:pStyle w:val="18"/>
              <w:spacing w:before="43"/>
              <w:ind w:left="506"/>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8"/>
              <w:spacing w:before="44"/>
              <w:ind w:left="9"/>
              <w:rPr>
                <w:rFonts w:ascii="Times New Roman"/>
                <w:sz w:val="21"/>
              </w:rPr>
            </w:pPr>
            <w:r>
              <w:rPr>
                <w:rFonts w:ascii="Times New Roman"/>
                <w:w w:val="99"/>
                <w:sz w:val="21"/>
              </w:rPr>
              <w:t>2</w:t>
            </w:r>
          </w:p>
        </w:tc>
        <w:tc>
          <w:tcPr>
            <w:tcW w:w="1740" w:type="dxa"/>
          </w:tcPr>
          <w:p>
            <w:pPr>
              <w:pStyle w:val="18"/>
              <w:spacing w:before="30"/>
              <w:ind w:left="531" w:right="522"/>
              <w:rPr>
                <w:sz w:val="21"/>
              </w:rPr>
            </w:pPr>
            <w:r>
              <w:rPr>
                <w:sz w:val="21"/>
              </w:rPr>
              <w:t>硫化氢</w:t>
            </w:r>
          </w:p>
        </w:tc>
        <w:tc>
          <w:tcPr>
            <w:tcW w:w="2010" w:type="dxa"/>
          </w:tcPr>
          <w:p>
            <w:pPr>
              <w:pStyle w:val="18"/>
              <w:spacing w:before="44"/>
              <w:ind w:left="212" w:right="200"/>
              <w:rPr>
                <w:rFonts w:ascii="Times New Roman"/>
                <w:sz w:val="21"/>
              </w:rPr>
            </w:pPr>
            <w:r>
              <w:rPr>
                <w:rFonts w:ascii="Times New Roman"/>
                <w:sz w:val="21"/>
              </w:rPr>
              <w:t>2.5</w:t>
            </w:r>
          </w:p>
        </w:tc>
        <w:tc>
          <w:tcPr>
            <w:tcW w:w="2580" w:type="dxa"/>
          </w:tcPr>
          <w:p>
            <w:pPr>
              <w:pStyle w:val="18"/>
              <w:spacing w:before="44"/>
              <w:ind w:left="6"/>
              <w:rPr>
                <w:rFonts w:ascii="Times New Roman"/>
                <w:sz w:val="21"/>
              </w:rPr>
            </w:pPr>
            <w:r>
              <w:rPr>
                <w:rFonts w:ascii="Times New Roman"/>
                <w:w w:val="99"/>
                <w:sz w:val="21"/>
              </w:rPr>
              <w:t>0</w:t>
            </w:r>
          </w:p>
        </w:tc>
        <w:tc>
          <w:tcPr>
            <w:tcW w:w="1118" w:type="dxa"/>
          </w:tcPr>
          <w:p>
            <w:pPr>
              <w:pStyle w:val="18"/>
              <w:spacing w:before="44"/>
              <w:ind w:left="506"/>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404" w:type="dxa"/>
            <w:gridSpan w:val="4"/>
          </w:tcPr>
          <w:p>
            <w:pPr>
              <w:pStyle w:val="18"/>
              <w:spacing w:before="31"/>
              <w:ind w:left="3470" w:right="3463"/>
              <w:rPr>
                <w:sz w:val="21"/>
              </w:rPr>
            </w:pPr>
            <w:r>
              <w:rPr>
                <w:sz w:val="21"/>
              </w:rPr>
              <w:t>合计</w:t>
            </w:r>
          </w:p>
        </w:tc>
        <w:tc>
          <w:tcPr>
            <w:tcW w:w="1118" w:type="dxa"/>
          </w:tcPr>
          <w:p>
            <w:pPr>
              <w:pStyle w:val="18"/>
              <w:spacing w:before="44"/>
              <w:ind w:left="506"/>
              <w:jc w:val="left"/>
              <w:rPr>
                <w:rFonts w:ascii="Times New Roman"/>
                <w:sz w:val="21"/>
              </w:rPr>
            </w:pPr>
            <w:r>
              <w:rPr>
                <w:rFonts w:ascii="Times New Roman"/>
                <w:w w:val="99"/>
                <w:sz w:val="21"/>
              </w:rPr>
              <w:t>0</w:t>
            </w:r>
          </w:p>
        </w:tc>
      </w:tr>
    </w:tbl>
    <w:p>
      <w:pPr>
        <w:pStyle w:val="7"/>
        <w:spacing w:before="6"/>
        <w:ind w:left="0"/>
        <w:rPr>
          <w:b/>
          <w:sz w:val="18"/>
        </w:rPr>
      </w:pPr>
    </w:p>
    <w:p>
      <w:pPr>
        <w:pStyle w:val="7"/>
        <w:spacing w:line="364" w:lineRule="auto"/>
        <w:ind w:right="577" w:firstLine="482"/>
        <w:jc w:val="both"/>
      </w:pPr>
      <w:r>
        <w:rPr>
          <w:spacing w:val="-8"/>
        </w:rPr>
        <w:t>本项目为肉羊规模化养殖项目，项目有毒有害物质主要为排放的污染物中的</w:t>
      </w:r>
      <w:r>
        <w:rPr>
          <w:spacing w:val="-13"/>
        </w:rPr>
        <w:t>氨和硫化氢，主要来源于养羊棚舍、羊粪堆场排放的臭气，根据表</w:t>
      </w:r>
      <w:r>
        <w:rPr>
          <w:rFonts w:ascii="Times New Roman" w:hAnsi="Times New Roman" w:eastAsia="Times New Roman"/>
        </w:rPr>
        <w:t>2.6-14</w:t>
      </w:r>
      <w:r>
        <w:rPr>
          <w:spacing w:val="-5"/>
        </w:rPr>
        <w:t>计算得</w:t>
      </w:r>
      <w:r>
        <w:rPr>
          <w:spacing w:val="-30"/>
        </w:rPr>
        <w:t>出</w:t>
      </w:r>
      <w:r>
        <w:rPr>
          <w:rFonts w:ascii="Times New Roman" w:hAnsi="Times New Roman" w:eastAsia="Times New Roman"/>
          <w:spacing w:val="-3"/>
        </w:rPr>
        <w:t>Q&lt;1</w:t>
      </w:r>
      <w:r>
        <w:rPr>
          <w:spacing w:val="-22"/>
        </w:rPr>
        <w:t>，当</w:t>
      </w:r>
      <w:r>
        <w:rPr>
          <w:rFonts w:ascii="Times New Roman" w:hAnsi="Times New Roman" w:eastAsia="Times New Roman"/>
        </w:rPr>
        <w:t>Q</w:t>
      </w:r>
      <w:r>
        <w:t>＜</w:t>
      </w:r>
      <w:r>
        <w:rPr>
          <w:rFonts w:ascii="Times New Roman" w:hAnsi="Times New Roman" w:eastAsia="Times New Roman"/>
        </w:rPr>
        <w:t>1</w:t>
      </w:r>
      <w:r>
        <w:rPr>
          <w:spacing w:val="-6"/>
        </w:rPr>
        <w:t>时，该项目环境风险潜势为Ⅰ。因此，本项目环境风险评价工</w:t>
      </w:r>
      <w:r>
        <w:rPr>
          <w:spacing w:val="-8"/>
        </w:rPr>
        <w:t>作等级为简单分析，对危险物质、环境影响途径、环境危害后果、风险防范措施</w:t>
      </w:r>
      <w:r>
        <w:t>等方面给出定性的说明。</w:t>
      </w:r>
    </w:p>
    <w:p>
      <w:pPr>
        <w:pStyle w:val="7"/>
        <w:spacing w:line="364" w:lineRule="auto"/>
        <w:ind w:right="577" w:firstLine="482"/>
        <w:jc w:val="both"/>
      </w:pPr>
    </w:p>
    <w:p>
      <w:pPr>
        <w:pStyle w:val="7"/>
        <w:spacing w:line="364" w:lineRule="auto"/>
        <w:ind w:right="577" w:firstLine="482"/>
        <w:jc w:val="both"/>
      </w:pPr>
    </w:p>
    <w:p>
      <w:pPr>
        <w:pStyle w:val="5"/>
        <w:numPr>
          <w:ilvl w:val="2"/>
          <w:numId w:val="13"/>
        </w:numPr>
        <w:tabs>
          <w:tab w:val="left" w:pos="1241"/>
        </w:tabs>
        <w:spacing w:before="117" w:after="0" w:line="240" w:lineRule="auto"/>
        <w:ind w:left="1240" w:right="0" w:hanging="701"/>
        <w:jc w:val="left"/>
        <w:outlineLvl w:val="2"/>
      </w:pPr>
      <w:bookmarkStart w:id="83" w:name="2.6.2 评价范围"/>
      <w:bookmarkEnd w:id="83"/>
      <w:bookmarkStart w:id="84" w:name="2.6.2 评价范围"/>
      <w:bookmarkEnd w:id="84"/>
      <w:bookmarkStart w:id="85" w:name="_Toc14251"/>
      <w:r>
        <w:t>评价范围</w:t>
      </w:r>
      <w:bookmarkEnd w:id="85"/>
    </w:p>
    <w:p>
      <w:pPr>
        <w:pStyle w:val="7"/>
        <w:spacing w:before="7"/>
        <w:ind w:left="0"/>
        <w:rPr>
          <w:b/>
          <w:sz w:val="21"/>
        </w:rPr>
      </w:pPr>
    </w:p>
    <w:p>
      <w:pPr>
        <w:pStyle w:val="7"/>
        <w:spacing w:line="364" w:lineRule="auto"/>
        <w:ind w:right="577" w:firstLine="480"/>
        <w:jc w:val="both"/>
      </w:pPr>
      <w:r>
        <w:rPr>
          <w:spacing w:val="-10"/>
        </w:rPr>
        <w:t>根据项目大气、水、声环境影响评价等级和环境风险评价等级，参照《环境</w:t>
      </w:r>
      <w:r>
        <w:rPr>
          <w:spacing w:val="-9"/>
        </w:rPr>
        <w:t>影响评价技术导则》要求，并结合本项目自身特点和项目周边环境状况，本次环</w:t>
      </w:r>
      <w:r>
        <w:t>境影响评价范围确定为：</w:t>
      </w:r>
    </w:p>
    <w:p>
      <w:pPr>
        <w:pStyle w:val="17"/>
        <w:numPr>
          <w:ilvl w:val="0"/>
          <w:numId w:val="14"/>
        </w:numPr>
        <w:tabs>
          <w:tab w:val="left" w:pos="1621"/>
        </w:tabs>
        <w:spacing w:before="2" w:after="0" w:line="364" w:lineRule="auto"/>
        <w:ind w:left="540" w:right="572" w:firstLine="480"/>
        <w:jc w:val="both"/>
        <w:rPr>
          <w:sz w:val="24"/>
        </w:rPr>
      </w:pPr>
      <w:r>
        <w:rPr>
          <w:sz w:val="24"/>
        </w:rPr>
        <w:t>大气环境：本项目大气环境影响评价等级为二级，根据《环境影响评价技术导则</w:t>
      </w:r>
      <w:r>
        <w:rPr>
          <w:rFonts w:ascii="Times New Roman" w:hAnsi="Times New Roman" w:eastAsia="Times New Roman"/>
          <w:sz w:val="24"/>
        </w:rPr>
        <w:t>·</w:t>
      </w:r>
      <w:r>
        <w:rPr>
          <w:spacing w:val="-11"/>
          <w:sz w:val="24"/>
        </w:rPr>
        <w:t>大气环境》</w:t>
      </w:r>
      <w:r>
        <w:rPr>
          <w:spacing w:val="-3"/>
          <w:sz w:val="24"/>
        </w:rPr>
        <w:t>（</w:t>
      </w:r>
      <w:r>
        <w:rPr>
          <w:rFonts w:ascii="Times New Roman" w:hAnsi="Times New Roman" w:eastAsia="Times New Roman"/>
          <w:spacing w:val="-3"/>
          <w:sz w:val="24"/>
        </w:rPr>
        <w:t>HJ2.2-2018</w:t>
      </w:r>
      <w:r>
        <w:rPr>
          <w:spacing w:val="-3"/>
          <w:sz w:val="24"/>
        </w:rPr>
        <w:t>）</w:t>
      </w:r>
      <w:r>
        <w:rPr>
          <w:spacing w:val="-6"/>
          <w:sz w:val="24"/>
        </w:rPr>
        <w:t>规定，其大气环境影响评价范围为以项目场址为中心，边长为</w:t>
      </w:r>
      <w:r>
        <w:rPr>
          <w:rFonts w:ascii="Times New Roman" w:hAnsi="Times New Roman" w:eastAsia="Times New Roman"/>
          <w:sz w:val="24"/>
        </w:rPr>
        <w:t>5km</w:t>
      </w:r>
      <w:r>
        <w:rPr>
          <w:sz w:val="24"/>
        </w:rPr>
        <w:t>的矩形区域。</w:t>
      </w:r>
    </w:p>
    <w:p>
      <w:pPr>
        <w:pStyle w:val="17"/>
        <w:numPr>
          <w:ilvl w:val="0"/>
          <w:numId w:val="14"/>
        </w:numPr>
        <w:tabs>
          <w:tab w:val="left" w:pos="1621"/>
        </w:tabs>
        <w:spacing w:before="2" w:after="0" w:line="240" w:lineRule="auto"/>
        <w:ind w:left="1621" w:right="0" w:hanging="601"/>
        <w:jc w:val="left"/>
        <w:rPr>
          <w:sz w:val="24"/>
        </w:rPr>
      </w:pPr>
      <w:r>
        <w:rPr>
          <w:sz w:val="24"/>
        </w:rPr>
        <w:t>水环境</w:t>
      </w:r>
    </w:p>
    <w:p>
      <w:pPr>
        <w:pStyle w:val="7"/>
        <w:spacing w:before="160" w:line="364" w:lineRule="auto"/>
        <w:ind w:right="485" w:firstLine="480"/>
      </w:pPr>
      <w:r>
        <w:t>地表水：参照《环境影响评价技术导则地面水环境》（</w:t>
      </w:r>
      <w:r>
        <w:rPr>
          <w:rFonts w:ascii="Times New Roman" w:eastAsia="Times New Roman"/>
        </w:rPr>
        <w:t>HJ2.3-2018</w:t>
      </w:r>
      <w:r>
        <w:t>）中地面水环境影响评价范围要求，根据评价等级、工程特点、影响方式及程度、地表水环境质量管理要求等确定。项目运营期间生活污水、生产废水不外排。因此，本项目地表水评价不设评价范围，重点分析项目生产废水、生活污水的处理及去向等的可行性。</w:t>
      </w:r>
    </w:p>
    <w:p>
      <w:pPr>
        <w:pStyle w:val="7"/>
        <w:spacing w:before="3" w:line="364" w:lineRule="auto"/>
        <w:ind w:right="457" w:firstLine="480"/>
      </w:pPr>
      <w:r>
        <w:t>地下水：根据《环境影响评价技术导则</w:t>
      </w:r>
      <w:r>
        <w:rPr>
          <w:rFonts w:ascii="Times New Roman" w:hAnsi="Times New Roman" w:eastAsia="Times New Roman"/>
        </w:rPr>
        <w:t>·</w:t>
      </w:r>
      <w:r>
        <w:t>地下水环境》（</w:t>
      </w:r>
      <w:r>
        <w:rPr>
          <w:rFonts w:ascii="Times New Roman" w:hAnsi="Times New Roman" w:eastAsia="Times New Roman"/>
        </w:rPr>
        <w:t>HJ610-2016</w:t>
      </w:r>
      <w:r>
        <w:t>）中地下水环境现状“调查评价范围确定”中查表法：三级评价调查评价面积≤</w:t>
      </w:r>
      <w:r>
        <w:rPr>
          <w:rFonts w:ascii="Times New Roman" w:hAnsi="Times New Roman" w:eastAsia="Times New Roman"/>
        </w:rPr>
        <w:t>6km</w:t>
      </w:r>
      <w:r>
        <w:rPr>
          <w:rFonts w:ascii="Times New Roman" w:hAnsi="Times New Roman" w:eastAsia="Times New Roman"/>
          <w:position w:val="8"/>
          <w:sz w:val="15"/>
        </w:rPr>
        <w:t>2</w:t>
      </w:r>
      <w:r>
        <w:t>。因此，确定本项目地下水评价范围为：项目所在区域</w:t>
      </w:r>
      <w:r>
        <w:rPr>
          <w:rFonts w:ascii="Times New Roman" w:hAnsi="Times New Roman" w:eastAsia="Times New Roman"/>
        </w:rPr>
        <w:t>6km</w:t>
      </w:r>
      <w:r>
        <w:rPr>
          <w:rFonts w:ascii="Times New Roman" w:hAnsi="Times New Roman" w:eastAsia="Times New Roman"/>
          <w:position w:val="8"/>
          <w:sz w:val="15"/>
        </w:rPr>
        <w:t>2</w:t>
      </w:r>
      <w:r>
        <w:t>，项目地下水流向上游</w:t>
      </w:r>
      <w:r>
        <w:rPr>
          <w:rFonts w:ascii="Times New Roman" w:hAnsi="Times New Roman" w:eastAsia="Times New Roman"/>
        </w:rPr>
        <w:t>1000m</w:t>
      </w:r>
      <w:r>
        <w:t>、下游</w:t>
      </w:r>
      <w:r>
        <w:rPr>
          <w:rFonts w:ascii="Times New Roman" w:hAnsi="Times New Roman" w:eastAsia="Times New Roman"/>
        </w:rPr>
        <w:t>2000m</w:t>
      </w:r>
      <w:r>
        <w:t>，两侧各</w:t>
      </w:r>
      <w:r>
        <w:rPr>
          <w:rFonts w:ascii="Times New Roman" w:hAnsi="Times New Roman" w:eastAsia="Times New Roman"/>
        </w:rPr>
        <w:t>1000m</w:t>
      </w:r>
      <w:r>
        <w:t>范围内的矩形。</w:t>
      </w:r>
    </w:p>
    <w:p>
      <w:pPr>
        <w:pStyle w:val="17"/>
        <w:numPr>
          <w:ilvl w:val="0"/>
          <w:numId w:val="14"/>
        </w:numPr>
        <w:tabs>
          <w:tab w:val="left" w:pos="1628"/>
        </w:tabs>
        <w:spacing w:before="3" w:after="0" w:line="364" w:lineRule="auto"/>
        <w:ind w:left="540" w:right="577" w:firstLine="480"/>
        <w:jc w:val="left"/>
        <w:rPr>
          <w:sz w:val="24"/>
        </w:rPr>
      </w:pPr>
      <w:r>
        <w:rPr>
          <w:spacing w:val="-5"/>
          <w:sz w:val="24"/>
        </w:rPr>
        <w:t>声环境：项目周边</w:t>
      </w:r>
      <w:r>
        <w:rPr>
          <w:rFonts w:ascii="Times New Roman" w:eastAsia="Times New Roman"/>
          <w:sz w:val="24"/>
        </w:rPr>
        <w:t>200m</w:t>
      </w:r>
      <w:r>
        <w:rPr>
          <w:sz w:val="24"/>
        </w:rPr>
        <w:t>范围内不存在声环境敏感点，因此声环境评</w:t>
      </w:r>
      <w:r>
        <w:rPr>
          <w:spacing w:val="-8"/>
          <w:sz w:val="24"/>
        </w:rPr>
        <w:t>价范围为厂界外</w:t>
      </w:r>
      <w:r>
        <w:rPr>
          <w:rFonts w:ascii="Times New Roman" w:eastAsia="Times New Roman"/>
          <w:sz w:val="24"/>
        </w:rPr>
        <w:t>1m</w:t>
      </w:r>
      <w:r>
        <w:rPr>
          <w:sz w:val="24"/>
        </w:rPr>
        <w:t>处</w:t>
      </w:r>
      <w:r>
        <w:rPr>
          <w:rFonts w:hint="eastAsia"/>
          <w:sz w:val="24"/>
          <w:lang w:eastAsia="zh-CN"/>
        </w:rPr>
        <w:t>。</w:t>
      </w:r>
    </w:p>
    <w:p>
      <w:pPr>
        <w:pStyle w:val="17"/>
        <w:numPr>
          <w:ilvl w:val="0"/>
          <w:numId w:val="14"/>
        </w:numPr>
        <w:tabs>
          <w:tab w:val="left" w:pos="1628"/>
        </w:tabs>
        <w:spacing w:before="3" w:after="0" w:line="364" w:lineRule="auto"/>
        <w:ind w:left="540" w:right="577" w:firstLine="480"/>
        <w:jc w:val="left"/>
        <w:rPr>
          <w:sz w:val="24"/>
        </w:rPr>
      </w:pPr>
      <w:r>
        <w:rPr>
          <w:sz w:val="24"/>
        </w:rPr>
        <w:t>土壤环境：根据《环境影响评价技术导则土壤环境</w:t>
      </w:r>
      <w:r>
        <w:rPr>
          <w:spacing w:val="4"/>
          <w:sz w:val="24"/>
        </w:rPr>
        <w:t>（</w:t>
      </w:r>
      <w:r>
        <w:rPr>
          <w:spacing w:val="2"/>
          <w:sz w:val="24"/>
        </w:rPr>
        <w:t>试行</w:t>
      </w:r>
      <w:r>
        <w:rPr>
          <w:sz w:val="24"/>
        </w:rPr>
        <w:t>）</w:t>
      </w:r>
      <w:r>
        <w:rPr>
          <w:spacing w:val="4"/>
          <w:sz w:val="24"/>
        </w:rPr>
        <w:t>》</w:t>
      </w:r>
      <w:r>
        <w:rPr>
          <w:sz w:val="24"/>
        </w:rPr>
        <w:t>（</w:t>
      </w:r>
      <w:r>
        <w:rPr>
          <w:rFonts w:ascii="Times New Roman" w:eastAsia="Times New Roman"/>
          <w:sz w:val="24"/>
        </w:rPr>
        <w:t>HJ 964-2018</w:t>
      </w:r>
      <w:r>
        <w:rPr>
          <w:sz w:val="24"/>
        </w:rPr>
        <w:t>）</w:t>
      </w:r>
      <w:r>
        <w:rPr>
          <w:spacing w:val="-3"/>
          <w:sz w:val="24"/>
        </w:rPr>
        <w:t>规定，本项目土壤环境评价范围为占地范围外</w:t>
      </w:r>
      <w:r>
        <w:rPr>
          <w:rFonts w:ascii="Times New Roman" w:eastAsia="Times New Roman"/>
          <w:sz w:val="24"/>
        </w:rPr>
        <w:t>0.05km</w:t>
      </w:r>
      <w:r>
        <w:rPr>
          <w:sz w:val="24"/>
        </w:rPr>
        <w:t>范围内。</w:t>
      </w:r>
    </w:p>
    <w:p>
      <w:pPr>
        <w:pStyle w:val="17"/>
        <w:numPr>
          <w:ilvl w:val="0"/>
          <w:numId w:val="14"/>
        </w:numPr>
        <w:tabs>
          <w:tab w:val="left" w:pos="1621"/>
        </w:tabs>
        <w:spacing w:before="1" w:after="0" w:line="240" w:lineRule="auto"/>
        <w:ind w:left="1621" w:right="0" w:hanging="601"/>
        <w:jc w:val="left"/>
        <w:rPr>
          <w:sz w:val="24"/>
        </w:rPr>
      </w:pPr>
      <w:r>
        <w:rPr>
          <w:spacing w:val="-4"/>
          <w:sz w:val="24"/>
        </w:rPr>
        <w:t>生态环境：项目厂界范围，并向外延伸</w:t>
      </w:r>
      <w:r>
        <w:rPr>
          <w:rFonts w:ascii="Times New Roman" w:eastAsia="Times New Roman"/>
          <w:sz w:val="24"/>
        </w:rPr>
        <w:t>200m</w:t>
      </w:r>
      <w:r>
        <w:rPr>
          <w:sz w:val="24"/>
        </w:rPr>
        <w:t>的范围。</w:t>
      </w:r>
    </w:p>
    <w:p>
      <w:pPr>
        <w:pStyle w:val="17"/>
        <w:numPr>
          <w:ilvl w:val="0"/>
          <w:numId w:val="14"/>
        </w:numPr>
        <w:tabs>
          <w:tab w:val="left" w:pos="1625"/>
        </w:tabs>
        <w:spacing w:before="160" w:after="0" w:line="364" w:lineRule="auto"/>
        <w:ind w:left="540" w:right="577" w:firstLine="480"/>
        <w:jc w:val="left"/>
        <w:rPr>
          <w:sz w:val="24"/>
        </w:rPr>
      </w:pPr>
      <w:r>
        <w:rPr>
          <w:sz w:val="24"/>
        </w:rPr>
        <w:t>风险评价：根据《建设项目环境风险评价技术导则》（</w:t>
      </w:r>
      <w:r>
        <w:rPr>
          <w:rFonts w:ascii="Times New Roman" w:eastAsia="Times New Roman"/>
          <w:sz w:val="24"/>
        </w:rPr>
        <w:t>HJ169-2018</w:t>
      </w:r>
      <w:r>
        <w:rPr>
          <w:sz w:val="24"/>
        </w:rPr>
        <w:t>）</w:t>
      </w:r>
      <w:r>
        <w:rPr>
          <w:spacing w:val="-3"/>
          <w:sz w:val="24"/>
        </w:rPr>
        <w:t>规定，本项目环境风险评价范围为距项目边界</w:t>
      </w:r>
      <w:r>
        <w:rPr>
          <w:rFonts w:ascii="Times New Roman" w:eastAsia="Times New Roman"/>
          <w:sz w:val="24"/>
        </w:rPr>
        <w:t>3km</w:t>
      </w:r>
      <w:r>
        <w:rPr>
          <w:sz w:val="24"/>
        </w:rPr>
        <w:t>的范围。</w:t>
      </w:r>
    </w:p>
    <w:p>
      <w:pPr>
        <w:pStyle w:val="7"/>
        <w:spacing w:before="2"/>
        <w:ind w:left="1020"/>
      </w:pPr>
      <w:r>
        <w:rPr>
          <w:spacing w:val="-4"/>
        </w:rPr>
        <w:t>本项目各环境要素评价范围图见图</w:t>
      </w:r>
      <w:r>
        <w:rPr>
          <w:rFonts w:ascii="Times New Roman" w:eastAsia="Times New Roman"/>
        </w:rPr>
        <w:t>2.6-1</w:t>
      </w:r>
      <w:r>
        <w:t>。</w:t>
      </w:r>
    </w:p>
    <w:p>
      <w:pPr>
        <w:pStyle w:val="7"/>
        <w:spacing w:before="5"/>
        <w:ind w:left="0"/>
      </w:pPr>
    </w:p>
    <w:p>
      <w:pPr>
        <w:pStyle w:val="4"/>
        <w:numPr>
          <w:ilvl w:val="1"/>
          <w:numId w:val="15"/>
        </w:numPr>
        <w:tabs>
          <w:tab w:val="left" w:pos="1100"/>
        </w:tabs>
        <w:spacing w:before="0" w:after="0" w:line="240" w:lineRule="auto"/>
        <w:ind w:left="1099" w:right="0" w:hanging="560"/>
        <w:jc w:val="left"/>
        <w:outlineLvl w:val="1"/>
      </w:pPr>
      <w:bookmarkStart w:id="86" w:name="_bookmark14"/>
      <w:bookmarkEnd w:id="86"/>
      <w:bookmarkStart w:id="87" w:name="2.7 污染控制与环境保护目标"/>
      <w:bookmarkEnd w:id="87"/>
      <w:bookmarkStart w:id="88" w:name="_Toc5054"/>
      <w:r>
        <w:t>污染控制与环境保护目标</w:t>
      </w:r>
      <w:bookmarkEnd w:id="88"/>
    </w:p>
    <w:p>
      <w:pPr>
        <w:pStyle w:val="7"/>
        <w:spacing w:before="6"/>
        <w:ind w:left="0"/>
        <w:rPr>
          <w:b/>
          <w:sz w:val="28"/>
        </w:rPr>
      </w:pPr>
    </w:p>
    <w:p>
      <w:pPr>
        <w:pStyle w:val="5"/>
        <w:numPr>
          <w:ilvl w:val="2"/>
          <w:numId w:val="15"/>
        </w:numPr>
        <w:tabs>
          <w:tab w:val="left" w:pos="1241"/>
        </w:tabs>
        <w:spacing w:before="0" w:after="0" w:line="240" w:lineRule="auto"/>
        <w:ind w:left="1240" w:right="0" w:hanging="701"/>
        <w:jc w:val="left"/>
        <w:outlineLvl w:val="2"/>
      </w:pPr>
      <w:bookmarkStart w:id="89" w:name="2.7.1 污染控制"/>
      <w:bookmarkEnd w:id="89"/>
      <w:bookmarkStart w:id="90" w:name="2.7.1 污染控制"/>
      <w:bookmarkEnd w:id="90"/>
      <w:bookmarkStart w:id="91" w:name="_Toc20432"/>
      <w:r>
        <w:t>污染控制</w:t>
      </w:r>
      <w:bookmarkEnd w:id="91"/>
    </w:p>
    <w:p>
      <w:pPr>
        <w:pStyle w:val="7"/>
        <w:spacing w:before="5"/>
        <w:ind w:left="0"/>
        <w:rPr>
          <w:b/>
          <w:sz w:val="21"/>
        </w:rPr>
      </w:pPr>
    </w:p>
    <w:p>
      <w:pPr>
        <w:pStyle w:val="7"/>
        <w:spacing w:line="364" w:lineRule="auto"/>
        <w:ind w:right="577" w:firstLine="480"/>
        <w:jc w:val="both"/>
      </w:pPr>
      <w:r>
        <w:rPr>
          <w:spacing w:val="-8"/>
        </w:rPr>
        <w:t>从源头消减污染物的产生量；贯彻循环经济落实废物“减量化、资源化和无</w:t>
      </w:r>
      <w:r>
        <w:rPr>
          <w:spacing w:val="-11"/>
        </w:rPr>
        <w:t>害化”的途径及数量；采用先进可靠的环保措施，保证本项目水、气、声等各项</w:t>
      </w:r>
      <w:r>
        <w:rPr>
          <w:spacing w:val="-7"/>
        </w:rPr>
        <w:t>污染物符合国家和地方的有关排放标准；固体废物处理处置符合相应的固体废物</w:t>
      </w:r>
      <w:r>
        <w:rPr>
          <w:spacing w:val="-8"/>
        </w:rPr>
        <w:t>污染物控制标准，防止发生二次污染；保护工程所在区域环境质量，同时严格防</w:t>
      </w:r>
      <w:r>
        <w:rPr>
          <w:spacing w:val="-3"/>
        </w:rPr>
        <w:t>范各类环境风险事故的发生。污染物控制目标见表</w:t>
      </w:r>
      <w:r>
        <w:rPr>
          <w:rFonts w:ascii="Times New Roman" w:hAnsi="Times New Roman" w:eastAsia="Times New Roman"/>
        </w:rPr>
        <w:t>2.7-1</w:t>
      </w:r>
      <w:r>
        <w:t>。</w:t>
      </w:r>
    </w:p>
    <w:p>
      <w:pPr>
        <w:pStyle w:val="7"/>
        <w:bidi w:val="0"/>
        <w:jc w:val="center"/>
      </w:pPr>
      <w:r>
        <w:t>表</w:t>
      </w:r>
      <w:r>
        <w:rPr>
          <w:rFonts w:ascii="Times New Roman" w:eastAsia="Times New Roman"/>
        </w:rPr>
        <w:t>2.7-1</w:t>
      </w:r>
      <w:r>
        <w:rPr>
          <w:rFonts w:ascii="Times New Roman" w:eastAsia="Times New Roman"/>
        </w:rPr>
        <w:tab/>
      </w:r>
      <w:r>
        <w:t>污染物控制目标一览表</w:t>
      </w:r>
    </w:p>
    <w:tbl>
      <w:tblPr>
        <w:tblStyle w:val="14"/>
        <w:tblW w:w="0" w:type="auto"/>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869"/>
        <w:gridCol w:w="1395"/>
        <w:gridCol w:w="2319"/>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tcPr>
          <w:p>
            <w:pPr>
              <w:pStyle w:val="18"/>
              <w:spacing w:before="33"/>
              <w:ind w:left="108"/>
              <w:jc w:val="left"/>
              <w:rPr>
                <w:b/>
                <w:sz w:val="21"/>
              </w:rPr>
            </w:pPr>
            <w:r>
              <w:rPr>
                <w:b/>
                <w:sz w:val="21"/>
              </w:rPr>
              <w:t>时段</w:t>
            </w:r>
          </w:p>
        </w:tc>
        <w:tc>
          <w:tcPr>
            <w:tcW w:w="869" w:type="dxa"/>
          </w:tcPr>
          <w:p>
            <w:pPr>
              <w:pStyle w:val="18"/>
              <w:spacing w:before="33"/>
              <w:ind w:left="11"/>
              <w:rPr>
                <w:b/>
                <w:sz w:val="21"/>
              </w:rPr>
            </w:pPr>
            <w:r>
              <w:rPr>
                <w:b/>
                <w:sz w:val="21"/>
              </w:rPr>
              <w:t>污染源</w:t>
            </w:r>
          </w:p>
        </w:tc>
        <w:tc>
          <w:tcPr>
            <w:tcW w:w="1395" w:type="dxa"/>
          </w:tcPr>
          <w:p>
            <w:pPr>
              <w:pStyle w:val="18"/>
              <w:spacing w:before="33"/>
              <w:ind w:left="16" w:right="6"/>
              <w:rPr>
                <w:b/>
                <w:sz w:val="21"/>
              </w:rPr>
            </w:pPr>
            <w:r>
              <w:rPr>
                <w:b/>
                <w:sz w:val="21"/>
              </w:rPr>
              <w:t>控制污染因子</w:t>
            </w:r>
          </w:p>
        </w:tc>
        <w:tc>
          <w:tcPr>
            <w:tcW w:w="2319" w:type="dxa"/>
          </w:tcPr>
          <w:p>
            <w:pPr>
              <w:pStyle w:val="18"/>
              <w:spacing w:before="33"/>
              <w:ind w:left="15" w:right="4"/>
              <w:rPr>
                <w:b/>
                <w:sz w:val="21"/>
              </w:rPr>
            </w:pPr>
            <w:r>
              <w:rPr>
                <w:b/>
                <w:sz w:val="21"/>
              </w:rPr>
              <w:t>拟采取控制措施</w:t>
            </w:r>
          </w:p>
        </w:tc>
        <w:tc>
          <w:tcPr>
            <w:tcW w:w="3163" w:type="dxa"/>
          </w:tcPr>
          <w:p>
            <w:pPr>
              <w:pStyle w:val="18"/>
              <w:spacing w:before="33"/>
              <w:ind w:left="89" w:right="81"/>
              <w:rPr>
                <w:b/>
                <w:sz w:val="21"/>
              </w:rPr>
            </w:pPr>
            <w:r>
              <w:rPr>
                <w:b/>
                <w:sz w:val="21"/>
              </w:rPr>
              <w:t>控制目标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7" w:type="dxa"/>
            <w:vMerge w:val="restart"/>
          </w:tcPr>
          <w:p>
            <w:pPr>
              <w:pStyle w:val="18"/>
              <w:jc w:val="left"/>
              <w:rPr>
                <w:b/>
                <w:sz w:val="20"/>
              </w:rPr>
            </w:pPr>
          </w:p>
          <w:p>
            <w:pPr>
              <w:pStyle w:val="18"/>
              <w:jc w:val="left"/>
              <w:rPr>
                <w:b/>
                <w:sz w:val="20"/>
              </w:rPr>
            </w:pPr>
          </w:p>
          <w:p>
            <w:pPr>
              <w:pStyle w:val="18"/>
              <w:spacing w:before="4"/>
              <w:jc w:val="left"/>
              <w:rPr>
                <w:b/>
                <w:sz w:val="14"/>
              </w:rPr>
            </w:pPr>
          </w:p>
          <w:p>
            <w:pPr>
              <w:pStyle w:val="18"/>
              <w:ind w:left="2" w:right="-15"/>
              <w:jc w:val="left"/>
              <w:rPr>
                <w:sz w:val="21"/>
              </w:rPr>
            </w:pPr>
            <w:r>
              <w:rPr>
                <w:sz w:val="21"/>
              </w:rPr>
              <w:t>施工期</w:t>
            </w:r>
          </w:p>
        </w:tc>
        <w:tc>
          <w:tcPr>
            <w:tcW w:w="869" w:type="dxa"/>
            <w:vMerge w:val="restart"/>
          </w:tcPr>
          <w:p>
            <w:pPr>
              <w:pStyle w:val="18"/>
              <w:spacing w:before="8"/>
              <w:jc w:val="left"/>
              <w:rPr>
                <w:b/>
                <w:sz w:val="18"/>
              </w:rPr>
            </w:pPr>
          </w:p>
          <w:p>
            <w:pPr>
              <w:pStyle w:val="18"/>
              <w:spacing w:line="213" w:lineRule="auto"/>
              <w:ind w:left="-6" w:right="22"/>
              <w:jc w:val="both"/>
              <w:rPr>
                <w:sz w:val="21"/>
              </w:rPr>
            </w:pPr>
            <w:r>
              <w:rPr>
                <w:sz w:val="21"/>
              </w:rPr>
              <w:t>建筑、场区道路、管线、环保构筑物施工</w:t>
            </w:r>
          </w:p>
        </w:tc>
        <w:tc>
          <w:tcPr>
            <w:tcW w:w="1395" w:type="dxa"/>
          </w:tcPr>
          <w:p>
            <w:pPr>
              <w:pStyle w:val="18"/>
              <w:spacing w:before="103"/>
              <w:ind w:left="13" w:right="6"/>
              <w:rPr>
                <w:sz w:val="21"/>
              </w:rPr>
            </w:pPr>
            <w:r>
              <w:rPr>
                <w:sz w:val="21"/>
              </w:rPr>
              <w:t>施工扬尘</w:t>
            </w:r>
          </w:p>
        </w:tc>
        <w:tc>
          <w:tcPr>
            <w:tcW w:w="2319" w:type="dxa"/>
          </w:tcPr>
          <w:p>
            <w:pPr>
              <w:pStyle w:val="18"/>
              <w:spacing w:before="1" w:line="240" w:lineRule="exact"/>
              <w:ind w:left="-7" w:right="4"/>
              <w:jc w:val="left"/>
              <w:rPr>
                <w:sz w:val="21"/>
              </w:rPr>
            </w:pPr>
            <w:r>
              <w:rPr>
                <w:sz w:val="21"/>
              </w:rPr>
              <w:t>采取洒水、防尘布覆盖等措施</w:t>
            </w:r>
          </w:p>
        </w:tc>
        <w:tc>
          <w:tcPr>
            <w:tcW w:w="3163" w:type="dxa"/>
          </w:tcPr>
          <w:p>
            <w:pPr>
              <w:pStyle w:val="18"/>
              <w:spacing w:before="1" w:line="240" w:lineRule="exact"/>
              <w:ind w:left="-5" w:right="6"/>
              <w:jc w:val="left"/>
              <w:rPr>
                <w:sz w:val="21"/>
              </w:rPr>
            </w:pPr>
            <w:r>
              <w:rPr>
                <w:sz w:val="21"/>
              </w:rPr>
              <w:t>《大气污染物综合排放标准》相关要求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8"/>
              <w:spacing w:before="32"/>
              <w:ind w:left="13" w:right="6"/>
              <w:rPr>
                <w:sz w:val="21"/>
              </w:rPr>
            </w:pPr>
            <w:r>
              <w:rPr>
                <w:sz w:val="21"/>
              </w:rPr>
              <w:t>燃油废气</w:t>
            </w:r>
          </w:p>
        </w:tc>
        <w:tc>
          <w:tcPr>
            <w:tcW w:w="2319" w:type="dxa"/>
          </w:tcPr>
          <w:p>
            <w:pPr>
              <w:pStyle w:val="18"/>
              <w:spacing w:before="32"/>
              <w:ind w:left="8" w:right="4"/>
              <w:rPr>
                <w:sz w:val="21"/>
              </w:rPr>
            </w:pPr>
            <w:r>
              <w:rPr>
                <w:sz w:val="21"/>
              </w:rPr>
              <w:t>采用高质量的油品</w:t>
            </w:r>
          </w:p>
        </w:tc>
        <w:tc>
          <w:tcPr>
            <w:tcW w:w="3163" w:type="dxa"/>
          </w:tcPr>
          <w:p>
            <w:pPr>
              <w:pStyle w:val="18"/>
              <w:spacing w:before="32"/>
              <w:ind w:left="89" w:right="83"/>
              <w:rPr>
                <w:sz w:val="21"/>
              </w:rPr>
            </w:pPr>
            <w:r>
              <w:rPr>
                <w:sz w:val="21"/>
              </w:rPr>
              <w:t>对项目区及周边影响较小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8"/>
              <w:spacing w:before="31"/>
              <w:ind w:left="13" w:right="6"/>
              <w:rPr>
                <w:sz w:val="21"/>
              </w:rPr>
            </w:pPr>
            <w:r>
              <w:rPr>
                <w:sz w:val="21"/>
              </w:rPr>
              <w:t>施工废水</w:t>
            </w:r>
          </w:p>
        </w:tc>
        <w:tc>
          <w:tcPr>
            <w:tcW w:w="2319" w:type="dxa"/>
          </w:tcPr>
          <w:p>
            <w:pPr>
              <w:pStyle w:val="18"/>
              <w:spacing w:before="31"/>
              <w:ind w:left="13" w:right="4"/>
              <w:rPr>
                <w:sz w:val="21"/>
              </w:rPr>
            </w:pPr>
            <w:r>
              <w:rPr>
                <w:sz w:val="21"/>
              </w:rPr>
              <w:t>临时沉淀处理后回用</w:t>
            </w:r>
          </w:p>
        </w:tc>
        <w:tc>
          <w:tcPr>
            <w:tcW w:w="3163" w:type="dxa"/>
          </w:tcPr>
          <w:p>
            <w:pPr>
              <w:pStyle w:val="18"/>
              <w:spacing w:before="31"/>
              <w:ind w:left="86" w:right="83"/>
              <w:rPr>
                <w:sz w:val="21"/>
              </w:rPr>
            </w:pPr>
            <w:r>
              <w:rPr>
                <w:sz w:val="21"/>
              </w:rPr>
              <w:t>严禁外排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8"/>
              <w:spacing w:before="101"/>
              <w:ind w:left="13" w:right="6"/>
              <w:rPr>
                <w:sz w:val="21"/>
              </w:rPr>
            </w:pPr>
            <w:r>
              <w:rPr>
                <w:sz w:val="21"/>
              </w:rPr>
              <w:t>生态破坏</w:t>
            </w:r>
          </w:p>
        </w:tc>
        <w:tc>
          <w:tcPr>
            <w:tcW w:w="2319" w:type="dxa"/>
          </w:tcPr>
          <w:p>
            <w:pPr>
              <w:pStyle w:val="18"/>
              <w:spacing w:line="236" w:lineRule="exact"/>
              <w:ind w:left="-7"/>
              <w:jc w:val="left"/>
              <w:rPr>
                <w:sz w:val="21"/>
              </w:rPr>
            </w:pPr>
            <w:r>
              <w:rPr>
                <w:sz w:val="21"/>
              </w:rPr>
              <w:t>控制占地面积及减少植被</w:t>
            </w:r>
          </w:p>
          <w:p>
            <w:pPr>
              <w:pStyle w:val="18"/>
              <w:spacing w:line="224" w:lineRule="exact"/>
              <w:ind w:left="-7"/>
              <w:jc w:val="left"/>
              <w:rPr>
                <w:sz w:val="21"/>
              </w:rPr>
            </w:pPr>
            <w:r>
              <w:rPr>
                <w:sz w:val="21"/>
              </w:rPr>
              <w:t>破坏</w:t>
            </w:r>
          </w:p>
        </w:tc>
        <w:tc>
          <w:tcPr>
            <w:tcW w:w="3163" w:type="dxa"/>
          </w:tcPr>
          <w:p>
            <w:pPr>
              <w:pStyle w:val="18"/>
              <w:spacing w:before="101"/>
              <w:ind w:left="86" w:right="83"/>
              <w:rPr>
                <w:sz w:val="21"/>
              </w:rPr>
            </w:pPr>
            <w:r>
              <w:rPr>
                <w:sz w:val="21"/>
              </w:rPr>
              <w:t>植被种类种群不因施工减少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restart"/>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8"/>
              </w:rPr>
            </w:pPr>
          </w:p>
          <w:p>
            <w:pPr>
              <w:pStyle w:val="18"/>
              <w:ind w:left="-5"/>
              <w:jc w:val="left"/>
              <w:rPr>
                <w:sz w:val="21"/>
              </w:rPr>
            </w:pPr>
            <w:r>
              <w:rPr>
                <w:sz w:val="21"/>
              </w:rPr>
              <w:t>运营期</w:t>
            </w:r>
          </w:p>
        </w:tc>
        <w:tc>
          <w:tcPr>
            <w:tcW w:w="869" w:type="dxa"/>
            <w:vMerge w:val="restart"/>
          </w:tcPr>
          <w:p>
            <w:pPr>
              <w:pStyle w:val="18"/>
              <w:spacing w:before="109" w:line="213" w:lineRule="auto"/>
              <w:ind w:left="119" w:right="5" w:hanging="106"/>
              <w:jc w:val="left"/>
              <w:rPr>
                <w:sz w:val="21"/>
              </w:rPr>
            </w:pPr>
            <w:r>
              <w:rPr>
                <w:sz w:val="21"/>
              </w:rPr>
              <w:t>养殖区、堆肥厂</w:t>
            </w:r>
          </w:p>
        </w:tc>
        <w:tc>
          <w:tcPr>
            <w:tcW w:w="1395" w:type="dxa"/>
          </w:tcPr>
          <w:p>
            <w:pPr>
              <w:pStyle w:val="18"/>
              <w:spacing w:before="28"/>
              <w:ind w:left="17" w:right="6"/>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2319" w:type="dxa"/>
            <w:vMerge w:val="restart"/>
          </w:tcPr>
          <w:p>
            <w:pPr>
              <w:pStyle w:val="18"/>
              <w:spacing w:before="109" w:line="213" w:lineRule="auto"/>
              <w:ind w:left="-7" w:right="4"/>
              <w:jc w:val="left"/>
              <w:rPr>
                <w:sz w:val="21"/>
              </w:rPr>
            </w:pPr>
            <w:r>
              <w:rPr>
                <w:sz w:val="21"/>
              </w:rPr>
              <w:t>绿化、除臭剂除臭、源头控制等</w:t>
            </w:r>
          </w:p>
        </w:tc>
        <w:tc>
          <w:tcPr>
            <w:tcW w:w="3163" w:type="dxa"/>
            <w:vMerge w:val="restart"/>
          </w:tcPr>
          <w:p>
            <w:pPr>
              <w:pStyle w:val="18"/>
              <w:spacing w:before="109" w:line="213" w:lineRule="auto"/>
              <w:ind w:left="-5" w:right="6"/>
              <w:jc w:val="left"/>
              <w:rPr>
                <w:sz w:val="21"/>
              </w:rPr>
            </w:pPr>
            <w:r>
              <w:rPr>
                <w:sz w:val="21"/>
              </w:rPr>
              <w:t>《恶臭污染物排放标准》、《畜禽养殖业污染物排放标准》相关要求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8"/>
              <w:spacing w:before="31"/>
              <w:ind w:left="13" w:right="6"/>
              <w:rPr>
                <w:sz w:val="21"/>
              </w:rPr>
            </w:pPr>
            <w:r>
              <w:rPr>
                <w:sz w:val="21"/>
              </w:rPr>
              <w:t>臭气浓度</w:t>
            </w:r>
          </w:p>
        </w:tc>
        <w:tc>
          <w:tcPr>
            <w:tcW w:w="2319" w:type="dxa"/>
            <w:vMerge w:val="continue"/>
            <w:tcBorders>
              <w:top w:val="nil"/>
            </w:tcBorders>
          </w:tcPr>
          <w:p>
            <w:pPr>
              <w:rPr>
                <w:sz w:val="2"/>
                <w:szCs w:val="2"/>
              </w:rPr>
            </w:pPr>
          </w:p>
        </w:tc>
        <w:tc>
          <w:tcPr>
            <w:tcW w:w="31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7" w:type="dxa"/>
            <w:vMerge w:val="continue"/>
            <w:tcBorders>
              <w:top w:val="nil"/>
            </w:tcBorders>
          </w:tcPr>
          <w:p>
            <w:pPr>
              <w:rPr>
                <w:sz w:val="2"/>
                <w:szCs w:val="2"/>
              </w:rPr>
            </w:pPr>
          </w:p>
        </w:tc>
        <w:tc>
          <w:tcPr>
            <w:tcW w:w="869" w:type="dxa"/>
          </w:tcPr>
          <w:p>
            <w:pPr>
              <w:pStyle w:val="18"/>
              <w:spacing w:before="3"/>
              <w:jc w:val="left"/>
              <w:rPr>
                <w:b/>
                <w:sz w:val="17"/>
              </w:rPr>
            </w:pPr>
          </w:p>
          <w:p>
            <w:pPr>
              <w:pStyle w:val="18"/>
              <w:ind w:left="8"/>
              <w:rPr>
                <w:sz w:val="21"/>
              </w:rPr>
            </w:pPr>
            <w:r>
              <w:rPr>
                <w:sz w:val="21"/>
              </w:rPr>
              <w:t>养殖区</w:t>
            </w:r>
          </w:p>
        </w:tc>
        <w:tc>
          <w:tcPr>
            <w:tcW w:w="1395" w:type="dxa"/>
          </w:tcPr>
          <w:p>
            <w:pPr>
              <w:pStyle w:val="18"/>
              <w:spacing w:before="98" w:line="259" w:lineRule="exact"/>
              <w:ind w:left="-4" w:right="6"/>
              <w:rPr>
                <w:rFonts w:ascii="Times New Roman" w:eastAsia="Times New Roman"/>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spacing w:val="-6"/>
                <w:position w:val="2"/>
                <w:sz w:val="21"/>
                <w:vertAlign w:val="baseline"/>
              </w:rPr>
              <w:t>NH</w:t>
            </w:r>
            <w:r>
              <w:rPr>
                <w:rFonts w:ascii="Times New Roman" w:eastAsia="Times New Roman"/>
                <w:spacing w:val="-6"/>
                <w:position w:val="2"/>
                <w:sz w:val="21"/>
                <w:vertAlign w:val="subscript"/>
              </w:rPr>
              <w:t>3</w:t>
            </w:r>
            <w:r>
              <w:rPr>
                <w:rFonts w:ascii="Times New Roman" w:eastAsia="Times New Roman"/>
                <w:spacing w:val="-6"/>
                <w:position w:val="2"/>
                <w:sz w:val="21"/>
                <w:vertAlign w:val="baseline"/>
              </w:rPr>
              <w:t>-N</w:t>
            </w:r>
          </w:p>
          <w:p>
            <w:pPr>
              <w:pStyle w:val="18"/>
              <w:spacing w:line="253" w:lineRule="exact"/>
              <w:ind w:left="7"/>
              <w:rPr>
                <w:sz w:val="21"/>
              </w:rPr>
            </w:pPr>
            <w:r>
              <w:rPr>
                <w:w w:val="99"/>
                <w:sz w:val="21"/>
              </w:rPr>
              <w:t>等</w:t>
            </w:r>
          </w:p>
        </w:tc>
        <w:tc>
          <w:tcPr>
            <w:tcW w:w="2319" w:type="dxa"/>
          </w:tcPr>
          <w:p>
            <w:pPr>
              <w:pStyle w:val="18"/>
              <w:spacing w:before="4" w:line="213" w:lineRule="auto"/>
              <w:ind w:left="-7" w:right="4"/>
              <w:jc w:val="left"/>
              <w:rPr>
                <w:sz w:val="21"/>
              </w:rPr>
            </w:pPr>
            <w:r>
              <w:rPr>
                <w:sz w:val="21"/>
              </w:rPr>
              <w:t>羊尿进入垫料中与羊粪、一起运至堆肥厂高温堆肥</w:t>
            </w:r>
          </w:p>
          <w:p>
            <w:pPr>
              <w:pStyle w:val="18"/>
              <w:spacing w:line="216" w:lineRule="exact"/>
              <w:ind w:left="-7"/>
              <w:jc w:val="left"/>
              <w:rPr>
                <w:sz w:val="21"/>
              </w:rPr>
            </w:pPr>
            <w:r>
              <w:rPr>
                <w:sz w:val="21"/>
              </w:rPr>
              <w:t>发酵</w:t>
            </w:r>
          </w:p>
        </w:tc>
        <w:tc>
          <w:tcPr>
            <w:tcW w:w="3163" w:type="dxa"/>
          </w:tcPr>
          <w:p>
            <w:pPr>
              <w:pStyle w:val="18"/>
              <w:spacing w:before="3"/>
              <w:jc w:val="left"/>
              <w:rPr>
                <w:b/>
                <w:sz w:val="17"/>
              </w:rPr>
            </w:pPr>
          </w:p>
          <w:p>
            <w:pPr>
              <w:pStyle w:val="18"/>
              <w:ind w:left="89" w:right="81"/>
              <w:rPr>
                <w:sz w:val="21"/>
              </w:rPr>
            </w:pPr>
            <w:r>
              <w:rPr>
                <w:sz w:val="21"/>
              </w:rPr>
              <w:t>不外排，不对外环境产生影响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7" w:type="dxa"/>
            <w:vMerge w:val="continue"/>
            <w:tcBorders>
              <w:top w:val="nil"/>
            </w:tcBorders>
          </w:tcPr>
          <w:p>
            <w:pPr>
              <w:rPr>
                <w:sz w:val="2"/>
                <w:szCs w:val="2"/>
              </w:rPr>
            </w:pPr>
          </w:p>
        </w:tc>
        <w:tc>
          <w:tcPr>
            <w:tcW w:w="869" w:type="dxa"/>
          </w:tcPr>
          <w:p>
            <w:pPr>
              <w:pStyle w:val="18"/>
              <w:spacing w:before="101"/>
              <w:ind w:left="3"/>
              <w:rPr>
                <w:sz w:val="21"/>
              </w:rPr>
            </w:pPr>
            <w:r>
              <w:rPr>
                <w:sz w:val="21"/>
              </w:rPr>
              <w:t>噪声</w:t>
            </w:r>
          </w:p>
        </w:tc>
        <w:tc>
          <w:tcPr>
            <w:tcW w:w="1395" w:type="dxa"/>
          </w:tcPr>
          <w:p>
            <w:pPr>
              <w:pStyle w:val="18"/>
              <w:spacing w:line="236" w:lineRule="exact"/>
              <w:ind w:left="8"/>
              <w:rPr>
                <w:sz w:val="21"/>
              </w:rPr>
            </w:pPr>
            <w:r>
              <w:rPr>
                <w:sz w:val="21"/>
              </w:rPr>
              <w:t>等效连续</w:t>
            </w:r>
            <w:r>
              <w:rPr>
                <w:rFonts w:ascii="Times New Roman" w:eastAsia="Times New Roman"/>
                <w:sz w:val="21"/>
              </w:rPr>
              <w:t>A</w:t>
            </w:r>
            <w:r>
              <w:rPr>
                <w:sz w:val="21"/>
              </w:rPr>
              <w:t>声</w:t>
            </w:r>
          </w:p>
          <w:p>
            <w:pPr>
              <w:pStyle w:val="18"/>
              <w:spacing w:line="224" w:lineRule="exact"/>
              <w:ind w:left="7"/>
              <w:rPr>
                <w:sz w:val="21"/>
              </w:rPr>
            </w:pPr>
            <w:r>
              <w:rPr>
                <w:w w:val="99"/>
                <w:sz w:val="21"/>
              </w:rPr>
              <w:t>级</w:t>
            </w:r>
          </w:p>
        </w:tc>
        <w:tc>
          <w:tcPr>
            <w:tcW w:w="2319" w:type="dxa"/>
          </w:tcPr>
          <w:p>
            <w:pPr>
              <w:pStyle w:val="18"/>
              <w:spacing w:before="101"/>
              <w:ind w:left="-7" w:right="4"/>
              <w:rPr>
                <w:sz w:val="21"/>
              </w:rPr>
            </w:pPr>
            <w:r>
              <w:rPr>
                <w:spacing w:val="-2"/>
                <w:sz w:val="21"/>
              </w:rPr>
              <w:t>基础减震、墙体隔声降噪</w:t>
            </w:r>
          </w:p>
        </w:tc>
        <w:tc>
          <w:tcPr>
            <w:tcW w:w="3163" w:type="dxa"/>
          </w:tcPr>
          <w:p>
            <w:pPr>
              <w:pStyle w:val="18"/>
              <w:spacing w:line="236" w:lineRule="exact"/>
              <w:ind w:left="-5"/>
              <w:jc w:val="left"/>
              <w:rPr>
                <w:sz w:val="21"/>
              </w:rPr>
            </w:pPr>
            <w:r>
              <w:rPr>
                <w:sz w:val="21"/>
              </w:rPr>
              <w:t>《工业企业厂界环境噪声排放标</w:t>
            </w:r>
          </w:p>
          <w:p>
            <w:pPr>
              <w:pStyle w:val="18"/>
              <w:spacing w:line="224" w:lineRule="exact"/>
              <w:ind w:left="-5"/>
              <w:jc w:val="left"/>
              <w:rPr>
                <w:sz w:val="21"/>
              </w:rPr>
            </w:pPr>
            <w:r>
              <w:rPr>
                <w:sz w:val="21"/>
              </w:rPr>
              <w:t>准》</w:t>
            </w:r>
            <w:r>
              <w:rPr>
                <w:rFonts w:ascii="Times New Roman" w:eastAsia="Times New Roman"/>
                <w:sz w:val="21"/>
              </w:rPr>
              <w:t>2</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637" w:type="dxa"/>
            <w:vMerge w:val="continue"/>
            <w:tcBorders>
              <w:top w:val="nil"/>
            </w:tcBorders>
          </w:tcPr>
          <w:p>
            <w:pPr>
              <w:rPr>
                <w:sz w:val="2"/>
                <w:szCs w:val="2"/>
              </w:rPr>
            </w:pPr>
          </w:p>
        </w:tc>
        <w:tc>
          <w:tcPr>
            <w:tcW w:w="869" w:type="dxa"/>
          </w:tcPr>
          <w:p>
            <w:pPr>
              <w:pStyle w:val="18"/>
              <w:jc w:val="left"/>
              <w:rPr>
                <w:b/>
                <w:sz w:val="20"/>
              </w:rPr>
            </w:pPr>
          </w:p>
          <w:p>
            <w:pPr>
              <w:pStyle w:val="18"/>
              <w:spacing w:before="1"/>
              <w:jc w:val="left"/>
              <w:rPr>
                <w:b/>
                <w:sz w:val="16"/>
              </w:rPr>
            </w:pPr>
          </w:p>
          <w:p>
            <w:pPr>
              <w:pStyle w:val="18"/>
              <w:spacing w:before="1"/>
              <w:ind w:left="8"/>
              <w:rPr>
                <w:sz w:val="21"/>
              </w:rPr>
            </w:pPr>
            <w:r>
              <w:rPr>
                <w:sz w:val="21"/>
              </w:rPr>
              <w:t>养殖区</w:t>
            </w:r>
          </w:p>
        </w:tc>
        <w:tc>
          <w:tcPr>
            <w:tcW w:w="1395" w:type="dxa"/>
          </w:tcPr>
          <w:p>
            <w:pPr>
              <w:pStyle w:val="18"/>
              <w:jc w:val="left"/>
              <w:rPr>
                <w:b/>
                <w:sz w:val="20"/>
              </w:rPr>
            </w:pPr>
          </w:p>
          <w:p>
            <w:pPr>
              <w:pStyle w:val="18"/>
              <w:spacing w:before="1"/>
              <w:jc w:val="left"/>
              <w:rPr>
                <w:b/>
                <w:sz w:val="16"/>
              </w:rPr>
            </w:pPr>
          </w:p>
          <w:p>
            <w:pPr>
              <w:pStyle w:val="18"/>
              <w:spacing w:before="1"/>
              <w:ind w:left="-6" w:right="-15"/>
              <w:rPr>
                <w:sz w:val="21"/>
              </w:rPr>
            </w:pPr>
            <w:r>
              <w:rPr>
                <w:spacing w:val="-12"/>
                <w:sz w:val="21"/>
              </w:rPr>
              <w:t>羊粪、废弃垫料</w:t>
            </w:r>
          </w:p>
        </w:tc>
        <w:tc>
          <w:tcPr>
            <w:tcW w:w="2319" w:type="dxa"/>
          </w:tcPr>
          <w:p>
            <w:pPr>
              <w:pStyle w:val="18"/>
              <w:spacing w:before="7"/>
              <w:jc w:val="left"/>
              <w:rPr>
                <w:b/>
                <w:sz w:val="28"/>
              </w:rPr>
            </w:pPr>
          </w:p>
          <w:p>
            <w:pPr>
              <w:pStyle w:val="18"/>
              <w:spacing w:line="213" w:lineRule="auto"/>
              <w:ind w:left="-7" w:right="4"/>
              <w:jc w:val="left"/>
              <w:rPr>
                <w:sz w:val="21"/>
              </w:rPr>
            </w:pPr>
            <w:r>
              <w:rPr>
                <w:sz w:val="21"/>
              </w:rPr>
              <w:t>全部高温堆肥发酵无害化处理</w:t>
            </w:r>
          </w:p>
        </w:tc>
        <w:tc>
          <w:tcPr>
            <w:tcW w:w="3163" w:type="dxa"/>
          </w:tcPr>
          <w:p>
            <w:pPr>
              <w:pStyle w:val="18"/>
              <w:spacing w:before="6" w:line="213" w:lineRule="auto"/>
              <w:ind w:left="-5" w:right="6"/>
              <w:jc w:val="left"/>
              <w:rPr>
                <w:sz w:val="21"/>
              </w:rPr>
            </w:pPr>
            <w:r>
              <w:rPr>
                <w:sz w:val="21"/>
              </w:rPr>
              <w:t>《畜禽养殖业污染物排放标准》相关要求《粪便无害化卫生要求》</w:t>
            </w:r>
          </w:p>
          <w:p>
            <w:pPr>
              <w:pStyle w:val="18"/>
              <w:spacing w:before="1" w:line="213" w:lineRule="auto"/>
              <w:ind w:left="-5" w:right="66"/>
              <w:jc w:val="left"/>
              <w:rPr>
                <w:sz w:val="21"/>
              </w:rPr>
            </w:pPr>
            <w:r>
              <w:rPr>
                <w:w w:val="95"/>
                <w:sz w:val="21"/>
              </w:rPr>
              <w:t>（</w:t>
            </w:r>
            <w:r>
              <w:rPr>
                <w:rFonts w:ascii="Times New Roman" w:eastAsia="Times New Roman"/>
                <w:w w:val="95"/>
                <w:sz w:val="21"/>
              </w:rPr>
              <w:t>GB7959-2012</w:t>
            </w:r>
            <w:r>
              <w:rPr>
                <w:w w:val="95"/>
                <w:sz w:val="21"/>
              </w:rPr>
              <w:t>）和《畜禽粪便无</w:t>
            </w:r>
            <w:r>
              <w:rPr>
                <w:sz w:val="21"/>
              </w:rPr>
              <w:t>害化处理技术规范》</w:t>
            </w:r>
          </w:p>
          <w:p>
            <w:pPr>
              <w:pStyle w:val="18"/>
              <w:spacing w:line="215" w:lineRule="exact"/>
              <w:ind w:left="-5"/>
              <w:jc w:val="left"/>
              <w:rPr>
                <w:sz w:val="24"/>
              </w:rPr>
            </w:pPr>
            <w:r>
              <w:rPr>
                <w:sz w:val="21"/>
              </w:rPr>
              <w:t>（</w:t>
            </w:r>
            <w:r>
              <w:rPr>
                <w:rFonts w:ascii="Times New Roman" w:eastAsia="Times New Roman"/>
                <w:sz w:val="21"/>
              </w:rPr>
              <w:t>GB/T36195-2018</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7" w:type="dxa"/>
            <w:vMerge w:val="continue"/>
            <w:tcBorders>
              <w:top w:val="nil"/>
            </w:tcBorders>
          </w:tcPr>
          <w:p>
            <w:pPr>
              <w:rPr>
                <w:sz w:val="2"/>
                <w:szCs w:val="2"/>
              </w:rPr>
            </w:pPr>
          </w:p>
        </w:tc>
        <w:tc>
          <w:tcPr>
            <w:tcW w:w="869" w:type="dxa"/>
          </w:tcPr>
          <w:p>
            <w:pPr>
              <w:pStyle w:val="18"/>
              <w:spacing w:before="4"/>
              <w:jc w:val="left"/>
              <w:rPr>
                <w:b/>
                <w:sz w:val="17"/>
              </w:rPr>
            </w:pPr>
          </w:p>
          <w:p>
            <w:pPr>
              <w:pStyle w:val="18"/>
              <w:spacing w:before="1"/>
              <w:ind w:left="8"/>
              <w:rPr>
                <w:sz w:val="21"/>
              </w:rPr>
            </w:pPr>
            <w:r>
              <w:rPr>
                <w:sz w:val="21"/>
              </w:rPr>
              <w:t>养殖区</w:t>
            </w:r>
          </w:p>
        </w:tc>
        <w:tc>
          <w:tcPr>
            <w:tcW w:w="1395" w:type="dxa"/>
          </w:tcPr>
          <w:p>
            <w:pPr>
              <w:pStyle w:val="18"/>
              <w:spacing w:before="126" w:line="213" w:lineRule="auto"/>
              <w:ind w:left="591" w:right="58" w:hanging="526"/>
              <w:jc w:val="left"/>
              <w:rPr>
                <w:sz w:val="21"/>
              </w:rPr>
            </w:pPr>
            <w:r>
              <w:rPr>
                <w:sz w:val="21"/>
              </w:rPr>
              <w:t>病死羊及分娩物</w:t>
            </w:r>
          </w:p>
        </w:tc>
        <w:tc>
          <w:tcPr>
            <w:tcW w:w="2319" w:type="dxa"/>
          </w:tcPr>
          <w:p>
            <w:pPr>
              <w:pStyle w:val="18"/>
              <w:spacing w:line="240" w:lineRule="exact"/>
              <w:ind w:left="-7" w:right="4"/>
              <w:jc w:val="both"/>
              <w:rPr>
                <w:sz w:val="21"/>
              </w:rPr>
            </w:pPr>
            <w:r>
              <w:rPr>
                <w:sz w:val="21"/>
              </w:rPr>
              <w:t>采用干化法畜禽无害化处理方式处理，采用高温高压灭菌技术</w:t>
            </w:r>
          </w:p>
        </w:tc>
        <w:tc>
          <w:tcPr>
            <w:tcW w:w="3163" w:type="dxa"/>
          </w:tcPr>
          <w:p>
            <w:pPr>
              <w:pStyle w:val="18"/>
              <w:spacing w:line="240" w:lineRule="exact"/>
              <w:ind w:left="-5" w:right="6"/>
              <w:jc w:val="left"/>
              <w:rPr>
                <w:sz w:val="21"/>
              </w:rPr>
            </w:pPr>
            <w:r>
              <w:rPr>
                <w:spacing w:val="-1"/>
                <w:sz w:val="21"/>
              </w:rPr>
              <w:t>病害动物的无害化处理应执行《病</w:t>
            </w:r>
            <w:r>
              <w:rPr>
                <w:sz w:val="21"/>
              </w:rPr>
              <w:t>死及病害动物无害化处理技术规范》（农医发〔</w:t>
            </w:r>
            <w:r>
              <w:rPr>
                <w:rFonts w:ascii="Times New Roman" w:eastAsia="Times New Roman"/>
                <w:sz w:val="21"/>
              </w:rPr>
              <w:t>2013</w:t>
            </w:r>
            <w:r>
              <w:rPr>
                <w:sz w:val="21"/>
              </w:rPr>
              <w:t>〕</w:t>
            </w:r>
            <w:r>
              <w:rPr>
                <w:rFonts w:ascii="Times New Roman" w:eastAsia="Times New Roman"/>
                <w:sz w:val="21"/>
              </w:rPr>
              <w:t>34</w:t>
            </w:r>
            <w:r>
              <w:rPr>
                <w:sz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637" w:type="dxa"/>
            <w:vMerge w:val="continue"/>
            <w:tcBorders>
              <w:top w:val="nil"/>
            </w:tcBorders>
          </w:tcPr>
          <w:p>
            <w:pPr>
              <w:rPr>
                <w:sz w:val="2"/>
                <w:szCs w:val="2"/>
              </w:rPr>
            </w:pPr>
          </w:p>
        </w:tc>
        <w:tc>
          <w:tcPr>
            <w:tcW w:w="869" w:type="dxa"/>
          </w:tcPr>
          <w:p>
            <w:pPr>
              <w:pStyle w:val="18"/>
              <w:spacing w:before="4"/>
              <w:jc w:val="left"/>
              <w:rPr>
                <w:b/>
                <w:sz w:val="17"/>
              </w:rPr>
            </w:pPr>
          </w:p>
          <w:p>
            <w:pPr>
              <w:pStyle w:val="18"/>
              <w:ind w:left="6"/>
              <w:rPr>
                <w:sz w:val="21"/>
              </w:rPr>
            </w:pPr>
            <w:r>
              <w:rPr>
                <w:sz w:val="21"/>
              </w:rPr>
              <w:t>医疗废物</w:t>
            </w:r>
          </w:p>
        </w:tc>
        <w:tc>
          <w:tcPr>
            <w:tcW w:w="1395" w:type="dxa"/>
          </w:tcPr>
          <w:p>
            <w:pPr>
              <w:pStyle w:val="18"/>
              <w:spacing w:line="240" w:lineRule="exact"/>
              <w:ind w:left="-6" w:right="-15"/>
              <w:rPr>
                <w:sz w:val="21"/>
              </w:rPr>
            </w:pPr>
            <w:r>
              <w:rPr>
                <w:spacing w:val="-16"/>
                <w:sz w:val="21"/>
              </w:rPr>
              <w:t>医疗废物</w:t>
            </w:r>
            <w:r>
              <w:rPr>
                <w:sz w:val="21"/>
              </w:rPr>
              <w:t>（</w:t>
            </w:r>
            <w:r>
              <w:rPr>
                <w:spacing w:val="-8"/>
                <w:sz w:val="21"/>
              </w:rPr>
              <w:t>危废</w:t>
            </w:r>
            <w:r>
              <w:rPr>
                <w:spacing w:val="-33"/>
                <w:w w:val="99"/>
                <w:sz w:val="21"/>
              </w:rPr>
              <w:t>类别：</w:t>
            </w:r>
            <w:r>
              <w:rPr>
                <w:rFonts w:ascii="Times New Roman" w:eastAsia="Times New Roman"/>
                <w:w w:val="99"/>
                <w:sz w:val="21"/>
              </w:rPr>
              <w:t>H</w:t>
            </w:r>
            <w:r>
              <w:rPr>
                <w:rFonts w:ascii="Times New Roman" w:eastAsia="Times New Roman"/>
                <w:spacing w:val="-1"/>
                <w:w w:val="99"/>
                <w:sz w:val="21"/>
              </w:rPr>
              <w:t>W</w:t>
            </w:r>
            <w:r>
              <w:rPr>
                <w:rFonts w:ascii="Times New Roman" w:eastAsia="Times New Roman"/>
                <w:spacing w:val="1"/>
                <w:w w:val="99"/>
                <w:sz w:val="21"/>
              </w:rPr>
              <w:t>0</w:t>
            </w:r>
            <w:r>
              <w:rPr>
                <w:rFonts w:ascii="Times New Roman" w:eastAsia="Times New Roman"/>
                <w:w w:val="99"/>
                <w:sz w:val="21"/>
              </w:rPr>
              <w:t>1</w:t>
            </w:r>
            <w:r>
              <w:rPr>
                <w:spacing w:val="-16"/>
                <w:w w:val="99"/>
                <w:sz w:val="21"/>
              </w:rPr>
              <w:t>危</w:t>
            </w:r>
            <w:r>
              <w:rPr>
                <w:sz w:val="21"/>
              </w:rPr>
              <w:t>废代码：</w:t>
            </w:r>
            <w:r>
              <w:rPr>
                <w:rFonts w:ascii="Times New Roman" w:eastAsia="Times New Roman"/>
                <w:sz w:val="21"/>
              </w:rPr>
              <w:t>900-001-01</w:t>
            </w:r>
            <w:r>
              <w:rPr>
                <w:sz w:val="21"/>
              </w:rPr>
              <w:t>）</w:t>
            </w:r>
          </w:p>
        </w:tc>
        <w:tc>
          <w:tcPr>
            <w:tcW w:w="2319" w:type="dxa"/>
          </w:tcPr>
          <w:p>
            <w:pPr>
              <w:pStyle w:val="18"/>
              <w:spacing w:before="125" w:line="213" w:lineRule="auto"/>
              <w:ind w:left="423" w:right="-15" w:hanging="420"/>
              <w:jc w:val="left"/>
              <w:rPr>
                <w:sz w:val="21"/>
              </w:rPr>
            </w:pPr>
            <w:r>
              <w:rPr>
                <w:sz w:val="21"/>
              </w:rPr>
              <w:t>交由当地有相应危废处置资质的单位处置</w:t>
            </w:r>
          </w:p>
        </w:tc>
        <w:tc>
          <w:tcPr>
            <w:tcW w:w="3163" w:type="dxa"/>
          </w:tcPr>
          <w:p>
            <w:pPr>
              <w:pStyle w:val="18"/>
              <w:spacing w:before="4"/>
              <w:jc w:val="left"/>
              <w:rPr>
                <w:b/>
                <w:sz w:val="17"/>
              </w:rPr>
            </w:pPr>
          </w:p>
          <w:p>
            <w:pPr>
              <w:pStyle w:val="18"/>
              <w:ind w:left="89" w:right="83"/>
              <w:rPr>
                <w:sz w:val="21"/>
              </w:rPr>
            </w:pPr>
            <w:r>
              <w:rPr>
                <w:sz w:val="21"/>
              </w:rPr>
              <w:t>《危险废物贮存污染控制标准》</w:t>
            </w:r>
          </w:p>
        </w:tc>
      </w:tr>
    </w:tbl>
    <w:p>
      <w:pPr>
        <w:pStyle w:val="7"/>
        <w:spacing w:before="11"/>
        <w:ind w:left="0"/>
        <w:rPr>
          <w:b/>
          <w:sz w:val="4"/>
        </w:rPr>
      </w:pPr>
    </w:p>
    <w:p>
      <w:pPr>
        <w:pStyle w:val="7"/>
        <w:ind w:left="0"/>
        <w:rPr>
          <w:b/>
          <w:sz w:val="17"/>
        </w:rPr>
      </w:pPr>
    </w:p>
    <w:p>
      <w:pPr>
        <w:pStyle w:val="17"/>
        <w:numPr>
          <w:ilvl w:val="2"/>
          <w:numId w:val="15"/>
        </w:numPr>
        <w:tabs>
          <w:tab w:val="left" w:pos="1241"/>
        </w:tabs>
        <w:spacing w:before="73" w:after="0" w:line="240" w:lineRule="auto"/>
        <w:ind w:left="1240" w:right="0" w:hanging="701"/>
        <w:jc w:val="left"/>
        <w:outlineLvl w:val="2"/>
        <w:rPr>
          <w:b/>
          <w:sz w:val="28"/>
        </w:rPr>
      </w:pPr>
      <w:bookmarkStart w:id="92" w:name="2.7.2 环境保护目标"/>
      <w:bookmarkEnd w:id="92"/>
      <w:bookmarkStart w:id="93" w:name="2.7.2 环境保护目标"/>
      <w:bookmarkEnd w:id="93"/>
      <w:bookmarkStart w:id="94" w:name="_Toc9190"/>
      <w:r>
        <w:rPr>
          <w:b/>
          <w:sz w:val="28"/>
        </w:rPr>
        <w:t>环境保护目标</w:t>
      </w:r>
      <w:bookmarkEnd w:id="94"/>
    </w:p>
    <w:p>
      <w:pPr>
        <w:pStyle w:val="7"/>
        <w:spacing w:before="5"/>
        <w:ind w:left="0"/>
        <w:rPr>
          <w:b/>
          <w:sz w:val="21"/>
        </w:rPr>
      </w:pPr>
    </w:p>
    <w:p>
      <w:pPr>
        <w:pStyle w:val="7"/>
        <w:spacing w:line="364" w:lineRule="auto"/>
        <w:ind w:right="577" w:firstLine="480"/>
      </w:pPr>
      <w:r>
        <w:rPr>
          <w:spacing w:val="-11"/>
        </w:rPr>
        <w:t>根据技术导则，环境保护目标包括环境敏感目标与保护区域应达到的环境质</w:t>
      </w:r>
      <w:r>
        <w:t>量标准或功能要求。</w:t>
      </w:r>
    </w:p>
    <w:p>
      <w:pPr>
        <w:pStyle w:val="7"/>
        <w:spacing w:before="1" w:line="364" w:lineRule="auto"/>
        <w:ind w:right="485" w:firstLine="480"/>
      </w:pPr>
      <w:r>
        <w:rPr>
          <w:spacing w:val="-7"/>
        </w:rPr>
        <w:t>根据现场踏勘及相关资料查阅，项目区域不属于自然保护区和风景名胜游览</w:t>
      </w:r>
      <w:r>
        <w:rPr>
          <w:spacing w:val="-8"/>
        </w:rPr>
        <w:t>地；项目不占用基本农田；因此核定主要环境保护目标是评价区内的环境空气、</w:t>
      </w:r>
      <w:r>
        <w:rPr>
          <w:spacing w:val="-5"/>
        </w:rPr>
        <w:t>地下水及选址地周围人群相对集中的居民区、村庄等人群健康。本项目主要环境保护目标如下：</w:t>
      </w:r>
    </w:p>
    <w:p>
      <w:pPr>
        <w:pStyle w:val="17"/>
        <w:numPr>
          <w:ilvl w:val="3"/>
          <w:numId w:val="15"/>
        </w:numPr>
        <w:tabs>
          <w:tab w:val="left" w:pos="1621"/>
        </w:tabs>
        <w:spacing w:before="2" w:after="0" w:line="240" w:lineRule="auto"/>
        <w:ind w:left="1621" w:right="0" w:hanging="601"/>
        <w:jc w:val="left"/>
        <w:rPr>
          <w:sz w:val="24"/>
        </w:rPr>
      </w:pPr>
      <w:r>
        <w:rPr>
          <w:sz w:val="24"/>
        </w:rPr>
        <w:t>环境空气</w:t>
      </w:r>
    </w:p>
    <w:p>
      <w:pPr>
        <w:pStyle w:val="7"/>
        <w:spacing w:before="161" w:line="364" w:lineRule="auto"/>
        <w:ind w:right="577" w:firstLine="480"/>
      </w:pPr>
      <w:r>
        <w:rPr>
          <w:spacing w:val="-7"/>
        </w:rPr>
        <w:t>保护评价区空气环境质量，使之维持现有水平，不因项目实施而恶化。保护</w:t>
      </w:r>
      <w:r>
        <w:t>级别为《环境空气标准》（</w:t>
      </w:r>
      <w:r>
        <w:rPr>
          <w:rFonts w:ascii="Times New Roman" w:eastAsia="Times New Roman"/>
        </w:rPr>
        <w:t>GB3095-2012</w:t>
      </w:r>
      <w:r>
        <w:t>）的二级标准；</w:t>
      </w:r>
    </w:p>
    <w:p>
      <w:pPr>
        <w:pStyle w:val="17"/>
        <w:numPr>
          <w:ilvl w:val="3"/>
          <w:numId w:val="15"/>
        </w:numPr>
        <w:tabs>
          <w:tab w:val="left" w:pos="1621"/>
        </w:tabs>
        <w:spacing w:before="1" w:after="0" w:line="240" w:lineRule="auto"/>
        <w:ind w:left="1621" w:right="0" w:hanging="601"/>
        <w:jc w:val="left"/>
        <w:rPr>
          <w:sz w:val="24"/>
        </w:rPr>
      </w:pPr>
      <w:r>
        <w:rPr>
          <w:sz w:val="24"/>
        </w:rPr>
        <w:t>地下水水环境</w:t>
      </w:r>
    </w:p>
    <w:p>
      <w:pPr>
        <w:pStyle w:val="7"/>
        <w:spacing w:before="160" w:line="364" w:lineRule="auto"/>
        <w:ind w:right="457" w:firstLine="480"/>
      </w:pPr>
      <w:r>
        <w:rPr>
          <w:spacing w:val="-8"/>
        </w:rPr>
        <w:t>保护评价区地下水，防止污染物进入地下水，确保项目影响区域的地下水环境质量符合《地下水环境质量标准》（</w:t>
      </w:r>
      <w:r>
        <w:rPr>
          <w:rFonts w:ascii="Times New Roman" w:hAnsi="Times New Roman" w:eastAsia="Times New Roman"/>
          <w:spacing w:val="-8"/>
        </w:rPr>
        <w:t>GB/T14848-2017</w:t>
      </w:r>
      <w:r>
        <w:rPr>
          <w:spacing w:val="-8"/>
        </w:rPr>
        <w:t>）Ⅲ</w:t>
      </w:r>
      <w:r>
        <w:rPr>
          <w:spacing w:val="-9"/>
        </w:rPr>
        <w:t>类标准的限值要求。</w:t>
      </w:r>
    </w:p>
    <w:p>
      <w:pPr>
        <w:pStyle w:val="17"/>
        <w:numPr>
          <w:ilvl w:val="3"/>
          <w:numId w:val="15"/>
        </w:numPr>
        <w:tabs>
          <w:tab w:val="left" w:pos="1621"/>
        </w:tabs>
        <w:spacing w:before="2" w:after="0" w:line="240" w:lineRule="auto"/>
        <w:ind w:left="1621" w:right="0" w:hanging="601"/>
        <w:jc w:val="left"/>
        <w:rPr>
          <w:sz w:val="24"/>
        </w:rPr>
      </w:pPr>
      <w:r>
        <w:rPr>
          <w:sz w:val="24"/>
        </w:rPr>
        <w:t>声环境</w:t>
      </w:r>
    </w:p>
    <w:p>
      <w:pPr>
        <w:pStyle w:val="7"/>
        <w:spacing w:before="160"/>
        <w:ind w:left="1020"/>
      </w:pPr>
      <w:r>
        <w:t>保护区域声环境质量，使厂界噪声值符合《工业企业厂界环境噪声排放标准》</w:t>
      </w:r>
    </w:p>
    <w:p>
      <w:pPr>
        <w:pStyle w:val="7"/>
        <w:spacing w:before="161"/>
      </w:pPr>
      <w:r>
        <w:t>（</w:t>
      </w:r>
      <w:r>
        <w:rPr>
          <w:rFonts w:ascii="Times New Roman" w:eastAsia="Times New Roman"/>
        </w:rPr>
        <w:t>GB12348-2008</w:t>
      </w:r>
      <w:r>
        <w:t>）</w:t>
      </w:r>
      <w:r>
        <w:rPr>
          <w:rFonts w:ascii="Times New Roman" w:eastAsia="Times New Roman"/>
        </w:rPr>
        <w:t>2</w:t>
      </w:r>
      <w:r>
        <w:t>类标准。</w:t>
      </w:r>
    </w:p>
    <w:p>
      <w:pPr>
        <w:pStyle w:val="17"/>
        <w:numPr>
          <w:ilvl w:val="3"/>
          <w:numId w:val="15"/>
        </w:numPr>
        <w:tabs>
          <w:tab w:val="left" w:pos="1621"/>
        </w:tabs>
        <w:spacing w:before="160" w:after="0" w:line="240" w:lineRule="auto"/>
        <w:ind w:left="1621" w:right="0" w:hanging="601"/>
        <w:jc w:val="left"/>
        <w:rPr>
          <w:sz w:val="24"/>
        </w:rPr>
      </w:pPr>
      <w:r>
        <w:rPr>
          <w:sz w:val="24"/>
        </w:rPr>
        <w:t>土壤环境</w:t>
      </w:r>
    </w:p>
    <w:p>
      <w:pPr>
        <w:pStyle w:val="7"/>
        <w:spacing w:before="161"/>
        <w:ind w:left="1020"/>
      </w:pPr>
      <w:r>
        <w:t>保护评价区内土壤环境，使土壤质量符合《畜禽养殖产地环境评价规范》</w:t>
      </w:r>
    </w:p>
    <w:p>
      <w:pPr>
        <w:pStyle w:val="7"/>
        <w:spacing w:before="160"/>
      </w:pPr>
      <w:r>
        <w:t>（</w:t>
      </w:r>
      <w:r>
        <w:rPr>
          <w:rFonts w:ascii="Times New Roman" w:eastAsia="Times New Roman"/>
        </w:rPr>
        <w:t>HJ568-2010</w:t>
      </w:r>
      <w:r>
        <w:t>）》中限值要求。</w:t>
      </w:r>
    </w:p>
    <w:p>
      <w:pPr>
        <w:pStyle w:val="17"/>
        <w:numPr>
          <w:ilvl w:val="3"/>
          <w:numId w:val="15"/>
        </w:numPr>
        <w:tabs>
          <w:tab w:val="left" w:pos="1621"/>
        </w:tabs>
        <w:spacing w:before="161" w:after="0" w:line="240" w:lineRule="auto"/>
        <w:ind w:left="1621" w:right="0" w:hanging="601"/>
        <w:jc w:val="left"/>
        <w:rPr>
          <w:sz w:val="24"/>
        </w:rPr>
      </w:pPr>
      <w:r>
        <w:rPr>
          <w:sz w:val="24"/>
        </w:rPr>
        <w:t>生态环境</w:t>
      </w:r>
    </w:p>
    <w:p>
      <w:pPr>
        <w:pStyle w:val="7"/>
        <w:spacing w:before="160" w:line="364" w:lineRule="auto"/>
        <w:ind w:right="457" w:firstLine="480"/>
      </w:pPr>
      <w:r>
        <w:rPr>
          <w:spacing w:val="-12"/>
        </w:rPr>
        <w:t>保护项目区周边的农田及天然草场，农田作物主要为玉米、苜蓿草和饲草等。</w:t>
      </w:r>
      <w:r>
        <w:t>合理处置场区粪污，避免对土壤、植被等产生不利影响。</w:t>
      </w:r>
    </w:p>
    <w:p>
      <w:pPr>
        <w:pStyle w:val="17"/>
        <w:numPr>
          <w:ilvl w:val="3"/>
          <w:numId w:val="15"/>
        </w:numPr>
        <w:tabs>
          <w:tab w:val="left" w:pos="1621"/>
        </w:tabs>
        <w:spacing w:before="1" w:after="0" w:line="240" w:lineRule="auto"/>
        <w:ind w:left="1621" w:right="0" w:hanging="601"/>
        <w:jc w:val="left"/>
        <w:rPr>
          <w:sz w:val="24"/>
        </w:rPr>
      </w:pPr>
      <w:r>
        <w:rPr>
          <w:sz w:val="24"/>
        </w:rPr>
        <w:t>环境风险</w:t>
      </w:r>
    </w:p>
    <w:p>
      <w:pPr>
        <w:pStyle w:val="7"/>
        <w:spacing w:before="161"/>
        <w:ind w:left="1020"/>
      </w:pPr>
      <w:r>
        <w:t>确保项目运行不对周围环境敏感点产生较大影响。</w:t>
      </w:r>
    </w:p>
    <w:p>
      <w:pPr>
        <w:pStyle w:val="7"/>
        <w:bidi w:val="0"/>
        <w:jc w:val="center"/>
      </w:pPr>
      <w:r>
        <w:t>环境敏感目标见表</w:t>
      </w:r>
      <w:r>
        <w:rPr>
          <w:rFonts w:ascii="Times New Roman" w:eastAsia="Times New Roman"/>
        </w:rPr>
        <w:t>2.7-2</w:t>
      </w:r>
      <w:r>
        <w:t>，敏感目标分布情况见图</w:t>
      </w:r>
      <w:r>
        <w:rPr>
          <w:rFonts w:ascii="Times New Roman" w:eastAsia="Times New Roman"/>
        </w:rPr>
        <w:t>2.7-1</w:t>
      </w:r>
      <w:r>
        <w:t>。</w:t>
      </w:r>
    </w:p>
    <w:p>
      <w:pPr>
        <w:pStyle w:val="7"/>
        <w:bidi w:val="0"/>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表2.7-2</w:t>
      </w:r>
      <w:r>
        <w:rPr>
          <w:rFonts w:hint="eastAsia" w:ascii="宋体" w:hAnsi="宋体" w:eastAsia="宋体" w:cs="宋体"/>
          <w:b w:val="0"/>
          <w:bCs w:val="0"/>
          <w:sz w:val="28"/>
          <w:szCs w:val="28"/>
        </w:rPr>
        <w:tab/>
      </w:r>
      <w:r>
        <w:rPr>
          <w:rFonts w:hint="eastAsia" w:ascii="宋体" w:hAnsi="宋体" w:eastAsia="宋体" w:cs="宋体"/>
          <w:b w:val="0"/>
          <w:bCs w:val="0"/>
          <w:w w:val="95"/>
          <w:sz w:val="28"/>
          <w:szCs w:val="28"/>
        </w:rPr>
        <w:t>环境保护目标一览表</w:t>
      </w:r>
    </w:p>
    <w:p>
      <w:pPr>
        <w:pStyle w:val="7"/>
        <w:ind w:left="0"/>
        <w:rPr>
          <w:b/>
          <w:sz w:val="26"/>
        </w:rPr>
      </w:pPr>
      <w:r>
        <mc:AlternateContent>
          <mc:Choice Requires="wps">
            <w:drawing>
              <wp:anchor distT="0" distB="0" distL="114300" distR="114300" simplePos="0" relativeHeight="251673600" behindDoc="0" locked="0" layoutInCell="1" allowOverlap="1">
                <wp:simplePos x="0" y="0"/>
                <wp:positionH relativeFrom="page">
                  <wp:posOffset>873125</wp:posOffset>
                </wp:positionH>
                <wp:positionV relativeFrom="paragraph">
                  <wp:posOffset>46355</wp:posOffset>
                </wp:positionV>
                <wp:extent cx="5690235" cy="3007360"/>
                <wp:effectExtent l="0" t="0" r="0" b="0"/>
                <wp:wrapNone/>
                <wp:docPr id="106" name="文本框 39"/>
                <wp:cNvGraphicFramePr/>
                <a:graphic xmlns:a="http://schemas.openxmlformats.org/drawingml/2006/main">
                  <a:graphicData uri="http://schemas.microsoft.com/office/word/2010/wordprocessingShape">
                    <wps:wsp>
                      <wps:cNvSpPr txBox="1"/>
                      <wps:spPr>
                        <a:xfrm>
                          <a:off x="0" y="0"/>
                          <a:ext cx="5690235" cy="3007360"/>
                        </a:xfrm>
                        <a:prstGeom prst="rect">
                          <a:avLst/>
                        </a:prstGeom>
                        <a:noFill/>
                        <a:ln>
                          <a:noFill/>
                        </a:ln>
                      </wps:spPr>
                      <wps:txbx>
                        <w:txbxContent>
                          <w:tbl>
                            <w:tblPr>
                              <w:tblStyle w:val="14"/>
                              <w:tblpPr w:leftFromText="180" w:rightFromText="180" w:horzAnchor="margin" w:tblpXSpec="left" w:tblpY="-4165"/>
                              <w:tblOverlap w:val="never"/>
                              <w:tblW w:w="0" w:type="auto"/>
                              <w:tblInd w:w="2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774"/>
                              <w:gridCol w:w="1110"/>
                              <w:gridCol w:w="960"/>
                              <w:gridCol w:w="990"/>
                              <w:gridCol w:w="765"/>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709" w:type="dxa"/>
                                </w:tcPr>
                                <w:p>
                                  <w:pPr>
                                    <w:pStyle w:val="18"/>
                                    <w:spacing w:before="109" w:line="213" w:lineRule="auto"/>
                                    <w:ind w:left="142" w:right="134"/>
                                    <w:jc w:val="left"/>
                                    <w:rPr>
                                      <w:b/>
                                      <w:sz w:val="21"/>
                                    </w:rPr>
                                  </w:pPr>
                                  <w:r>
                                    <w:rPr>
                                      <w:b/>
                                      <w:sz w:val="21"/>
                                    </w:rPr>
                                    <w:t>环境要素</w:t>
                                  </w:r>
                                </w:p>
                              </w:tc>
                              <w:tc>
                                <w:tcPr>
                                  <w:tcW w:w="1774" w:type="dxa"/>
                                </w:tcPr>
                                <w:p>
                                  <w:pPr>
                                    <w:pStyle w:val="18"/>
                                    <w:spacing w:before="1"/>
                                    <w:jc w:val="left"/>
                                    <w:rPr>
                                      <w:sz w:val="16"/>
                                    </w:rPr>
                                  </w:pPr>
                                </w:p>
                                <w:p>
                                  <w:pPr>
                                    <w:pStyle w:val="18"/>
                                    <w:ind w:left="24" w:right="12"/>
                                    <w:rPr>
                                      <w:b/>
                                      <w:sz w:val="21"/>
                                    </w:rPr>
                                  </w:pPr>
                                  <w:r>
                                    <w:rPr>
                                      <w:b/>
                                      <w:sz w:val="21"/>
                                    </w:rPr>
                                    <w:t>敏感目标名称</w:t>
                                  </w:r>
                                </w:p>
                              </w:tc>
                              <w:tc>
                                <w:tcPr>
                                  <w:tcW w:w="1110" w:type="dxa"/>
                                </w:tcPr>
                                <w:p>
                                  <w:pPr>
                                    <w:pStyle w:val="18"/>
                                    <w:spacing w:before="109" w:line="213" w:lineRule="auto"/>
                                    <w:ind w:left="345" w:right="121" w:hanging="212"/>
                                    <w:jc w:val="left"/>
                                    <w:rPr>
                                      <w:b/>
                                      <w:sz w:val="21"/>
                                    </w:rPr>
                                  </w:pPr>
                                  <w:r>
                                    <w:rPr>
                                      <w:b/>
                                      <w:sz w:val="21"/>
                                    </w:rPr>
                                    <w:t>相对场址方位</w:t>
                                  </w:r>
                                </w:p>
                              </w:tc>
                              <w:tc>
                                <w:tcPr>
                                  <w:tcW w:w="960" w:type="dxa"/>
                                </w:tcPr>
                                <w:p>
                                  <w:pPr>
                                    <w:pStyle w:val="18"/>
                                    <w:spacing w:before="109" w:line="213" w:lineRule="auto"/>
                                    <w:ind w:left="36" w:right="46" w:firstLine="21"/>
                                    <w:jc w:val="left"/>
                                    <w:rPr>
                                      <w:rFonts w:ascii="Times New Roman" w:eastAsia="Times New Roman"/>
                                      <w:b/>
                                      <w:sz w:val="21"/>
                                    </w:rPr>
                                  </w:pPr>
                                  <w:r>
                                    <w:rPr>
                                      <w:b/>
                                      <w:sz w:val="21"/>
                                    </w:rPr>
                                    <w:t>相对场址距离（</w:t>
                                  </w:r>
                                  <w:r>
                                    <w:rPr>
                                      <w:rFonts w:ascii="Times New Roman" w:eastAsia="Times New Roman"/>
                                      <w:b/>
                                      <w:sz w:val="21"/>
                                    </w:rPr>
                                    <w:t>m</w:t>
                                  </w:r>
                                </w:p>
                              </w:tc>
                              <w:tc>
                                <w:tcPr>
                                  <w:tcW w:w="990" w:type="dxa"/>
                                </w:tcPr>
                                <w:p>
                                  <w:pPr>
                                    <w:pStyle w:val="18"/>
                                    <w:spacing w:before="206"/>
                                    <w:ind w:left="-141"/>
                                    <w:jc w:val="left"/>
                                    <w:rPr>
                                      <w:b/>
                                      <w:sz w:val="21"/>
                                    </w:rPr>
                                  </w:pPr>
                                  <w:r>
                                    <w:rPr>
                                      <w:b/>
                                      <w:position w:val="-11"/>
                                      <w:sz w:val="21"/>
                                    </w:rPr>
                                    <w:t>）</w:t>
                                  </w:r>
                                  <w:r>
                                    <w:rPr>
                                      <w:b/>
                                      <w:sz w:val="21"/>
                                    </w:rPr>
                                    <w:t>保护对象</w:t>
                                  </w:r>
                                </w:p>
                              </w:tc>
                              <w:tc>
                                <w:tcPr>
                                  <w:tcW w:w="765" w:type="dxa"/>
                                </w:tcPr>
                                <w:p>
                                  <w:pPr>
                                    <w:pStyle w:val="18"/>
                                    <w:spacing w:before="1"/>
                                    <w:jc w:val="left"/>
                                    <w:rPr>
                                      <w:sz w:val="16"/>
                                    </w:rPr>
                                  </w:pPr>
                                </w:p>
                                <w:p>
                                  <w:pPr>
                                    <w:pStyle w:val="18"/>
                                    <w:ind w:left="151" w:right="141"/>
                                    <w:rPr>
                                      <w:b/>
                                      <w:sz w:val="21"/>
                                    </w:rPr>
                                  </w:pPr>
                                  <w:r>
                                    <w:rPr>
                                      <w:b/>
                                      <w:sz w:val="21"/>
                                    </w:rPr>
                                    <w:t>人数</w:t>
                                  </w:r>
                                </w:p>
                              </w:tc>
                              <w:tc>
                                <w:tcPr>
                                  <w:tcW w:w="2140" w:type="dxa"/>
                                </w:tcPr>
                                <w:p>
                                  <w:pPr>
                                    <w:pStyle w:val="18"/>
                                    <w:spacing w:before="1"/>
                                    <w:jc w:val="left"/>
                                    <w:rPr>
                                      <w:sz w:val="16"/>
                                    </w:rPr>
                                  </w:pPr>
                                </w:p>
                                <w:p>
                                  <w:pPr>
                                    <w:pStyle w:val="18"/>
                                    <w:ind w:left="33" w:right="19"/>
                                    <w:rPr>
                                      <w:b/>
                                      <w:sz w:val="21"/>
                                    </w:rPr>
                                  </w:pPr>
                                  <w:r>
                                    <w:rPr>
                                      <w:b/>
                                      <w:sz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709" w:type="dxa"/>
                                  <w:vMerge w:val="restart"/>
                                </w:tcPr>
                                <w:p>
                                  <w:pPr>
                                    <w:pStyle w:val="18"/>
                                    <w:jc w:val="left"/>
                                    <w:rPr>
                                      <w:color w:val="0000FF"/>
                                      <w:sz w:val="20"/>
                                    </w:rPr>
                                  </w:pPr>
                                </w:p>
                                <w:p>
                                  <w:pPr>
                                    <w:pStyle w:val="18"/>
                                    <w:jc w:val="left"/>
                                    <w:rPr>
                                      <w:color w:val="0000FF"/>
                                      <w:sz w:val="20"/>
                                    </w:rPr>
                                  </w:pPr>
                                </w:p>
                                <w:p>
                                  <w:pPr>
                                    <w:pStyle w:val="18"/>
                                    <w:spacing w:before="3"/>
                                    <w:jc w:val="left"/>
                                    <w:rPr>
                                      <w:color w:val="0000FF"/>
                                      <w:sz w:val="23"/>
                                    </w:rPr>
                                  </w:pPr>
                                </w:p>
                                <w:p>
                                  <w:pPr>
                                    <w:pStyle w:val="18"/>
                                    <w:spacing w:line="213" w:lineRule="auto"/>
                                    <w:ind w:left="142" w:right="136"/>
                                    <w:jc w:val="left"/>
                                    <w:rPr>
                                      <w:color w:val="0000FF"/>
                                      <w:sz w:val="21"/>
                                    </w:rPr>
                                  </w:pPr>
                                  <w:r>
                                    <w:rPr>
                                      <w:color w:val="0000FF"/>
                                      <w:sz w:val="21"/>
                                    </w:rPr>
                                    <w:t>大气环境</w:t>
                                  </w:r>
                                </w:p>
                              </w:tc>
                              <w:tc>
                                <w:tcPr>
                                  <w:tcW w:w="1774" w:type="dxa"/>
                                </w:tcPr>
                                <w:p>
                                  <w:pPr>
                                    <w:pStyle w:val="18"/>
                                    <w:spacing w:before="31"/>
                                    <w:ind w:left="24" w:right="17"/>
                                    <w:rPr>
                                      <w:color w:val="0000FF"/>
                                      <w:sz w:val="21"/>
                                    </w:rPr>
                                  </w:pPr>
                                  <w:r>
                                    <w:rPr>
                                      <w:rFonts w:hint="eastAsia"/>
                                      <w:color w:val="0000FF"/>
                                      <w:sz w:val="21"/>
                                      <w:lang w:val="en-US" w:eastAsia="zh-CN"/>
                                    </w:rPr>
                                    <w:t>托万巴格托格克拉村</w:t>
                                  </w:r>
                                </w:p>
                              </w:tc>
                              <w:tc>
                                <w:tcPr>
                                  <w:tcW w:w="1110" w:type="dxa"/>
                                </w:tcPr>
                                <w:p>
                                  <w:pPr>
                                    <w:pStyle w:val="18"/>
                                    <w:spacing w:before="31"/>
                                    <w:ind w:left="111" w:right="103"/>
                                    <w:rPr>
                                      <w:color w:val="0000FF"/>
                                      <w:sz w:val="21"/>
                                    </w:rPr>
                                  </w:pPr>
                                  <w:r>
                                    <w:rPr>
                                      <w:rFonts w:hint="eastAsia"/>
                                      <w:color w:val="0000FF"/>
                                      <w:sz w:val="21"/>
                                      <w:lang w:val="en-US" w:eastAsia="zh-CN"/>
                                    </w:rPr>
                                    <w:t>南</w:t>
                                  </w:r>
                                  <w:r>
                                    <w:rPr>
                                      <w:color w:val="0000FF"/>
                                      <w:sz w:val="21"/>
                                    </w:rPr>
                                    <w:t>侧</w:t>
                                  </w:r>
                                </w:p>
                              </w:tc>
                              <w:tc>
                                <w:tcPr>
                                  <w:tcW w:w="960" w:type="dxa"/>
                                </w:tcPr>
                                <w:p>
                                  <w:pPr>
                                    <w:pStyle w:val="18"/>
                                    <w:spacing w:before="45"/>
                                    <w:ind w:left="37" w:right="27"/>
                                    <w:rPr>
                                      <w:rFonts w:hint="default" w:ascii="Times New Roman" w:eastAsia="宋体"/>
                                      <w:color w:val="0000FF"/>
                                      <w:sz w:val="21"/>
                                      <w:lang w:val="en-US" w:eastAsia="zh-CN"/>
                                    </w:rPr>
                                  </w:pPr>
                                  <w:r>
                                    <w:rPr>
                                      <w:rFonts w:hint="eastAsia" w:ascii="Times New Roman"/>
                                      <w:color w:val="0000FF"/>
                                      <w:sz w:val="21"/>
                                      <w:lang w:val="en-US" w:eastAsia="zh-CN"/>
                                    </w:rPr>
                                    <w:t>2000</w:t>
                                  </w:r>
                                </w:p>
                              </w:tc>
                              <w:tc>
                                <w:tcPr>
                                  <w:tcW w:w="990" w:type="dxa"/>
                                </w:tcPr>
                                <w:p>
                                  <w:pPr>
                                    <w:pStyle w:val="18"/>
                                    <w:spacing w:before="31"/>
                                    <w:ind w:left="284"/>
                                    <w:jc w:val="left"/>
                                    <w:rPr>
                                      <w:color w:val="0000FF"/>
                                      <w:sz w:val="21"/>
                                    </w:rPr>
                                  </w:pPr>
                                  <w:r>
                                    <w:rPr>
                                      <w:color w:val="0000FF"/>
                                      <w:sz w:val="21"/>
                                    </w:rPr>
                                    <w:t>村庄</w:t>
                                  </w:r>
                                </w:p>
                              </w:tc>
                              <w:tc>
                                <w:tcPr>
                                  <w:tcW w:w="765" w:type="dxa"/>
                                </w:tcPr>
                                <w:p>
                                  <w:pPr>
                                    <w:pStyle w:val="18"/>
                                    <w:spacing w:before="45"/>
                                    <w:ind w:left="150" w:right="141"/>
                                    <w:rPr>
                                      <w:rFonts w:ascii="Times New Roman"/>
                                      <w:color w:val="0000FF"/>
                                      <w:sz w:val="21"/>
                                    </w:rPr>
                                  </w:pPr>
                                  <w:r>
                                    <w:rPr>
                                      <w:rFonts w:ascii="Times New Roman"/>
                                      <w:color w:val="0000FF"/>
                                      <w:sz w:val="21"/>
                                    </w:rPr>
                                    <w:t>1500</w:t>
                                  </w:r>
                                </w:p>
                              </w:tc>
                              <w:tc>
                                <w:tcPr>
                                  <w:tcW w:w="2140" w:type="dxa"/>
                                  <w:vMerge w:val="restart"/>
                                </w:tcPr>
                                <w:p>
                                  <w:pPr>
                                    <w:pStyle w:val="18"/>
                                    <w:jc w:val="left"/>
                                    <w:rPr>
                                      <w:color w:val="0000FF"/>
                                      <w:sz w:val="20"/>
                                    </w:rPr>
                                  </w:pPr>
                                </w:p>
                                <w:p>
                                  <w:pPr>
                                    <w:pStyle w:val="18"/>
                                    <w:jc w:val="left"/>
                                    <w:rPr>
                                      <w:color w:val="0000FF"/>
                                      <w:sz w:val="20"/>
                                    </w:rPr>
                                  </w:pPr>
                                </w:p>
                                <w:p>
                                  <w:pPr>
                                    <w:pStyle w:val="18"/>
                                    <w:spacing w:before="155" w:line="255" w:lineRule="exact"/>
                                    <w:ind w:left="70" w:right="19"/>
                                    <w:rPr>
                                      <w:color w:val="0000FF"/>
                                      <w:sz w:val="21"/>
                                    </w:rPr>
                                  </w:pPr>
                                  <w:r>
                                    <w:rPr>
                                      <w:color w:val="0000FF"/>
                                      <w:w w:val="95"/>
                                      <w:sz w:val="21"/>
                                    </w:rPr>
                                    <w:t>《环境空气质量标准》</w:t>
                                  </w:r>
                                </w:p>
                                <w:p>
                                  <w:pPr>
                                    <w:pStyle w:val="18"/>
                                    <w:spacing w:line="240" w:lineRule="exact"/>
                                    <w:ind w:left="28" w:right="19"/>
                                    <w:rPr>
                                      <w:color w:val="0000FF"/>
                                      <w:sz w:val="21"/>
                                    </w:rPr>
                                  </w:pPr>
                                  <w:r>
                                    <w:rPr>
                                      <w:color w:val="0000FF"/>
                                      <w:sz w:val="21"/>
                                    </w:rPr>
                                    <w:t>（</w:t>
                                  </w:r>
                                  <w:r>
                                    <w:rPr>
                                      <w:rFonts w:ascii="Times New Roman" w:eastAsia="Times New Roman"/>
                                      <w:color w:val="0000FF"/>
                                      <w:sz w:val="21"/>
                                    </w:rPr>
                                    <w:t>GB3095-2012</w:t>
                                  </w:r>
                                  <w:r>
                                    <w:rPr>
                                      <w:color w:val="0000FF"/>
                                      <w:sz w:val="21"/>
                                    </w:rPr>
                                    <w:t>）二级</w:t>
                                  </w:r>
                                </w:p>
                                <w:p>
                                  <w:pPr>
                                    <w:pStyle w:val="18"/>
                                    <w:spacing w:line="255" w:lineRule="exact"/>
                                    <w:ind w:left="25" w:right="19"/>
                                    <w:rPr>
                                      <w:color w:val="0000FF"/>
                                      <w:sz w:val="21"/>
                                    </w:rPr>
                                  </w:pP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jc w:val="center"/>
                                    <w:rPr>
                                      <w:rFonts w:hint="default" w:eastAsia="宋体"/>
                                      <w:color w:val="0000FF"/>
                                      <w:sz w:val="21"/>
                                      <w:lang w:val="en-US" w:eastAsia="zh-CN"/>
                                    </w:rPr>
                                  </w:pPr>
                                  <w:r>
                                    <w:rPr>
                                      <w:rFonts w:hint="eastAsia"/>
                                      <w:color w:val="0000FF"/>
                                      <w:sz w:val="21"/>
                                      <w:lang w:val="en-US" w:eastAsia="zh-CN"/>
                                    </w:rPr>
                                    <w:t>阿拉买特</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1800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1200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rPr>
                                      <w:rFonts w:hint="default" w:eastAsia="宋体"/>
                                      <w:color w:val="0000FF"/>
                                      <w:sz w:val="21"/>
                                      <w:lang w:val="en-US" w:eastAsia="zh-CN"/>
                                    </w:rPr>
                                  </w:pPr>
                                  <w:r>
                                    <w:rPr>
                                      <w:rFonts w:hint="eastAsia"/>
                                      <w:color w:val="0000FF"/>
                                      <w:sz w:val="21"/>
                                      <w:lang w:val="en-US" w:eastAsia="zh-CN"/>
                                    </w:rPr>
                                    <w:t>英阿勒买提苏盖提勒克村</w:t>
                                  </w:r>
                                </w:p>
                              </w:tc>
                              <w:tc>
                                <w:tcPr>
                                  <w:tcW w:w="1110" w:type="dxa"/>
                                </w:tcPr>
                                <w:p>
                                  <w:pPr>
                                    <w:pStyle w:val="18"/>
                                    <w:spacing w:before="32"/>
                                    <w:ind w:left="111" w:right="103"/>
                                    <w:rPr>
                                      <w:color w:val="0000FF"/>
                                      <w:sz w:val="21"/>
                                    </w:rPr>
                                  </w:pPr>
                                  <w:r>
                                    <w:rPr>
                                      <w:color w:val="0000FF"/>
                                      <w:sz w:val="21"/>
                                    </w:rPr>
                                    <w:t>西北侧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4"/>
                                    <w:rPr>
                                      <w:rFonts w:hint="default" w:eastAsia="宋体"/>
                                      <w:color w:val="0000FF"/>
                                      <w:sz w:val="21"/>
                                      <w:lang w:val="en-US" w:eastAsia="zh-CN"/>
                                    </w:rPr>
                                  </w:pPr>
                                  <w:r>
                                    <w:rPr>
                                      <w:rFonts w:hint="eastAsia"/>
                                      <w:color w:val="0000FF"/>
                                      <w:sz w:val="21"/>
                                      <w:lang w:val="en-US" w:eastAsia="zh-CN"/>
                                    </w:rPr>
                                    <w:t>阔纳阿拉买提村</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09" w:type="dxa"/>
                                </w:tcPr>
                                <w:p>
                                  <w:pPr>
                                    <w:pStyle w:val="18"/>
                                    <w:spacing w:before="3"/>
                                    <w:jc w:val="left"/>
                                    <w:rPr>
                                      <w:color w:val="0000FF"/>
                                      <w:sz w:val="17"/>
                                    </w:rPr>
                                  </w:pPr>
                                </w:p>
                                <w:p>
                                  <w:pPr>
                                    <w:pStyle w:val="18"/>
                                    <w:ind w:left="39"/>
                                    <w:jc w:val="left"/>
                                    <w:rPr>
                                      <w:color w:val="0000FF"/>
                                      <w:sz w:val="21"/>
                                    </w:rPr>
                                  </w:pPr>
                                  <w:r>
                                    <w:rPr>
                                      <w:color w:val="0000FF"/>
                                      <w:sz w:val="21"/>
                                    </w:rPr>
                                    <w:t>水环境</w:t>
                                  </w:r>
                                </w:p>
                              </w:tc>
                              <w:tc>
                                <w:tcPr>
                                  <w:tcW w:w="1774" w:type="dxa"/>
                                </w:tcPr>
                                <w:p>
                                  <w:pPr>
                                    <w:pStyle w:val="18"/>
                                    <w:spacing w:before="3"/>
                                    <w:jc w:val="left"/>
                                    <w:rPr>
                                      <w:color w:val="0000FF"/>
                                      <w:sz w:val="17"/>
                                    </w:rPr>
                                  </w:pPr>
                                </w:p>
                                <w:p>
                                  <w:pPr>
                                    <w:pStyle w:val="18"/>
                                    <w:ind w:left="24" w:right="17"/>
                                    <w:rPr>
                                      <w:color w:val="0000FF"/>
                                      <w:sz w:val="21"/>
                                    </w:rPr>
                                  </w:pPr>
                                  <w:r>
                                    <w:rPr>
                                      <w:color w:val="0000FF"/>
                                      <w:sz w:val="21"/>
                                    </w:rPr>
                                    <w:t>地下水</w:t>
                                  </w:r>
                                </w:p>
                              </w:tc>
                              <w:tc>
                                <w:tcPr>
                                  <w:tcW w:w="1110" w:type="dxa"/>
                                </w:tcPr>
                                <w:p>
                                  <w:pPr>
                                    <w:pStyle w:val="18"/>
                                    <w:spacing w:before="3"/>
                                    <w:jc w:val="left"/>
                                    <w:rPr>
                                      <w:color w:val="0000FF"/>
                                      <w:sz w:val="17"/>
                                    </w:rPr>
                                  </w:pPr>
                                </w:p>
                                <w:p>
                                  <w:pPr>
                                    <w:pStyle w:val="18"/>
                                    <w:ind w:left="109" w:right="103"/>
                                    <w:rPr>
                                      <w:color w:val="0000FF"/>
                                      <w:sz w:val="21"/>
                                    </w:rPr>
                                  </w:pPr>
                                  <w:r>
                                    <w:rPr>
                                      <w:color w:val="0000FF"/>
                                      <w:sz w:val="21"/>
                                    </w:rPr>
                                    <w:t>厂址区域</w:t>
                                  </w:r>
                                </w:p>
                              </w:tc>
                              <w:tc>
                                <w:tcPr>
                                  <w:tcW w:w="960" w:type="dxa"/>
                                </w:tcPr>
                                <w:p>
                                  <w:pPr>
                                    <w:pStyle w:val="18"/>
                                    <w:spacing w:before="3"/>
                                    <w:jc w:val="left"/>
                                    <w:rPr>
                                      <w:color w:val="0000FF"/>
                                      <w:sz w:val="17"/>
                                    </w:rPr>
                                  </w:pPr>
                                </w:p>
                                <w:p>
                                  <w:pPr>
                                    <w:pStyle w:val="18"/>
                                    <w:ind w:left="37" w:right="33"/>
                                    <w:rPr>
                                      <w:color w:val="0000FF"/>
                                      <w:sz w:val="21"/>
                                    </w:rPr>
                                  </w:pPr>
                                  <w:r>
                                    <w:rPr>
                                      <w:color w:val="0000FF"/>
                                      <w:sz w:val="21"/>
                                    </w:rPr>
                                    <w:t>厂址区域</w:t>
                                  </w:r>
                                </w:p>
                              </w:tc>
                              <w:tc>
                                <w:tcPr>
                                  <w:tcW w:w="990" w:type="dxa"/>
                                </w:tcPr>
                                <w:p>
                                  <w:pPr>
                                    <w:pStyle w:val="18"/>
                                    <w:spacing w:before="3"/>
                                    <w:jc w:val="left"/>
                                    <w:rPr>
                                      <w:color w:val="0000FF"/>
                                      <w:sz w:val="17"/>
                                    </w:rPr>
                                  </w:pPr>
                                </w:p>
                                <w:p>
                                  <w:pPr>
                                    <w:pStyle w:val="18"/>
                                    <w:ind w:left="284"/>
                                    <w:jc w:val="left"/>
                                    <w:rPr>
                                      <w:color w:val="0000FF"/>
                                      <w:sz w:val="21"/>
                                    </w:rPr>
                                  </w:pPr>
                                  <w:r>
                                    <w:rPr>
                                      <w:color w:val="0000FF"/>
                                      <w:sz w:val="21"/>
                                    </w:rPr>
                                    <w:t>水质</w:t>
                                  </w:r>
                                </w:p>
                              </w:tc>
                              <w:tc>
                                <w:tcPr>
                                  <w:tcW w:w="765" w:type="dxa"/>
                                </w:tcPr>
                                <w:p>
                                  <w:pPr>
                                    <w:pStyle w:val="18"/>
                                    <w:spacing w:before="3"/>
                                    <w:jc w:val="left"/>
                                    <w:rPr>
                                      <w:color w:val="0000FF"/>
                                      <w:sz w:val="17"/>
                                    </w:rPr>
                                  </w:pPr>
                                </w:p>
                                <w:p>
                                  <w:pPr>
                                    <w:pStyle w:val="18"/>
                                    <w:ind w:left="5"/>
                                    <w:rPr>
                                      <w:color w:val="0000FF"/>
                                      <w:sz w:val="21"/>
                                    </w:rPr>
                                  </w:pPr>
                                  <w:r>
                                    <w:rPr>
                                      <w:color w:val="0000FF"/>
                                      <w:w w:val="99"/>
                                      <w:sz w:val="21"/>
                                    </w:rPr>
                                    <w:t>—</w:t>
                                  </w:r>
                                </w:p>
                              </w:tc>
                              <w:tc>
                                <w:tcPr>
                                  <w:tcW w:w="2140" w:type="dxa"/>
                                </w:tcPr>
                                <w:p>
                                  <w:pPr>
                                    <w:pStyle w:val="18"/>
                                    <w:spacing w:before="4" w:line="213" w:lineRule="auto"/>
                                    <w:ind w:left="36" w:right="129"/>
                                    <w:jc w:val="left"/>
                                    <w:rPr>
                                      <w:rFonts w:ascii="Times New Roman" w:eastAsia="Times New Roman"/>
                                      <w:color w:val="0000FF"/>
                                      <w:sz w:val="21"/>
                                    </w:rPr>
                                  </w:pPr>
                                  <w:r>
                                    <w:rPr>
                                      <w:color w:val="0000FF"/>
                                      <w:sz w:val="21"/>
                                    </w:rPr>
                                    <w:t>《地下水环境质量标</w:t>
                                  </w:r>
                                  <w:r>
                                    <w:rPr>
                                      <w:color w:val="0000FF"/>
                                      <w:spacing w:val="-80"/>
                                      <w:w w:val="95"/>
                                      <w:sz w:val="21"/>
                                    </w:rPr>
                                    <w:t>准》</w:t>
                                  </w:r>
                                  <w:r>
                                    <w:rPr>
                                      <w:color w:val="0000FF"/>
                                      <w:w w:val="95"/>
                                      <w:sz w:val="21"/>
                                    </w:rPr>
                                    <w:t>（</w:t>
                                  </w:r>
                                  <w:r>
                                    <w:rPr>
                                      <w:rFonts w:ascii="Times New Roman" w:eastAsia="Times New Roman"/>
                                      <w:color w:val="0000FF"/>
                                      <w:w w:val="95"/>
                                      <w:sz w:val="21"/>
                                    </w:rPr>
                                    <w:t>GB/T14848-2017</w:t>
                                  </w:r>
                                </w:p>
                                <w:p>
                                  <w:pPr>
                                    <w:pStyle w:val="18"/>
                                    <w:spacing w:line="217" w:lineRule="exact"/>
                                    <w:ind w:left="36"/>
                                    <w:jc w:val="left"/>
                                    <w:rPr>
                                      <w:color w:val="0000FF"/>
                                      <w:sz w:val="21"/>
                                    </w:rPr>
                                  </w:pPr>
                                  <w:r>
                                    <w:rPr>
                                      <w:color w:val="0000FF"/>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9" w:type="dxa"/>
                                </w:tcPr>
                                <w:p>
                                  <w:pPr>
                                    <w:pStyle w:val="18"/>
                                    <w:spacing w:before="1" w:line="240" w:lineRule="exact"/>
                                    <w:ind w:left="142" w:right="136"/>
                                    <w:jc w:val="left"/>
                                    <w:rPr>
                                      <w:color w:val="0000FF"/>
                                      <w:sz w:val="21"/>
                                    </w:rPr>
                                  </w:pPr>
                                  <w:r>
                                    <w:rPr>
                                      <w:color w:val="0000FF"/>
                                      <w:sz w:val="21"/>
                                    </w:rPr>
                                    <w:t>土壤环境</w:t>
                                  </w:r>
                                </w:p>
                              </w:tc>
                              <w:tc>
                                <w:tcPr>
                                  <w:tcW w:w="1774" w:type="dxa"/>
                                </w:tcPr>
                                <w:p>
                                  <w:pPr>
                                    <w:pStyle w:val="18"/>
                                    <w:spacing w:before="103"/>
                                    <w:ind w:left="24" w:right="17"/>
                                    <w:rPr>
                                      <w:color w:val="0000FF"/>
                                      <w:sz w:val="21"/>
                                    </w:rPr>
                                  </w:pPr>
                                  <w:r>
                                    <w:rPr>
                                      <w:color w:val="0000FF"/>
                                      <w:sz w:val="21"/>
                                    </w:rPr>
                                    <w:t>耕地</w:t>
                                  </w:r>
                                </w:p>
                              </w:tc>
                              <w:tc>
                                <w:tcPr>
                                  <w:tcW w:w="1110" w:type="dxa"/>
                                </w:tcPr>
                                <w:p>
                                  <w:pPr>
                                    <w:pStyle w:val="18"/>
                                    <w:spacing w:before="103"/>
                                    <w:ind w:left="111" w:right="103"/>
                                    <w:rPr>
                                      <w:color w:val="0000FF"/>
                                      <w:sz w:val="21"/>
                                    </w:rPr>
                                  </w:pPr>
                                  <w:r>
                                    <w:rPr>
                                      <w:color w:val="0000FF"/>
                                      <w:sz w:val="21"/>
                                    </w:rPr>
                                    <w:t>四周</w:t>
                                  </w:r>
                                </w:p>
                              </w:tc>
                              <w:tc>
                                <w:tcPr>
                                  <w:tcW w:w="960" w:type="dxa"/>
                                </w:tcPr>
                                <w:p>
                                  <w:pPr>
                                    <w:pStyle w:val="18"/>
                                    <w:spacing w:before="103"/>
                                    <w:ind w:left="37" w:right="30"/>
                                    <w:rPr>
                                      <w:color w:val="0000FF"/>
                                      <w:sz w:val="21"/>
                                    </w:rPr>
                                  </w:pPr>
                                  <w:r>
                                    <w:rPr>
                                      <w:color w:val="0000FF"/>
                                      <w:sz w:val="21"/>
                                    </w:rPr>
                                    <w:t>四周</w:t>
                                  </w:r>
                                </w:p>
                              </w:tc>
                              <w:tc>
                                <w:tcPr>
                                  <w:tcW w:w="990" w:type="dxa"/>
                                </w:tcPr>
                                <w:p>
                                  <w:pPr>
                                    <w:pStyle w:val="18"/>
                                    <w:spacing w:before="103"/>
                                    <w:ind w:left="284"/>
                                    <w:jc w:val="left"/>
                                    <w:rPr>
                                      <w:color w:val="0000FF"/>
                                      <w:sz w:val="21"/>
                                    </w:rPr>
                                  </w:pPr>
                                  <w:r>
                                    <w:rPr>
                                      <w:color w:val="0000FF"/>
                                      <w:sz w:val="21"/>
                                    </w:rPr>
                                    <w:t>耕地</w:t>
                                  </w:r>
                                </w:p>
                              </w:tc>
                              <w:tc>
                                <w:tcPr>
                                  <w:tcW w:w="765" w:type="dxa"/>
                                </w:tcPr>
                                <w:p>
                                  <w:pPr>
                                    <w:pStyle w:val="18"/>
                                    <w:spacing w:before="103"/>
                                    <w:ind w:left="5"/>
                                    <w:rPr>
                                      <w:color w:val="0000FF"/>
                                      <w:sz w:val="21"/>
                                    </w:rPr>
                                  </w:pPr>
                                  <w:r>
                                    <w:rPr>
                                      <w:color w:val="0000FF"/>
                                      <w:w w:val="99"/>
                                      <w:sz w:val="21"/>
                                    </w:rPr>
                                    <w:t>—</w:t>
                                  </w:r>
                                </w:p>
                              </w:tc>
                              <w:tc>
                                <w:tcPr>
                                  <w:tcW w:w="2140" w:type="dxa"/>
                                </w:tcPr>
                                <w:p>
                                  <w:pPr>
                                    <w:pStyle w:val="18"/>
                                    <w:spacing w:before="103"/>
                                    <w:ind w:left="28" w:right="19"/>
                                    <w:rPr>
                                      <w:color w:val="0000FF"/>
                                      <w:sz w:val="21"/>
                                    </w:rPr>
                                  </w:pPr>
                                  <w:r>
                                    <w:rPr>
                                      <w:color w:val="0000FF"/>
                                      <w:sz w:val="21"/>
                                    </w:rPr>
                                    <w:t>不受影响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9" w:type="dxa"/>
                                </w:tcPr>
                                <w:p>
                                  <w:pPr>
                                    <w:pStyle w:val="18"/>
                                    <w:spacing w:line="236" w:lineRule="exact"/>
                                    <w:ind w:left="142"/>
                                    <w:jc w:val="left"/>
                                    <w:rPr>
                                      <w:color w:val="0000FF"/>
                                      <w:sz w:val="21"/>
                                    </w:rPr>
                                  </w:pPr>
                                  <w:r>
                                    <w:rPr>
                                      <w:color w:val="0000FF"/>
                                      <w:spacing w:val="-1"/>
                                      <w:w w:val="95"/>
                                      <w:sz w:val="21"/>
                                    </w:rPr>
                                    <w:t>环境</w:t>
                                  </w:r>
                                </w:p>
                                <w:p>
                                  <w:pPr>
                                    <w:pStyle w:val="18"/>
                                    <w:spacing w:line="223" w:lineRule="exact"/>
                                    <w:ind w:left="142"/>
                                    <w:jc w:val="left"/>
                                    <w:rPr>
                                      <w:color w:val="0000FF"/>
                                      <w:sz w:val="21"/>
                                    </w:rPr>
                                  </w:pPr>
                                  <w:r>
                                    <w:rPr>
                                      <w:color w:val="0000FF"/>
                                      <w:spacing w:val="-1"/>
                                      <w:w w:val="95"/>
                                      <w:sz w:val="21"/>
                                    </w:rPr>
                                    <w:t>风险</w:t>
                                  </w:r>
                                </w:p>
                              </w:tc>
                              <w:tc>
                                <w:tcPr>
                                  <w:tcW w:w="1774" w:type="dxa"/>
                                </w:tcPr>
                                <w:p>
                                  <w:pPr>
                                    <w:pStyle w:val="18"/>
                                    <w:spacing w:line="236" w:lineRule="exact"/>
                                    <w:ind w:left="36"/>
                                    <w:jc w:val="left"/>
                                    <w:rPr>
                                      <w:color w:val="0000FF"/>
                                      <w:sz w:val="21"/>
                                    </w:rPr>
                                  </w:pPr>
                                  <w:r>
                                    <w:rPr>
                                      <w:color w:val="0000FF"/>
                                      <w:sz w:val="21"/>
                                    </w:rPr>
                                    <w:t>村庄、地下水、大</w:t>
                                  </w:r>
                                </w:p>
                                <w:p>
                                  <w:pPr>
                                    <w:pStyle w:val="18"/>
                                    <w:spacing w:line="223" w:lineRule="exact"/>
                                    <w:ind w:left="36"/>
                                    <w:jc w:val="left"/>
                                    <w:rPr>
                                      <w:color w:val="0000FF"/>
                                      <w:sz w:val="21"/>
                                    </w:rPr>
                                  </w:pPr>
                                  <w:r>
                                    <w:rPr>
                                      <w:color w:val="0000FF"/>
                                      <w:sz w:val="21"/>
                                    </w:rPr>
                                    <w:t>气环境</w:t>
                                  </w:r>
                                </w:p>
                              </w:tc>
                              <w:tc>
                                <w:tcPr>
                                  <w:tcW w:w="1110" w:type="dxa"/>
                                </w:tcPr>
                                <w:p>
                                  <w:pPr>
                                    <w:pStyle w:val="18"/>
                                    <w:spacing w:line="236" w:lineRule="exact"/>
                                    <w:ind w:left="35"/>
                                    <w:jc w:val="left"/>
                                    <w:rPr>
                                      <w:color w:val="0000FF"/>
                                      <w:sz w:val="21"/>
                                    </w:rPr>
                                  </w:pPr>
                                  <w:r>
                                    <w:rPr>
                                      <w:color w:val="0000FF"/>
                                      <w:sz w:val="21"/>
                                    </w:rPr>
                                    <w:t>村庄、地下</w:t>
                                  </w:r>
                                </w:p>
                                <w:p>
                                  <w:pPr>
                                    <w:pStyle w:val="18"/>
                                    <w:spacing w:line="223" w:lineRule="exact"/>
                                    <w:ind w:left="35"/>
                                    <w:jc w:val="left"/>
                                    <w:rPr>
                                      <w:color w:val="0000FF"/>
                                      <w:sz w:val="21"/>
                                    </w:rPr>
                                  </w:pPr>
                                  <w:r>
                                    <w:rPr>
                                      <w:color w:val="0000FF"/>
                                      <w:sz w:val="21"/>
                                    </w:rPr>
                                    <w:t>水、大气</w:t>
                                  </w:r>
                                </w:p>
                              </w:tc>
                              <w:tc>
                                <w:tcPr>
                                  <w:tcW w:w="960" w:type="dxa"/>
                                </w:tcPr>
                                <w:p>
                                  <w:pPr>
                                    <w:pStyle w:val="18"/>
                                    <w:spacing w:before="115"/>
                                    <w:ind w:left="37" w:right="27"/>
                                    <w:rPr>
                                      <w:rFonts w:ascii="Times New Roman"/>
                                      <w:color w:val="0000FF"/>
                                      <w:sz w:val="21"/>
                                    </w:rPr>
                                  </w:pPr>
                                  <w:r>
                                    <w:rPr>
                                      <w:rFonts w:ascii="Times New Roman"/>
                                      <w:color w:val="0000FF"/>
                                      <w:sz w:val="21"/>
                                    </w:rPr>
                                    <w:t>500</w:t>
                                  </w:r>
                                </w:p>
                              </w:tc>
                              <w:tc>
                                <w:tcPr>
                                  <w:tcW w:w="990" w:type="dxa"/>
                                </w:tcPr>
                                <w:p>
                                  <w:pPr>
                                    <w:pStyle w:val="18"/>
                                    <w:spacing w:before="101"/>
                                    <w:ind w:left="8"/>
                                    <w:rPr>
                                      <w:color w:val="0000FF"/>
                                      <w:sz w:val="21"/>
                                    </w:rPr>
                                  </w:pPr>
                                  <w:r>
                                    <w:rPr>
                                      <w:color w:val="0000FF"/>
                                      <w:w w:val="99"/>
                                      <w:sz w:val="21"/>
                                    </w:rPr>
                                    <w:t>—</w:t>
                                  </w:r>
                                </w:p>
                              </w:tc>
                              <w:tc>
                                <w:tcPr>
                                  <w:tcW w:w="765" w:type="dxa"/>
                                </w:tcPr>
                                <w:p>
                                  <w:pPr>
                                    <w:pStyle w:val="18"/>
                                    <w:spacing w:before="101"/>
                                    <w:ind w:left="5"/>
                                    <w:rPr>
                                      <w:color w:val="0000FF"/>
                                      <w:sz w:val="21"/>
                                    </w:rPr>
                                  </w:pPr>
                                  <w:r>
                                    <w:rPr>
                                      <w:color w:val="0000FF"/>
                                      <w:w w:val="99"/>
                                      <w:sz w:val="21"/>
                                    </w:rPr>
                                    <w:t>—</w:t>
                                  </w:r>
                                </w:p>
                              </w:tc>
                              <w:tc>
                                <w:tcPr>
                                  <w:tcW w:w="2140" w:type="dxa"/>
                                </w:tcPr>
                                <w:p>
                                  <w:pPr>
                                    <w:pStyle w:val="18"/>
                                    <w:spacing w:before="101"/>
                                    <w:ind w:left="28" w:right="19"/>
                                    <w:rPr>
                                      <w:color w:val="0000FF"/>
                                      <w:sz w:val="21"/>
                                    </w:rPr>
                                  </w:pPr>
                                  <w:r>
                                    <w:rPr>
                                      <w:color w:val="0000FF"/>
                                      <w:sz w:val="21"/>
                                    </w:rPr>
                                    <w:t>不受风险事故影响</w:t>
                                  </w:r>
                                </w:p>
                              </w:tc>
                            </w:tr>
                          </w:tbl>
                          <w:p>
                            <w:pPr>
                              <w:pStyle w:val="7"/>
                              <w:ind w:left="0"/>
                            </w:pPr>
                          </w:p>
                        </w:txbxContent>
                      </wps:txbx>
                      <wps:bodyPr vert="horz" lIns="0" tIns="0" rIns="0" bIns="0" anchor="t" upright="1"/>
                    </wps:wsp>
                  </a:graphicData>
                </a:graphic>
              </wp:anchor>
            </w:drawing>
          </mc:Choice>
          <mc:Fallback>
            <w:pict>
              <v:shape id="文本框 39" o:spid="_x0000_s1026" o:spt="202" type="#_x0000_t202" style="position:absolute;left:0pt;margin-left:68.75pt;margin-top:3.65pt;height:236.8pt;width:448.05pt;mso-position-horizontal-relative:page;z-index:251673600;mso-width-relative:page;mso-height-relative:page;" filled="f" stroked="f" coordsize="21600,21600" o:gfxdata="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q8CWtkAAAAKAQAADwAAAAAAAAABACAAAAAiAAAAZHJzL2Rvd25yZXYueG1sUEsBAhQAFAAAAAgA&#10;h07iQCVoH/+yAQAAPwMAAA4AAAAAAAAAAQAgAAAAKAEAAGRycy9lMm9Eb2MueG1sUEsFBgAAAAAG&#10;AAYAWQEAAEwFAAAAAA==&#10;">
                <v:fill on="f" focussize="0,0"/>
                <v:stroke on="f"/>
                <v:imagedata o:title=""/>
                <o:lock v:ext="edit" aspectratio="f"/>
                <v:textbox inset="0mm,0mm,0mm,0mm">
                  <w:txbxContent>
                    <w:tbl>
                      <w:tblPr>
                        <w:tblStyle w:val="14"/>
                        <w:tblpPr w:leftFromText="180" w:rightFromText="180" w:horzAnchor="margin" w:tblpXSpec="left" w:tblpY="-4165"/>
                        <w:tblOverlap w:val="never"/>
                        <w:tblW w:w="0" w:type="auto"/>
                        <w:tblInd w:w="2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774"/>
                        <w:gridCol w:w="1110"/>
                        <w:gridCol w:w="960"/>
                        <w:gridCol w:w="990"/>
                        <w:gridCol w:w="765"/>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709" w:type="dxa"/>
                          </w:tcPr>
                          <w:p>
                            <w:pPr>
                              <w:pStyle w:val="18"/>
                              <w:spacing w:before="109" w:line="213" w:lineRule="auto"/>
                              <w:ind w:left="142" w:right="134"/>
                              <w:jc w:val="left"/>
                              <w:rPr>
                                <w:b/>
                                <w:sz w:val="21"/>
                              </w:rPr>
                            </w:pPr>
                            <w:r>
                              <w:rPr>
                                <w:b/>
                                <w:sz w:val="21"/>
                              </w:rPr>
                              <w:t>环境要素</w:t>
                            </w:r>
                          </w:p>
                        </w:tc>
                        <w:tc>
                          <w:tcPr>
                            <w:tcW w:w="1774" w:type="dxa"/>
                          </w:tcPr>
                          <w:p>
                            <w:pPr>
                              <w:pStyle w:val="18"/>
                              <w:spacing w:before="1"/>
                              <w:jc w:val="left"/>
                              <w:rPr>
                                <w:sz w:val="16"/>
                              </w:rPr>
                            </w:pPr>
                          </w:p>
                          <w:p>
                            <w:pPr>
                              <w:pStyle w:val="18"/>
                              <w:ind w:left="24" w:right="12"/>
                              <w:rPr>
                                <w:b/>
                                <w:sz w:val="21"/>
                              </w:rPr>
                            </w:pPr>
                            <w:r>
                              <w:rPr>
                                <w:b/>
                                <w:sz w:val="21"/>
                              </w:rPr>
                              <w:t>敏感目标名称</w:t>
                            </w:r>
                          </w:p>
                        </w:tc>
                        <w:tc>
                          <w:tcPr>
                            <w:tcW w:w="1110" w:type="dxa"/>
                          </w:tcPr>
                          <w:p>
                            <w:pPr>
                              <w:pStyle w:val="18"/>
                              <w:spacing w:before="109" w:line="213" w:lineRule="auto"/>
                              <w:ind w:left="345" w:right="121" w:hanging="212"/>
                              <w:jc w:val="left"/>
                              <w:rPr>
                                <w:b/>
                                <w:sz w:val="21"/>
                              </w:rPr>
                            </w:pPr>
                            <w:r>
                              <w:rPr>
                                <w:b/>
                                <w:sz w:val="21"/>
                              </w:rPr>
                              <w:t>相对场址方位</w:t>
                            </w:r>
                          </w:p>
                        </w:tc>
                        <w:tc>
                          <w:tcPr>
                            <w:tcW w:w="960" w:type="dxa"/>
                          </w:tcPr>
                          <w:p>
                            <w:pPr>
                              <w:pStyle w:val="18"/>
                              <w:spacing w:before="109" w:line="213" w:lineRule="auto"/>
                              <w:ind w:left="36" w:right="46" w:firstLine="21"/>
                              <w:jc w:val="left"/>
                              <w:rPr>
                                <w:rFonts w:ascii="Times New Roman" w:eastAsia="Times New Roman"/>
                                <w:b/>
                                <w:sz w:val="21"/>
                              </w:rPr>
                            </w:pPr>
                            <w:r>
                              <w:rPr>
                                <w:b/>
                                <w:sz w:val="21"/>
                              </w:rPr>
                              <w:t>相对场址距离（</w:t>
                            </w:r>
                            <w:r>
                              <w:rPr>
                                <w:rFonts w:ascii="Times New Roman" w:eastAsia="Times New Roman"/>
                                <w:b/>
                                <w:sz w:val="21"/>
                              </w:rPr>
                              <w:t>m</w:t>
                            </w:r>
                          </w:p>
                        </w:tc>
                        <w:tc>
                          <w:tcPr>
                            <w:tcW w:w="990" w:type="dxa"/>
                          </w:tcPr>
                          <w:p>
                            <w:pPr>
                              <w:pStyle w:val="18"/>
                              <w:spacing w:before="206"/>
                              <w:ind w:left="-141"/>
                              <w:jc w:val="left"/>
                              <w:rPr>
                                <w:b/>
                                <w:sz w:val="21"/>
                              </w:rPr>
                            </w:pPr>
                            <w:r>
                              <w:rPr>
                                <w:b/>
                                <w:position w:val="-11"/>
                                <w:sz w:val="21"/>
                              </w:rPr>
                              <w:t>）</w:t>
                            </w:r>
                            <w:r>
                              <w:rPr>
                                <w:b/>
                                <w:sz w:val="21"/>
                              </w:rPr>
                              <w:t>保护对象</w:t>
                            </w:r>
                          </w:p>
                        </w:tc>
                        <w:tc>
                          <w:tcPr>
                            <w:tcW w:w="765" w:type="dxa"/>
                          </w:tcPr>
                          <w:p>
                            <w:pPr>
                              <w:pStyle w:val="18"/>
                              <w:spacing w:before="1"/>
                              <w:jc w:val="left"/>
                              <w:rPr>
                                <w:sz w:val="16"/>
                              </w:rPr>
                            </w:pPr>
                          </w:p>
                          <w:p>
                            <w:pPr>
                              <w:pStyle w:val="18"/>
                              <w:ind w:left="151" w:right="141"/>
                              <w:rPr>
                                <w:b/>
                                <w:sz w:val="21"/>
                              </w:rPr>
                            </w:pPr>
                            <w:r>
                              <w:rPr>
                                <w:b/>
                                <w:sz w:val="21"/>
                              </w:rPr>
                              <w:t>人数</w:t>
                            </w:r>
                          </w:p>
                        </w:tc>
                        <w:tc>
                          <w:tcPr>
                            <w:tcW w:w="2140" w:type="dxa"/>
                          </w:tcPr>
                          <w:p>
                            <w:pPr>
                              <w:pStyle w:val="18"/>
                              <w:spacing w:before="1"/>
                              <w:jc w:val="left"/>
                              <w:rPr>
                                <w:sz w:val="16"/>
                              </w:rPr>
                            </w:pPr>
                          </w:p>
                          <w:p>
                            <w:pPr>
                              <w:pStyle w:val="18"/>
                              <w:ind w:left="33" w:right="19"/>
                              <w:rPr>
                                <w:b/>
                                <w:sz w:val="21"/>
                              </w:rPr>
                            </w:pPr>
                            <w:r>
                              <w:rPr>
                                <w:b/>
                                <w:sz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709" w:type="dxa"/>
                            <w:vMerge w:val="restart"/>
                          </w:tcPr>
                          <w:p>
                            <w:pPr>
                              <w:pStyle w:val="18"/>
                              <w:jc w:val="left"/>
                              <w:rPr>
                                <w:color w:val="0000FF"/>
                                <w:sz w:val="20"/>
                              </w:rPr>
                            </w:pPr>
                          </w:p>
                          <w:p>
                            <w:pPr>
                              <w:pStyle w:val="18"/>
                              <w:jc w:val="left"/>
                              <w:rPr>
                                <w:color w:val="0000FF"/>
                                <w:sz w:val="20"/>
                              </w:rPr>
                            </w:pPr>
                          </w:p>
                          <w:p>
                            <w:pPr>
                              <w:pStyle w:val="18"/>
                              <w:spacing w:before="3"/>
                              <w:jc w:val="left"/>
                              <w:rPr>
                                <w:color w:val="0000FF"/>
                                <w:sz w:val="23"/>
                              </w:rPr>
                            </w:pPr>
                          </w:p>
                          <w:p>
                            <w:pPr>
                              <w:pStyle w:val="18"/>
                              <w:spacing w:line="213" w:lineRule="auto"/>
                              <w:ind w:left="142" w:right="136"/>
                              <w:jc w:val="left"/>
                              <w:rPr>
                                <w:color w:val="0000FF"/>
                                <w:sz w:val="21"/>
                              </w:rPr>
                            </w:pPr>
                            <w:r>
                              <w:rPr>
                                <w:color w:val="0000FF"/>
                                <w:sz w:val="21"/>
                              </w:rPr>
                              <w:t>大气环境</w:t>
                            </w:r>
                          </w:p>
                        </w:tc>
                        <w:tc>
                          <w:tcPr>
                            <w:tcW w:w="1774" w:type="dxa"/>
                          </w:tcPr>
                          <w:p>
                            <w:pPr>
                              <w:pStyle w:val="18"/>
                              <w:spacing w:before="31"/>
                              <w:ind w:left="24" w:right="17"/>
                              <w:rPr>
                                <w:color w:val="0000FF"/>
                                <w:sz w:val="21"/>
                              </w:rPr>
                            </w:pPr>
                            <w:r>
                              <w:rPr>
                                <w:rFonts w:hint="eastAsia"/>
                                <w:color w:val="0000FF"/>
                                <w:sz w:val="21"/>
                                <w:lang w:val="en-US" w:eastAsia="zh-CN"/>
                              </w:rPr>
                              <w:t>托万巴格托格克拉村</w:t>
                            </w:r>
                          </w:p>
                        </w:tc>
                        <w:tc>
                          <w:tcPr>
                            <w:tcW w:w="1110" w:type="dxa"/>
                          </w:tcPr>
                          <w:p>
                            <w:pPr>
                              <w:pStyle w:val="18"/>
                              <w:spacing w:before="31"/>
                              <w:ind w:left="111" w:right="103"/>
                              <w:rPr>
                                <w:color w:val="0000FF"/>
                                <w:sz w:val="21"/>
                              </w:rPr>
                            </w:pPr>
                            <w:r>
                              <w:rPr>
                                <w:rFonts w:hint="eastAsia"/>
                                <w:color w:val="0000FF"/>
                                <w:sz w:val="21"/>
                                <w:lang w:val="en-US" w:eastAsia="zh-CN"/>
                              </w:rPr>
                              <w:t>南</w:t>
                            </w:r>
                            <w:r>
                              <w:rPr>
                                <w:color w:val="0000FF"/>
                                <w:sz w:val="21"/>
                              </w:rPr>
                              <w:t>侧</w:t>
                            </w:r>
                          </w:p>
                        </w:tc>
                        <w:tc>
                          <w:tcPr>
                            <w:tcW w:w="960" w:type="dxa"/>
                          </w:tcPr>
                          <w:p>
                            <w:pPr>
                              <w:pStyle w:val="18"/>
                              <w:spacing w:before="45"/>
                              <w:ind w:left="37" w:right="27"/>
                              <w:rPr>
                                <w:rFonts w:hint="default" w:ascii="Times New Roman" w:eastAsia="宋体"/>
                                <w:color w:val="0000FF"/>
                                <w:sz w:val="21"/>
                                <w:lang w:val="en-US" w:eastAsia="zh-CN"/>
                              </w:rPr>
                            </w:pPr>
                            <w:r>
                              <w:rPr>
                                <w:rFonts w:hint="eastAsia" w:ascii="Times New Roman"/>
                                <w:color w:val="0000FF"/>
                                <w:sz w:val="21"/>
                                <w:lang w:val="en-US" w:eastAsia="zh-CN"/>
                              </w:rPr>
                              <w:t>2000</w:t>
                            </w:r>
                          </w:p>
                        </w:tc>
                        <w:tc>
                          <w:tcPr>
                            <w:tcW w:w="990" w:type="dxa"/>
                          </w:tcPr>
                          <w:p>
                            <w:pPr>
                              <w:pStyle w:val="18"/>
                              <w:spacing w:before="31"/>
                              <w:ind w:left="284"/>
                              <w:jc w:val="left"/>
                              <w:rPr>
                                <w:color w:val="0000FF"/>
                                <w:sz w:val="21"/>
                              </w:rPr>
                            </w:pPr>
                            <w:r>
                              <w:rPr>
                                <w:color w:val="0000FF"/>
                                <w:sz w:val="21"/>
                              </w:rPr>
                              <w:t>村庄</w:t>
                            </w:r>
                          </w:p>
                        </w:tc>
                        <w:tc>
                          <w:tcPr>
                            <w:tcW w:w="765" w:type="dxa"/>
                          </w:tcPr>
                          <w:p>
                            <w:pPr>
                              <w:pStyle w:val="18"/>
                              <w:spacing w:before="45"/>
                              <w:ind w:left="150" w:right="141"/>
                              <w:rPr>
                                <w:rFonts w:ascii="Times New Roman"/>
                                <w:color w:val="0000FF"/>
                                <w:sz w:val="21"/>
                              </w:rPr>
                            </w:pPr>
                            <w:r>
                              <w:rPr>
                                <w:rFonts w:ascii="Times New Roman"/>
                                <w:color w:val="0000FF"/>
                                <w:sz w:val="21"/>
                              </w:rPr>
                              <w:t>1500</w:t>
                            </w:r>
                          </w:p>
                        </w:tc>
                        <w:tc>
                          <w:tcPr>
                            <w:tcW w:w="2140" w:type="dxa"/>
                            <w:vMerge w:val="restart"/>
                          </w:tcPr>
                          <w:p>
                            <w:pPr>
                              <w:pStyle w:val="18"/>
                              <w:jc w:val="left"/>
                              <w:rPr>
                                <w:color w:val="0000FF"/>
                                <w:sz w:val="20"/>
                              </w:rPr>
                            </w:pPr>
                          </w:p>
                          <w:p>
                            <w:pPr>
                              <w:pStyle w:val="18"/>
                              <w:jc w:val="left"/>
                              <w:rPr>
                                <w:color w:val="0000FF"/>
                                <w:sz w:val="20"/>
                              </w:rPr>
                            </w:pPr>
                          </w:p>
                          <w:p>
                            <w:pPr>
                              <w:pStyle w:val="18"/>
                              <w:spacing w:before="155" w:line="255" w:lineRule="exact"/>
                              <w:ind w:left="70" w:right="19"/>
                              <w:rPr>
                                <w:color w:val="0000FF"/>
                                <w:sz w:val="21"/>
                              </w:rPr>
                            </w:pPr>
                            <w:r>
                              <w:rPr>
                                <w:color w:val="0000FF"/>
                                <w:w w:val="95"/>
                                <w:sz w:val="21"/>
                              </w:rPr>
                              <w:t>《环境空气质量标准》</w:t>
                            </w:r>
                          </w:p>
                          <w:p>
                            <w:pPr>
                              <w:pStyle w:val="18"/>
                              <w:spacing w:line="240" w:lineRule="exact"/>
                              <w:ind w:left="28" w:right="19"/>
                              <w:rPr>
                                <w:color w:val="0000FF"/>
                                <w:sz w:val="21"/>
                              </w:rPr>
                            </w:pPr>
                            <w:r>
                              <w:rPr>
                                <w:color w:val="0000FF"/>
                                <w:sz w:val="21"/>
                              </w:rPr>
                              <w:t>（</w:t>
                            </w:r>
                            <w:r>
                              <w:rPr>
                                <w:rFonts w:ascii="Times New Roman" w:eastAsia="Times New Roman"/>
                                <w:color w:val="0000FF"/>
                                <w:sz w:val="21"/>
                              </w:rPr>
                              <w:t>GB3095-2012</w:t>
                            </w:r>
                            <w:r>
                              <w:rPr>
                                <w:color w:val="0000FF"/>
                                <w:sz w:val="21"/>
                              </w:rPr>
                              <w:t>）二级</w:t>
                            </w:r>
                          </w:p>
                          <w:p>
                            <w:pPr>
                              <w:pStyle w:val="18"/>
                              <w:spacing w:line="255" w:lineRule="exact"/>
                              <w:ind w:left="25" w:right="19"/>
                              <w:rPr>
                                <w:color w:val="0000FF"/>
                                <w:sz w:val="21"/>
                              </w:rPr>
                            </w:pP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jc w:val="center"/>
                              <w:rPr>
                                <w:rFonts w:hint="default" w:eastAsia="宋体"/>
                                <w:color w:val="0000FF"/>
                                <w:sz w:val="21"/>
                                <w:lang w:val="en-US" w:eastAsia="zh-CN"/>
                              </w:rPr>
                            </w:pPr>
                            <w:r>
                              <w:rPr>
                                <w:rFonts w:hint="eastAsia"/>
                                <w:color w:val="0000FF"/>
                                <w:sz w:val="21"/>
                                <w:lang w:val="en-US" w:eastAsia="zh-CN"/>
                              </w:rPr>
                              <w:t>阿拉买特</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1800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1200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rPr>
                                <w:rFonts w:hint="default" w:eastAsia="宋体"/>
                                <w:color w:val="0000FF"/>
                                <w:sz w:val="21"/>
                                <w:lang w:val="en-US" w:eastAsia="zh-CN"/>
                              </w:rPr>
                            </w:pPr>
                            <w:r>
                              <w:rPr>
                                <w:rFonts w:hint="eastAsia"/>
                                <w:color w:val="0000FF"/>
                                <w:sz w:val="21"/>
                                <w:lang w:val="en-US" w:eastAsia="zh-CN"/>
                              </w:rPr>
                              <w:t>英阿勒买提苏盖提勒克村</w:t>
                            </w:r>
                          </w:p>
                        </w:tc>
                        <w:tc>
                          <w:tcPr>
                            <w:tcW w:w="1110" w:type="dxa"/>
                          </w:tcPr>
                          <w:p>
                            <w:pPr>
                              <w:pStyle w:val="18"/>
                              <w:spacing w:before="32"/>
                              <w:ind w:left="111" w:right="103"/>
                              <w:rPr>
                                <w:color w:val="0000FF"/>
                                <w:sz w:val="21"/>
                              </w:rPr>
                            </w:pPr>
                            <w:r>
                              <w:rPr>
                                <w:color w:val="0000FF"/>
                                <w:sz w:val="21"/>
                              </w:rPr>
                              <w:t>西北侧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4"/>
                              <w:rPr>
                                <w:rFonts w:hint="default" w:eastAsia="宋体"/>
                                <w:color w:val="0000FF"/>
                                <w:sz w:val="21"/>
                                <w:lang w:val="en-US" w:eastAsia="zh-CN"/>
                              </w:rPr>
                            </w:pPr>
                            <w:r>
                              <w:rPr>
                                <w:rFonts w:hint="eastAsia"/>
                                <w:color w:val="0000FF"/>
                                <w:sz w:val="21"/>
                                <w:lang w:val="en-US" w:eastAsia="zh-CN"/>
                              </w:rPr>
                              <w:t>阔纳阿拉买提村</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09" w:type="dxa"/>
                          </w:tcPr>
                          <w:p>
                            <w:pPr>
                              <w:pStyle w:val="18"/>
                              <w:spacing w:before="3"/>
                              <w:jc w:val="left"/>
                              <w:rPr>
                                <w:color w:val="0000FF"/>
                                <w:sz w:val="17"/>
                              </w:rPr>
                            </w:pPr>
                          </w:p>
                          <w:p>
                            <w:pPr>
                              <w:pStyle w:val="18"/>
                              <w:ind w:left="39"/>
                              <w:jc w:val="left"/>
                              <w:rPr>
                                <w:color w:val="0000FF"/>
                                <w:sz w:val="21"/>
                              </w:rPr>
                            </w:pPr>
                            <w:r>
                              <w:rPr>
                                <w:color w:val="0000FF"/>
                                <w:sz w:val="21"/>
                              </w:rPr>
                              <w:t>水环境</w:t>
                            </w:r>
                          </w:p>
                        </w:tc>
                        <w:tc>
                          <w:tcPr>
                            <w:tcW w:w="1774" w:type="dxa"/>
                          </w:tcPr>
                          <w:p>
                            <w:pPr>
                              <w:pStyle w:val="18"/>
                              <w:spacing w:before="3"/>
                              <w:jc w:val="left"/>
                              <w:rPr>
                                <w:color w:val="0000FF"/>
                                <w:sz w:val="17"/>
                              </w:rPr>
                            </w:pPr>
                          </w:p>
                          <w:p>
                            <w:pPr>
                              <w:pStyle w:val="18"/>
                              <w:ind w:left="24" w:right="17"/>
                              <w:rPr>
                                <w:color w:val="0000FF"/>
                                <w:sz w:val="21"/>
                              </w:rPr>
                            </w:pPr>
                            <w:r>
                              <w:rPr>
                                <w:color w:val="0000FF"/>
                                <w:sz w:val="21"/>
                              </w:rPr>
                              <w:t>地下水</w:t>
                            </w:r>
                          </w:p>
                        </w:tc>
                        <w:tc>
                          <w:tcPr>
                            <w:tcW w:w="1110" w:type="dxa"/>
                          </w:tcPr>
                          <w:p>
                            <w:pPr>
                              <w:pStyle w:val="18"/>
                              <w:spacing w:before="3"/>
                              <w:jc w:val="left"/>
                              <w:rPr>
                                <w:color w:val="0000FF"/>
                                <w:sz w:val="17"/>
                              </w:rPr>
                            </w:pPr>
                          </w:p>
                          <w:p>
                            <w:pPr>
                              <w:pStyle w:val="18"/>
                              <w:ind w:left="109" w:right="103"/>
                              <w:rPr>
                                <w:color w:val="0000FF"/>
                                <w:sz w:val="21"/>
                              </w:rPr>
                            </w:pPr>
                            <w:r>
                              <w:rPr>
                                <w:color w:val="0000FF"/>
                                <w:sz w:val="21"/>
                              </w:rPr>
                              <w:t>厂址区域</w:t>
                            </w:r>
                          </w:p>
                        </w:tc>
                        <w:tc>
                          <w:tcPr>
                            <w:tcW w:w="960" w:type="dxa"/>
                          </w:tcPr>
                          <w:p>
                            <w:pPr>
                              <w:pStyle w:val="18"/>
                              <w:spacing w:before="3"/>
                              <w:jc w:val="left"/>
                              <w:rPr>
                                <w:color w:val="0000FF"/>
                                <w:sz w:val="17"/>
                              </w:rPr>
                            </w:pPr>
                          </w:p>
                          <w:p>
                            <w:pPr>
                              <w:pStyle w:val="18"/>
                              <w:ind w:left="37" w:right="33"/>
                              <w:rPr>
                                <w:color w:val="0000FF"/>
                                <w:sz w:val="21"/>
                              </w:rPr>
                            </w:pPr>
                            <w:r>
                              <w:rPr>
                                <w:color w:val="0000FF"/>
                                <w:sz w:val="21"/>
                              </w:rPr>
                              <w:t>厂址区域</w:t>
                            </w:r>
                          </w:p>
                        </w:tc>
                        <w:tc>
                          <w:tcPr>
                            <w:tcW w:w="990" w:type="dxa"/>
                          </w:tcPr>
                          <w:p>
                            <w:pPr>
                              <w:pStyle w:val="18"/>
                              <w:spacing w:before="3"/>
                              <w:jc w:val="left"/>
                              <w:rPr>
                                <w:color w:val="0000FF"/>
                                <w:sz w:val="17"/>
                              </w:rPr>
                            </w:pPr>
                          </w:p>
                          <w:p>
                            <w:pPr>
                              <w:pStyle w:val="18"/>
                              <w:ind w:left="284"/>
                              <w:jc w:val="left"/>
                              <w:rPr>
                                <w:color w:val="0000FF"/>
                                <w:sz w:val="21"/>
                              </w:rPr>
                            </w:pPr>
                            <w:r>
                              <w:rPr>
                                <w:color w:val="0000FF"/>
                                <w:sz w:val="21"/>
                              </w:rPr>
                              <w:t>水质</w:t>
                            </w:r>
                          </w:p>
                        </w:tc>
                        <w:tc>
                          <w:tcPr>
                            <w:tcW w:w="765" w:type="dxa"/>
                          </w:tcPr>
                          <w:p>
                            <w:pPr>
                              <w:pStyle w:val="18"/>
                              <w:spacing w:before="3"/>
                              <w:jc w:val="left"/>
                              <w:rPr>
                                <w:color w:val="0000FF"/>
                                <w:sz w:val="17"/>
                              </w:rPr>
                            </w:pPr>
                          </w:p>
                          <w:p>
                            <w:pPr>
                              <w:pStyle w:val="18"/>
                              <w:ind w:left="5"/>
                              <w:rPr>
                                <w:color w:val="0000FF"/>
                                <w:sz w:val="21"/>
                              </w:rPr>
                            </w:pPr>
                            <w:r>
                              <w:rPr>
                                <w:color w:val="0000FF"/>
                                <w:w w:val="99"/>
                                <w:sz w:val="21"/>
                              </w:rPr>
                              <w:t>—</w:t>
                            </w:r>
                          </w:p>
                        </w:tc>
                        <w:tc>
                          <w:tcPr>
                            <w:tcW w:w="2140" w:type="dxa"/>
                          </w:tcPr>
                          <w:p>
                            <w:pPr>
                              <w:pStyle w:val="18"/>
                              <w:spacing w:before="4" w:line="213" w:lineRule="auto"/>
                              <w:ind w:left="36" w:right="129"/>
                              <w:jc w:val="left"/>
                              <w:rPr>
                                <w:rFonts w:ascii="Times New Roman" w:eastAsia="Times New Roman"/>
                                <w:color w:val="0000FF"/>
                                <w:sz w:val="21"/>
                              </w:rPr>
                            </w:pPr>
                            <w:r>
                              <w:rPr>
                                <w:color w:val="0000FF"/>
                                <w:sz w:val="21"/>
                              </w:rPr>
                              <w:t>《地下水环境质量标</w:t>
                            </w:r>
                            <w:r>
                              <w:rPr>
                                <w:color w:val="0000FF"/>
                                <w:spacing w:val="-80"/>
                                <w:w w:val="95"/>
                                <w:sz w:val="21"/>
                              </w:rPr>
                              <w:t>准》</w:t>
                            </w:r>
                            <w:r>
                              <w:rPr>
                                <w:color w:val="0000FF"/>
                                <w:w w:val="95"/>
                                <w:sz w:val="21"/>
                              </w:rPr>
                              <w:t>（</w:t>
                            </w:r>
                            <w:r>
                              <w:rPr>
                                <w:rFonts w:ascii="Times New Roman" w:eastAsia="Times New Roman"/>
                                <w:color w:val="0000FF"/>
                                <w:w w:val="95"/>
                                <w:sz w:val="21"/>
                              </w:rPr>
                              <w:t>GB/T14848-2017</w:t>
                            </w:r>
                          </w:p>
                          <w:p>
                            <w:pPr>
                              <w:pStyle w:val="18"/>
                              <w:spacing w:line="217" w:lineRule="exact"/>
                              <w:ind w:left="36"/>
                              <w:jc w:val="left"/>
                              <w:rPr>
                                <w:color w:val="0000FF"/>
                                <w:sz w:val="21"/>
                              </w:rPr>
                            </w:pPr>
                            <w:r>
                              <w:rPr>
                                <w:color w:val="0000FF"/>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9" w:type="dxa"/>
                          </w:tcPr>
                          <w:p>
                            <w:pPr>
                              <w:pStyle w:val="18"/>
                              <w:spacing w:before="1" w:line="240" w:lineRule="exact"/>
                              <w:ind w:left="142" w:right="136"/>
                              <w:jc w:val="left"/>
                              <w:rPr>
                                <w:color w:val="0000FF"/>
                                <w:sz w:val="21"/>
                              </w:rPr>
                            </w:pPr>
                            <w:r>
                              <w:rPr>
                                <w:color w:val="0000FF"/>
                                <w:sz w:val="21"/>
                              </w:rPr>
                              <w:t>土壤环境</w:t>
                            </w:r>
                          </w:p>
                        </w:tc>
                        <w:tc>
                          <w:tcPr>
                            <w:tcW w:w="1774" w:type="dxa"/>
                          </w:tcPr>
                          <w:p>
                            <w:pPr>
                              <w:pStyle w:val="18"/>
                              <w:spacing w:before="103"/>
                              <w:ind w:left="24" w:right="17"/>
                              <w:rPr>
                                <w:color w:val="0000FF"/>
                                <w:sz w:val="21"/>
                              </w:rPr>
                            </w:pPr>
                            <w:r>
                              <w:rPr>
                                <w:color w:val="0000FF"/>
                                <w:sz w:val="21"/>
                              </w:rPr>
                              <w:t>耕地</w:t>
                            </w:r>
                          </w:p>
                        </w:tc>
                        <w:tc>
                          <w:tcPr>
                            <w:tcW w:w="1110" w:type="dxa"/>
                          </w:tcPr>
                          <w:p>
                            <w:pPr>
                              <w:pStyle w:val="18"/>
                              <w:spacing w:before="103"/>
                              <w:ind w:left="111" w:right="103"/>
                              <w:rPr>
                                <w:color w:val="0000FF"/>
                                <w:sz w:val="21"/>
                              </w:rPr>
                            </w:pPr>
                            <w:r>
                              <w:rPr>
                                <w:color w:val="0000FF"/>
                                <w:sz w:val="21"/>
                              </w:rPr>
                              <w:t>四周</w:t>
                            </w:r>
                          </w:p>
                        </w:tc>
                        <w:tc>
                          <w:tcPr>
                            <w:tcW w:w="960" w:type="dxa"/>
                          </w:tcPr>
                          <w:p>
                            <w:pPr>
                              <w:pStyle w:val="18"/>
                              <w:spacing w:before="103"/>
                              <w:ind w:left="37" w:right="30"/>
                              <w:rPr>
                                <w:color w:val="0000FF"/>
                                <w:sz w:val="21"/>
                              </w:rPr>
                            </w:pPr>
                            <w:r>
                              <w:rPr>
                                <w:color w:val="0000FF"/>
                                <w:sz w:val="21"/>
                              </w:rPr>
                              <w:t>四周</w:t>
                            </w:r>
                          </w:p>
                        </w:tc>
                        <w:tc>
                          <w:tcPr>
                            <w:tcW w:w="990" w:type="dxa"/>
                          </w:tcPr>
                          <w:p>
                            <w:pPr>
                              <w:pStyle w:val="18"/>
                              <w:spacing w:before="103"/>
                              <w:ind w:left="284"/>
                              <w:jc w:val="left"/>
                              <w:rPr>
                                <w:color w:val="0000FF"/>
                                <w:sz w:val="21"/>
                              </w:rPr>
                            </w:pPr>
                            <w:r>
                              <w:rPr>
                                <w:color w:val="0000FF"/>
                                <w:sz w:val="21"/>
                              </w:rPr>
                              <w:t>耕地</w:t>
                            </w:r>
                          </w:p>
                        </w:tc>
                        <w:tc>
                          <w:tcPr>
                            <w:tcW w:w="765" w:type="dxa"/>
                          </w:tcPr>
                          <w:p>
                            <w:pPr>
                              <w:pStyle w:val="18"/>
                              <w:spacing w:before="103"/>
                              <w:ind w:left="5"/>
                              <w:rPr>
                                <w:color w:val="0000FF"/>
                                <w:sz w:val="21"/>
                              </w:rPr>
                            </w:pPr>
                            <w:r>
                              <w:rPr>
                                <w:color w:val="0000FF"/>
                                <w:w w:val="99"/>
                                <w:sz w:val="21"/>
                              </w:rPr>
                              <w:t>—</w:t>
                            </w:r>
                          </w:p>
                        </w:tc>
                        <w:tc>
                          <w:tcPr>
                            <w:tcW w:w="2140" w:type="dxa"/>
                          </w:tcPr>
                          <w:p>
                            <w:pPr>
                              <w:pStyle w:val="18"/>
                              <w:spacing w:before="103"/>
                              <w:ind w:left="28" w:right="19"/>
                              <w:rPr>
                                <w:color w:val="0000FF"/>
                                <w:sz w:val="21"/>
                              </w:rPr>
                            </w:pPr>
                            <w:r>
                              <w:rPr>
                                <w:color w:val="0000FF"/>
                                <w:sz w:val="21"/>
                              </w:rPr>
                              <w:t>不受影响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9" w:type="dxa"/>
                          </w:tcPr>
                          <w:p>
                            <w:pPr>
                              <w:pStyle w:val="18"/>
                              <w:spacing w:line="236" w:lineRule="exact"/>
                              <w:ind w:left="142"/>
                              <w:jc w:val="left"/>
                              <w:rPr>
                                <w:color w:val="0000FF"/>
                                <w:sz w:val="21"/>
                              </w:rPr>
                            </w:pPr>
                            <w:r>
                              <w:rPr>
                                <w:color w:val="0000FF"/>
                                <w:spacing w:val="-1"/>
                                <w:w w:val="95"/>
                                <w:sz w:val="21"/>
                              </w:rPr>
                              <w:t>环境</w:t>
                            </w:r>
                          </w:p>
                          <w:p>
                            <w:pPr>
                              <w:pStyle w:val="18"/>
                              <w:spacing w:line="223" w:lineRule="exact"/>
                              <w:ind w:left="142"/>
                              <w:jc w:val="left"/>
                              <w:rPr>
                                <w:color w:val="0000FF"/>
                                <w:sz w:val="21"/>
                              </w:rPr>
                            </w:pPr>
                            <w:r>
                              <w:rPr>
                                <w:color w:val="0000FF"/>
                                <w:spacing w:val="-1"/>
                                <w:w w:val="95"/>
                                <w:sz w:val="21"/>
                              </w:rPr>
                              <w:t>风险</w:t>
                            </w:r>
                          </w:p>
                        </w:tc>
                        <w:tc>
                          <w:tcPr>
                            <w:tcW w:w="1774" w:type="dxa"/>
                          </w:tcPr>
                          <w:p>
                            <w:pPr>
                              <w:pStyle w:val="18"/>
                              <w:spacing w:line="236" w:lineRule="exact"/>
                              <w:ind w:left="36"/>
                              <w:jc w:val="left"/>
                              <w:rPr>
                                <w:color w:val="0000FF"/>
                                <w:sz w:val="21"/>
                              </w:rPr>
                            </w:pPr>
                            <w:r>
                              <w:rPr>
                                <w:color w:val="0000FF"/>
                                <w:sz w:val="21"/>
                              </w:rPr>
                              <w:t>村庄、地下水、大</w:t>
                            </w:r>
                          </w:p>
                          <w:p>
                            <w:pPr>
                              <w:pStyle w:val="18"/>
                              <w:spacing w:line="223" w:lineRule="exact"/>
                              <w:ind w:left="36"/>
                              <w:jc w:val="left"/>
                              <w:rPr>
                                <w:color w:val="0000FF"/>
                                <w:sz w:val="21"/>
                              </w:rPr>
                            </w:pPr>
                            <w:r>
                              <w:rPr>
                                <w:color w:val="0000FF"/>
                                <w:sz w:val="21"/>
                              </w:rPr>
                              <w:t>气环境</w:t>
                            </w:r>
                          </w:p>
                        </w:tc>
                        <w:tc>
                          <w:tcPr>
                            <w:tcW w:w="1110" w:type="dxa"/>
                          </w:tcPr>
                          <w:p>
                            <w:pPr>
                              <w:pStyle w:val="18"/>
                              <w:spacing w:line="236" w:lineRule="exact"/>
                              <w:ind w:left="35"/>
                              <w:jc w:val="left"/>
                              <w:rPr>
                                <w:color w:val="0000FF"/>
                                <w:sz w:val="21"/>
                              </w:rPr>
                            </w:pPr>
                            <w:r>
                              <w:rPr>
                                <w:color w:val="0000FF"/>
                                <w:sz w:val="21"/>
                              </w:rPr>
                              <w:t>村庄、地下</w:t>
                            </w:r>
                          </w:p>
                          <w:p>
                            <w:pPr>
                              <w:pStyle w:val="18"/>
                              <w:spacing w:line="223" w:lineRule="exact"/>
                              <w:ind w:left="35"/>
                              <w:jc w:val="left"/>
                              <w:rPr>
                                <w:color w:val="0000FF"/>
                                <w:sz w:val="21"/>
                              </w:rPr>
                            </w:pPr>
                            <w:r>
                              <w:rPr>
                                <w:color w:val="0000FF"/>
                                <w:sz w:val="21"/>
                              </w:rPr>
                              <w:t>水、大气</w:t>
                            </w:r>
                          </w:p>
                        </w:tc>
                        <w:tc>
                          <w:tcPr>
                            <w:tcW w:w="960" w:type="dxa"/>
                          </w:tcPr>
                          <w:p>
                            <w:pPr>
                              <w:pStyle w:val="18"/>
                              <w:spacing w:before="115"/>
                              <w:ind w:left="37" w:right="27"/>
                              <w:rPr>
                                <w:rFonts w:ascii="Times New Roman"/>
                                <w:color w:val="0000FF"/>
                                <w:sz w:val="21"/>
                              </w:rPr>
                            </w:pPr>
                            <w:r>
                              <w:rPr>
                                <w:rFonts w:ascii="Times New Roman"/>
                                <w:color w:val="0000FF"/>
                                <w:sz w:val="21"/>
                              </w:rPr>
                              <w:t>500</w:t>
                            </w:r>
                          </w:p>
                        </w:tc>
                        <w:tc>
                          <w:tcPr>
                            <w:tcW w:w="990" w:type="dxa"/>
                          </w:tcPr>
                          <w:p>
                            <w:pPr>
                              <w:pStyle w:val="18"/>
                              <w:spacing w:before="101"/>
                              <w:ind w:left="8"/>
                              <w:rPr>
                                <w:color w:val="0000FF"/>
                                <w:sz w:val="21"/>
                              </w:rPr>
                            </w:pPr>
                            <w:r>
                              <w:rPr>
                                <w:color w:val="0000FF"/>
                                <w:w w:val="99"/>
                                <w:sz w:val="21"/>
                              </w:rPr>
                              <w:t>—</w:t>
                            </w:r>
                          </w:p>
                        </w:tc>
                        <w:tc>
                          <w:tcPr>
                            <w:tcW w:w="765" w:type="dxa"/>
                          </w:tcPr>
                          <w:p>
                            <w:pPr>
                              <w:pStyle w:val="18"/>
                              <w:spacing w:before="101"/>
                              <w:ind w:left="5"/>
                              <w:rPr>
                                <w:color w:val="0000FF"/>
                                <w:sz w:val="21"/>
                              </w:rPr>
                            </w:pPr>
                            <w:r>
                              <w:rPr>
                                <w:color w:val="0000FF"/>
                                <w:w w:val="99"/>
                                <w:sz w:val="21"/>
                              </w:rPr>
                              <w:t>—</w:t>
                            </w:r>
                          </w:p>
                        </w:tc>
                        <w:tc>
                          <w:tcPr>
                            <w:tcW w:w="2140" w:type="dxa"/>
                          </w:tcPr>
                          <w:p>
                            <w:pPr>
                              <w:pStyle w:val="18"/>
                              <w:spacing w:before="101"/>
                              <w:ind w:left="28" w:right="19"/>
                              <w:rPr>
                                <w:color w:val="0000FF"/>
                                <w:sz w:val="21"/>
                              </w:rPr>
                            </w:pPr>
                            <w:r>
                              <w:rPr>
                                <w:color w:val="0000FF"/>
                                <w:sz w:val="21"/>
                              </w:rPr>
                              <w:t>不受风险事故影响</w:t>
                            </w:r>
                          </w:p>
                        </w:tc>
                      </w:tr>
                    </w:tbl>
                    <w:p>
                      <w:pPr>
                        <w:pStyle w:val="7"/>
                        <w:ind w:left="0"/>
                      </w:pPr>
                    </w:p>
                  </w:txbxContent>
                </v:textbox>
              </v:shape>
            </w:pict>
          </mc:Fallback>
        </mc:AlternateContent>
      </w: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spacing w:before="8"/>
        <w:ind w:left="0"/>
        <w:rPr>
          <w:b/>
          <w:sz w:val="28"/>
        </w:rPr>
      </w:pPr>
    </w:p>
    <w:p>
      <w:pPr>
        <w:spacing w:before="0"/>
        <w:ind w:left="0" w:right="440" w:firstLine="0"/>
        <w:jc w:val="right"/>
        <w:rPr>
          <w:sz w:val="21"/>
        </w:rPr>
      </w:pPr>
      <w:r>
        <w:rPr>
          <w:w w:val="99"/>
          <w:sz w:val="21"/>
        </w:rPr>
        <w:t>）</w:t>
      </w:r>
    </w:p>
    <w:p>
      <w:pPr>
        <w:pStyle w:val="7"/>
        <w:ind w:left="0"/>
        <w:rPr>
          <w:sz w:val="20"/>
        </w:rPr>
      </w:pPr>
    </w:p>
    <w:p>
      <w:pPr>
        <w:pStyle w:val="7"/>
        <w:ind w:left="0"/>
        <w:rPr>
          <w:sz w:val="20"/>
        </w:rPr>
      </w:pPr>
    </w:p>
    <w:p>
      <w:pPr>
        <w:pStyle w:val="7"/>
        <w:ind w:left="0"/>
        <w:rPr>
          <w:sz w:val="20"/>
        </w:rPr>
      </w:pPr>
    </w:p>
    <w:p>
      <w:pPr>
        <w:pStyle w:val="7"/>
        <w:ind w:left="0"/>
        <w:rPr>
          <w:sz w:val="20"/>
        </w:rPr>
      </w:pPr>
    </w:p>
    <w:p>
      <w:pPr>
        <w:pStyle w:val="7"/>
        <w:ind w:left="0"/>
        <w:rPr>
          <w:sz w:val="20"/>
        </w:rPr>
      </w:pPr>
    </w:p>
    <w:p>
      <w:pPr>
        <w:pStyle w:val="4"/>
        <w:numPr>
          <w:ilvl w:val="1"/>
          <w:numId w:val="15"/>
        </w:numPr>
        <w:tabs>
          <w:tab w:val="left" w:pos="1100"/>
        </w:tabs>
        <w:spacing w:before="171" w:after="0" w:line="240" w:lineRule="auto"/>
        <w:ind w:left="1099" w:right="0" w:hanging="560"/>
        <w:jc w:val="left"/>
        <w:outlineLvl w:val="1"/>
      </w:pPr>
      <w:bookmarkStart w:id="95" w:name="_bookmark15"/>
      <w:bookmarkEnd w:id="95"/>
      <w:bookmarkStart w:id="96" w:name="2.8 评价总体思路及评价重点"/>
      <w:bookmarkEnd w:id="96"/>
      <w:bookmarkStart w:id="97" w:name="_Toc25397"/>
      <w:r>
        <w:t>评价总体思路及评价重点</w:t>
      </w:r>
      <w:bookmarkEnd w:id="97"/>
    </w:p>
    <w:p>
      <w:pPr>
        <w:pStyle w:val="7"/>
        <w:spacing w:before="5"/>
        <w:ind w:left="0"/>
        <w:rPr>
          <w:b/>
          <w:sz w:val="28"/>
        </w:rPr>
      </w:pPr>
    </w:p>
    <w:p>
      <w:pPr>
        <w:pStyle w:val="5"/>
        <w:numPr>
          <w:ilvl w:val="2"/>
          <w:numId w:val="15"/>
        </w:numPr>
        <w:bidi w:val="0"/>
        <w:jc w:val="left"/>
        <w:outlineLvl w:val="2"/>
      </w:pPr>
      <w:bookmarkStart w:id="98" w:name="2.8.1 评价总体思路"/>
      <w:bookmarkEnd w:id="98"/>
      <w:bookmarkStart w:id="99" w:name="2.8.1 评价总体思路"/>
      <w:bookmarkEnd w:id="99"/>
      <w:bookmarkStart w:id="100" w:name="_Toc13637"/>
      <w:r>
        <w:t>评价总体思路</w:t>
      </w:r>
      <w:bookmarkEnd w:id="100"/>
    </w:p>
    <w:p>
      <w:pPr>
        <w:pStyle w:val="7"/>
        <w:ind w:left="0" w:right="2885"/>
        <w:jc w:val="both"/>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jc w:val="both"/>
        <w:textAlignment w:val="auto"/>
      </w:pPr>
      <w:r>
        <w:t>针对本项目工程特点，本次评价工作的总体思路为：</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60"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rPr>
          <w:spacing w:val="-1"/>
          <w:sz w:val="24"/>
        </w:rPr>
        <w:t>通过类比同类工程、实测数据和查阅资料的方法对本次工程产污情况</w:t>
      </w:r>
      <w:r>
        <w:rPr>
          <w:spacing w:val="-11"/>
          <w:sz w:val="24"/>
        </w:rPr>
        <w:t>进行分析，确定工程污染物产生源强。分析工程各污染物所采取的治理措施的技</w:t>
      </w:r>
      <w:r>
        <w:rPr>
          <w:spacing w:val="-10"/>
          <w:sz w:val="24"/>
        </w:rPr>
        <w:t>术成熟性、稳定性及可靠性，并根据所采取的污染治理措施的治理效果，对工程</w:t>
      </w:r>
      <w:r>
        <w:rPr>
          <w:sz w:val="24"/>
        </w:rPr>
        <w:t>所排放的各类污染物进行达标分析。</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3"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在对项目区域的自然环境进行调研及环境质量现状监测的基础上，评</w:t>
      </w:r>
      <w:r>
        <w:rPr>
          <w:sz w:val="24"/>
        </w:rPr>
        <w:t>价其环境质量现状。</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3</w:t>
      </w:r>
      <w:r>
        <w:rPr>
          <w:rFonts w:hint="eastAsia"/>
          <w:spacing w:val="-1"/>
          <w:sz w:val="24"/>
          <w:lang w:eastAsia="zh-CN"/>
        </w:rPr>
        <w:t>）</w:t>
      </w:r>
      <w:r>
        <w:rPr>
          <w:spacing w:val="-1"/>
          <w:sz w:val="24"/>
        </w:rPr>
        <w:t>根据工程特点及环境特点，采用合适的预测模式及预测参数，预测分</w:t>
      </w:r>
      <w:r>
        <w:rPr>
          <w:sz w:val="24"/>
        </w:rPr>
        <w:t>析本工程污染物排放对周围环境的影响程度和范围，从而分析环境可接受性。</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4</w:t>
      </w:r>
      <w:r>
        <w:rPr>
          <w:rFonts w:hint="eastAsia"/>
          <w:spacing w:val="-1"/>
          <w:sz w:val="24"/>
          <w:lang w:eastAsia="zh-CN"/>
        </w:rPr>
        <w:t>）</w:t>
      </w:r>
      <w:r>
        <w:rPr>
          <w:spacing w:val="-1"/>
          <w:sz w:val="24"/>
        </w:rPr>
        <w:t>从经济效益、社会效益、环境效益三个方面分析项目环境影响经济损</w:t>
      </w:r>
      <w:r>
        <w:rPr>
          <w:sz w:val="24"/>
        </w:rPr>
        <w:t>益，从环境经济角度分析项目建设的可行性。</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5</w:t>
      </w:r>
      <w:r>
        <w:rPr>
          <w:rFonts w:hint="eastAsia"/>
          <w:spacing w:val="-1"/>
          <w:sz w:val="24"/>
          <w:lang w:eastAsia="zh-CN"/>
        </w:rPr>
        <w:t>）</w:t>
      </w:r>
      <w:r>
        <w:rPr>
          <w:spacing w:val="-1"/>
          <w:sz w:val="24"/>
        </w:rPr>
        <w:t>根据工程产污特征，提出运行环境管理要求，并制订相应的环境监测</w:t>
      </w:r>
      <w:r>
        <w:rPr>
          <w:sz w:val="24"/>
        </w:rPr>
        <w:t>计划，为环境管理和环保主管部门决策提供科学依据。</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2" w:after="0" w:line="360" w:lineRule="auto"/>
        <w:ind w:left="821" w:leftChars="100" w:right="567" w:rightChars="0"/>
        <w:jc w:val="both"/>
        <w:textAlignment w:val="auto"/>
        <w:rPr>
          <w:sz w:val="24"/>
        </w:rPr>
      </w:pPr>
      <w:r>
        <w:rPr>
          <w:rFonts w:hint="eastAsia"/>
          <w:sz w:val="24"/>
          <w:lang w:eastAsia="zh-CN"/>
        </w:rPr>
        <w:t>（</w:t>
      </w:r>
      <w:r>
        <w:rPr>
          <w:rFonts w:hint="eastAsia"/>
          <w:sz w:val="24"/>
          <w:lang w:val="en-US" w:eastAsia="zh-CN"/>
        </w:rPr>
        <w:t>6</w:t>
      </w:r>
      <w:r>
        <w:rPr>
          <w:rFonts w:hint="eastAsia"/>
          <w:sz w:val="24"/>
          <w:lang w:eastAsia="zh-CN"/>
        </w:rPr>
        <w:t>）</w:t>
      </w:r>
      <w:r>
        <w:rPr>
          <w:sz w:val="24"/>
        </w:rPr>
        <w:t>从环保角度对工程的环境可行性做出明确的结论。</w:t>
      </w:r>
    </w:p>
    <w:p>
      <w:pPr>
        <w:pStyle w:val="7"/>
        <w:spacing w:before="8"/>
        <w:ind w:left="0"/>
        <w:rPr>
          <w:sz w:val="9"/>
        </w:rPr>
      </w:pPr>
    </w:p>
    <w:p>
      <w:pPr>
        <w:pStyle w:val="5"/>
        <w:numPr>
          <w:ilvl w:val="2"/>
          <w:numId w:val="15"/>
        </w:numPr>
        <w:tabs>
          <w:tab w:val="left" w:pos="1241"/>
        </w:tabs>
        <w:spacing w:before="73" w:after="0" w:line="240" w:lineRule="auto"/>
        <w:ind w:left="1240" w:right="0" w:hanging="701"/>
        <w:jc w:val="left"/>
        <w:outlineLvl w:val="2"/>
      </w:pPr>
      <w:bookmarkStart w:id="101" w:name="2.8.2 评价重点"/>
      <w:bookmarkEnd w:id="101"/>
      <w:bookmarkStart w:id="102" w:name="2.8.2 评价重点"/>
      <w:bookmarkEnd w:id="102"/>
      <w:bookmarkStart w:id="103" w:name="_Toc1805"/>
      <w:r>
        <w:t>评价重点</w:t>
      </w:r>
      <w:bookmarkEnd w:id="103"/>
    </w:p>
    <w:p>
      <w:pPr>
        <w:pStyle w:val="7"/>
        <w:spacing w:before="5"/>
        <w:ind w:left="0"/>
        <w:rPr>
          <w:b/>
          <w:sz w:val="21"/>
        </w:rPr>
      </w:pPr>
    </w:p>
    <w:p>
      <w:pPr>
        <w:pStyle w:val="7"/>
        <w:spacing w:line="364" w:lineRule="auto"/>
        <w:ind w:right="577" w:firstLine="480"/>
      </w:pPr>
      <w:r>
        <w:rPr>
          <w:spacing w:val="-7"/>
        </w:rPr>
        <w:t>根据项目所在区域环境质量现状，针对本项目的特点和排污特征，确定本次</w:t>
      </w:r>
      <w:r>
        <w:t>评价的重点如下：</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left="821" w:leftChars="100" w:right="567" w:rightChars="0"/>
        <w:jc w:val="both"/>
        <w:textAlignment w:val="auto"/>
        <w:rPr>
          <w:sz w:val="24"/>
        </w:rPr>
      </w:pPr>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rPr>
          <w:spacing w:val="-1"/>
          <w:sz w:val="24"/>
        </w:rPr>
        <w:t>突出工程分析，认真调查本工程建设情况，清楚了解养殖生产过程中</w:t>
      </w:r>
      <w:r>
        <w:rPr>
          <w:spacing w:val="-7"/>
          <w:sz w:val="24"/>
        </w:rPr>
        <w:t>各类污染物的排放特点、排放规律及排放量，分析项目废水不外排的可行性，恶</w:t>
      </w:r>
      <w:r>
        <w:rPr>
          <w:spacing w:val="-6"/>
          <w:sz w:val="24"/>
        </w:rPr>
        <w:t>臭的环境影响及防治措施的可行性，粪便以及病疫动物尸体处置的可行性，确保</w:t>
      </w:r>
      <w:r>
        <w:rPr>
          <w:sz w:val="24"/>
        </w:rPr>
        <w:t>各项污染物达标排放。</w:t>
      </w:r>
    </w:p>
    <w:p>
      <w:pPr>
        <w:pStyle w:val="17"/>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3" w:after="0" w:line="360" w:lineRule="auto"/>
        <w:ind w:left="821" w:leftChars="100" w:right="567" w:rightChars="0"/>
        <w:jc w:val="left"/>
        <w:textAlignment w:val="auto"/>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从达标排放、固废资源化、农业生态的角度出发，论证环保措施的可</w:t>
      </w:r>
      <w:r>
        <w:rPr>
          <w:sz w:val="24"/>
        </w:rPr>
        <w:t>行性。</w:t>
      </w:r>
    </w:p>
    <w:p>
      <w:pPr>
        <w:spacing w:after="0" w:line="364" w:lineRule="auto"/>
        <w:jc w:val="left"/>
        <w:rPr>
          <w:sz w:val="24"/>
        </w:rPr>
        <w:sectPr>
          <w:footerReference r:id="rId12"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2"/>
        </w:tabs>
        <w:ind w:right="35"/>
        <w:outlineLvl w:val="0"/>
      </w:pPr>
      <w:bookmarkStart w:id="104" w:name="_Toc4605"/>
      <w:r>
        <w:t>第三章</w:t>
      </w:r>
      <w:r>
        <w:tab/>
      </w:r>
      <w:bookmarkStart w:id="105" w:name="第三章 建设项目工程概况和工程分析"/>
      <w:bookmarkEnd w:id="105"/>
      <w:r>
        <w:t>建设项目工程概况和工程分析</w:t>
      </w:r>
      <w:bookmarkEnd w:id="104"/>
    </w:p>
    <w:p>
      <w:pPr>
        <w:pStyle w:val="4"/>
        <w:numPr>
          <w:ilvl w:val="1"/>
          <w:numId w:val="16"/>
        </w:numPr>
        <w:tabs>
          <w:tab w:val="left" w:pos="1100"/>
        </w:tabs>
        <w:spacing w:before="315" w:after="0" w:line="240" w:lineRule="auto"/>
        <w:ind w:left="1099" w:right="0" w:hanging="560"/>
        <w:jc w:val="both"/>
        <w:outlineLvl w:val="1"/>
      </w:pPr>
      <w:bookmarkStart w:id="106" w:name="_bookmark17"/>
      <w:bookmarkEnd w:id="106"/>
      <w:bookmarkStart w:id="107" w:name="3.1 工程概况"/>
      <w:bookmarkEnd w:id="107"/>
      <w:bookmarkStart w:id="108" w:name="_Toc10184"/>
      <w:r>
        <w:t>工程概况</w:t>
      </w:r>
      <w:bookmarkEnd w:id="108"/>
    </w:p>
    <w:p>
      <w:pPr>
        <w:pStyle w:val="7"/>
        <w:spacing w:before="6"/>
        <w:ind w:left="0"/>
        <w:rPr>
          <w:b/>
          <w:sz w:val="28"/>
        </w:rPr>
      </w:pPr>
    </w:p>
    <w:p>
      <w:pPr>
        <w:pStyle w:val="5"/>
        <w:numPr>
          <w:ilvl w:val="2"/>
          <w:numId w:val="16"/>
        </w:numPr>
        <w:tabs>
          <w:tab w:val="left" w:pos="1241"/>
        </w:tabs>
        <w:spacing w:before="0" w:after="0" w:line="240" w:lineRule="auto"/>
        <w:ind w:left="1240" w:right="0" w:hanging="701"/>
        <w:jc w:val="both"/>
      </w:pPr>
      <w:bookmarkStart w:id="109" w:name="3.1.1 项目基本情况"/>
      <w:bookmarkEnd w:id="109"/>
      <w:bookmarkStart w:id="110" w:name="3.1.1 项目基本情况"/>
      <w:bookmarkEnd w:id="110"/>
      <w:r>
        <w:t>项目基本情况</w:t>
      </w:r>
    </w:p>
    <w:p>
      <w:pPr>
        <w:pStyle w:val="7"/>
        <w:spacing w:before="5"/>
        <w:ind w:left="0"/>
        <w:rPr>
          <w:b/>
          <w:sz w:val="21"/>
        </w:rPr>
      </w:pPr>
    </w:p>
    <w:p>
      <w:pPr>
        <w:pStyle w:val="17"/>
        <w:numPr>
          <w:ilvl w:val="3"/>
          <w:numId w:val="16"/>
        </w:numPr>
        <w:tabs>
          <w:tab w:val="left" w:pos="1621"/>
        </w:tabs>
        <w:spacing w:before="0" w:after="0" w:line="240" w:lineRule="auto"/>
        <w:ind w:left="1621" w:right="0" w:hanging="601"/>
        <w:jc w:val="left"/>
        <w:rPr>
          <w:color w:val="0000FF"/>
          <w:sz w:val="24"/>
        </w:rPr>
      </w:pPr>
      <w:r>
        <w:rPr>
          <w:color w:val="0000FF"/>
          <w:sz w:val="24"/>
        </w:rPr>
        <w:t>项目名称：</w:t>
      </w:r>
      <w:r>
        <w:rPr>
          <w:rFonts w:ascii="宋?" w:hAnsi="宋?" w:cs="宋?"/>
          <w:color w:val="0000FF"/>
          <w:kern w:val="0"/>
          <w:sz w:val="24"/>
          <w:szCs w:val="24"/>
        </w:rPr>
        <w:t>莎车县</w:t>
      </w:r>
      <w:r>
        <w:rPr>
          <w:rFonts w:hint="eastAsia" w:ascii="宋?" w:hAnsi="宋?" w:cs="宋?"/>
          <w:color w:val="0000FF"/>
          <w:kern w:val="0"/>
          <w:sz w:val="24"/>
          <w:szCs w:val="24"/>
          <w:lang w:eastAsia="zh-CN"/>
        </w:rPr>
        <w:t>阿拉买提</w:t>
      </w:r>
      <w:r>
        <w:rPr>
          <w:rFonts w:ascii="宋?" w:hAnsi="宋?" w:cs="宋?"/>
          <w:color w:val="0000FF"/>
          <w:kern w:val="0"/>
          <w:sz w:val="24"/>
          <w:szCs w:val="24"/>
        </w:rPr>
        <w:t>良种繁育中心建设项目</w:t>
      </w:r>
      <w:r>
        <w:rPr>
          <w:color w:val="0000FF"/>
          <w:sz w:val="24"/>
        </w:rPr>
        <w:t>；</w:t>
      </w:r>
    </w:p>
    <w:p>
      <w:pPr>
        <w:pStyle w:val="17"/>
        <w:numPr>
          <w:ilvl w:val="3"/>
          <w:numId w:val="16"/>
        </w:numPr>
        <w:tabs>
          <w:tab w:val="left" w:pos="1621"/>
        </w:tabs>
        <w:spacing w:before="160" w:after="0" w:line="240" w:lineRule="auto"/>
        <w:ind w:left="1621" w:right="0" w:hanging="601"/>
        <w:jc w:val="left"/>
        <w:rPr>
          <w:color w:val="0000FF"/>
          <w:sz w:val="24"/>
        </w:rPr>
      </w:pPr>
      <w:r>
        <w:rPr>
          <w:color w:val="0000FF"/>
          <w:sz w:val="24"/>
        </w:rPr>
        <w:t>建设单位：</w:t>
      </w:r>
      <w:r>
        <w:rPr>
          <w:rFonts w:ascii="宋?" w:hAnsi="宋?" w:cs="宋?"/>
          <w:color w:val="0000FF"/>
          <w:kern w:val="0"/>
          <w:sz w:val="24"/>
          <w:szCs w:val="24"/>
        </w:rPr>
        <w:t>莎车县畜牧兽医局</w:t>
      </w:r>
      <w:r>
        <w:rPr>
          <w:color w:val="0000FF"/>
          <w:sz w:val="24"/>
        </w:rPr>
        <w:t>；</w:t>
      </w:r>
    </w:p>
    <w:p>
      <w:pPr>
        <w:pStyle w:val="17"/>
        <w:numPr>
          <w:ilvl w:val="3"/>
          <w:numId w:val="16"/>
        </w:numPr>
        <w:tabs>
          <w:tab w:val="left" w:pos="1621"/>
        </w:tabs>
        <w:spacing w:before="161" w:after="0" w:line="240" w:lineRule="auto"/>
        <w:ind w:left="1621" w:right="0" w:hanging="601"/>
        <w:jc w:val="left"/>
        <w:rPr>
          <w:color w:val="0000FF"/>
          <w:sz w:val="24"/>
        </w:rPr>
      </w:pPr>
      <w:r>
        <w:rPr>
          <w:color w:val="0000FF"/>
          <w:sz w:val="24"/>
        </w:rPr>
        <w:t>建设性质：新建；</w:t>
      </w:r>
    </w:p>
    <w:p>
      <w:pPr>
        <w:pStyle w:val="17"/>
        <w:numPr>
          <w:ilvl w:val="3"/>
          <w:numId w:val="16"/>
        </w:numPr>
        <w:tabs>
          <w:tab w:val="left" w:pos="1623"/>
        </w:tabs>
        <w:spacing w:before="160" w:after="0" w:line="364" w:lineRule="auto"/>
        <w:ind w:left="540" w:right="524" w:firstLine="480"/>
        <w:jc w:val="both"/>
        <w:rPr>
          <w:color w:val="0000FF"/>
          <w:sz w:val="24"/>
        </w:rPr>
      </w:pPr>
      <w:r>
        <w:rPr>
          <w:color w:val="0000FF"/>
          <w:sz w:val="24"/>
        </w:rPr>
        <w:t>建设地点：本项目位于新疆</w:t>
      </w:r>
      <w:r>
        <w:rPr>
          <w:rFonts w:hint="eastAsia"/>
          <w:color w:val="0000FF"/>
          <w:sz w:val="24"/>
          <w:lang w:val="en-US" w:eastAsia="zh-CN"/>
        </w:rPr>
        <w:t>喀什地区莎车县阿拉买提17村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2</w:t>
      </w:r>
      <w:r>
        <w:rPr>
          <w:rFonts w:hint="eastAsia" w:ascii="Times New Roman" w:hAnsi="Times New Roman"/>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49</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95</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33</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6</w:t>
      </w:r>
      <w:r>
        <w:rPr>
          <w:rFonts w:ascii="Times New Roman" w:hAnsi="Times New Roman" w:eastAsia="Times New Roman"/>
          <w:color w:val="0000FF"/>
          <w:sz w:val="24"/>
        </w:rPr>
        <w:t>.</w:t>
      </w:r>
      <w:r>
        <w:rPr>
          <w:rFonts w:hint="eastAsia" w:ascii="Times New Roman" w:hAnsi="Times New Roman"/>
          <w:color w:val="0000FF"/>
          <w:sz w:val="24"/>
          <w:lang w:val="en-US" w:eastAsia="zh-CN"/>
        </w:rPr>
        <w:t>33</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北</w:t>
      </w:r>
      <w:r>
        <w:rPr>
          <w:color w:val="0000FF"/>
          <w:spacing w:val="-1"/>
          <w:sz w:val="24"/>
        </w:rPr>
        <w:t>侧为道路，隔路为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南</w:t>
      </w:r>
      <w:r>
        <w:rPr>
          <w:color w:val="0000FF"/>
          <w:spacing w:val="-15"/>
          <w:sz w:val="24"/>
        </w:rPr>
        <w:t>侧约</w:t>
      </w:r>
      <w:r>
        <w:rPr>
          <w:rFonts w:hint="eastAsia"/>
          <w:color w:val="0000FF"/>
          <w:spacing w:val="-15"/>
          <w:sz w:val="24"/>
          <w:lang w:val="en-US" w:eastAsia="zh-CN"/>
        </w:rPr>
        <w:t>2</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托万巴格托格克拉村</w:t>
      </w:r>
      <w:r>
        <w:rPr>
          <w:color w:val="0000FF"/>
          <w:spacing w:val="-7"/>
          <w:sz w:val="24"/>
          <w:szCs w:val="24"/>
        </w:rPr>
        <w:t>；</w:t>
      </w:r>
      <w:r>
        <w:rPr>
          <w:color w:val="0000FF"/>
          <w:spacing w:val="-7"/>
          <w:sz w:val="24"/>
        </w:rPr>
        <w:t>养殖区</w:t>
      </w:r>
      <w:r>
        <w:rPr>
          <w:rFonts w:hint="eastAsia"/>
          <w:color w:val="0000FF"/>
          <w:spacing w:val="-7"/>
          <w:sz w:val="24"/>
          <w:lang w:val="en-US" w:eastAsia="zh-CN"/>
        </w:rPr>
        <w:t>西</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20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color w:val="0000FF"/>
          <w:sz w:val="24"/>
          <w:lang w:val="en-US" w:eastAsia="zh-CN"/>
        </w:rPr>
        <w:t>X499</w:t>
      </w:r>
      <w:r>
        <w:rPr>
          <w:rFonts w:hint="eastAsia" w:ascii="Times New Roman" w:hAnsi="Times New Roman" w:eastAsia="宋体"/>
          <w:color w:val="0000FF"/>
          <w:sz w:val="24"/>
          <w:lang w:val="en-US" w:eastAsia="zh-CN"/>
        </w:rPr>
        <w:t>县</w:t>
      </w:r>
      <w:r>
        <w:rPr>
          <w:color w:val="0000FF"/>
          <w:spacing w:val="-6"/>
          <w:sz w:val="24"/>
        </w:rPr>
        <w:t>道。</w:t>
      </w:r>
    </w:p>
    <w:p>
      <w:pPr>
        <w:pStyle w:val="17"/>
        <w:numPr>
          <w:ilvl w:val="3"/>
          <w:numId w:val="16"/>
        </w:numPr>
        <w:tabs>
          <w:tab w:val="left" w:pos="1621"/>
        </w:tabs>
        <w:spacing w:before="3" w:after="0" w:line="240" w:lineRule="auto"/>
        <w:ind w:left="1621" w:right="0" w:hanging="601"/>
        <w:jc w:val="both"/>
        <w:rPr>
          <w:color w:val="0000FF"/>
          <w:sz w:val="24"/>
        </w:rPr>
      </w:pPr>
      <w:r>
        <w:rPr>
          <w:color w:val="0000FF"/>
          <w:spacing w:val="-4"/>
          <w:sz w:val="24"/>
        </w:rPr>
        <w:t>占地面积：本项目总占地面积约</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z w:val="24"/>
        </w:rPr>
        <w:t>。</w:t>
      </w:r>
    </w:p>
    <w:p>
      <w:pPr>
        <w:pStyle w:val="17"/>
        <w:numPr>
          <w:ilvl w:val="3"/>
          <w:numId w:val="16"/>
        </w:numPr>
        <w:tabs>
          <w:tab w:val="left" w:pos="1635"/>
        </w:tabs>
        <w:spacing w:before="160" w:after="0" w:line="240" w:lineRule="auto"/>
        <w:ind w:left="1634" w:right="0" w:hanging="615"/>
        <w:jc w:val="both"/>
        <w:rPr>
          <w:color w:val="0000FF"/>
        </w:rPr>
      </w:pPr>
      <w:r>
        <w:rPr>
          <w:color w:val="0000FF"/>
          <w:spacing w:val="-1"/>
          <w:sz w:val="24"/>
        </w:rPr>
        <w:t>生产规模：本项目建成后实</w:t>
      </w:r>
      <w:r>
        <w:rPr>
          <w:rFonts w:hint="eastAsia"/>
          <w:color w:val="0000FF"/>
          <w:spacing w:val="-1"/>
          <w:sz w:val="24"/>
          <w:lang w:val="en-US" w:eastAsia="zh-CN"/>
        </w:rPr>
        <w:t>现种羊场存栏规模达到10万只以上，年出栏</w:t>
      </w:r>
    </w:p>
    <w:p>
      <w:pPr>
        <w:pStyle w:val="17"/>
        <w:numPr>
          <w:ilvl w:val="0"/>
          <w:numId w:val="0"/>
        </w:numPr>
        <w:tabs>
          <w:tab w:val="left" w:pos="1635"/>
        </w:tabs>
        <w:spacing w:before="160" w:after="0" w:line="240" w:lineRule="auto"/>
        <w:ind w:left="1019" w:leftChars="0" w:right="0" w:rightChars="0"/>
        <w:jc w:val="both"/>
        <w:rPr>
          <w:rFonts w:hint="default"/>
          <w:color w:val="0000FF"/>
          <w:lang w:val="en-US"/>
        </w:rPr>
      </w:pPr>
      <w:r>
        <w:rPr>
          <w:rFonts w:hint="eastAsia"/>
          <w:color w:val="0000FF"/>
          <w:spacing w:val="-1"/>
          <w:sz w:val="24"/>
          <w:lang w:val="en-US" w:eastAsia="zh-CN"/>
        </w:rPr>
        <w:t>种公羊4万余只。</w:t>
      </w:r>
    </w:p>
    <w:p>
      <w:pPr>
        <w:pStyle w:val="17"/>
        <w:numPr>
          <w:ilvl w:val="3"/>
          <w:numId w:val="16"/>
        </w:numPr>
        <w:tabs>
          <w:tab w:val="left" w:pos="1621"/>
        </w:tabs>
        <w:spacing w:before="160" w:after="0" w:line="364" w:lineRule="auto"/>
        <w:ind w:left="540" w:right="457" w:firstLine="480"/>
        <w:jc w:val="both"/>
        <w:rPr>
          <w:color w:val="0000FF"/>
          <w:sz w:val="24"/>
        </w:rPr>
      </w:pPr>
      <w:r>
        <w:rPr>
          <w:color w:val="0000FF"/>
          <w:spacing w:val="-7"/>
          <w:sz w:val="24"/>
        </w:rPr>
        <w:t>项目总投资：本工程总投资</w:t>
      </w:r>
      <w:r>
        <w:rPr>
          <w:rFonts w:hint="eastAsia" w:ascii="Times New Roman" w:eastAsia="宋体"/>
          <w:color w:val="0000FF"/>
          <w:sz w:val="24"/>
          <w:lang w:val="en-US" w:eastAsia="zh-CN"/>
        </w:rPr>
        <w:t>3120.00</w:t>
      </w:r>
      <w:r>
        <w:rPr>
          <w:color w:val="0000FF"/>
          <w:spacing w:val="-9"/>
          <w:sz w:val="24"/>
        </w:rPr>
        <w:t>万元，其中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17"/>
        <w:numPr>
          <w:ilvl w:val="3"/>
          <w:numId w:val="16"/>
        </w:numPr>
        <w:tabs>
          <w:tab w:val="left" w:pos="1621"/>
        </w:tabs>
        <w:spacing w:before="2" w:after="0" w:line="364" w:lineRule="auto"/>
        <w:ind w:left="540" w:right="575" w:firstLine="480"/>
        <w:jc w:val="both"/>
        <w:rPr>
          <w:color w:val="0000FF"/>
          <w:sz w:val="24"/>
        </w:rPr>
      </w:pPr>
      <w:r>
        <w:rPr>
          <w:color w:val="0000FF"/>
          <w:spacing w:val="-8"/>
          <w:sz w:val="24"/>
        </w:rPr>
        <w:t>劳动定员及工作制度：本项目建成投产后，劳动定员为</w:t>
      </w:r>
      <w:r>
        <w:rPr>
          <w:rFonts w:ascii="Times New Roman" w:eastAsia="Times New Roman"/>
          <w:color w:val="0000FF"/>
          <w:sz w:val="24"/>
        </w:rPr>
        <w:t>30</w:t>
      </w:r>
      <w:r>
        <w:rPr>
          <w:color w:val="0000FF"/>
          <w:spacing w:val="-7"/>
          <w:sz w:val="24"/>
        </w:rPr>
        <w:t>人。工人</w:t>
      </w:r>
      <w:r>
        <w:rPr>
          <w:color w:val="0000FF"/>
          <w:spacing w:val="-8"/>
          <w:sz w:val="24"/>
        </w:rPr>
        <w:t>均为本村或本乡居民，养殖区全年</w:t>
      </w:r>
      <w:r>
        <w:rPr>
          <w:rFonts w:ascii="Times New Roman" w:eastAsia="Times New Roman"/>
          <w:color w:val="0000FF"/>
          <w:sz w:val="24"/>
        </w:rPr>
        <w:t>365d</w:t>
      </w:r>
      <w:r>
        <w:rPr>
          <w:color w:val="0000FF"/>
          <w:sz w:val="24"/>
        </w:rPr>
        <w:t>运行，厂区单班制生产运行。</w:t>
      </w:r>
    </w:p>
    <w:p>
      <w:pPr>
        <w:pStyle w:val="5"/>
        <w:numPr>
          <w:ilvl w:val="2"/>
          <w:numId w:val="16"/>
        </w:numPr>
        <w:tabs>
          <w:tab w:val="left" w:pos="1241"/>
        </w:tabs>
        <w:spacing w:before="115" w:after="0" w:line="240" w:lineRule="auto"/>
        <w:ind w:left="1240" w:right="0" w:hanging="701"/>
        <w:jc w:val="both"/>
      </w:pPr>
      <w:bookmarkStart w:id="111" w:name="3.1.2 主要建设内容"/>
      <w:bookmarkEnd w:id="111"/>
      <w:bookmarkStart w:id="112" w:name="3.1.2 主要建设内容"/>
      <w:bookmarkEnd w:id="112"/>
      <w:r>
        <w:t>主要建设内容</w:t>
      </w:r>
    </w:p>
    <w:p>
      <w:pPr>
        <w:pStyle w:val="7"/>
        <w:spacing w:before="7"/>
        <w:ind w:left="0"/>
        <w:rPr>
          <w:b/>
          <w:sz w:val="21"/>
        </w:rPr>
      </w:pPr>
    </w:p>
    <w:p>
      <w:pPr>
        <w:pStyle w:val="7"/>
        <w:spacing w:line="364" w:lineRule="auto"/>
        <w:ind w:right="575" w:firstLine="480"/>
        <w:jc w:val="both"/>
        <w:rPr>
          <w:color w:val="0000FF"/>
        </w:rPr>
      </w:pPr>
      <w:r>
        <w:rPr>
          <w:color w:val="0000FF"/>
          <w:spacing w:val="-6"/>
        </w:rPr>
        <w:t>本项目新建年出栏</w:t>
      </w:r>
      <w:r>
        <w:rPr>
          <w:rFonts w:ascii="Times New Roman" w:eastAsia="Times New Roman"/>
          <w:color w:val="0000FF"/>
        </w:rPr>
        <w:t>4</w:t>
      </w:r>
      <w:r>
        <w:rPr>
          <w:color w:val="0000FF"/>
          <w:spacing w:val="-8"/>
        </w:rPr>
        <w:t>万只羊养殖场</w:t>
      </w:r>
      <w:r>
        <w:rPr>
          <w:rFonts w:ascii="Times New Roman" w:eastAsia="Times New Roman"/>
          <w:color w:val="0000FF"/>
        </w:rPr>
        <w:t>1</w:t>
      </w:r>
      <w:r>
        <w:rPr>
          <w:color w:val="0000FF"/>
        </w:rPr>
        <w:t>座，包括养殖区、饲料堆放区、堆</w:t>
      </w:r>
      <w:r>
        <w:rPr>
          <w:color w:val="0000FF"/>
          <w:spacing w:val="-4"/>
        </w:rPr>
        <w:t>肥厂及相应的附属配套设施设备。建设项目总占地面积</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pacing w:val="-15"/>
        </w:rPr>
        <w:t>，总</w:t>
      </w:r>
      <w:r>
        <w:rPr>
          <w:color w:val="0000FF"/>
          <w:spacing w:val="-10"/>
        </w:rPr>
        <w:t>建筑面积为</w:t>
      </w:r>
      <w:r>
        <w:rPr>
          <w:rFonts w:ascii="Times New Roman" w:hAnsi="Times New Roman" w:cs="Times New Roman"/>
          <w:color w:val="0000FF"/>
          <w:kern w:val="0"/>
          <w:sz w:val="28"/>
          <w:szCs w:val="28"/>
        </w:rPr>
        <w:t xml:space="preserve"> </w:t>
      </w:r>
      <w:r>
        <w:rPr>
          <w:rFonts w:ascii="Times New Roman" w:hAnsi="Times New Roman" w:cs="Times New Roman"/>
          <w:color w:val="0000FF"/>
          <w:kern w:val="0"/>
          <w:sz w:val="24"/>
          <w:szCs w:val="24"/>
        </w:rPr>
        <w:t>20730.00m</w:t>
      </w:r>
      <w:r>
        <w:rPr>
          <w:rFonts w:ascii="Times New Roman" w:hAnsi="Times New Roman" w:cs="Times New Roman"/>
          <w:color w:val="0000FF"/>
          <w:kern w:val="0"/>
          <w:sz w:val="18"/>
          <w:szCs w:val="18"/>
          <w:vertAlign w:val="superscript"/>
        </w:rPr>
        <w:t>2</w:t>
      </w:r>
      <w:r>
        <w:rPr>
          <w:color w:val="0000FF"/>
        </w:rPr>
        <w:t>。</w:t>
      </w:r>
    </w:p>
    <w:p>
      <w:pPr>
        <w:pStyle w:val="7"/>
        <w:spacing w:before="2" w:line="364" w:lineRule="auto"/>
        <w:ind w:right="577" w:firstLine="480"/>
        <w:jc w:val="both"/>
        <w:rPr>
          <w:color w:val="0000FF"/>
        </w:rPr>
      </w:pPr>
      <w:r>
        <w:rPr>
          <w:color w:val="0000FF"/>
          <w:spacing w:val="-6"/>
        </w:rPr>
        <w:t>项目区供水由农村安全饮用水供水管网供给，可保证养殖场日常用水；冬季</w:t>
      </w:r>
      <w:r>
        <w:rPr>
          <w:color w:val="0000FF"/>
          <w:spacing w:val="-10"/>
        </w:rPr>
        <w:t>采用电供暖；项目区电力由</w:t>
      </w:r>
      <w:r>
        <w:rPr>
          <w:rFonts w:hint="eastAsia"/>
          <w:color w:val="0000FF"/>
          <w:spacing w:val="-10"/>
          <w:lang w:eastAsia="zh-CN"/>
        </w:rPr>
        <w:t>莎车</w:t>
      </w:r>
      <w:r>
        <w:rPr>
          <w:color w:val="0000FF"/>
          <w:spacing w:val="-10"/>
        </w:rPr>
        <w:t>县供电公司供应，由养殖场周边道路农村低压电</w:t>
      </w:r>
      <w:r>
        <w:rPr>
          <w:color w:val="0000FF"/>
        </w:rPr>
        <w:t>网就近接入。</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567" w:right="220" w:rightChars="100"/>
        <w:jc w:val="both"/>
        <w:textAlignment w:val="auto"/>
        <w:rPr>
          <w:color w:val="0000FF"/>
        </w:rPr>
      </w:pPr>
      <w:r>
        <w:rPr>
          <w:color w:val="0000FF"/>
        </w:rPr>
        <w:t>项目具体建设内容：</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567" w:right="220" w:rightChars="100"/>
        <w:jc w:val="both"/>
        <w:textAlignment w:val="auto"/>
        <w:rPr>
          <w:color w:val="0000FF"/>
        </w:rPr>
      </w:pPr>
      <w:r>
        <w:rPr>
          <w:color w:val="0000FF"/>
        </w:rPr>
        <w:t>本项目拟在莎车县</w:t>
      </w:r>
      <w:r>
        <w:rPr>
          <w:rFonts w:hint="eastAsia"/>
          <w:color w:val="0000FF"/>
          <w:lang w:eastAsia="zh-CN"/>
        </w:rPr>
        <w:t>阿拉买提</w:t>
      </w:r>
      <w:r>
        <w:rPr>
          <w:color w:val="0000FF"/>
        </w:rPr>
        <w:t>乡新建一座良种羊繁育中心。拟建筑面积为 20730.00m</w:t>
      </w:r>
      <w:r>
        <w:rPr>
          <w:color w:val="0000FF"/>
          <w:vertAlign w:val="superscript"/>
        </w:rPr>
        <w:t>2</w:t>
      </w:r>
      <w:r>
        <w:rPr>
          <w:color w:val="0000FF"/>
        </w:rPr>
        <w:t>，包括土建工程（宿舍楼、附属用房、办公楼、消毒通道、TMR 加工搅拌站、青贮池、精料加工间、干草棚、羊圈、隔离舍、防疫区、配电室、消防水池等）；购置多胎羊等。主要建设规模及内容如下表所示。</w:t>
      </w:r>
    </w:p>
    <w:p>
      <w:pPr>
        <w:pStyle w:val="7"/>
        <w:spacing w:before="160"/>
        <w:ind w:left="1020"/>
      </w:pPr>
      <w:r>
        <w:t>项目各部分具体工程量详下表</w:t>
      </w:r>
      <w:r>
        <w:rPr>
          <w:rFonts w:ascii="Times New Roman" w:eastAsia="Times New Roman"/>
        </w:rPr>
        <w:t>3.1-1</w:t>
      </w:r>
      <w:r>
        <w:t>。</w:t>
      </w:r>
    </w:p>
    <w:p>
      <w:pPr>
        <w:pStyle w:val="7"/>
        <w:spacing w:before="9"/>
        <w:ind w:left="0"/>
        <w:rPr>
          <w:sz w:val="18"/>
        </w:rPr>
      </w:pPr>
    </w:p>
    <w:p>
      <w:pPr>
        <w:pStyle w:val="7"/>
        <w:bidi w:val="0"/>
        <w:jc w:val="center"/>
      </w:pPr>
      <w:r>
        <w:t>表</w:t>
      </w:r>
      <w:r>
        <w:rPr>
          <w:rFonts w:ascii="Times New Roman" w:eastAsia="Times New Roman"/>
        </w:rPr>
        <w:t>3.1-1</w:t>
      </w:r>
      <w:r>
        <w:rPr>
          <w:rFonts w:ascii="Times New Roman" w:eastAsia="Times New Roman"/>
        </w:rPr>
        <w:tab/>
      </w:r>
      <w:r>
        <w:rPr>
          <w:rFonts w:hint="eastAsia" w:ascii="Times New Roman" w:eastAsia="宋体"/>
          <w:lang w:val="en-US" w:eastAsia="zh-CN"/>
        </w:rPr>
        <w:t>本项目建设规模及内容</w:t>
      </w:r>
      <w:r>
        <w:t>一览表</w:t>
      </w:r>
    </w:p>
    <w:tbl>
      <w:tblPr>
        <w:tblStyle w:val="14"/>
        <w:tblW w:w="0" w:type="auto"/>
        <w:tblInd w:w="5" w:type="dxa"/>
        <w:tblLayout w:type="fixed"/>
        <w:tblCellMar>
          <w:top w:w="0" w:type="dxa"/>
          <w:left w:w="0" w:type="dxa"/>
          <w:bottom w:w="0" w:type="dxa"/>
          <w:right w:w="0" w:type="dxa"/>
        </w:tblCellMar>
      </w:tblPr>
      <w:tblGrid>
        <w:gridCol w:w="640"/>
        <w:gridCol w:w="1850"/>
        <w:gridCol w:w="2890"/>
        <w:gridCol w:w="1270"/>
        <w:gridCol w:w="760"/>
        <w:gridCol w:w="910"/>
        <w:gridCol w:w="770"/>
      </w:tblGrid>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20"/>
              <w:jc w:val="left"/>
              <w:rPr>
                <w:rFonts w:ascii="宋?" w:hAnsi="宋?" w:cs="宋?"/>
                <w:color w:val="2B2BFF"/>
                <w:kern w:val="0"/>
                <w:sz w:val="18"/>
                <w:szCs w:val="18"/>
              </w:rPr>
            </w:pPr>
            <w:r>
              <w:rPr>
                <w:rFonts w:ascii="宋?" w:hAnsi="宋?" w:cs="宋?"/>
                <w:color w:val="2B2BFF"/>
                <w:kern w:val="0"/>
                <w:sz w:val="18"/>
                <w:szCs w:val="18"/>
              </w:rPr>
              <w:t>序号</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524"/>
              <w:jc w:val="left"/>
              <w:rPr>
                <w:rFonts w:ascii="宋?" w:hAnsi="宋?" w:cs="宋?"/>
                <w:color w:val="2B2BFF"/>
                <w:kern w:val="0"/>
                <w:sz w:val="18"/>
                <w:szCs w:val="18"/>
              </w:rPr>
            </w:pPr>
            <w:r>
              <w:rPr>
                <w:rFonts w:ascii="宋?" w:hAnsi="宋?" w:cs="宋?"/>
                <w:color w:val="2B2BFF"/>
                <w:kern w:val="0"/>
                <w:sz w:val="18"/>
                <w:szCs w:val="18"/>
              </w:rPr>
              <w:t>项目名称</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项目描述</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34"/>
              <w:jc w:val="left"/>
              <w:rPr>
                <w:rFonts w:ascii="宋?" w:hAnsi="宋?" w:cs="宋?"/>
                <w:color w:val="2B2BFF"/>
                <w:kern w:val="0"/>
                <w:sz w:val="18"/>
                <w:szCs w:val="18"/>
              </w:rPr>
            </w:pPr>
            <w:r>
              <w:rPr>
                <w:rFonts w:ascii="宋?" w:hAnsi="宋?" w:cs="宋?"/>
                <w:color w:val="2B2BFF"/>
                <w:kern w:val="0"/>
                <w:sz w:val="18"/>
                <w:szCs w:val="18"/>
              </w:rPr>
              <w:t>外形尺寸</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78"/>
              <w:jc w:val="left"/>
              <w:rPr>
                <w:rFonts w:ascii="宋?" w:hAnsi="宋?" w:cs="宋?"/>
                <w:color w:val="2B2BFF"/>
                <w:kern w:val="0"/>
                <w:sz w:val="18"/>
                <w:szCs w:val="18"/>
              </w:rPr>
            </w:pPr>
            <w:r>
              <w:rPr>
                <w:rFonts w:ascii="宋?" w:hAnsi="宋?" w:cs="宋?"/>
                <w:color w:val="2B2BFF"/>
                <w:kern w:val="0"/>
                <w:sz w:val="18"/>
                <w:szCs w:val="18"/>
              </w:rPr>
              <w:t>单位</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54"/>
              <w:jc w:val="left"/>
              <w:rPr>
                <w:rFonts w:ascii="宋?" w:hAnsi="宋?" w:cs="宋?"/>
                <w:color w:val="2B2BFF"/>
                <w:kern w:val="0"/>
                <w:sz w:val="18"/>
                <w:szCs w:val="18"/>
              </w:rPr>
            </w:pPr>
            <w:r>
              <w:rPr>
                <w:rFonts w:ascii="宋?" w:hAnsi="宋?" w:cs="宋?"/>
                <w:color w:val="2B2BFF"/>
                <w:kern w:val="0"/>
                <w:sz w:val="18"/>
                <w:szCs w:val="18"/>
              </w:rPr>
              <w:t>数量</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84"/>
              <w:jc w:val="left"/>
              <w:rPr>
                <w:rFonts w:ascii="宋?" w:hAnsi="宋?" w:cs="宋?"/>
                <w:color w:val="2B2BFF"/>
                <w:kern w:val="0"/>
                <w:sz w:val="18"/>
                <w:szCs w:val="18"/>
              </w:rPr>
            </w:pPr>
            <w:r>
              <w:rPr>
                <w:rFonts w:ascii="宋?" w:hAnsi="宋?" w:cs="宋?"/>
                <w:color w:val="2B2BFF"/>
                <w:kern w:val="0"/>
                <w:sz w:val="18"/>
                <w:szCs w:val="18"/>
              </w:rPr>
              <w:t>备注</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724"/>
              <w:jc w:val="left"/>
              <w:rPr>
                <w:rFonts w:ascii="宋?" w:hAnsi="宋?" w:cs="宋?"/>
                <w:color w:val="2B2BFF"/>
                <w:kern w:val="0"/>
                <w:sz w:val="18"/>
                <w:szCs w:val="18"/>
              </w:rPr>
            </w:pPr>
            <w:r>
              <w:rPr>
                <w:rFonts w:ascii="宋?" w:hAnsi="宋?" w:cs="宋?"/>
                <w:color w:val="2B2BFF"/>
                <w:kern w:val="0"/>
                <w:sz w:val="18"/>
                <w:szCs w:val="18"/>
              </w:rPr>
              <w:t>宿舍</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80m×8m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640.00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524"/>
              <w:jc w:val="left"/>
              <w:rPr>
                <w:rFonts w:ascii="宋?" w:hAnsi="宋?" w:cs="宋?"/>
                <w:color w:val="2B2BFF"/>
                <w:kern w:val="0"/>
                <w:sz w:val="18"/>
                <w:szCs w:val="18"/>
              </w:rPr>
            </w:pPr>
            <w:r>
              <w:rPr>
                <w:rFonts w:ascii="宋?" w:hAnsi="宋?" w:cs="宋?"/>
                <w:color w:val="2B2BFF"/>
                <w:kern w:val="0"/>
                <w:sz w:val="18"/>
                <w:szCs w:val="18"/>
              </w:rPr>
              <w:t>附属用房</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60m×8m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480.00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办公楼</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hint="eastAsia" w:ascii="Times New Roman" w:hAnsi="Times New Roman" w:eastAsia="宋体" w:cs="Times New Roman"/>
                <w:color w:val="2B2BFF"/>
                <w:kern w:val="0"/>
                <w:sz w:val="18"/>
                <w:szCs w:val="18"/>
                <w:lang w:val="en-US" w:eastAsia="zh-CN"/>
              </w:rPr>
            </w:pPr>
            <w:r>
              <w:rPr>
                <w:rFonts w:ascii="Times New Roman" w:hAnsi="Times New Roman" w:cs="Times New Roman"/>
                <w:color w:val="2B2BFF"/>
                <w:kern w:val="0"/>
                <w:sz w:val="18"/>
                <w:szCs w:val="18"/>
              </w:rPr>
              <w:t>360.00</w:t>
            </w:r>
            <w:r>
              <w:rPr>
                <w:rFonts w:hint="eastAsia" w:ascii="Times New Roman" w:hAnsi="Times New Roman" w:cs="Times New Roman"/>
                <w:color w:val="2B2BFF"/>
                <w:kern w:val="0"/>
                <w:sz w:val="18"/>
                <w:szCs w:val="18"/>
                <w:lang w:val="en-US" w:eastAsia="zh-CN"/>
              </w:rPr>
              <w:t xml:space="preserve"> </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消毒通道</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10m×4m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30"/>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5</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83"/>
              <w:jc w:val="left"/>
              <w:rPr>
                <w:rFonts w:ascii="宋?" w:hAnsi="宋?" w:cs="宋?"/>
                <w:color w:val="2B2BFF"/>
                <w:kern w:val="0"/>
                <w:sz w:val="18"/>
                <w:szCs w:val="18"/>
              </w:rPr>
            </w:pPr>
            <w:r>
              <w:rPr>
                <w:rFonts w:ascii="Times New Roman" w:hAnsi="Times New Roman" w:cs="Times New Roman"/>
                <w:color w:val="2B2BFF"/>
                <w:kern w:val="0"/>
                <w:sz w:val="18"/>
                <w:szCs w:val="18"/>
              </w:rPr>
              <w:t>TMR</w:t>
            </w:r>
            <w:r>
              <w:rPr>
                <w:rFonts w:ascii="宋?" w:hAnsi="宋?" w:cs="宋?"/>
                <w:color w:val="2B2BFF"/>
                <w:kern w:val="0"/>
                <w:sz w:val="18"/>
                <w:szCs w:val="18"/>
              </w:rPr>
              <w:t xml:space="preserve"> 加工搅拌站</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60m×25m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1500.00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青贮池</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60m×20m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1200.00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7</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精料加工</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30m×15m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450.00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干草棚</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80m×30m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2400.00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446"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9</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724"/>
              <w:jc w:val="left"/>
              <w:rPr>
                <w:rFonts w:ascii="宋?" w:hAnsi="宋?" w:cs="宋?"/>
                <w:color w:val="2B2BFF"/>
                <w:kern w:val="0"/>
                <w:sz w:val="18"/>
                <w:szCs w:val="18"/>
              </w:rPr>
            </w:pPr>
            <w:r>
              <w:rPr>
                <w:rFonts w:ascii="宋?" w:hAnsi="宋?" w:cs="宋?"/>
                <w:color w:val="2B2BFF"/>
                <w:kern w:val="0"/>
                <w:sz w:val="18"/>
                <w:szCs w:val="18"/>
              </w:rPr>
              <w:t>羊圈</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17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9600.00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8</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625"/>
              <w:jc w:val="left"/>
              <w:rPr>
                <w:rFonts w:ascii="宋?" w:hAnsi="宋?" w:cs="宋?"/>
                <w:color w:val="2B2BFF"/>
                <w:kern w:val="0"/>
                <w:sz w:val="18"/>
                <w:szCs w:val="18"/>
              </w:rPr>
            </w:pPr>
            <w:r>
              <w:rPr>
                <w:rFonts w:ascii="宋?" w:hAnsi="宋?" w:cs="宋?"/>
                <w:color w:val="2B2BFF"/>
                <w:kern w:val="0"/>
                <w:sz w:val="18"/>
                <w:szCs w:val="18"/>
              </w:rPr>
              <w:t>隔离舍</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2400.00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2</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11</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r>
              <w:rPr>
                <w:rFonts w:ascii="宋?" w:hAnsi="宋?" w:cs="宋?"/>
                <w:color w:val="2B2BFF"/>
                <w:kern w:val="0"/>
                <w:sz w:val="18"/>
                <w:szCs w:val="18"/>
              </w:rPr>
              <w:t>防疫区</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5"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129"/>
              <w:jc w:val="left"/>
              <w:rPr>
                <w:rFonts w:ascii="Times New Roman" w:hAnsi="Times New Roman" w:cs="Times New Roman"/>
                <w:color w:val="2B2BFF"/>
                <w:kern w:val="0"/>
                <w:sz w:val="18"/>
                <w:szCs w:val="18"/>
              </w:rPr>
            </w:pP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12</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配电室</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15m×10m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2</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13</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消防水池</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945"/>
              <w:jc w:val="left"/>
              <w:rPr>
                <w:rFonts w:ascii="宋?" w:hAnsi="宋?" w:cs="宋?"/>
                <w:color w:val="2B2BFF"/>
                <w:kern w:val="0"/>
                <w:sz w:val="18"/>
                <w:szCs w:val="18"/>
              </w:rPr>
            </w:pPr>
            <w:r>
              <w:rPr>
                <w:rFonts w:ascii="宋?" w:hAnsi="宋?" w:cs="宋?"/>
                <w:color w:val="2B2BFF"/>
                <w:kern w:val="0"/>
                <w:sz w:val="18"/>
                <w:szCs w:val="18"/>
              </w:rPr>
              <w:t>钢筋混凝土</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945"/>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360.00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p>
        </w:tc>
      </w:tr>
      <w:tr>
        <w:tblPrEx>
          <w:tblCellMar>
            <w:top w:w="0" w:type="dxa"/>
            <w:left w:w="0" w:type="dxa"/>
            <w:bottom w:w="0" w:type="dxa"/>
            <w:right w:w="0" w:type="dxa"/>
          </w:tblCellMar>
        </w:tblPrEx>
        <w:trPr>
          <w:trHeight w:val="664"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14</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34" w:lineRule="exact"/>
              <w:ind w:left="423"/>
              <w:jc w:val="left"/>
              <w:rPr>
                <w:rFonts w:ascii="宋?" w:hAnsi="宋?" w:cs="宋?"/>
                <w:color w:val="2B2BFF"/>
                <w:kern w:val="0"/>
                <w:sz w:val="18"/>
                <w:szCs w:val="18"/>
              </w:rPr>
            </w:pPr>
            <w:r>
              <w:rPr>
                <w:rFonts w:ascii="宋?" w:hAnsi="宋?" w:cs="宋?"/>
                <w:color w:val="2B2BFF"/>
                <w:kern w:val="0"/>
                <w:sz w:val="18"/>
                <w:szCs w:val="18"/>
              </w:rPr>
              <w:t>多胎羊购置</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90" w:lineRule="exact"/>
              <w:ind w:left="844"/>
              <w:jc w:val="left"/>
              <w:rPr>
                <w:rFonts w:ascii="宋?" w:hAnsi="宋?" w:cs="宋?"/>
                <w:color w:val="2B2BFF"/>
                <w:kern w:val="0"/>
                <w:sz w:val="18"/>
                <w:szCs w:val="18"/>
              </w:rPr>
            </w:pPr>
            <w:r>
              <w:rPr>
                <w:rFonts w:ascii="宋?" w:hAnsi="宋?" w:cs="宋?"/>
                <w:color w:val="2B2BFF"/>
                <w:kern w:val="0"/>
                <w:sz w:val="18"/>
                <w:szCs w:val="18"/>
              </w:rPr>
              <w:t>湖羊种公羊等</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90" w:lineRule="exact"/>
              <w:ind w:left="844"/>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34" w:lineRule="exact"/>
              <w:ind w:left="279"/>
              <w:jc w:val="left"/>
              <w:rPr>
                <w:rFonts w:ascii="宋?" w:hAnsi="宋?" w:cs="宋?"/>
                <w:color w:val="2B2BFF"/>
                <w:kern w:val="0"/>
                <w:sz w:val="18"/>
                <w:szCs w:val="18"/>
              </w:rPr>
            </w:pPr>
            <w:r>
              <w:rPr>
                <w:rFonts w:ascii="宋?" w:hAnsi="宋?" w:cs="宋?"/>
                <w:color w:val="2B2BFF"/>
                <w:kern w:val="0"/>
                <w:sz w:val="18"/>
                <w:szCs w:val="18"/>
              </w:rPr>
              <w:t>项</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80"/>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80"/>
              <w:jc w:val="left"/>
              <w:rPr>
                <w:rFonts w:ascii="Times New Roman" w:hAnsi="Times New Roman" w:cs="Times New Roman"/>
                <w:color w:val="2B2BFF"/>
                <w:kern w:val="0"/>
                <w:sz w:val="18"/>
                <w:szCs w:val="18"/>
              </w:rPr>
            </w:pPr>
          </w:p>
        </w:tc>
      </w:tr>
    </w:tbl>
    <w:p>
      <w:pPr>
        <w:pStyle w:val="5"/>
        <w:numPr>
          <w:ilvl w:val="2"/>
          <w:numId w:val="16"/>
        </w:numPr>
        <w:bidi w:val="0"/>
      </w:pPr>
      <w:bookmarkStart w:id="113" w:name="3.1.3 工程内容"/>
      <w:bookmarkEnd w:id="113"/>
      <w:bookmarkStart w:id="114" w:name="3.1.3 工程内容"/>
      <w:bookmarkEnd w:id="114"/>
      <w:r>
        <w:t>工程内容</w:t>
      </w:r>
    </w:p>
    <w:p>
      <w:pPr>
        <w:pStyle w:val="7"/>
        <w:spacing w:before="5"/>
        <w:ind w:left="0"/>
        <w:rPr>
          <w:b/>
          <w:color w:val="0000FF"/>
          <w:sz w:val="21"/>
        </w:rPr>
      </w:pPr>
    </w:p>
    <w:p>
      <w:pPr>
        <w:pStyle w:val="7"/>
        <w:keepNext w:val="0"/>
        <w:keepLines w:val="0"/>
        <w:pageBreakBefore w:val="0"/>
        <w:widowControl w:val="0"/>
        <w:kinsoku/>
        <w:wordWrap/>
        <w:overflowPunct/>
        <w:topLinePunct w:val="0"/>
        <w:autoSpaceDE w:val="0"/>
        <w:autoSpaceDN w:val="0"/>
        <w:bidi w:val="0"/>
        <w:adjustRightInd/>
        <w:snapToGrid/>
        <w:spacing w:line="365" w:lineRule="auto"/>
        <w:ind w:left="539" w:right="573" w:firstLine="482"/>
        <w:jc w:val="both"/>
        <w:textAlignment w:val="auto"/>
        <w:rPr>
          <w:color w:val="0000FF"/>
        </w:rPr>
      </w:pPr>
      <w:r>
        <w:rPr>
          <w:color w:val="0000FF"/>
          <w:spacing w:val="-6"/>
        </w:rPr>
        <w:t>单栋羊舍为一层钢结构，密闭式，坐北朝南，单栋建设面积为</w:t>
      </w:r>
      <w:r>
        <w:rPr>
          <w:rFonts w:hint="eastAsia" w:ascii="Times New Roman" w:eastAsia="宋体"/>
          <w:color w:val="0000FF"/>
          <w:spacing w:val="-3"/>
          <w:lang w:val="en-US" w:eastAsia="zh-CN"/>
        </w:rPr>
        <w:t>1200</w:t>
      </w:r>
      <w:r>
        <w:rPr>
          <w:rFonts w:ascii="Times New Roman" w:eastAsia="Times New Roman"/>
          <w:color w:val="0000FF"/>
          <w:spacing w:val="-3"/>
        </w:rPr>
        <w:t>m</w:t>
      </w:r>
      <w:r>
        <w:rPr>
          <w:rFonts w:ascii="Times New Roman" w:eastAsia="Times New Roman"/>
          <w:color w:val="0000FF"/>
          <w:spacing w:val="-3"/>
          <w:position w:val="8"/>
          <w:sz w:val="15"/>
        </w:rPr>
        <w:t>2</w:t>
      </w:r>
      <w:r>
        <w:rPr>
          <w:color w:val="0000FF"/>
          <w:spacing w:val="-3"/>
        </w:rPr>
        <w:t>（</w:t>
      </w:r>
      <w:r>
        <w:rPr>
          <w:color w:val="0000FF"/>
          <w:spacing w:val="-8"/>
        </w:rPr>
        <w:t>含室</w:t>
      </w:r>
      <w:r>
        <w:rPr>
          <w:color w:val="0000FF"/>
        </w:rPr>
        <w:t>外活动场地</w:t>
      </w:r>
      <w:r>
        <w:rPr>
          <w:color w:val="0000FF"/>
          <w:spacing w:val="-24"/>
        </w:rPr>
        <w:t>）</w:t>
      </w:r>
      <w:r>
        <w:rPr>
          <w:color w:val="0000FF"/>
          <w:spacing w:val="-9"/>
        </w:rPr>
        <w:t>。羊舍地面为混凝土土地面，走道地面为水泥砂浆地面，墙面均为</w:t>
      </w:r>
      <w:r>
        <w:rPr>
          <w:color w:val="0000FF"/>
          <w:spacing w:val="-6"/>
        </w:rPr>
        <w:t>水泥砂浆墙面，屋面采用双坡彩钢板屋面，最低处层高为</w:t>
      </w:r>
      <w:r>
        <w:rPr>
          <w:rFonts w:ascii="Times New Roman" w:eastAsia="Times New Roman"/>
          <w:color w:val="0000FF"/>
          <w:spacing w:val="-3"/>
        </w:rPr>
        <w:t>3.00m</w:t>
      </w:r>
      <w:r>
        <w:rPr>
          <w:color w:val="0000FF"/>
          <w:spacing w:val="-4"/>
        </w:rPr>
        <w:t>，最高处层高为</w:t>
      </w:r>
      <w:r>
        <w:rPr>
          <w:rFonts w:ascii="Times New Roman" w:eastAsia="Times New Roman"/>
          <w:color w:val="0000FF"/>
        </w:rPr>
        <w:t>3.60m</w:t>
      </w:r>
      <w:r>
        <w:rPr>
          <w:color w:val="0000FF"/>
          <w:spacing w:val="-8"/>
        </w:rPr>
        <w:t>，室内外高差为</w:t>
      </w:r>
      <w:r>
        <w:rPr>
          <w:rFonts w:ascii="Times New Roman" w:eastAsia="Times New Roman"/>
          <w:color w:val="0000FF"/>
        </w:rPr>
        <w:t>0.15m</w:t>
      </w:r>
      <w:r>
        <w:rPr>
          <w:color w:val="0000FF"/>
          <w:spacing w:val="-11"/>
        </w:rPr>
        <w:t>，地面以上</w:t>
      </w:r>
      <w:r>
        <w:rPr>
          <w:rFonts w:ascii="Times New Roman" w:eastAsia="Times New Roman"/>
          <w:color w:val="0000FF"/>
        </w:rPr>
        <w:t>1.5m</w:t>
      </w:r>
      <w:r>
        <w:rPr>
          <w:color w:val="0000FF"/>
        </w:rPr>
        <w:t>为砖墙砌体，</w:t>
      </w:r>
      <w:r>
        <w:rPr>
          <w:rFonts w:ascii="Times New Roman" w:eastAsia="Times New Roman"/>
          <w:color w:val="0000FF"/>
        </w:rPr>
        <w:t>1.5m-3.6m</w:t>
      </w:r>
      <w:r>
        <w:rPr>
          <w:color w:val="0000FF"/>
        </w:rPr>
        <w:t>为彩钢。本工程为砖混</w:t>
      </w:r>
      <w:r>
        <w:rPr>
          <w:rFonts w:ascii="Times New Roman" w:eastAsia="Times New Roman"/>
          <w:color w:val="0000FF"/>
        </w:rPr>
        <w:t>+</w:t>
      </w:r>
      <w:r>
        <w:rPr>
          <w:color w:val="0000FF"/>
        </w:rPr>
        <w:t>彩钢结构标准化棚圈，均为独立的羊圈和运动场。棚圈地面</w:t>
      </w:r>
      <w:r>
        <w:rPr>
          <w:color w:val="0000FF"/>
          <w:spacing w:val="-9"/>
        </w:rPr>
        <w:t>高出舍外地面</w:t>
      </w:r>
      <w:r>
        <w:rPr>
          <w:rFonts w:ascii="Times New Roman" w:eastAsia="Times New Roman"/>
          <w:color w:val="0000FF"/>
          <w:spacing w:val="-4"/>
        </w:rPr>
        <w:t>15mm</w:t>
      </w:r>
      <w:r>
        <w:rPr>
          <w:color w:val="0000FF"/>
          <w:spacing w:val="-8"/>
        </w:rPr>
        <w:t>，铺成缓坡以利排水。运动场三面为</w:t>
      </w:r>
      <w:r>
        <w:rPr>
          <w:rFonts w:ascii="Times New Roman" w:eastAsia="Times New Roman"/>
          <w:color w:val="0000FF"/>
        </w:rPr>
        <w:t>1.20m</w:t>
      </w:r>
      <w:r>
        <w:rPr>
          <w:color w:val="0000FF"/>
          <w:spacing w:val="-5"/>
        </w:rPr>
        <w:t>高的钢栅栏，防</w:t>
      </w:r>
      <w:r>
        <w:rPr>
          <w:color w:val="0000FF"/>
          <w:spacing w:val="-2"/>
        </w:rPr>
        <w:t>止羊只窜出。运动场地面为三合土地面，要求平整且为</w:t>
      </w:r>
      <w:r>
        <w:rPr>
          <w:rFonts w:ascii="Times New Roman" w:eastAsia="Times New Roman"/>
          <w:color w:val="0000FF"/>
        </w:rPr>
        <w:t>1-2%</w:t>
      </w:r>
      <w:r>
        <w:rPr>
          <w:color w:val="0000FF"/>
        </w:rPr>
        <w:t>的坡度，四周设排</w:t>
      </w:r>
      <w:r>
        <w:rPr>
          <w:color w:val="0000FF"/>
          <w:spacing w:val="-11"/>
        </w:rPr>
        <w:t>水沟，场内不得积水，并保持清洁。运动场的目的是可让羊群在运动场上自由活动、采食、呼吸新鲜空气、晒太阳；同时利用羊群活动的时间，羊舍内空气状况也可逐渐得到改善和恢复。配套建设其他附属用房建筑工程特征如下：</w:t>
      </w:r>
    </w:p>
    <w:p>
      <w:pPr>
        <w:pStyle w:val="7"/>
        <w:bidi w:val="0"/>
        <w:jc w:val="center"/>
      </w:pPr>
    </w:p>
    <w:p>
      <w:pPr>
        <w:pStyle w:val="7"/>
        <w:bidi w:val="0"/>
        <w:jc w:val="center"/>
      </w:pPr>
    </w:p>
    <w:p>
      <w:pPr>
        <w:pStyle w:val="7"/>
        <w:bidi w:val="0"/>
        <w:jc w:val="center"/>
      </w:pPr>
      <w:r>
        <w:t>表</w:t>
      </w:r>
      <w:r>
        <w:rPr>
          <w:rFonts w:ascii="Times New Roman" w:eastAsia="Times New Roman"/>
        </w:rPr>
        <w:t>3.1-2</w:t>
      </w:r>
      <w:r>
        <w:rPr>
          <w:rFonts w:ascii="Times New Roman" w:eastAsia="Times New Roman"/>
        </w:rPr>
        <w:tab/>
      </w:r>
      <w:r>
        <w:t>配套建设其他附属用房建筑工程特征一览表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1265"/>
        <w:gridCol w:w="1590"/>
        <w:gridCol w:w="1486"/>
        <w:gridCol w:w="1154"/>
        <w:gridCol w:w="1304"/>
        <w:gridCol w:w="1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8"/>
              <w:spacing w:before="1" w:line="240" w:lineRule="exact"/>
              <w:ind w:left="186" w:right="178"/>
              <w:jc w:val="left"/>
              <w:rPr>
                <w:b/>
                <w:sz w:val="21"/>
              </w:rPr>
            </w:pPr>
            <w:r>
              <w:rPr>
                <w:b/>
                <w:sz w:val="21"/>
              </w:rPr>
              <w:t>序号</w:t>
            </w:r>
          </w:p>
        </w:tc>
        <w:tc>
          <w:tcPr>
            <w:tcW w:w="1265" w:type="dxa"/>
          </w:tcPr>
          <w:p>
            <w:pPr>
              <w:pStyle w:val="18"/>
              <w:spacing w:before="103"/>
              <w:ind w:left="189" w:right="181"/>
              <w:rPr>
                <w:b/>
                <w:sz w:val="21"/>
              </w:rPr>
            </w:pPr>
            <w:r>
              <w:rPr>
                <w:b/>
                <w:sz w:val="21"/>
              </w:rPr>
              <w:t>项目名称</w:t>
            </w:r>
          </w:p>
        </w:tc>
        <w:tc>
          <w:tcPr>
            <w:tcW w:w="1590" w:type="dxa"/>
          </w:tcPr>
          <w:p>
            <w:pPr>
              <w:pStyle w:val="18"/>
              <w:spacing w:before="103"/>
              <w:ind w:left="131" w:right="7"/>
              <w:rPr>
                <w:b/>
                <w:sz w:val="21"/>
              </w:rPr>
            </w:pPr>
            <w:r>
              <w:rPr>
                <w:b/>
                <w:spacing w:val="-7"/>
                <w:w w:val="95"/>
                <w:sz w:val="21"/>
              </w:rPr>
              <w:t>建筑面积</w:t>
            </w:r>
            <w:r>
              <w:rPr>
                <w:b/>
                <w:w w:val="95"/>
                <w:sz w:val="21"/>
              </w:rPr>
              <w:t>（</w:t>
            </w:r>
            <w:r>
              <w:rPr>
                <w:rFonts w:ascii="Times New Roman" w:eastAsia="Times New Roman"/>
                <w:b/>
                <w:w w:val="95"/>
                <w:sz w:val="21"/>
              </w:rPr>
              <w:t>m</w:t>
            </w:r>
            <w:r>
              <w:rPr>
                <w:rFonts w:ascii="Times New Roman" w:eastAsia="Times New Roman"/>
                <w:b/>
                <w:w w:val="95"/>
                <w:position w:val="7"/>
                <w:sz w:val="13"/>
              </w:rPr>
              <w:t>2</w:t>
            </w:r>
            <w:r>
              <w:rPr>
                <w:b/>
                <w:w w:val="95"/>
                <w:sz w:val="21"/>
              </w:rPr>
              <w:t>）</w:t>
            </w:r>
          </w:p>
        </w:tc>
        <w:tc>
          <w:tcPr>
            <w:tcW w:w="1486" w:type="dxa"/>
          </w:tcPr>
          <w:p>
            <w:pPr>
              <w:pStyle w:val="18"/>
              <w:spacing w:before="103"/>
              <w:ind w:right="-15"/>
              <w:jc w:val="right"/>
              <w:rPr>
                <w:b/>
                <w:sz w:val="21"/>
              </w:rPr>
            </w:pPr>
            <w:r>
              <w:rPr>
                <w:b/>
                <w:w w:val="95"/>
                <w:sz w:val="21"/>
              </w:rPr>
              <w:t>建筑高度（</w:t>
            </w:r>
            <w:r>
              <w:rPr>
                <w:rFonts w:ascii="Times New Roman" w:eastAsia="Times New Roman"/>
                <w:b/>
                <w:w w:val="95"/>
                <w:sz w:val="21"/>
              </w:rPr>
              <w:t>m</w:t>
            </w:r>
            <w:r>
              <w:rPr>
                <w:b/>
                <w:w w:val="95"/>
                <w:sz w:val="21"/>
              </w:rPr>
              <w:t>）</w:t>
            </w:r>
          </w:p>
        </w:tc>
        <w:tc>
          <w:tcPr>
            <w:tcW w:w="1154" w:type="dxa"/>
          </w:tcPr>
          <w:p>
            <w:pPr>
              <w:pStyle w:val="18"/>
              <w:spacing w:before="103"/>
              <w:ind w:left="109" w:right="99"/>
              <w:rPr>
                <w:b/>
                <w:sz w:val="21"/>
              </w:rPr>
            </w:pPr>
            <w:r>
              <w:rPr>
                <w:b/>
                <w:sz w:val="21"/>
              </w:rPr>
              <w:t>建筑层数</w:t>
            </w:r>
          </w:p>
        </w:tc>
        <w:tc>
          <w:tcPr>
            <w:tcW w:w="1304" w:type="dxa"/>
          </w:tcPr>
          <w:p>
            <w:pPr>
              <w:pStyle w:val="18"/>
              <w:spacing w:before="103"/>
              <w:ind w:left="107" w:right="97"/>
              <w:rPr>
                <w:b/>
                <w:sz w:val="21"/>
              </w:rPr>
            </w:pPr>
            <w:r>
              <w:rPr>
                <w:b/>
                <w:sz w:val="21"/>
              </w:rPr>
              <w:t>结构形式</w:t>
            </w:r>
          </w:p>
        </w:tc>
        <w:tc>
          <w:tcPr>
            <w:tcW w:w="1137" w:type="dxa"/>
          </w:tcPr>
          <w:p>
            <w:pPr>
              <w:pStyle w:val="18"/>
              <w:spacing w:before="1" w:line="240" w:lineRule="exact"/>
              <w:ind w:left="357" w:right="134" w:hanging="209"/>
              <w:jc w:val="left"/>
              <w:rPr>
                <w:b/>
                <w:sz w:val="21"/>
              </w:rPr>
            </w:pPr>
            <w:r>
              <w:rPr>
                <w:b/>
                <w:sz w:val="21"/>
              </w:rPr>
              <w:t>建筑耐火等级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86" w:type="dxa"/>
          </w:tcPr>
          <w:p>
            <w:pPr>
              <w:pStyle w:val="18"/>
              <w:spacing w:before="33"/>
              <w:ind w:left="8"/>
              <w:rPr>
                <w:rFonts w:ascii="Times New Roman"/>
                <w:sz w:val="21"/>
              </w:rPr>
            </w:pPr>
            <w:r>
              <w:rPr>
                <w:rFonts w:ascii="Times New Roman"/>
                <w:w w:val="99"/>
                <w:sz w:val="21"/>
              </w:rPr>
              <w:t>1</w:t>
            </w:r>
          </w:p>
        </w:tc>
        <w:tc>
          <w:tcPr>
            <w:tcW w:w="1265" w:type="dxa"/>
          </w:tcPr>
          <w:p>
            <w:pPr>
              <w:pStyle w:val="18"/>
              <w:spacing w:before="19"/>
              <w:ind w:left="184" w:right="181"/>
              <w:rPr>
                <w:sz w:val="21"/>
              </w:rPr>
            </w:pPr>
            <w:r>
              <w:rPr>
                <w:sz w:val="21"/>
              </w:rPr>
              <w:t>饲料库房</w:t>
            </w:r>
          </w:p>
        </w:tc>
        <w:tc>
          <w:tcPr>
            <w:tcW w:w="1590" w:type="dxa"/>
          </w:tcPr>
          <w:p>
            <w:pPr>
              <w:pStyle w:val="18"/>
              <w:spacing w:before="19"/>
              <w:ind w:left="14" w:right="7"/>
              <w:rPr>
                <w:sz w:val="21"/>
              </w:rPr>
            </w:pPr>
            <w:r>
              <w:rPr>
                <w:rFonts w:ascii="Times New Roman" w:eastAsia="Times New Roman"/>
                <w:sz w:val="21"/>
              </w:rPr>
              <w:t>1402.28m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8"/>
              <w:spacing w:before="19"/>
              <w:ind w:right="-15"/>
              <w:jc w:val="right"/>
              <w:rPr>
                <w:sz w:val="21"/>
              </w:rPr>
            </w:pPr>
            <w:r>
              <w:rPr>
                <w:rFonts w:ascii="Times New Roman" w:eastAsia="Times New Roman"/>
                <w:w w:val="95"/>
                <w:sz w:val="21"/>
              </w:rPr>
              <w:t>5.50m</w:t>
            </w:r>
            <w:r>
              <w:rPr>
                <w:w w:val="95"/>
                <w:sz w:val="21"/>
              </w:rPr>
              <w:t>（檐口）</w:t>
            </w:r>
          </w:p>
        </w:tc>
        <w:tc>
          <w:tcPr>
            <w:tcW w:w="1154" w:type="dxa"/>
          </w:tcPr>
          <w:p>
            <w:pPr>
              <w:pStyle w:val="18"/>
              <w:spacing w:before="19"/>
              <w:ind w:left="109" w:right="101"/>
              <w:rPr>
                <w:sz w:val="21"/>
              </w:rPr>
            </w:pPr>
            <w:r>
              <w:rPr>
                <w:sz w:val="21"/>
              </w:rPr>
              <w:t>地上</w:t>
            </w:r>
            <w:r>
              <w:rPr>
                <w:rFonts w:ascii="Times New Roman" w:eastAsia="Times New Roman"/>
                <w:sz w:val="21"/>
              </w:rPr>
              <w:t>1</w:t>
            </w:r>
            <w:r>
              <w:rPr>
                <w:sz w:val="21"/>
              </w:rPr>
              <w:t>层</w:t>
            </w:r>
          </w:p>
        </w:tc>
        <w:tc>
          <w:tcPr>
            <w:tcW w:w="1304" w:type="dxa"/>
          </w:tcPr>
          <w:p>
            <w:pPr>
              <w:pStyle w:val="18"/>
              <w:spacing w:before="19"/>
              <w:ind w:left="104" w:right="97"/>
              <w:rPr>
                <w:sz w:val="21"/>
              </w:rPr>
            </w:pPr>
            <w:r>
              <w:rPr>
                <w:sz w:val="21"/>
              </w:rPr>
              <w:t>钢结构</w:t>
            </w:r>
          </w:p>
        </w:tc>
        <w:tc>
          <w:tcPr>
            <w:tcW w:w="1137" w:type="dxa"/>
          </w:tcPr>
          <w:p>
            <w:pPr>
              <w:pStyle w:val="18"/>
              <w:spacing w:before="19"/>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8"/>
              <w:spacing w:before="116"/>
              <w:ind w:left="8"/>
              <w:rPr>
                <w:rFonts w:ascii="Times New Roman"/>
                <w:sz w:val="21"/>
              </w:rPr>
            </w:pPr>
            <w:r>
              <w:rPr>
                <w:rFonts w:ascii="Times New Roman"/>
                <w:w w:val="99"/>
                <w:sz w:val="21"/>
              </w:rPr>
              <w:t>2</w:t>
            </w:r>
          </w:p>
        </w:tc>
        <w:tc>
          <w:tcPr>
            <w:tcW w:w="1265" w:type="dxa"/>
          </w:tcPr>
          <w:p>
            <w:pPr>
              <w:pStyle w:val="18"/>
              <w:spacing w:line="240" w:lineRule="exact"/>
              <w:ind w:left="316" w:right="204" w:hanging="106"/>
              <w:jc w:val="left"/>
              <w:rPr>
                <w:sz w:val="21"/>
              </w:rPr>
            </w:pPr>
            <w:r>
              <w:rPr>
                <w:sz w:val="21"/>
              </w:rPr>
              <w:t>饲草料加工用房</w:t>
            </w:r>
          </w:p>
        </w:tc>
        <w:tc>
          <w:tcPr>
            <w:tcW w:w="1590" w:type="dxa"/>
          </w:tcPr>
          <w:p>
            <w:pPr>
              <w:pStyle w:val="18"/>
              <w:spacing w:before="102"/>
              <w:ind w:left="14" w:right="7"/>
              <w:rPr>
                <w:sz w:val="21"/>
              </w:rPr>
            </w:pPr>
            <w:r>
              <w:rPr>
                <w:rFonts w:ascii="Times New Roman" w:eastAsia="Times New Roman"/>
                <w:sz w:val="21"/>
              </w:rPr>
              <w:t>1402.28m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8"/>
              <w:spacing w:before="102"/>
              <w:ind w:right="-15"/>
              <w:jc w:val="right"/>
              <w:rPr>
                <w:sz w:val="21"/>
              </w:rPr>
            </w:pPr>
            <w:r>
              <w:rPr>
                <w:rFonts w:ascii="Times New Roman" w:eastAsia="Times New Roman"/>
                <w:w w:val="95"/>
                <w:sz w:val="21"/>
              </w:rPr>
              <w:t>5.50m</w:t>
            </w:r>
            <w:r>
              <w:rPr>
                <w:w w:val="95"/>
                <w:sz w:val="21"/>
              </w:rPr>
              <w:t>（檐口）</w:t>
            </w:r>
          </w:p>
        </w:tc>
        <w:tc>
          <w:tcPr>
            <w:tcW w:w="1154" w:type="dxa"/>
          </w:tcPr>
          <w:p>
            <w:pPr>
              <w:pStyle w:val="18"/>
              <w:spacing w:before="102"/>
              <w:ind w:left="109" w:right="101"/>
              <w:rPr>
                <w:sz w:val="21"/>
              </w:rPr>
            </w:pPr>
            <w:r>
              <w:rPr>
                <w:sz w:val="21"/>
              </w:rPr>
              <w:t>地上</w:t>
            </w:r>
            <w:r>
              <w:rPr>
                <w:rFonts w:ascii="Times New Roman" w:eastAsia="Times New Roman"/>
                <w:sz w:val="21"/>
              </w:rPr>
              <w:t>1</w:t>
            </w:r>
            <w:r>
              <w:rPr>
                <w:sz w:val="21"/>
              </w:rPr>
              <w:t>层</w:t>
            </w:r>
          </w:p>
        </w:tc>
        <w:tc>
          <w:tcPr>
            <w:tcW w:w="1304" w:type="dxa"/>
          </w:tcPr>
          <w:p>
            <w:pPr>
              <w:pStyle w:val="18"/>
              <w:spacing w:before="102"/>
              <w:ind w:left="104" w:right="97"/>
              <w:rPr>
                <w:sz w:val="21"/>
              </w:rPr>
            </w:pPr>
            <w:r>
              <w:rPr>
                <w:sz w:val="21"/>
              </w:rPr>
              <w:t>钢结构</w:t>
            </w:r>
          </w:p>
        </w:tc>
        <w:tc>
          <w:tcPr>
            <w:tcW w:w="1137" w:type="dxa"/>
          </w:tcPr>
          <w:p>
            <w:pPr>
              <w:pStyle w:val="18"/>
              <w:spacing w:before="102"/>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6" w:type="dxa"/>
          </w:tcPr>
          <w:p>
            <w:pPr>
              <w:pStyle w:val="18"/>
              <w:spacing w:before="34"/>
              <w:ind w:left="8"/>
              <w:rPr>
                <w:rFonts w:ascii="Times New Roman"/>
                <w:sz w:val="21"/>
              </w:rPr>
            </w:pPr>
            <w:r>
              <w:rPr>
                <w:rFonts w:ascii="Times New Roman"/>
                <w:w w:val="99"/>
                <w:sz w:val="21"/>
              </w:rPr>
              <w:t>3</w:t>
            </w:r>
          </w:p>
        </w:tc>
        <w:tc>
          <w:tcPr>
            <w:tcW w:w="1265" w:type="dxa"/>
          </w:tcPr>
          <w:p>
            <w:pPr>
              <w:pStyle w:val="18"/>
              <w:spacing w:before="20"/>
              <w:ind w:left="187" w:right="181"/>
              <w:rPr>
                <w:sz w:val="21"/>
              </w:rPr>
            </w:pPr>
            <w:r>
              <w:rPr>
                <w:sz w:val="21"/>
              </w:rPr>
              <w:t>青储窖</w:t>
            </w:r>
          </w:p>
        </w:tc>
        <w:tc>
          <w:tcPr>
            <w:tcW w:w="1590" w:type="dxa"/>
          </w:tcPr>
          <w:p>
            <w:pPr>
              <w:pStyle w:val="18"/>
              <w:spacing w:before="20"/>
              <w:ind w:left="16" w:right="7"/>
              <w:rPr>
                <w:sz w:val="21"/>
              </w:rPr>
            </w:pPr>
            <w:r>
              <w:rPr>
                <w:rFonts w:ascii="Times New Roman" w:eastAsia="Times New Roman"/>
                <w:sz w:val="21"/>
              </w:rPr>
              <w:t>300m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8"/>
              <w:spacing w:before="20"/>
              <w:ind w:right="-15"/>
              <w:jc w:val="right"/>
              <w:rPr>
                <w:sz w:val="21"/>
              </w:rPr>
            </w:pPr>
            <w:r>
              <w:rPr>
                <w:rFonts w:ascii="Times New Roman" w:eastAsia="Times New Roman"/>
                <w:w w:val="95"/>
                <w:sz w:val="21"/>
              </w:rPr>
              <w:t>2.30m</w:t>
            </w:r>
            <w:r>
              <w:rPr>
                <w:w w:val="95"/>
                <w:sz w:val="21"/>
              </w:rPr>
              <w:t>（檐口）</w:t>
            </w:r>
          </w:p>
        </w:tc>
        <w:tc>
          <w:tcPr>
            <w:tcW w:w="1154" w:type="dxa"/>
          </w:tcPr>
          <w:p>
            <w:pPr>
              <w:pStyle w:val="18"/>
              <w:spacing w:before="20"/>
              <w:ind w:left="109" w:right="101"/>
              <w:rPr>
                <w:sz w:val="21"/>
              </w:rPr>
            </w:pPr>
            <w:r>
              <w:rPr>
                <w:sz w:val="21"/>
              </w:rPr>
              <w:t>地上</w:t>
            </w:r>
            <w:r>
              <w:rPr>
                <w:rFonts w:ascii="Times New Roman" w:eastAsia="Times New Roman"/>
                <w:sz w:val="21"/>
              </w:rPr>
              <w:t>1</w:t>
            </w:r>
            <w:r>
              <w:rPr>
                <w:sz w:val="21"/>
              </w:rPr>
              <w:t>层</w:t>
            </w:r>
          </w:p>
        </w:tc>
        <w:tc>
          <w:tcPr>
            <w:tcW w:w="1304" w:type="dxa"/>
          </w:tcPr>
          <w:p>
            <w:pPr>
              <w:pStyle w:val="18"/>
              <w:spacing w:before="20"/>
              <w:ind w:left="107" w:right="97"/>
              <w:rPr>
                <w:sz w:val="21"/>
              </w:rPr>
            </w:pPr>
            <w:r>
              <w:rPr>
                <w:sz w:val="21"/>
              </w:rPr>
              <w:t>钢筋混凝土</w:t>
            </w:r>
          </w:p>
        </w:tc>
        <w:tc>
          <w:tcPr>
            <w:tcW w:w="1137" w:type="dxa"/>
          </w:tcPr>
          <w:p>
            <w:pPr>
              <w:pStyle w:val="18"/>
              <w:spacing w:before="20"/>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8"/>
              <w:spacing w:before="115"/>
              <w:ind w:left="8"/>
              <w:rPr>
                <w:rFonts w:ascii="Times New Roman"/>
                <w:sz w:val="21"/>
              </w:rPr>
            </w:pPr>
            <w:r>
              <w:rPr>
                <w:rFonts w:ascii="Times New Roman"/>
                <w:w w:val="99"/>
                <w:sz w:val="21"/>
              </w:rPr>
              <w:t>4</w:t>
            </w:r>
          </w:p>
        </w:tc>
        <w:tc>
          <w:tcPr>
            <w:tcW w:w="1265" w:type="dxa"/>
          </w:tcPr>
          <w:p>
            <w:pPr>
              <w:pStyle w:val="18"/>
              <w:spacing w:line="236" w:lineRule="exact"/>
              <w:ind w:left="184" w:right="181"/>
              <w:rPr>
                <w:sz w:val="21"/>
              </w:rPr>
            </w:pPr>
            <w:r>
              <w:rPr>
                <w:sz w:val="21"/>
              </w:rPr>
              <w:t>消防水池</w:t>
            </w:r>
          </w:p>
          <w:p>
            <w:pPr>
              <w:pStyle w:val="18"/>
              <w:spacing w:line="224" w:lineRule="exact"/>
              <w:ind w:left="187" w:right="181"/>
              <w:rPr>
                <w:sz w:val="21"/>
              </w:rPr>
            </w:pPr>
            <w:r>
              <w:rPr>
                <w:sz w:val="21"/>
              </w:rPr>
              <w:t>及泵房</w:t>
            </w:r>
          </w:p>
        </w:tc>
        <w:tc>
          <w:tcPr>
            <w:tcW w:w="1590" w:type="dxa"/>
          </w:tcPr>
          <w:p>
            <w:pPr>
              <w:pStyle w:val="18"/>
              <w:spacing w:before="101"/>
              <w:ind w:left="16" w:right="7"/>
              <w:rPr>
                <w:sz w:val="21"/>
              </w:rPr>
            </w:pPr>
            <w:r>
              <w:rPr>
                <w:rFonts w:hint="eastAsia" w:ascii="Times New Roman" w:eastAsia="宋体"/>
                <w:sz w:val="21"/>
                <w:lang w:val="en-US" w:eastAsia="zh-CN"/>
              </w:rPr>
              <w:t>360</w:t>
            </w:r>
            <w:r>
              <w:rPr>
                <w:rFonts w:ascii="Times New Roman" w:eastAsia="Times New Roman"/>
                <w:sz w:val="21"/>
              </w:rPr>
              <w:t>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8"/>
              <w:spacing w:before="101"/>
              <w:ind w:right="-15"/>
              <w:jc w:val="right"/>
              <w:rPr>
                <w:sz w:val="21"/>
              </w:rPr>
            </w:pPr>
            <w:r>
              <w:rPr>
                <w:rFonts w:ascii="Times New Roman" w:eastAsia="Times New Roman"/>
                <w:w w:val="95"/>
                <w:sz w:val="21"/>
              </w:rPr>
              <w:t>3.30m</w:t>
            </w:r>
            <w:r>
              <w:rPr>
                <w:w w:val="95"/>
                <w:sz w:val="21"/>
              </w:rPr>
              <w:t>（檐口）</w:t>
            </w:r>
          </w:p>
        </w:tc>
        <w:tc>
          <w:tcPr>
            <w:tcW w:w="1154" w:type="dxa"/>
          </w:tcPr>
          <w:p>
            <w:pPr>
              <w:pStyle w:val="18"/>
              <w:spacing w:line="236" w:lineRule="exact"/>
              <w:ind w:left="155"/>
              <w:jc w:val="left"/>
              <w:rPr>
                <w:sz w:val="21"/>
              </w:rPr>
            </w:pPr>
            <w:r>
              <w:rPr>
                <w:spacing w:val="-18"/>
                <w:sz w:val="21"/>
              </w:rPr>
              <w:t>地下</w:t>
            </w:r>
            <w:r>
              <w:rPr>
                <w:rFonts w:ascii="Times New Roman" w:eastAsia="Times New Roman"/>
                <w:sz w:val="21"/>
              </w:rPr>
              <w:t>1</w:t>
            </w:r>
            <w:r>
              <w:rPr>
                <w:sz w:val="21"/>
              </w:rPr>
              <w:t>层</w:t>
            </w:r>
          </w:p>
          <w:p>
            <w:pPr>
              <w:pStyle w:val="18"/>
              <w:spacing w:line="224" w:lineRule="exact"/>
              <w:ind w:left="155"/>
              <w:jc w:val="left"/>
              <w:rPr>
                <w:sz w:val="21"/>
              </w:rPr>
            </w:pPr>
            <w:r>
              <w:rPr>
                <w:spacing w:val="-18"/>
                <w:sz w:val="21"/>
              </w:rPr>
              <w:t>地上</w:t>
            </w:r>
            <w:r>
              <w:rPr>
                <w:rFonts w:ascii="Times New Roman" w:eastAsia="Times New Roman"/>
                <w:sz w:val="21"/>
              </w:rPr>
              <w:t>1</w:t>
            </w:r>
            <w:r>
              <w:rPr>
                <w:sz w:val="21"/>
              </w:rPr>
              <w:t>层</w:t>
            </w:r>
          </w:p>
        </w:tc>
        <w:tc>
          <w:tcPr>
            <w:tcW w:w="1304" w:type="dxa"/>
          </w:tcPr>
          <w:p>
            <w:pPr>
              <w:pStyle w:val="18"/>
              <w:spacing w:before="101"/>
              <w:ind w:left="102" w:right="97"/>
              <w:rPr>
                <w:sz w:val="21"/>
              </w:rPr>
            </w:pPr>
            <w:r>
              <w:rPr>
                <w:sz w:val="21"/>
              </w:rPr>
              <w:t>框架结构</w:t>
            </w:r>
          </w:p>
        </w:tc>
        <w:tc>
          <w:tcPr>
            <w:tcW w:w="1137" w:type="dxa"/>
          </w:tcPr>
          <w:p>
            <w:pPr>
              <w:pStyle w:val="18"/>
              <w:spacing w:line="236" w:lineRule="exact"/>
              <w:ind w:left="148"/>
              <w:jc w:val="left"/>
              <w:rPr>
                <w:sz w:val="21"/>
              </w:rPr>
            </w:pPr>
            <w:r>
              <w:rPr>
                <w:w w:val="95"/>
                <w:sz w:val="21"/>
              </w:rPr>
              <w:t>地下一级</w:t>
            </w:r>
          </w:p>
          <w:p>
            <w:pPr>
              <w:pStyle w:val="18"/>
              <w:spacing w:line="224" w:lineRule="exact"/>
              <w:ind w:left="148"/>
              <w:jc w:val="left"/>
              <w:rPr>
                <w:sz w:val="21"/>
              </w:rPr>
            </w:pPr>
            <w:r>
              <w:rPr>
                <w:w w:val="95"/>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6" w:type="dxa"/>
          </w:tcPr>
          <w:p>
            <w:pPr>
              <w:pStyle w:val="18"/>
              <w:spacing w:before="35"/>
              <w:ind w:left="8"/>
              <w:rPr>
                <w:rFonts w:ascii="Times New Roman"/>
                <w:sz w:val="21"/>
              </w:rPr>
            </w:pPr>
            <w:r>
              <w:rPr>
                <w:rFonts w:ascii="Times New Roman"/>
                <w:w w:val="99"/>
                <w:sz w:val="21"/>
              </w:rPr>
              <w:t>5</w:t>
            </w:r>
          </w:p>
        </w:tc>
        <w:tc>
          <w:tcPr>
            <w:tcW w:w="1265" w:type="dxa"/>
          </w:tcPr>
          <w:p>
            <w:pPr>
              <w:pStyle w:val="18"/>
              <w:spacing w:before="21"/>
              <w:ind w:left="187" w:right="181"/>
              <w:rPr>
                <w:sz w:val="21"/>
              </w:rPr>
            </w:pPr>
            <w:r>
              <w:rPr>
                <w:sz w:val="21"/>
              </w:rPr>
              <w:t>地磅房</w:t>
            </w:r>
          </w:p>
        </w:tc>
        <w:tc>
          <w:tcPr>
            <w:tcW w:w="1590" w:type="dxa"/>
          </w:tcPr>
          <w:p>
            <w:pPr>
              <w:pStyle w:val="18"/>
              <w:spacing w:before="21"/>
              <w:ind w:left="16" w:right="7"/>
              <w:rPr>
                <w:sz w:val="21"/>
              </w:rPr>
            </w:pPr>
            <w:r>
              <w:rPr>
                <w:rFonts w:ascii="Times New Roman" w:eastAsia="Times New Roman"/>
                <w:sz w:val="21"/>
              </w:rPr>
              <w:t>44.8m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8"/>
              <w:spacing w:before="21"/>
              <w:ind w:right="-15"/>
              <w:jc w:val="right"/>
              <w:rPr>
                <w:sz w:val="21"/>
              </w:rPr>
            </w:pPr>
            <w:r>
              <w:rPr>
                <w:rFonts w:ascii="Times New Roman" w:eastAsia="Times New Roman"/>
                <w:w w:val="95"/>
                <w:sz w:val="21"/>
              </w:rPr>
              <w:t>3.30m</w:t>
            </w:r>
            <w:r>
              <w:rPr>
                <w:w w:val="95"/>
                <w:sz w:val="21"/>
              </w:rPr>
              <w:t>（檐口）</w:t>
            </w:r>
          </w:p>
        </w:tc>
        <w:tc>
          <w:tcPr>
            <w:tcW w:w="1154" w:type="dxa"/>
          </w:tcPr>
          <w:p>
            <w:pPr>
              <w:pStyle w:val="18"/>
              <w:spacing w:before="21"/>
              <w:ind w:left="109" w:right="101"/>
              <w:rPr>
                <w:sz w:val="21"/>
              </w:rPr>
            </w:pPr>
            <w:r>
              <w:rPr>
                <w:sz w:val="21"/>
              </w:rPr>
              <w:t>地上</w:t>
            </w:r>
            <w:r>
              <w:rPr>
                <w:rFonts w:ascii="Times New Roman" w:eastAsia="Times New Roman"/>
                <w:sz w:val="21"/>
              </w:rPr>
              <w:t>1</w:t>
            </w:r>
            <w:r>
              <w:rPr>
                <w:sz w:val="21"/>
              </w:rPr>
              <w:t>层</w:t>
            </w:r>
          </w:p>
        </w:tc>
        <w:tc>
          <w:tcPr>
            <w:tcW w:w="1304" w:type="dxa"/>
          </w:tcPr>
          <w:p>
            <w:pPr>
              <w:pStyle w:val="18"/>
              <w:spacing w:before="21"/>
              <w:ind w:left="102" w:right="97"/>
              <w:rPr>
                <w:sz w:val="21"/>
              </w:rPr>
            </w:pPr>
            <w:r>
              <w:rPr>
                <w:sz w:val="21"/>
              </w:rPr>
              <w:t>砖混结构</w:t>
            </w:r>
          </w:p>
        </w:tc>
        <w:tc>
          <w:tcPr>
            <w:tcW w:w="1137" w:type="dxa"/>
          </w:tcPr>
          <w:p>
            <w:pPr>
              <w:pStyle w:val="18"/>
              <w:spacing w:before="21"/>
              <w:ind w:left="127" w:right="120"/>
              <w:rPr>
                <w:sz w:val="21"/>
              </w:rPr>
            </w:pPr>
            <w:r>
              <w:rPr>
                <w:sz w:val="21"/>
              </w:rPr>
              <w:t>地上二级</w:t>
            </w:r>
          </w:p>
        </w:tc>
      </w:tr>
    </w:tbl>
    <w:p>
      <w:pPr>
        <w:tabs>
          <w:tab w:val="left" w:pos="1519"/>
        </w:tabs>
        <w:spacing w:before="159"/>
        <w:ind w:left="0" w:right="25" w:firstLine="0"/>
        <w:jc w:val="center"/>
        <w:rPr>
          <w:b/>
          <w:sz w:val="24"/>
        </w:rPr>
      </w:pPr>
      <w:r>
        <mc:AlternateContent>
          <mc:Choice Requires="wps">
            <w:drawing>
              <wp:anchor distT="0" distB="0" distL="114300" distR="114300" simplePos="0" relativeHeight="232252416" behindDoc="1" locked="0" layoutInCell="1" allowOverlap="1">
                <wp:simplePos x="0" y="0"/>
                <wp:positionH relativeFrom="page">
                  <wp:posOffset>1076960</wp:posOffset>
                </wp:positionH>
                <wp:positionV relativeFrom="paragraph">
                  <wp:posOffset>301625</wp:posOffset>
                </wp:positionV>
                <wp:extent cx="827405" cy="399415"/>
                <wp:effectExtent l="1905" t="4445" r="8890" b="15240"/>
                <wp:wrapNone/>
                <wp:docPr id="41" name="直线 40"/>
                <wp:cNvGraphicFramePr/>
                <a:graphic xmlns:a="http://schemas.openxmlformats.org/drawingml/2006/main">
                  <a:graphicData uri="http://schemas.microsoft.com/office/word/2010/wordprocessingShape">
                    <wps:wsp>
                      <wps:cNvCnPr/>
                      <wps:spPr>
                        <a:xfrm>
                          <a:off x="0" y="0"/>
                          <a:ext cx="827405" cy="3994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84.8pt;margin-top:23.75pt;height:31.45pt;width:65.15pt;mso-position-horizontal-relative:page;z-index:-271064064;mso-width-relative:page;mso-height-relative:page;" filled="f" stroked="t" coordsize="21600,21600" o:gfxdata="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6gwRNYAAAAKAQAADwAAAAAAAAABACAAAAAi&#10;AAAAZHJzL2Rvd25yZXYueG1sUEsBAhQAFAAAAAgAh07iQLjnIAPTAQAAkwMAAA4AAAAAAAAAAQAg&#10;AAAAJQEAAGRycy9lMm9Eb2MueG1sUEsFBgAAAAAGAAYAWQEAAGoFAAAAAA==&#10;">
                <v:fill on="f" focussize="0,0"/>
                <v:stroke weight="0.5pt" color="#000000" joinstyle="round"/>
                <v:imagedata o:title=""/>
                <o:lock v:ext="edit" aspectratio="f"/>
              </v:line>
            </w:pict>
          </mc:Fallback>
        </mc:AlternateContent>
      </w:r>
      <w:r>
        <w:rPr>
          <w:b/>
          <w:sz w:val="24"/>
        </w:rPr>
        <w:t>表</w:t>
      </w:r>
      <w:r>
        <w:rPr>
          <w:rFonts w:ascii="Times New Roman" w:eastAsia="Times New Roman"/>
          <w:b/>
          <w:sz w:val="24"/>
        </w:rPr>
        <w:t>3.1-3</w:t>
      </w:r>
      <w:r>
        <w:rPr>
          <w:rFonts w:ascii="Times New Roman" w:eastAsia="Times New Roman"/>
          <w:b/>
          <w:sz w:val="24"/>
        </w:rPr>
        <w:tab/>
      </w:r>
      <w:r>
        <w:rPr>
          <w:b/>
          <w:sz w:val="24"/>
        </w:rPr>
        <w:t>项目各部分装修标准一览表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9"/>
        <w:gridCol w:w="1785"/>
        <w:gridCol w:w="1289"/>
        <w:gridCol w:w="1366"/>
        <w:gridCol w:w="1156"/>
        <w:gridCol w:w="1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09" w:type="dxa"/>
          </w:tcPr>
          <w:p>
            <w:pPr>
              <w:pStyle w:val="18"/>
              <w:spacing w:before="20"/>
              <w:ind w:left="759"/>
              <w:jc w:val="left"/>
              <w:rPr>
                <w:b/>
                <w:sz w:val="21"/>
              </w:rPr>
            </w:pPr>
            <w:r>
              <w:rPr>
                <w:b/>
                <w:sz w:val="21"/>
              </w:rPr>
              <w:t>分项</w:t>
            </w:r>
          </w:p>
          <w:p>
            <w:pPr>
              <w:pStyle w:val="18"/>
              <w:spacing w:before="43"/>
              <w:ind w:left="106"/>
              <w:jc w:val="left"/>
              <w:rPr>
                <w:b/>
                <w:sz w:val="21"/>
              </w:rPr>
            </w:pPr>
            <w:r>
              <w:rPr>
                <w:b/>
                <w:sz w:val="21"/>
              </w:rPr>
              <w:t>名称</w:t>
            </w:r>
          </w:p>
        </w:tc>
        <w:tc>
          <w:tcPr>
            <w:tcW w:w="1785" w:type="dxa"/>
          </w:tcPr>
          <w:p>
            <w:pPr>
              <w:pStyle w:val="18"/>
              <w:spacing w:before="177"/>
              <w:ind w:left="240" w:right="232"/>
              <w:rPr>
                <w:b/>
                <w:sz w:val="21"/>
              </w:rPr>
            </w:pPr>
            <w:r>
              <w:rPr>
                <w:b/>
                <w:sz w:val="21"/>
              </w:rPr>
              <w:t>地面</w:t>
            </w:r>
          </w:p>
        </w:tc>
        <w:tc>
          <w:tcPr>
            <w:tcW w:w="1289" w:type="dxa"/>
          </w:tcPr>
          <w:p>
            <w:pPr>
              <w:pStyle w:val="18"/>
              <w:spacing w:before="177"/>
              <w:ind w:left="202" w:right="196"/>
              <w:rPr>
                <w:b/>
                <w:sz w:val="21"/>
              </w:rPr>
            </w:pPr>
            <w:r>
              <w:rPr>
                <w:b/>
                <w:sz w:val="21"/>
              </w:rPr>
              <w:t>顶棚</w:t>
            </w:r>
          </w:p>
        </w:tc>
        <w:tc>
          <w:tcPr>
            <w:tcW w:w="1366" w:type="dxa"/>
          </w:tcPr>
          <w:p>
            <w:pPr>
              <w:pStyle w:val="18"/>
              <w:spacing w:before="177"/>
              <w:ind w:left="136" w:right="126"/>
              <w:rPr>
                <w:b/>
                <w:sz w:val="21"/>
              </w:rPr>
            </w:pPr>
            <w:r>
              <w:rPr>
                <w:b/>
                <w:sz w:val="21"/>
              </w:rPr>
              <w:t>内墙面</w:t>
            </w:r>
          </w:p>
        </w:tc>
        <w:tc>
          <w:tcPr>
            <w:tcW w:w="1156" w:type="dxa"/>
          </w:tcPr>
          <w:p>
            <w:pPr>
              <w:pStyle w:val="18"/>
              <w:spacing w:before="177"/>
              <w:ind w:left="8"/>
              <w:rPr>
                <w:b/>
                <w:sz w:val="21"/>
              </w:rPr>
            </w:pPr>
            <w:r>
              <w:rPr>
                <w:b/>
                <w:w w:val="99"/>
                <w:sz w:val="21"/>
              </w:rPr>
              <w:t>门</w:t>
            </w:r>
          </w:p>
        </w:tc>
        <w:tc>
          <w:tcPr>
            <w:tcW w:w="1614" w:type="dxa"/>
          </w:tcPr>
          <w:p>
            <w:pPr>
              <w:pStyle w:val="18"/>
              <w:spacing w:before="177"/>
              <w:ind w:left="61" w:right="53"/>
              <w:rPr>
                <w:b/>
                <w:sz w:val="21"/>
              </w:rPr>
            </w:pPr>
            <w:r>
              <w:rPr>
                <w:b/>
                <w:sz w:val="21"/>
              </w:rPr>
              <w:t>窗户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8"/>
              <w:spacing w:before="102"/>
              <w:ind w:left="105" w:right="101"/>
              <w:rPr>
                <w:sz w:val="21"/>
              </w:rPr>
            </w:pPr>
            <w:r>
              <w:rPr>
                <w:sz w:val="21"/>
              </w:rPr>
              <w:t>羊舍</w:t>
            </w:r>
          </w:p>
        </w:tc>
        <w:tc>
          <w:tcPr>
            <w:tcW w:w="1785" w:type="dxa"/>
          </w:tcPr>
          <w:p>
            <w:pPr>
              <w:pStyle w:val="18"/>
              <w:spacing w:before="102"/>
              <w:ind w:left="240" w:right="232"/>
              <w:rPr>
                <w:sz w:val="21"/>
              </w:rPr>
            </w:pPr>
            <w:r>
              <w:rPr>
                <w:sz w:val="21"/>
              </w:rPr>
              <w:t>混凝土地面</w:t>
            </w:r>
          </w:p>
        </w:tc>
        <w:tc>
          <w:tcPr>
            <w:tcW w:w="1289" w:type="dxa"/>
          </w:tcPr>
          <w:p>
            <w:pPr>
              <w:pStyle w:val="18"/>
              <w:spacing w:before="102"/>
              <w:ind w:left="202" w:right="196"/>
              <w:rPr>
                <w:sz w:val="21"/>
              </w:rPr>
            </w:pPr>
            <w:r>
              <w:rPr>
                <w:sz w:val="21"/>
              </w:rPr>
              <w:t>彩钢屋面</w:t>
            </w:r>
          </w:p>
        </w:tc>
        <w:tc>
          <w:tcPr>
            <w:tcW w:w="1366" w:type="dxa"/>
          </w:tcPr>
          <w:p>
            <w:pPr>
              <w:pStyle w:val="18"/>
              <w:spacing w:before="102"/>
              <w:ind w:left="136" w:right="130"/>
              <w:rPr>
                <w:sz w:val="21"/>
              </w:rPr>
            </w:pPr>
            <w:r>
              <w:rPr>
                <w:sz w:val="21"/>
              </w:rPr>
              <w:t>彩钢外墙板</w:t>
            </w:r>
          </w:p>
        </w:tc>
        <w:tc>
          <w:tcPr>
            <w:tcW w:w="1156" w:type="dxa"/>
          </w:tcPr>
          <w:p>
            <w:pPr>
              <w:pStyle w:val="18"/>
              <w:spacing w:line="240" w:lineRule="exact"/>
              <w:ind w:left="367" w:right="147" w:hanging="209"/>
              <w:jc w:val="left"/>
              <w:rPr>
                <w:sz w:val="21"/>
              </w:rPr>
            </w:pPr>
            <w:r>
              <w:rPr>
                <w:sz w:val="21"/>
              </w:rPr>
              <w:t>节能保温外门</w:t>
            </w:r>
          </w:p>
        </w:tc>
        <w:tc>
          <w:tcPr>
            <w:tcW w:w="1614" w:type="dxa"/>
          </w:tcPr>
          <w:p>
            <w:pPr>
              <w:pStyle w:val="18"/>
              <w:spacing w:line="237" w:lineRule="exact"/>
              <w:ind w:left="61" w:right="85"/>
              <w:rPr>
                <w:sz w:val="21"/>
              </w:rPr>
            </w:pPr>
            <w:r>
              <w:rPr>
                <w:sz w:val="21"/>
              </w:rPr>
              <w:t>塑料框</w:t>
            </w:r>
            <w:r>
              <w:rPr>
                <w:rFonts w:ascii="Times New Roman" w:eastAsia="Times New Roman"/>
                <w:sz w:val="21"/>
              </w:rPr>
              <w:t>65</w:t>
            </w:r>
            <w:r>
              <w:rPr>
                <w:sz w:val="21"/>
              </w:rPr>
              <w:t>系列</w:t>
            </w:r>
          </w:p>
          <w:p>
            <w:pPr>
              <w:pStyle w:val="18"/>
              <w:spacing w:line="223"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8"/>
              <w:spacing w:before="101"/>
              <w:ind w:left="107" w:right="101"/>
              <w:rPr>
                <w:sz w:val="21"/>
              </w:rPr>
            </w:pPr>
            <w:r>
              <w:rPr>
                <w:sz w:val="21"/>
              </w:rPr>
              <w:t>饲料库房</w:t>
            </w:r>
          </w:p>
        </w:tc>
        <w:tc>
          <w:tcPr>
            <w:tcW w:w="1785" w:type="dxa"/>
          </w:tcPr>
          <w:p>
            <w:pPr>
              <w:pStyle w:val="18"/>
              <w:spacing w:before="101"/>
              <w:ind w:left="240" w:right="232"/>
              <w:rPr>
                <w:sz w:val="21"/>
              </w:rPr>
            </w:pPr>
            <w:r>
              <w:rPr>
                <w:sz w:val="21"/>
              </w:rPr>
              <w:t>混凝土地面</w:t>
            </w:r>
          </w:p>
        </w:tc>
        <w:tc>
          <w:tcPr>
            <w:tcW w:w="1289" w:type="dxa"/>
          </w:tcPr>
          <w:p>
            <w:pPr>
              <w:pStyle w:val="18"/>
              <w:spacing w:before="101"/>
              <w:ind w:left="202" w:right="196"/>
              <w:rPr>
                <w:sz w:val="21"/>
              </w:rPr>
            </w:pPr>
            <w:r>
              <w:rPr>
                <w:sz w:val="21"/>
              </w:rPr>
              <w:t>彩钢屋面</w:t>
            </w:r>
          </w:p>
        </w:tc>
        <w:tc>
          <w:tcPr>
            <w:tcW w:w="1366" w:type="dxa"/>
          </w:tcPr>
          <w:p>
            <w:pPr>
              <w:pStyle w:val="18"/>
              <w:spacing w:before="101"/>
              <w:ind w:left="136" w:right="130"/>
              <w:rPr>
                <w:sz w:val="21"/>
              </w:rPr>
            </w:pPr>
            <w:r>
              <w:rPr>
                <w:sz w:val="21"/>
              </w:rPr>
              <w:t>彩钢外墙板</w:t>
            </w:r>
          </w:p>
        </w:tc>
        <w:tc>
          <w:tcPr>
            <w:tcW w:w="1156" w:type="dxa"/>
          </w:tcPr>
          <w:p>
            <w:pPr>
              <w:pStyle w:val="18"/>
              <w:spacing w:line="236" w:lineRule="exact"/>
              <w:ind w:left="119" w:right="111"/>
              <w:rPr>
                <w:sz w:val="21"/>
              </w:rPr>
            </w:pPr>
            <w:r>
              <w:rPr>
                <w:sz w:val="21"/>
              </w:rPr>
              <w:t>节能保温</w:t>
            </w:r>
          </w:p>
          <w:p>
            <w:pPr>
              <w:pStyle w:val="18"/>
              <w:spacing w:line="224" w:lineRule="exact"/>
              <w:ind w:left="117" w:right="111"/>
              <w:rPr>
                <w:sz w:val="21"/>
              </w:rPr>
            </w:pPr>
            <w:r>
              <w:rPr>
                <w:sz w:val="21"/>
              </w:rPr>
              <w:t>外门</w:t>
            </w:r>
          </w:p>
        </w:tc>
        <w:tc>
          <w:tcPr>
            <w:tcW w:w="1614" w:type="dxa"/>
          </w:tcPr>
          <w:p>
            <w:pPr>
              <w:pStyle w:val="18"/>
              <w:spacing w:line="236" w:lineRule="exact"/>
              <w:ind w:left="61" w:right="85"/>
              <w:rPr>
                <w:sz w:val="21"/>
              </w:rPr>
            </w:pPr>
            <w:r>
              <w:rPr>
                <w:sz w:val="21"/>
              </w:rPr>
              <w:t>塑料框</w:t>
            </w:r>
            <w:r>
              <w:rPr>
                <w:rFonts w:ascii="Times New Roman" w:eastAsia="Times New Roman"/>
                <w:sz w:val="21"/>
              </w:rPr>
              <w:t>65</w:t>
            </w:r>
            <w:r>
              <w:rPr>
                <w:sz w:val="21"/>
              </w:rPr>
              <w:t>系列</w:t>
            </w:r>
          </w:p>
          <w:p>
            <w:pPr>
              <w:pStyle w:val="18"/>
              <w:spacing w:line="224"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8"/>
              <w:spacing w:line="236" w:lineRule="exact"/>
              <w:ind w:left="107" w:right="101"/>
              <w:rPr>
                <w:sz w:val="21"/>
              </w:rPr>
            </w:pPr>
            <w:r>
              <w:rPr>
                <w:sz w:val="21"/>
              </w:rPr>
              <w:t>饲草料加工</w:t>
            </w:r>
          </w:p>
          <w:p>
            <w:pPr>
              <w:pStyle w:val="18"/>
              <w:spacing w:line="224" w:lineRule="exact"/>
              <w:ind w:left="105" w:right="101"/>
              <w:rPr>
                <w:sz w:val="21"/>
              </w:rPr>
            </w:pPr>
            <w:r>
              <w:rPr>
                <w:sz w:val="21"/>
              </w:rPr>
              <w:t>用房</w:t>
            </w:r>
          </w:p>
        </w:tc>
        <w:tc>
          <w:tcPr>
            <w:tcW w:w="1785" w:type="dxa"/>
          </w:tcPr>
          <w:p>
            <w:pPr>
              <w:pStyle w:val="18"/>
              <w:spacing w:before="101"/>
              <w:ind w:left="240" w:right="232"/>
              <w:rPr>
                <w:sz w:val="21"/>
              </w:rPr>
            </w:pPr>
            <w:r>
              <w:rPr>
                <w:sz w:val="21"/>
              </w:rPr>
              <w:t>混凝土地面</w:t>
            </w:r>
          </w:p>
        </w:tc>
        <w:tc>
          <w:tcPr>
            <w:tcW w:w="1289" w:type="dxa"/>
          </w:tcPr>
          <w:p>
            <w:pPr>
              <w:pStyle w:val="18"/>
              <w:spacing w:before="101"/>
              <w:ind w:left="202" w:right="196"/>
              <w:rPr>
                <w:sz w:val="21"/>
              </w:rPr>
            </w:pPr>
            <w:r>
              <w:rPr>
                <w:sz w:val="21"/>
              </w:rPr>
              <w:t>彩钢屋面</w:t>
            </w:r>
          </w:p>
        </w:tc>
        <w:tc>
          <w:tcPr>
            <w:tcW w:w="1366" w:type="dxa"/>
          </w:tcPr>
          <w:p>
            <w:pPr>
              <w:pStyle w:val="18"/>
              <w:spacing w:before="101"/>
              <w:ind w:left="136" w:right="130"/>
              <w:rPr>
                <w:sz w:val="21"/>
              </w:rPr>
            </w:pPr>
            <w:r>
              <w:rPr>
                <w:sz w:val="21"/>
              </w:rPr>
              <w:t>彩钢外墙板</w:t>
            </w:r>
          </w:p>
        </w:tc>
        <w:tc>
          <w:tcPr>
            <w:tcW w:w="1156" w:type="dxa"/>
          </w:tcPr>
          <w:p>
            <w:pPr>
              <w:pStyle w:val="18"/>
              <w:spacing w:line="236" w:lineRule="exact"/>
              <w:ind w:left="119" w:right="111"/>
              <w:rPr>
                <w:sz w:val="21"/>
              </w:rPr>
            </w:pPr>
            <w:r>
              <w:rPr>
                <w:sz w:val="21"/>
              </w:rPr>
              <w:t>节能保温</w:t>
            </w:r>
          </w:p>
          <w:p>
            <w:pPr>
              <w:pStyle w:val="18"/>
              <w:spacing w:line="224" w:lineRule="exact"/>
              <w:ind w:left="117" w:right="111"/>
              <w:rPr>
                <w:sz w:val="21"/>
              </w:rPr>
            </w:pPr>
            <w:r>
              <w:rPr>
                <w:sz w:val="21"/>
              </w:rPr>
              <w:t>外门</w:t>
            </w:r>
          </w:p>
        </w:tc>
        <w:tc>
          <w:tcPr>
            <w:tcW w:w="1614" w:type="dxa"/>
          </w:tcPr>
          <w:p>
            <w:pPr>
              <w:pStyle w:val="18"/>
              <w:spacing w:line="236" w:lineRule="exact"/>
              <w:ind w:left="61" w:right="85"/>
              <w:rPr>
                <w:sz w:val="21"/>
              </w:rPr>
            </w:pPr>
            <w:r>
              <w:rPr>
                <w:sz w:val="21"/>
              </w:rPr>
              <w:t>塑料框</w:t>
            </w:r>
            <w:r>
              <w:rPr>
                <w:rFonts w:ascii="Times New Roman" w:eastAsia="Times New Roman"/>
                <w:sz w:val="21"/>
              </w:rPr>
              <w:t>65</w:t>
            </w:r>
            <w:r>
              <w:rPr>
                <w:sz w:val="21"/>
              </w:rPr>
              <w:t>系列</w:t>
            </w:r>
          </w:p>
          <w:p>
            <w:pPr>
              <w:pStyle w:val="18"/>
              <w:spacing w:line="224"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09" w:type="dxa"/>
          </w:tcPr>
          <w:p>
            <w:pPr>
              <w:pStyle w:val="18"/>
              <w:spacing w:before="21"/>
              <w:ind w:left="107" w:right="98"/>
              <w:rPr>
                <w:sz w:val="21"/>
              </w:rPr>
            </w:pPr>
            <w:r>
              <w:rPr>
                <w:sz w:val="21"/>
              </w:rPr>
              <w:t>青储窖</w:t>
            </w:r>
          </w:p>
        </w:tc>
        <w:tc>
          <w:tcPr>
            <w:tcW w:w="1785" w:type="dxa"/>
          </w:tcPr>
          <w:p>
            <w:pPr>
              <w:pStyle w:val="18"/>
              <w:spacing w:before="21"/>
              <w:ind w:left="240" w:right="232"/>
              <w:rPr>
                <w:sz w:val="21"/>
              </w:rPr>
            </w:pPr>
            <w:r>
              <w:rPr>
                <w:sz w:val="21"/>
              </w:rPr>
              <w:t>混凝土地面</w:t>
            </w:r>
          </w:p>
        </w:tc>
        <w:tc>
          <w:tcPr>
            <w:tcW w:w="1289" w:type="dxa"/>
          </w:tcPr>
          <w:p>
            <w:pPr>
              <w:pStyle w:val="18"/>
              <w:spacing w:before="35"/>
              <w:ind w:left="9"/>
              <w:rPr>
                <w:rFonts w:ascii="Times New Roman"/>
                <w:sz w:val="21"/>
              </w:rPr>
            </w:pPr>
            <w:r>
              <w:rPr>
                <w:rFonts w:ascii="Times New Roman"/>
                <w:w w:val="99"/>
                <w:sz w:val="21"/>
              </w:rPr>
              <w:t>/</w:t>
            </w:r>
          </w:p>
        </w:tc>
        <w:tc>
          <w:tcPr>
            <w:tcW w:w="1366" w:type="dxa"/>
          </w:tcPr>
          <w:p>
            <w:pPr>
              <w:pStyle w:val="18"/>
              <w:spacing w:before="35"/>
              <w:ind w:left="8"/>
              <w:rPr>
                <w:rFonts w:ascii="Times New Roman"/>
                <w:sz w:val="21"/>
              </w:rPr>
            </w:pPr>
            <w:r>
              <w:rPr>
                <w:rFonts w:ascii="Times New Roman"/>
                <w:w w:val="99"/>
                <w:sz w:val="21"/>
              </w:rPr>
              <w:t>/</w:t>
            </w:r>
          </w:p>
        </w:tc>
        <w:tc>
          <w:tcPr>
            <w:tcW w:w="1156" w:type="dxa"/>
          </w:tcPr>
          <w:p>
            <w:pPr>
              <w:pStyle w:val="18"/>
              <w:spacing w:before="35"/>
              <w:ind w:left="11"/>
              <w:rPr>
                <w:rFonts w:ascii="Times New Roman"/>
                <w:sz w:val="21"/>
              </w:rPr>
            </w:pPr>
            <w:r>
              <w:rPr>
                <w:rFonts w:ascii="Times New Roman"/>
                <w:w w:val="99"/>
                <w:sz w:val="21"/>
              </w:rPr>
              <w:t>/</w:t>
            </w:r>
          </w:p>
        </w:tc>
        <w:tc>
          <w:tcPr>
            <w:tcW w:w="1614" w:type="dxa"/>
          </w:tcPr>
          <w:p>
            <w:pPr>
              <w:pStyle w:val="18"/>
              <w:spacing w:before="35"/>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8"/>
              <w:spacing w:line="240" w:lineRule="exact"/>
              <w:ind w:left="442" w:right="119" w:hanging="315"/>
              <w:jc w:val="left"/>
              <w:rPr>
                <w:sz w:val="21"/>
              </w:rPr>
            </w:pPr>
            <w:r>
              <w:rPr>
                <w:sz w:val="21"/>
              </w:rPr>
              <w:t>消防水池及泵房</w:t>
            </w:r>
          </w:p>
        </w:tc>
        <w:tc>
          <w:tcPr>
            <w:tcW w:w="1785" w:type="dxa"/>
          </w:tcPr>
          <w:p>
            <w:pPr>
              <w:pStyle w:val="18"/>
              <w:spacing w:before="102"/>
              <w:ind w:left="240" w:right="234"/>
              <w:rPr>
                <w:sz w:val="21"/>
              </w:rPr>
            </w:pPr>
            <w:r>
              <w:rPr>
                <w:sz w:val="21"/>
              </w:rPr>
              <w:t>水泥砂浆地面</w:t>
            </w:r>
          </w:p>
        </w:tc>
        <w:tc>
          <w:tcPr>
            <w:tcW w:w="1289" w:type="dxa"/>
          </w:tcPr>
          <w:p>
            <w:pPr>
              <w:pStyle w:val="18"/>
              <w:spacing w:before="102"/>
              <w:ind w:left="202" w:right="193"/>
              <w:rPr>
                <w:sz w:val="21"/>
              </w:rPr>
            </w:pPr>
            <w:r>
              <w:rPr>
                <w:sz w:val="21"/>
              </w:rPr>
              <w:t>乳胶漆</w:t>
            </w:r>
          </w:p>
        </w:tc>
        <w:tc>
          <w:tcPr>
            <w:tcW w:w="1366" w:type="dxa"/>
          </w:tcPr>
          <w:p>
            <w:pPr>
              <w:pStyle w:val="18"/>
              <w:spacing w:before="102"/>
              <w:ind w:left="136" w:right="128"/>
              <w:rPr>
                <w:sz w:val="21"/>
              </w:rPr>
            </w:pPr>
            <w:r>
              <w:rPr>
                <w:sz w:val="21"/>
              </w:rPr>
              <w:t>乳胶漆</w:t>
            </w:r>
          </w:p>
        </w:tc>
        <w:tc>
          <w:tcPr>
            <w:tcW w:w="1156" w:type="dxa"/>
          </w:tcPr>
          <w:p>
            <w:pPr>
              <w:pStyle w:val="18"/>
              <w:spacing w:line="240" w:lineRule="exact"/>
              <w:ind w:left="367" w:right="147" w:hanging="209"/>
              <w:jc w:val="left"/>
              <w:rPr>
                <w:sz w:val="21"/>
              </w:rPr>
            </w:pPr>
            <w:r>
              <w:rPr>
                <w:sz w:val="21"/>
              </w:rPr>
              <w:t>节能保温外门</w:t>
            </w:r>
          </w:p>
        </w:tc>
        <w:tc>
          <w:tcPr>
            <w:tcW w:w="1614" w:type="dxa"/>
          </w:tcPr>
          <w:p>
            <w:pPr>
              <w:pStyle w:val="18"/>
              <w:spacing w:line="237" w:lineRule="exact"/>
              <w:ind w:left="61" w:right="85"/>
              <w:rPr>
                <w:sz w:val="21"/>
              </w:rPr>
            </w:pPr>
            <w:r>
              <w:rPr>
                <w:sz w:val="21"/>
              </w:rPr>
              <w:t>塑料框</w:t>
            </w:r>
            <w:r>
              <w:rPr>
                <w:rFonts w:ascii="Times New Roman" w:eastAsia="Times New Roman"/>
                <w:sz w:val="21"/>
              </w:rPr>
              <w:t>65</w:t>
            </w:r>
            <w:r>
              <w:rPr>
                <w:sz w:val="21"/>
              </w:rPr>
              <w:t>系列</w:t>
            </w:r>
          </w:p>
          <w:p>
            <w:pPr>
              <w:pStyle w:val="18"/>
              <w:spacing w:line="223"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8"/>
              <w:spacing w:before="102"/>
              <w:ind w:left="107" w:right="98"/>
              <w:rPr>
                <w:sz w:val="21"/>
              </w:rPr>
            </w:pPr>
            <w:r>
              <w:rPr>
                <w:sz w:val="21"/>
              </w:rPr>
              <w:t>地磅房</w:t>
            </w:r>
          </w:p>
        </w:tc>
        <w:tc>
          <w:tcPr>
            <w:tcW w:w="1785" w:type="dxa"/>
          </w:tcPr>
          <w:p>
            <w:pPr>
              <w:pStyle w:val="18"/>
              <w:spacing w:before="102"/>
              <w:ind w:left="240" w:right="234"/>
              <w:rPr>
                <w:sz w:val="21"/>
              </w:rPr>
            </w:pPr>
            <w:r>
              <w:rPr>
                <w:sz w:val="21"/>
              </w:rPr>
              <w:t>水泥砂浆地面</w:t>
            </w:r>
          </w:p>
        </w:tc>
        <w:tc>
          <w:tcPr>
            <w:tcW w:w="1289" w:type="dxa"/>
          </w:tcPr>
          <w:p>
            <w:pPr>
              <w:pStyle w:val="18"/>
              <w:spacing w:before="102"/>
              <w:ind w:left="202" w:right="193"/>
              <w:rPr>
                <w:sz w:val="21"/>
              </w:rPr>
            </w:pPr>
            <w:r>
              <w:rPr>
                <w:sz w:val="21"/>
              </w:rPr>
              <w:t>乳胶漆</w:t>
            </w:r>
          </w:p>
        </w:tc>
        <w:tc>
          <w:tcPr>
            <w:tcW w:w="1366" w:type="dxa"/>
          </w:tcPr>
          <w:p>
            <w:pPr>
              <w:pStyle w:val="18"/>
              <w:spacing w:before="102"/>
              <w:ind w:left="136" w:right="128"/>
              <w:rPr>
                <w:sz w:val="21"/>
              </w:rPr>
            </w:pPr>
            <w:r>
              <w:rPr>
                <w:sz w:val="21"/>
              </w:rPr>
              <w:t>乳胶漆</w:t>
            </w:r>
          </w:p>
        </w:tc>
        <w:tc>
          <w:tcPr>
            <w:tcW w:w="1156" w:type="dxa"/>
          </w:tcPr>
          <w:p>
            <w:pPr>
              <w:pStyle w:val="18"/>
              <w:spacing w:line="240" w:lineRule="exact"/>
              <w:ind w:left="367" w:right="147" w:hanging="209"/>
              <w:jc w:val="left"/>
              <w:rPr>
                <w:sz w:val="21"/>
              </w:rPr>
            </w:pPr>
            <w:r>
              <w:rPr>
                <w:sz w:val="21"/>
              </w:rPr>
              <w:t>节能保温外门</w:t>
            </w:r>
          </w:p>
        </w:tc>
        <w:tc>
          <w:tcPr>
            <w:tcW w:w="1614" w:type="dxa"/>
          </w:tcPr>
          <w:p>
            <w:pPr>
              <w:pStyle w:val="18"/>
              <w:spacing w:line="237" w:lineRule="exact"/>
              <w:ind w:left="61" w:right="85"/>
              <w:rPr>
                <w:sz w:val="21"/>
              </w:rPr>
            </w:pPr>
            <w:r>
              <w:rPr>
                <w:sz w:val="21"/>
              </w:rPr>
              <w:t>塑料框</w:t>
            </w:r>
            <w:r>
              <w:rPr>
                <w:rFonts w:ascii="Times New Roman" w:eastAsia="Times New Roman"/>
                <w:sz w:val="21"/>
              </w:rPr>
              <w:t>65</w:t>
            </w:r>
            <w:r>
              <w:rPr>
                <w:sz w:val="21"/>
              </w:rPr>
              <w:t>系列</w:t>
            </w:r>
          </w:p>
          <w:p>
            <w:pPr>
              <w:pStyle w:val="18"/>
              <w:spacing w:line="223" w:lineRule="exact"/>
              <w:ind w:left="61" w:right="50"/>
              <w:rPr>
                <w:sz w:val="21"/>
              </w:rPr>
            </w:pPr>
            <w:r>
              <w:rPr>
                <w:rFonts w:ascii="Times New Roman" w:eastAsia="Times New Roman"/>
                <w:sz w:val="21"/>
              </w:rPr>
              <w:t>4+12A+4</w:t>
            </w:r>
            <w:r>
              <w:rPr>
                <w:sz w:val="21"/>
              </w:rPr>
              <w:t>窗</w:t>
            </w:r>
          </w:p>
        </w:tc>
      </w:tr>
    </w:tbl>
    <w:p>
      <w:pPr>
        <w:pStyle w:val="5"/>
        <w:numPr>
          <w:ilvl w:val="2"/>
          <w:numId w:val="16"/>
        </w:numPr>
        <w:bidi w:val="0"/>
      </w:pPr>
      <w:bookmarkStart w:id="115" w:name="3.1.4 项目组成"/>
      <w:bookmarkEnd w:id="115"/>
      <w:bookmarkStart w:id="116" w:name="3.1.4 项目组成"/>
      <w:bookmarkEnd w:id="116"/>
      <w:r>
        <w:t>项目组成</w:t>
      </w:r>
    </w:p>
    <w:p>
      <w:pPr>
        <w:pStyle w:val="7"/>
        <w:spacing w:before="5"/>
        <w:ind w:left="0"/>
        <w:rPr>
          <w:b/>
          <w:sz w:val="21"/>
        </w:rPr>
      </w:pPr>
    </w:p>
    <w:p>
      <w:pPr>
        <w:pStyle w:val="7"/>
        <w:bidi w:val="0"/>
        <w:jc w:val="left"/>
      </w:pPr>
      <w:r>
        <w:rPr>
          <w:spacing w:val="-14"/>
        </w:rPr>
        <w:t>项目工程主要有主体工程、辅助工程、储运工程、公用工程、环保工程组成。</w:t>
      </w:r>
      <w:r>
        <w:rPr>
          <w:spacing w:val="-6"/>
        </w:rPr>
        <w:t>项目工程内容组成详见表</w:t>
      </w:r>
      <w:r>
        <w:rPr>
          <w:rFonts w:ascii="Times New Roman" w:eastAsia="Times New Roman"/>
        </w:rPr>
        <w:t>3.1-4</w:t>
      </w:r>
      <w:r>
        <w:t>。</w:t>
      </w:r>
    </w:p>
    <w:p>
      <w:pPr>
        <w:pStyle w:val="7"/>
        <w:bidi w:val="0"/>
        <w:jc w:val="center"/>
      </w:pPr>
      <w:r>
        <w:t>表</w:t>
      </w:r>
      <w:r>
        <w:rPr>
          <w:rFonts w:ascii="Times New Roman" w:eastAsia="Times New Roman"/>
        </w:rPr>
        <w:t>3.1-4</w:t>
      </w:r>
      <w:r>
        <w:rPr>
          <w:rFonts w:ascii="Times New Roman" w:eastAsia="Times New Roman"/>
        </w:rPr>
        <w:tab/>
      </w:r>
      <w:r>
        <w:t>项目工程内容组成一览表</w:t>
      </w:r>
    </w:p>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1"/>
        <w:gridCol w:w="483"/>
        <w:gridCol w:w="1883"/>
        <w:gridCol w:w="5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031" w:type="dxa"/>
          </w:tcPr>
          <w:p>
            <w:pPr>
              <w:pStyle w:val="18"/>
              <w:spacing w:before="33"/>
              <w:ind w:left="25" w:right="13"/>
              <w:rPr>
                <w:b/>
                <w:sz w:val="21"/>
              </w:rPr>
            </w:pPr>
            <w:r>
              <w:rPr>
                <w:b/>
                <w:sz w:val="21"/>
              </w:rPr>
              <w:t>工程名称</w:t>
            </w:r>
          </w:p>
        </w:tc>
        <w:tc>
          <w:tcPr>
            <w:tcW w:w="2366" w:type="dxa"/>
            <w:gridSpan w:val="2"/>
          </w:tcPr>
          <w:p>
            <w:pPr>
              <w:pStyle w:val="18"/>
              <w:spacing w:before="33"/>
              <w:ind w:left="732" w:right="722"/>
              <w:rPr>
                <w:b/>
                <w:sz w:val="21"/>
              </w:rPr>
            </w:pPr>
            <w:r>
              <w:rPr>
                <w:b/>
                <w:sz w:val="21"/>
              </w:rPr>
              <w:t>项目</w:t>
            </w:r>
          </w:p>
        </w:tc>
        <w:tc>
          <w:tcPr>
            <w:tcW w:w="5961" w:type="dxa"/>
          </w:tcPr>
          <w:p>
            <w:pPr>
              <w:pStyle w:val="18"/>
              <w:spacing w:before="33"/>
              <w:ind w:left="2099" w:right="2121"/>
              <w:rPr>
                <w:b/>
                <w:sz w:val="21"/>
              </w:rPr>
            </w:pPr>
            <w:r>
              <w:rPr>
                <w:b/>
                <w:sz w:val="21"/>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031" w:type="dxa"/>
          </w:tcPr>
          <w:p>
            <w:pPr>
              <w:pStyle w:val="18"/>
              <w:ind w:right="13"/>
              <w:jc w:val="both"/>
              <w:rPr>
                <w:sz w:val="21"/>
              </w:rPr>
            </w:pPr>
          </w:p>
          <w:p>
            <w:pPr>
              <w:pStyle w:val="18"/>
              <w:ind w:right="13"/>
              <w:jc w:val="both"/>
              <w:rPr>
                <w:sz w:val="21"/>
              </w:rPr>
            </w:pPr>
            <w:r>
              <w:rPr>
                <w:sz w:val="21"/>
              </w:rPr>
              <w:t>主体工程</w:t>
            </w:r>
          </w:p>
        </w:tc>
        <w:tc>
          <w:tcPr>
            <w:tcW w:w="2366" w:type="dxa"/>
            <w:gridSpan w:val="2"/>
          </w:tcPr>
          <w:p>
            <w:pPr>
              <w:pStyle w:val="18"/>
              <w:ind w:right="725"/>
              <w:jc w:val="center"/>
              <w:rPr>
                <w:rFonts w:hint="eastAsia"/>
                <w:sz w:val="21"/>
                <w:lang w:val="en-US" w:eastAsia="zh-CN"/>
              </w:rPr>
            </w:pPr>
            <w:r>
              <w:rPr>
                <w:rFonts w:hint="eastAsia"/>
                <w:sz w:val="21"/>
                <w:lang w:val="en-US" w:eastAsia="zh-CN"/>
              </w:rPr>
              <w:t xml:space="preserve">    </w:t>
            </w:r>
          </w:p>
          <w:p>
            <w:pPr>
              <w:pStyle w:val="18"/>
              <w:ind w:right="725"/>
              <w:jc w:val="center"/>
              <w:rPr>
                <w:sz w:val="21"/>
              </w:rPr>
            </w:pPr>
            <w:r>
              <w:rPr>
                <w:rFonts w:hint="eastAsia"/>
                <w:sz w:val="21"/>
                <w:lang w:val="en-US" w:eastAsia="zh-CN"/>
              </w:rPr>
              <w:t xml:space="preserve">       </w:t>
            </w:r>
            <w:r>
              <w:rPr>
                <w:sz w:val="21"/>
              </w:rPr>
              <w:t>羊舍</w:t>
            </w:r>
          </w:p>
        </w:tc>
        <w:tc>
          <w:tcPr>
            <w:tcW w:w="5961" w:type="dxa"/>
          </w:tcPr>
          <w:p>
            <w:pPr>
              <w:pStyle w:val="18"/>
              <w:spacing w:line="233" w:lineRule="exact"/>
              <w:ind w:left="36"/>
              <w:jc w:val="center"/>
              <w:rPr>
                <w:spacing w:val="-5"/>
                <w:sz w:val="21"/>
              </w:rPr>
            </w:pPr>
          </w:p>
          <w:p>
            <w:pPr>
              <w:pStyle w:val="18"/>
              <w:spacing w:line="233" w:lineRule="exact"/>
              <w:ind w:left="36"/>
              <w:jc w:val="center"/>
              <w:rPr>
                <w:sz w:val="21"/>
              </w:rPr>
            </w:pPr>
            <w:r>
              <w:rPr>
                <w:spacing w:val="-5"/>
                <w:sz w:val="21"/>
              </w:rPr>
              <w:t xml:space="preserve">建设标准化羊舍 </w:t>
            </w:r>
            <w:r>
              <w:rPr>
                <w:rFonts w:hint="eastAsia"/>
                <w:spacing w:val="-5"/>
                <w:sz w:val="21"/>
                <w:lang w:val="en-US" w:eastAsia="zh-CN"/>
              </w:rPr>
              <w:t>8</w:t>
            </w:r>
            <w:r>
              <w:rPr>
                <w:rFonts w:ascii="Times New Roman" w:eastAsia="Times New Roman"/>
                <w:spacing w:val="-4"/>
                <w:sz w:val="21"/>
              </w:rPr>
              <w:t xml:space="preserve"> </w:t>
            </w:r>
            <w:r>
              <w:rPr>
                <w:spacing w:val="4"/>
                <w:sz w:val="21"/>
              </w:rPr>
              <w:t>栋（含室外活动栏）</w:t>
            </w:r>
            <w:r>
              <w:rPr>
                <w:sz w:val="21"/>
              </w:rPr>
              <w:t>单座</w:t>
            </w:r>
          </w:p>
          <w:p>
            <w:pPr>
              <w:pStyle w:val="18"/>
              <w:spacing w:line="222" w:lineRule="exact"/>
              <w:ind w:left="36"/>
              <w:jc w:val="center"/>
              <w:rPr>
                <w:sz w:val="21"/>
              </w:rPr>
            </w:pPr>
            <w:r>
              <w:rPr>
                <w:sz w:val="21"/>
              </w:rPr>
              <w:t xml:space="preserve">建筑面积均为 </w:t>
            </w:r>
            <w:r>
              <w:rPr>
                <w:rFonts w:hint="eastAsia"/>
                <w:sz w:val="21"/>
                <w:lang w:val="en-US" w:eastAsia="zh-CN"/>
              </w:rPr>
              <w:t>1200</w:t>
            </w:r>
            <w:r>
              <w:rPr>
                <w:rFonts w:ascii="Times New Roman" w:eastAsia="Times New Roman"/>
                <w:sz w:val="21"/>
              </w:rPr>
              <w:t>m</w:t>
            </w:r>
            <w:r>
              <w:rPr>
                <w:rFonts w:ascii="Times New Roman" w:eastAsia="Times New Roman"/>
                <w:position w:val="7"/>
                <w:sz w:val="13"/>
              </w:rPr>
              <w:t>2</w:t>
            </w:r>
            <w:r>
              <w:rPr>
                <w:sz w:val="21"/>
              </w:rPr>
              <w:t xml:space="preserve">，羊舍总建筑面积 </w:t>
            </w:r>
            <w:r>
              <w:rPr>
                <w:rFonts w:hint="eastAsia" w:ascii="Times New Roman" w:eastAsia="宋体"/>
                <w:sz w:val="21"/>
                <w:lang w:val="en-US" w:eastAsia="zh-CN"/>
              </w:rPr>
              <w:t>9600</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restart"/>
          </w:tcPr>
          <w:p>
            <w:pPr>
              <w:pStyle w:val="18"/>
              <w:jc w:val="left"/>
              <w:rPr>
                <w:sz w:val="20"/>
              </w:rPr>
            </w:pPr>
          </w:p>
          <w:p>
            <w:pPr>
              <w:pStyle w:val="18"/>
              <w:jc w:val="left"/>
              <w:rPr>
                <w:sz w:val="20"/>
              </w:rPr>
            </w:pPr>
          </w:p>
          <w:p>
            <w:pPr>
              <w:pStyle w:val="18"/>
              <w:spacing w:before="168"/>
              <w:ind w:left="46"/>
              <w:jc w:val="left"/>
              <w:rPr>
                <w:sz w:val="21"/>
              </w:rPr>
            </w:pPr>
            <w:r>
              <w:rPr>
                <w:sz w:val="21"/>
              </w:rPr>
              <w:t>辅助工程</w:t>
            </w:r>
          </w:p>
        </w:tc>
        <w:tc>
          <w:tcPr>
            <w:tcW w:w="2366" w:type="dxa"/>
            <w:gridSpan w:val="2"/>
          </w:tcPr>
          <w:p>
            <w:pPr>
              <w:pStyle w:val="18"/>
              <w:spacing w:before="33"/>
              <w:ind w:left="333"/>
              <w:jc w:val="left"/>
              <w:rPr>
                <w:sz w:val="21"/>
              </w:rPr>
            </w:pPr>
            <w:r>
              <w:rPr>
                <w:sz w:val="21"/>
              </w:rPr>
              <w:t>饲草料加工用房</w:t>
            </w:r>
          </w:p>
        </w:tc>
        <w:tc>
          <w:tcPr>
            <w:tcW w:w="5961" w:type="dxa"/>
          </w:tcPr>
          <w:p>
            <w:pPr>
              <w:pStyle w:val="18"/>
              <w:spacing w:before="33"/>
              <w:ind w:right="325"/>
              <w:jc w:val="right"/>
              <w:rPr>
                <w:sz w:val="21"/>
              </w:rPr>
            </w:pPr>
            <w:r>
              <w:rPr>
                <w:sz w:val="21"/>
              </w:rPr>
              <w:t xml:space="preserve">建设饲草料加工用房 </w:t>
            </w:r>
            <w:r>
              <w:rPr>
                <w:rFonts w:ascii="Times New Roman" w:eastAsia="Times New Roman"/>
                <w:sz w:val="21"/>
              </w:rPr>
              <w:t xml:space="preserve">1 </w:t>
            </w:r>
            <w:r>
              <w:rPr>
                <w:sz w:val="21"/>
              </w:rPr>
              <w:t xml:space="preserve">栋，总建筑面积 </w:t>
            </w:r>
            <w:r>
              <w:rPr>
                <w:rFonts w:ascii="Times New Roman" w:eastAsia="Times New Roman"/>
                <w:sz w:val="21"/>
              </w:rPr>
              <w:t>1402.28m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2366" w:type="dxa"/>
            <w:gridSpan w:val="2"/>
          </w:tcPr>
          <w:p>
            <w:pPr>
              <w:pStyle w:val="18"/>
              <w:spacing w:before="31"/>
              <w:ind w:left="333"/>
              <w:jc w:val="left"/>
              <w:rPr>
                <w:sz w:val="21"/>
              </w:rPr>
            </w:pPr>
            <w:r>
              <w:rPr>
                <w:sz w:val="21"/>
              </w:rPr>
              <w:t>消防水池及泵房</w:t>
            </w:r>
          </w:p>
        </w:tc>
        <w:tc>
          <w:tcPr>
            <w:tcW w:w="5961" w:type="dxa"/>
          </w:tcPr>
          <w:p>
            <w:pPr>
              <w:pStyle w:val="18"/>
              <w:spacing w:before="31"/>
              <w:ind w:right="378"/>
              <w:jc w:val="right"/>
              <w:rPr>
                <w:sz w:val="21"/>
              </w:rPr>
            </w:pPr>
            <w:r>
              <w:rPr>
                <w:sz w:val="21"/>
              </w:rPr>
              <w:t xml:space="preserve">建设消防水池及泵房 </w:t>
            </w:r>
            <w:r>
              <w:rPr>
                <w:rFonts w:ascii="Times New Roman" w:eastAsia="Times New Roman"/>
                <w:sz w:val="21"/>
              </w:rPr>
              <w:t xml:space="preserve">1 </w:t>
            </w:r>
            <w:r>
              <w:rPr>
                <w:sz w:val="21"/>
              </w:rPr>
              <w:t>栋，总建筑面积</w:t>
            </w:r>
            <w:r>
              <w:rPr>
                <w:rFonts w:hint="eastAsia"/>
                <w:sz w:val="21"/>
                <w:lang w:val="en-US" w:eastAsia="zh-CN"/>
              </w:rPr>
              <w:t>360</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031" w:type="dxa"/>
            <w:vMerge w:val="continue"/>
            <w:tcBorders>
              <w:top w:val="nil"/>
            </w:tcBorders>
          </w:tcPr>
          <w:p>
            <w:pPr>
              <w:rPr>
                <w:sz w:val="2"/>
                <w:szCs w:val="2"/>
              </w:rPr>
            </w:pPr>
          </w:p>
        </w:tc>
        <w:tc>
          <w:tcPr>
            <w:tcW w:w="2366" w:type="dxa"/>
            <w:gridSpan w:val="2"/>
          </w:tcPr>
          <w:p>
            <w:pPr>
              <w:pStyle w:val="18"/>
              <w:spacing w:line="220" w:lineRule="exact"/>
              <w:ind w:left="732" w:right="725"/>
              <w:rPr>
                <w:sz w:val="21"/>
              </w:rPr>
            </w:pPr>
            <w:r>
              <w:rPr>
                <w:sz w:val="21"/>
              </w:rPr>
              <w:t>地磅房</w:t>
            </w:r>
          </w:p>
        </w:tc>
        <w:tc>
          <w:tcPr>
            <w:tcW w:w="5961" w:type="dxa"/>
          </w:tcPr>
          <w:p>
            <w:pPr>
              <w:pStyle w:val="18"/>
              <w:spacing w:line="220" w:lineRule="exact"/>
              <w:ind w:left="984"/>
              <w:jc w:val="left"/>
              <w:rPr>
                <w:rFonts w:ascii="Times New Roman" w:eastAsia="Times New Roman"/>
                <w:sz w:val="13"/>
              </w:rPr>
            </w:pPr>
            <w:r>
              <w:rPr>
                <w:sz w:val="21"/>
              </w:rPr>
              <w:t xml:space="preserve">建设地磅房 </w:t>
            </w:r>
            <w:r>
              <w:rPr>
                <w:rFonts w:ascii="Times New Roman" w:eastAsia="Times New Roman"/>
                <w:sz w:val="21"/>
              </w:rPr>
              <w:t xml:space="preserve">1 </w:t>
            </w:r>
            <w:r>
              <w:rPr>
                <w:sz w:val="21"/>
              </w:rPr>
              <w:t xml:space="preserve">栋，总建筑面积 </w:t>
            </w:r>
            <w:r>
              <w:rPr>
                <w:rFonts w:ascii="Times New Roman" w:eastAsia="Times New Roman"/>
                <w:sz w:val="21"/>
              </w:rPr>
              <w:t>44.8m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2366" w:type="dxa"/>
            <w:gridSpan w:val="2"/>
          </w:tcPr>
          <w:p>
            <w:pPr>
              <w:pStyle w:val="18"/>
              <w:spacing w:before="31"/>
              <w:ind w:left="647"/>
              <w:jc w:val="left"/>
              <w:rPr>
                <w:sz w:val="21"/>
              </w:rPr>
            </w:pPr>
            <w:r>
              <w:rPr>
                <w:sz w:val="21"/>
              </w:rPr>
              <w:t>消毒通道</w:t>
            </w:r>
          </w:p>
        </w:tc>
        <w:tc>
          <w:tcPr>
            <w:tcW w:w="5961" w:type="dxa"/>
          </w:tcPr>
          <w:p>
            <w:pPr>
              <w:pStyle w:val="18"/>
              <w:spacing w:before="31"/>
              <w:ind w:left="1780"/>
              <w:jc w:val="left"/>
              <w:rPr>
                <w:sz w:val="21"/>
              </w:rPr>
            </w:pPr>
            <w:r>
              <w:rPr>
                <w:sz w:val="21"/>
              </w:rPr>
              <w:t>新建</w:t>
            </w:r>
            <w:r>
              <w:rPr>
                <w:rFonts w:ascii="Times New Roman" w:eastAsia="Times New Roman"/>
                <w:sz w:val="21"/>
              </w:rPr>
              <w:t>1</w:t>
            </w:r>
            <w:r>
              <w:rPr>
                <w:sz w:val="21"/>
              </w:rPr>
              <w:t>栋，砖混结构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2366" w:type="dxa"/>
            <w:gridSpan w:val="2"/>
          </w:tcPr>
          <w:p>
            <w:pPr>
              <w:pStyle w:val="18"/>
              <w:spacing w:before="31"/>
              <w:ind w:left="227"/>
              <w:jc w:val="left"/>
              <w:rPr>
                <w:sz w:val="21"/>
              </w:rPr>
            </w:pPr>
            <w:r>
              <w:rPr>
                <w:sz w:val="21"/>
              </w:rPr>
              <w:t>发电机房及配电房</w:t>
            </w:r>
          </w:p>
        </w:tc>
        <w:tc>
          <w:tcPr>
            <w:tcW w:w="5961" w:type="dxa"/>
          </w:tcPr>
          <w:p>
            <w:pPr>
              <w:pStyle w:val="18"/>
              <w:spacing w:before="31"/>
              <w:ind w:left="904"/>
              <w:jc w:val="left"/>
              <w:rPr>
                <w:rFonts w:ascii="Times New Roman" w:eastAsia="Times New Roman"/>
                <w:sz w:val="13"/>
              </w:rPr>
            </w:pPr>
            <w:r>
              <w:rPr>
                <w:sz w:val="21"/>
              </w:rPr>
              <w:t xml:space="preserve">新建 </w:t>
            </w:r>
            <w:r>
              <w:rPr>
                <w:rFonts w:ascii="Times New Roman" w:eastAsia="Times New Roman"/>
                <w:sz w:val="21"/>
              </w:rPr>
              <w:t xml:space="preserve">1 </w:t>
            </w:r>
            <w:r>
              <w:rPr>
                <w:sz w:val="21"/>
              </w:rPr>
              <w:t xml:space="preserve">栋，框架结构，建筑面积 </w:t>
            </w:r>
            <w:r>
              <w:rPr>
                <w:rFonts w:ascii="Times New Roman" w:eastAsia="Times New Roman"/>
                <w:sz w:val="21"/>
              </w:rPr>
              <w:t>200m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restart"/>
          </w:tcPr>
          <w:p>
            <w:pPr>
              <w:pStyle w:val="18"/>
              <w:jc w:val="left"/>
              <w:rPr>
                <w:sz w:val="20"/>
              </w:rPr>
            </w:pPr>
          </w:p>
          <w:p>
            <w:pPr>
              <w:pStyle w:val="18"/>
              <w:spacing w:before="145"/>
              <w:ind w:left="46"/>
              <w:jc w:val="left"/>
              <w:rPr>
                <w:sz w:val="21"/>
              </w:rPr>
            </w:pPr>
            <w:r>
              <w:rPr>
                <w:sz w:val="21"/>
              </w:rPr>
              <w:t>储运工程</w:t>
            </w:r>
          </w:p>
        </w:tc>
        <w:tc>
          <w:tcPr>
            <w:tcW w:w="2366" w:type="dxa"/>
            <w:gridSpan w:val="2"/>
          </w:tcPr>
          <w:p>
            <w:pPr>
              <w:pStyle w:val="18"/>
              <w:spacing w:before="101"/>
              <w:ind w:left="647"/>
              <w:jc w:val="left"/>
              <w:rPr>
                <w:sz w:val="21"/>
              </w:rPr>
            </w:pPr>
            <w:r>
              <w:rPr>
                <w:sz w:val="21"/>
              </w:rPr>
              <w:t>饲料库房</w:t>
            </w:r>
          </w:p>
        </w:tc>
        <w:tc>
          <w:tcPr>
            <w:tcW w:w="5961" w:type="dxa"/>
          </w:tcPr>
          <w:p>
            <w:pPr>
              <w:pStyle w:val="18"/>
              <w:spacing w:line="236" w:lineRule="exact"/>
              <w:ind w:left="36"/>
              <w:jc w:val="left"/>
              <w:rPr>
                <w:sz w:val="21"/>
              </w:rPr>
            </w:pPr>
            <w:r>
              <w:rPr>
                <w:spacing w:val="-8"/>
                <w:sz w:val="21"/>
              </w:rPr>
              <w:t xml:space="preserve">建设饲料库房 </w:t>
            </w:r>
            <w:r>
              <w:rPr>
                <w:rFonts w:ascii="Times New Roman" w:eastAsia="Times New Roman"/>
                <w:sz w:val="21"/>
              </w:rPr>
              <w:t xml:space="preserve">3 </w:t>
            </w:r>
            <w:r>
              <w:rPr>
                <w:spacing w:val="-14"/>
                <w:sz w:val="21"/>
              </w:rPr>
              <w:t xml:space="preserve">栋，每栋建筑面积 </w:t>
            </w:r>
            <w:r>
              <w:rPr>
                <w:rFonts w:ascii="Times New Roman" w:eastAsia="Times New Roman"/>
                <w:spacing w:val="-5"/>
                <w:sz w:val="21"/>
              </w:rPr>
              <w:t>1402.28m</w:t>
            </w:r>
            <w:r>
              <w:rPr>
                <w:rFonts w:ascii="Times New Roman" w:eastAsia="Times New Roman"/>
                <w:spacing w:val="-5"/>
                <w:position w:val="7"/>
                <w:sz w:val="13"/>
              </w:rPr>
              <w:t>2</w:t>
            </w:r>
            <w:r>
              <w:rPr>
                <w:spacing w:val="-2"/>
                <w:sz w:val="21"/>
              </w:rPr>
              <w:t>，总建筑面积</w:t>
            </w:r>
          </w:p>
          <w:p>
            <w:pPr>
              <w:pStyle w:val="18"/>
              <w:spacing w:line="224" w:lineRule="exact"/>
              <w:ind w:left="36"/>
              <w:jc w:val="left"/>
              <w:rPr>
                <w:sz w:val="21"/>
              </w:rPr>
            </w:pPr>
            <w:r>
              <w:rPr>
                <w:rFonts w:ascii="Times New Roman" w:eastAsia="Times New Roman"/>
                <w:sz w:val="21"/>
              </w:rPr>
              <w:t>4206.84m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031" w:type="dxa"/>
            <w:vMerge w:val="continue"/>
            <w:tcBorders>
              <w:top w:val="nil"/>
            </w:tcBorders>
          </w:tcPr>
          <w:p>
            <w:pPr>
              <w:rPr>
                <w:sz w:val="2"/>
                <w:szCs w:val="2"/>
              </w:rPr>
            </w:pPr>
          </w:p>
        </w:tc>
        <w:tc>
          <w:tcPr>
            <w:tcW w:w="2366" w:type="dxa"/>
            <w:gridSpan w:val="2"/>
          </w:tcPr>
          <w:p>
            <w:pPr>
              <w:pStyle w:val="18"/>
              <w:spacing w:line="220" w:lineRule="exact"/>
              <w:ind w:left="732" w:right="725"/>
              <w:rPr>
                <w:sz w:val="21"/>
              </w:rPr>
            </w:pPr>
            <w:r>
              <w:rPr>
                <w:sz w:val="21"/>
              </w:rPr>
              <w:t>青储窖</w:t>
            </w:r>
          </w:p>
        </w:tc>
        <w:tc>
          <w:tcPr>
            <w:tcW w:w="5961" w:type="dxa"/>
          </w:tcPr>
          <w:p>
            <w:pPr>
              <w:pStyle w:val="18"/>
              <w:spacing w:line="220" w:lineRule="exact"/>
              <w:ind w:left="775"/>
              <w:jc w:val="left"/>
              <w:rPr>
                <w:rFonts w:ascii="Times New Roman" w:eastAsia="Times New Roman"/>
                <w:sz w:val="13"/>
              </w:rPr>
            </w:pPr>
            <w:r>
              <w:rPr>
                <w:sz w:val="21"/>
              </w:rPr>
              <w:t xml:space="preserve">建设青储窖 </w:t>
            </w:r>
            <w:r>
              <w:rPr>
                <w:rFonts w:ascii="Times New Roman" w:eastAsia="Times New Roman"/>
                <w:sz w:val="21"/>
              </w:rPr>
              <w:t xml:space="preserve">20 </w:t>
            </w:r>
            <w:r>
              <w:rPr>
                <w:sz w:val="21"/>
              </w:rPr>
              <w:t xml:space="preserve">座，总建筑面积 </w:t>
            </w:r>
            <w:r>
              <w:rPr>
                <w:rFonts w:ascii="Times New Roman" w:eastAsia="Times New Roman"/>
                <w:sz w:val="21"/>
              </w:rPr>
              <w:t>6039.04m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2366" w:type="dxa"/>
            <w:gridSpan w:val="2"/>
          </w:tcPr>
          <w:p>
            <w:pPr>
              <w:pStyle w:val="18"/>
              <w:spacing w:before="31"/>
              <w:ind w:left="732" w:right="725"/>
              <w:rPr>
                <w:sz w:val="21"/>
              </w:rPr>
            </w:pPr>
            <w:r>
              <w:rPr>
                <w:sz w:val="21"/>
              </w:rPr>
              <w:t>堆肥厂</w:t>
            </w:r>
          </w:p>
        </w:tc>
        <w:tc>
          <w:tcPr>
            <w:tcW w:w="5961" w:type="dxa"/>
          </w:tcPr>
          <w:p>
            <w:pPr>
              <w:pStyle w:val="18"/>
              <w:spacing w:before="31"/>
              <w:ind w:left="1272"/>
              <w:jc w:val="left"/>
              <w:rPr>
                <w:rFonts w:ascii="Times New Roman" w:eastAsia="Times New Roman"/>
                <w:sz w:val="13"/>
              </w:rPr>
            </w:pPr>
            <w:r>
              <w:rPr>
                <w:sz w:val="21"/>
              </w:rPr>
              <w:t xml:space="preserve">堆肥厂 </w:t>
            </w:r>
            <w:r>
              <w:rPr>
                <w:rFonts w:ascii="Times New Roman" w:eastAsia="Times New Roman"/>
                <w:sz w:val="21"/>
              </w:rPr>
              <w:t xml:space="preserve">1 </w:t>
            </w:r>
            <w:r>
              <w:rPr>
                <w:sz w:val="21"/>
              </w:rPr>
              <w:t xml:space="preserve">个，占地面积 </w:t>
            </w:r>
            <w:r>
              <w:rPr>
                <w:rFonts w:ascii="Times New Roman" w:eastAsia="Times New Roman"/>
                <w:sz w:val="21"/>
              </w:rPr>
              <w:t>5000m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restart"/>
          </w:tcPr>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spacing w:before="8"/>
              <w:jc w:val="left"/>
              <w:rPr>
                <w:sz w:val="15"/>
              </w:rPr>
            </w:pPr>
          </w:p>
          <w:p>
            <w:pPr>
              <w:pStyle w:val="18"/>
              <w:ind w:left="46"/>
              <w:jc w:val="left"/>
              <w:rPr>
                <w:sz w:val="21"/>
              </w:rPr>
            </w:pPr>
            <w:r>
              <w:rPr>
                <w:sz w:val="21"/>
              </w:rPr>
              <w:t>公用工程</w:t>
            </w:r>
          </w:p>
        </w:tc>
        <w:tc>
          <w:tcPr>
            <w:tcW w:w="2366" w:type="dxa"/>
            <w:gridSpan w:val="2"/>
          </w:tcPr>
          <w:p>
            <w:pPr>
              <w:pStyle w:val="18"/>
              <w:spacing w:before="101"/>
              <w:ind w:left="647"/>
              <w:jc w:val="left"/>
              <w:rPr>
                <w:sz w:val="21"/>
              </w:rPr>
            </w:pPr>
            <w:r>
              <w:rPr>
                <w:sz w:val="21"/>
              </w:rPr>
              <w:t>给水工程</w:t>
            </w:r>
          </w:p>
        </w:tc>
        <w:tc>
          <w:tcPr>
            <w:tcW w:w="5961" w:type="dxa"/>
          </w:tcPr>
          <w:p>
            <w:pPr>
              <w:pStyle w:val="18"/>
              <w:spacing w:line="236" w:lineRule="exact"/>
              <w:ind w:left="36"/>
              <w:jc w:val="left"/>
              <w:rPr>
                <w:sz w:val="21"/>
              </w:rPr>
            </w:pPr>
            <w:r>
              <w:rPr>
                <w:sz w:val="21"/>
              </w:rPr>
              <w:t>养殖场周边农村安全饮用水给水管网供给，可保证养殖场</w:t>
            </w:r>
          </w:p>
          <w:p>
            <w:pPr>
              <w:pStyle w:val="18"/>
              <w:spacing w:line="224" w:lineRule="exact"/>
              <w:ind w:left="36"/>
              <w:jc w:val="left"/>
              <w:rPr>
                <w:sz w:val="21"/>
              </w:rPr>
            </w:pPr>
            <w:r>
              <w:rPr>
                <w:sz w:val="21"/>
              </w:rPr>
              <w:t>日常用水。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031" w:type="dxa"/>
            <w:vMerge w:val="continue"/>
            <w:tcBorders>
              <w:top w:val="nil"/>
            </w:tcBorders>
          </w:tcPr>
          <w:p>
            <w:pPr>
              <w:rPr>
                <w:sz w:val="2"/>
                <w:szCs w:val="2"/>
              </w:rPr>
            </w:pPr>
          </w:p>
        </w:tc>
        <w:tc>
          <w:tcPr>
            <w:tcW w:w="2366" w:type="dxa"/>
            <w:gridSpan w:val="2"/>
          </w:tcPr>
          <w:p>
            <w:pPr>
              <w:pStyle w:val="18"/>
              <w:jc w:val="left"/>
              <w:rPr>
                <w:sz w:val="20"/>
              </w:rPr>
            </w:pPr>
          </w:p>
          <w:p>
            <w:pPr>
              <w:pStyle w:val="18"/>
              <w:spacing w:before="6"/>
              <w:jc w:val="left"/>
              <w:rPr>
                <w:sz w:val="25"/>
              </w:rPr>
            </w:pPr>
          </w:p>
          <w:p>
            <w:pPr>
              <w:pStyle w:val="18"/>
              <w:ind w:left="647"/>
              <w:jc w:val="left"/>
              <w:rPr>
                <w:sz w:val="21"/>
              </w:rPr>
            </w:pPr>
            <w:r>
              <w:rPr>
                <w:sz w:val="21"/>
              </w:rPr>
              <w:t>排水工程</w:t>
            </w:r>
          </w:p>
        </w:tc>
        <w:tc>
          <w:tcPr>
            <w:tcW w:w="5961" w:type="dxa"/>
          </w:tcPr>
          <w:p>
            <w:pPr>
              <w:pStyle w:val="18"/>
              <w:spacing w:before="1" w:line="240" w:lineRule="exact"/>
              <w:ind w:left="36" w:right="61"/>
              <w:jc w:val="both"/>
              <w:rPr>
                <w:sz w:val="21"/>
              </w:rPr>
            </w:pPr>
            <w:r>
              <w:rPr>
                <w:sz w:val="21"/>
              </w:rPr>
              <w:t>排水主要为生产废水（羊尿液和羊舍冲洗废水）和职工生活污水，</w:t>
            </w:r>
            <w:r>
              <w:rPr>
                <w:spacing w:val="-6"/>
                <w:sz w:val="21"/>
                <w:szCs w:val="21"/>
              </w:rPr>
              <w:t>本项目职工</w:t>
            </w:r>
            <w:r>
              <w:rPr>
                <w:rFonts w:hint="eastAsia" w:ascii="宋体" w:hAnsi="宋体" w:eastAsia="宋体" w:cs="宋体"/>
                <w:color w:val="FF0000"/>
                <w:spacing w:val="-1"/>
                <w:sz w:val="21"/>
                <w:szCs w:val="21"/>
                <w:lang w:val="en-US" w:eastAsia="zh-CN"/>
              </w:rPr>
              <w:t>污水经过</w:t>
            </w: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r>
              <w:rPr>
                <w:rFonts w:hint="eastAsia" w:ascii="宋体" w:hAnsi="宋体" w:eastAsia="宋体" w:cs="宋体"/>
                <w:color w:val="FF0000"/>
                <w:sz w:val="21"/>
                <w:szCs w:val="21"/>
                <w:lang w:val="en-US" w:eastAsia="zh-CN"/>
              </w:rPr>
              <w:t>处理过的水</w:t>
            </w:r>
            <w:r>
              <w:rPr>
                <w:rFonts w:hint="eastAsia" w:ascii="宋体" w:hAnsi="宋体" w:eastAsia="宋体" w:cs="宋体"/>
                <w:color w:val="FF0000"/>
                <w:spacing w:val="-1"/>
                <w:sz w:val="21"/>
                <w:szCs w:val="21"/>
                <w:lang w:val="en-US" w:eastAsia="zh-CN"/>
              </w:rPr>
              <w:t>冬季储存，夏季用于场区洒水降尘。沉淀物由相关环卫部门抽运。</w:t>
            </w:r>
            <w:r>
              <w:rPr>
                <w:sz w:val="21"/>
              </w:rPr>
              <w:t>养殖场羊尿液排入羊舍干草垫中， 项目定期对垫料层和粪便进行清理更换，不需要对畜舍进行冲洗，无冲栏废水产生。垫料层与羊粪一起进入堆肥厂堆肥发酵，废水实现综合利用，不外排。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continue"/>
            <w:tcBorders>
              <w:top w:val="nil"/>
            </w:tcBorders>
          </w:tcPr>
          <w:p>
            <w:pPr>
              <w:rPr>
                <w:sz w:val="2"/>
                <w:szCs w:val="2"/>
              </w:rPr>
            </w:pPr>
          </w:p>
        </w:tc>
        <w:tc>
          <w:tcPr>
            <w:tcW w:w="2366" w:type="dxa"/>
            <w:gridSpan w:val="2"/>
          </w:tcPr>
          <w:p>
            <w:pPr>
              <w:pStyle w:val="18"/>
              <w:spacing w:before="102"/>
              <w:ind w:left="647"/>
              <w:jc w:val="left"/>
              <w:rPr>
                <w:sz w:val="21"/>
              </w:rPr>
            </w:pPr>
            <w:r>
              <w:rPr>
                <w:sz w:val="21"/>
              </w:rPr>
              <w:t>供电系统</w:t>
            </w:r>
          </w:p>
        </w:tc>
        <w:tc>
          <w:tcPr>
            <w:tcW w:w="5961" w:type="dxa"/>
          </w:tcPr>
          <w:p>
            <w:pPr>
              <w:pStyle w:val="18"/>
              <w:spacing w:line="240" w:lineRule="exact"/>
              <w:ind w:left="36" w:right="87"/>
              <w:jc w:val="left"/>
              <w:rPr>
                <w:sz w:val="21"/>
              </w:rPr>
            </w:pPr>
            <w:r>
              <w:rPr>
                <w:w w:val="95"/>
                <w:sz w:val="21"/>
              </w:rPr>
              <w:t>项目区电力由</w:t>
            </w:r>
            <w:r>
              <w:rPr>
                <w:rFonts w:hint="eastAsia"/>
                <w:w w:val="95"/>
                <w:sz w:val="21"/>
                <w:lang w:val="en-US" w:eastAsia="zh-CN"/>
              </w:rPr>
              <w:t>莎车</w:t>
            </w:r>
            <w:r>
              <w:rPr>
                <w:w w:val="95"/>
                <w:sz w:val="21"/>
              </w:rPr>
              <w:t xml:space="preserve">县供电公司供应，由养殖场周边道路农 </w:t>
            </w:r>
            <w:r>
              <w:rPr>
                <w:sz w:val="21"/>
              </w:rPr>
              <w:t>村低压电网就近接入。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31" w:type="dxa"/>
            <w:vMerge w:val="continue"/>
            <w:tcBorders>
              <w:top w:val="nil"/>
            </w:tcBorders>
          </w:tcPr>
          <w:p>
            <w:pPr>
              <w:rPr>
                <w:sz w:val="2"/>
                <w:szCs w:val="2"/>
              </w:rPr>
            </w:pPr>
          </w:p>
        </w:tc>
        <w:tc>
          <w:tcPr>
            <w:tcW w:w="2366" w:type="dxa"/>
            <w:gridSpan w:val="2"/>
          </w:tcPr>
          <w:p>
            <w:pPr>
              <w:pStyle w:val="18"/>
              <w:spacing w:before="32"/>
              <w:ind w:left="647"/>
              <w:jc w:val="left"/>
              <w:rPr>
                <w:sz w:val="21"/>
              </w:rPr>
            </w:pPr>
            <w:r>
              <w:rPr>
                <w:sz w:val="21"/>
              </w:rPr>
              <w:t>供暖系统</w:t>
            </w:r>
          </w:p>
        </w:tc>
        <w:tc>
          <w:tcPr>
            <w:tcW w:w="5961" w:type="dxa"/>
          </w:tcPr>
          <w:p>
            <w:pPr>
              <w:pStyle w:val="18"/>
              <w:spacing w:before="32"/>
              <w:ind w:left="2094" w:right="2121"/>
              <w:rPr>
                <w:sz w:val="21"/>
              </w:rPr>
            </w:pPr>
            <w:r>
              <w:rPr>
                <w:sz w:val="21"/>
              </w:rPr>
              <w:t>采用电采暖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1031" w:type="dxa"/>
            <w:vMerge w:val="continue"/>
            <w:tcBorders>
              <w:top w:val="nil"/>
            </w:tcBorders>
          </w:tcPr>
          <w:p>
            <w:pPr>
              <w:rPr>
                <w:sz w:val="2"/>
                <w:szCs w:val="2"/>
              </w:rPr>
            </w:pPr>
          </w:p>
        </w:tc>
        <w:tc>
          <w:tcPr>
            <w:tcW w:w="2366" w:type="dxa"/>
            <w:gridSpan w:val="2"/>
          </w:tcPr>
          <w:p>
            <w:pPr>
              <w:pStyle w:val="18"/>
              <w:spacing w:before="103"/>
              <w:ind w:left="732" w:right="725"/>
              <w:rPr>
                <w:sz w:val="21"/>
              </w:rPr>
            </w:pPr>
            <w:r>
              <w:rPr>
                <w:sz w:val="21"/>
              </w:rPr>
              <w:t>交通</w:t>
            </w:r>
          </w:p>
        </w:tc>
        <w:tc>
          <w:tcPr>
            <w:tcW w:w="5961" w:type="dxa"/>
          </w:tcPr>
          <w:p>
            <w:pPr>
              <w:pStyle w:val="18"/>
              <w:spacing w:before="1" w:line="240" w:lineRule="exact"/>
              <w:ind w:left="36" w:right="61"/>
              <w:jc w:val="left"/>
              <w:rPr>
                <w:sz w:val="21"/>
              </w:rPr>
            </w:pPr>
            <w:r>
              <w:rPr>
                <w:sz w:val="21"/>
              </w:rPr>
              <w:t>场内道路为混凝土路面，主要为饲料运输，项目建设地点对外交通依靠公路，路况较好，交通便于施工运输。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031" w:type="dxa"/>
            <w:vMerge w:val="continue"/>
            <w:tcBorders>
              <w:top w:val="nil"/>
            </w:tcBorders>
          </w:tcPr>
          <w:p>
            <w:pPr>
              <w:rPr>
                <w:sz w:val="2"/>
                <w:szCs w:val="2"/>
              </w:rPr>
            </w:pPr>
          </w:p>
        </w:tc>
        <w:tc>
          <w:tcPr>
            <w:tcW w:w="2366" w:type="dxa"/>
            <w:gridSpan w:val="2"/>
          </w:tcPr>
          <w:p>
            <w:pPr>
              <w:pStyle w:val="18"/>
              <w:spacing w:before="101"/>
              <w:ind w:left="647"/>
              <w:jc w:val="left"/>
              <w:rPr>
                <w:sz w:val="21"/>
              </w:rPr>
            </w:pPr>
            <w:r>
              <w:rPr>
                <w:sz w:val="21"/>
              </w:rPr>
              <w:t>通风降温</w:t>
            </w:r>
          </w:p>
        </w:tc>
        <w:tc>
          <w:tcPr>
            <w:tcW w:w="5961" w:type="dxa"/>
          </w:tcPr>
          <w:p>
            <w:pPr>
              <w:pStyle w:val="18"/>
              <w:spacing w:line="236" w:lineRule="exact"/>
              <w:ind w:left="36"/>
              <w:jc w:val="left"/>
              <w:rPr>
                <w:sz w:val="21"/>
              </w:rPr>
            </w:pPr>
            <w:r>
              <w:rPr>
                <w:sz w:val="21"/>
              </w:rPr>
              <w:t xml:space="preserve">每座羊舍有 </w:t>
            </w:r>
            <w:r>
              <w:rPr>
                <w:rFonts w:ascii="Times New Roman" w:eastAsia="Times New Roman"/>
                <w:sz w:val="21"/>
              </w:rPr>
              <w:t xml:space="preserve">8 </w:t>
            </w:r>
            <w:r>
              <w:rPr>
                <w:sz w:val="21"/>
              </w:rPr>
              <w:t>台风机，全面通风换气，自然排风换气、侧</w:t>
            </w:r>
          </w:p>
          <w:p>
            <w:pPr>
              <w:pStyle w:val="18"/>
              <w:spacing w:line="223" w:lineRule="exact"/>
              <w:ind w:left="36"/>
              <w:jc w:val="left"/>
              <w:rPr>
                <w:sz w:val="21"/>
              </w:rPr>
            </w:pPr>
            <w:r>
              <w:rPr>
                <w:sz w:val="21"/>
              </w:rPr>
              <w:t>墙机械排风换气等。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restart"/>
          </w:tcPr>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20"/>
              </w:rPr>
            </w:pPr>
          </w:p>
          <w:p>
            <w:pPr>
              <w:pStyle w:val="18"/>
              <w:jc w:val="left"/>
              <w:rPr>
                <w:sz w:val="18"/>
              </w:rPr>
            </w:pPr>
          </w:p>
          <w:p>
            <w:pPr>
              <w:pStyle w:val="18"/>
              <w:ind w:left="46"/>
              <w:jc w:val="left"/>
              <w:rPr>
                <w:sz w:val="21"/>
              </w:rPr>
            </w:pPr>
            <w:r>
              <w:rPr>
                <w:sz w:val="21"/>
              </w:rPr>
              <w:t>环保工程</w:t>
            </w:r>
          </w:p>
        </w:tc>
        <w:tc>
          <w:tcPr>
            <w:tcW w:w="483" w:type="dxa"/>
            <w:vMerge w:val="restart"/>
          </w:tcPr>
          <w:p>
            <w:pPr>
              <w:pStyle w:val="18"/>
              <w:spacing w:before="5"/>
              <w:jc w:val="left"/>
              <w:rPr>
                <w:sz w:val="14"/>
              </w:rPr>
            </w:pPr>
          </w:p>
          <w:p>
            <w:pPr>
              <w:pStyle w:val="18"/>
              <w:spacing w:line="213" w:lineRule="auto"/>
              <w:ind w:left="112" w:right="103"/>
              <w:jc w:val="both"/>
              <w:rPr>
                <w:sz w:val="21"/>
              </w:rPr>
            </w:pPr>
            <w:r>
              <w:rPr>
                <w:sz w:val="21"/>
              </w:rPr>
              <w:t>废气处理</w:t>
            </w:r>
          </w:p>
        </w:tc>
        <w:tc>
          <w:tcPr>
            <w:tcW w:w="1883" w:type="dxa"/>
          </w:tcPr>
          <w:p>
            <w:pPr>
              <w:pStyle w:val="18"/>
              <w:spacing w:before="102"/>
              <w:ind w:left="92" w:right="87"/>
              <w:rPr>
                <w:sz w:val="21"/>
              </w:rPr>
            </w:pPr>
            <w:r>
              <w:rPr>
                <w:sz w:val="21"/>
              </w:rPr>
              <w:t>羊舍恶臭</w:t>
            </w:r>
          </w:p>
        </w:tc>
        <w:tc>
          <w:tcPr>
            <w:tcW w:w="5961" w:type="dxa"/>
          </w:tcPr>
          <w:p>
            <w:pPr>
              <w:pStyle w:val="18"/>
              <w:spacing w:line="240" w:lineRule="exact"/>
              <w:ind w:left="36" w:right="-15"/>
              <w:jc w:val="left"/>
              <w:rPr>
                <w:sz w:val="21"/>
              </w:rPr>
            </w:pPr>
            <w:r>
              <w:rPr>
                <w:spacing w:val="3"/>
                <w:w w:val="95"/>
                <w:sz w:val="21"/>
              </w:rPr>
              <w:t xml:space="preserve">及时清粪、采用通风换气装置、定期喷洒除臭剂、合理调 </w:t>
            </w:r>
            <w:r>
              <w:rPr>
                <w:spacing w:val="3"/>
                <w:sz w:val="21"/>
              </w:rPr>
              <w:t>配饲料、采取绿化措施除臭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483" w:type="dxa"/>
            <w:vMerge w:val="continue"/>
            <w:tcBorders>
              <w:top w:val="nil"/>
            </w:tcBorders>
          </w:tcPr>
          <w:p>
            <w:pPr>
              <w:rPr>
                <w:sz w:val="2"/>
                <w:szCs w:val="2"/>
              </w:rPr>
            </w:pPr>
          </w:p>
        </w:tc>
        <w:tc>
          <w:tcPr>
            <w:tcW w:w="1883" w:type="dxa"/>
          </w:tcPr>
          <w:p>
            <w:pPr>
              <w:pStyle w:val="18"/>
              <w:spacing w:before="32"/>
              <w:ind w:left="92" w:right="87"/>
              <w:rPr>
                <w:sz w:val="21"/>
              </w:rPr>
            </w:pPr>
            <w:r>
              <w:rPr>
                <w:sz w:val="21"/>
              </w:rPr>
              <w:t>堆肥厂恶臭</w:t>
            </w:r>
          </w:p>
        </w:tc>
        <w:tc>
          <w:tcPr>
            <w:tcW w:w="5961" w:type="dxa"/>
          </w:tcPr>
          <w:p>
            <w:pPr>
              <w:pStyle w:val="18"/>
              <w:spacing w:before="32"/>
              <w:ind w:left="2129" w:right="2087"/>
              <w:rPr>
                <w:sz w:val="21"/>
              </w:rPr>
            </w:pPr>
            <w:r>
              <w:rPr>
                <w:sz w:val="21"/>
              </w:rPr>
              <w:t>喷洒除臭剂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continue"/>
            <w:tcBorders>
              <w:top w:val="nil"/>
            </w:tcBorders>
          </w:tcPr>
          <w:p>
            <w:pPr>
              <w:rPr>
                <w:sz w:val="2"/>
                <w:szCs w:val="2"/>
              </w:rPr>
            </w:pPr>
          </w:p>
        </w:tc>
        <w:tc>
          <w:tcPr>
            <w:tcW w:w="483" w:type="dxa"/>
            <w:vMerge w:val="continue"/>
            <w:tcBorders>
              <w:top w:val="nil"/>
            </w:tcBorders>
          </w:tcPr>
          <w:p>
            <w:pPr>
              <w:rPr>
                <w:sz w:val="2"/>
                <w:szCs w:val="2"/>
              </w:rPr>
            </w:pPr>
          </w:p>
        </w:tc>
        <w:tc>
          <w:tcPr>
            <w:tcW w:w="1883" w:type="dxa"/>
          </w:tcPr>
          <w:p>
            <w:pPr>
              <w:pStyle w:val="18"/>
              <w:spacing w:line="240" w:lineRule="exact"/>
              <w:ind w:left="220" w:right="105" w:hanging="106"/>
              <w:jc w:val="left"/>
              <w:rPr>
                <w:sz w:val="21"/>
              </w:rPr>
            </w:pPr>
            <w:r>
              <w:rPr>
                <w:sz w:val="21"/>
              </w:rPr>
              <w:t>病死尸体无害化处理车间恶臭</w:t>
            </w:r>
          </w:p>
        </w:tc>
        <w:tc>
          <w:tcPr>
            <w:tcW w:w="5961" w:type="dxa"/>
          </w:tcPr>
          <w:p>
            <w:pPr>
              <w:pStyle w:val="18"/>
              <w:spacing w:line="240" w:lineRule="exact"/>
              <w:ind w:left="1212" w:right="39" w:hanging="1128"/>
              <w:jc w:val="left"/>
              <w:rPr>
                <w:sz w:val="21"/>
              </w:rPr>
            </w:pPr>
            <w:r>
              <w:rPr>
                <w:w w:val="95"/>
                <w:sz w:val="21"/>
              </w:rPr>
              <w:t xml:space="preserve">废气冷凝雾化后，引至光解除臭装置吸收处理，再经引风 </w:t>
            </w:r>
            <w:r>
              <w:rPr>
                <w:spacing w:val="-14"/>
                <w:sz w:val="21"/>
              </w:rPr>
              <w:t xml:space="preserve">机引至 </w:t>
            </w:r>
            <w:r>
              <w:rPr>
                <w:rFonts w:ascii="Times New Roman" w:eastAsia="Times New Roman"/>
                <w:sz w:val="21"/>
              </w:rPr>
              <w:t>15m</w:t>
            </w:r>
            <w:r>
              <w:rPr>
                <w:rFonts w:ascii="Times New Roman" w:eastAsia="Times New Roman"/>
                <w:spacing w:val="-2"/>
                <w:sz w:val="21"/>
              </w:rPr>
              <w:t xml:space="preserve"> </w:t>
            </w:r>
            <w:r>
              <w:rPr>
                <w:sz w:val="21"/>
              </w:rPr>
              <w:t>高排气筒集中排放。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continue"/>
            <w:tcBorders>
              <w:top w:val="nil"/>
            </w:tcBorders>
          </w:tcPr>
          <w:p>
            <w:pPr>
              <w:rPr>
                <w:sz w:val="2"/>
                <w:szCs w:val="2"/>
              </w:rPr>
            </w:pPr>
          </w:p>
        </w:tc>
        <w:tc>
          <w:tcPr>
            <w:tcW w:w="483" w:type="dxa"/>
            <w:vMerge w:val="restart"/>
          </w:tcPr>
          <w:p>
            <w:pPr>
              <w:pStyle w:val="18"/>
              <w:spacing w:before="4" w:line="240" w:lineRule="exact"/>
              <w:ind w:left="112" w:right="103"/>
              <w:jc w:val="both"/>
              <w:rPr>
                <w:sz w:val="21"/>
              </w:rPr>
            </w:pPr>
            <w:r>
              <w:rPr>
                <w:sz w:val="21"/>
              </w:rPr>
              <w:t>废水处理</w:t>
            </w:r>
          </w:p>
        </w:tc>
        <w:tc>
          <w:tcPr>
            <w:tcW w:w="1883" w:type="dxa"/>
          </w:tcPr>
          <w:p>
            <w:pPr>
              <w:pStyle w:val="18"/>
              <w:spacing w:line="236" w:lineRule="exact"/>
              <w:ind w:left="35" w:right="-29"/>
              <w:jc w:val="left"/>
              <w:rPr>
                <w:sz w:val="21"/>
              </w:rPr>
            </w:pPr>
            <w:r>
              <w:rPr>
                <w:sz w:val="21"/>
              </w:rPr>
              <w:t>养殖废水（</w:t>
            </w:r>
            <w:r>
              <w:rPr>
                <w:spacing w:val="-4"/>
                <w:sz w:val="21"/>
              </w:rPr>
              <w:t>羊尿、</w:t>
            </w:r>
          </w:p>
          <w:p>
            <w:pPr>
              <w:pStyle w:val="18"/>
              <w:spacing w:line="224" w:lineRule="exact"/>
              <w:ind w:left="114"/>
              <w:jc w:val="left"/>
              <w:rPr>
                <w:sz w:val="21"/>
              </w:rPr>
            </w:pPr>
            <w:r>
              <w:rPr>
                <w:sz w:val="21"/>
              </w:rPr>
              <w:t>羊舍冲洗废水）</w:t>
            </w:r>
          </w:p>
        </w:tc>
        <w:tc>
          <w:tcPr>
            <w:tcW w:w="5961" w:type="dxa"/>
          </w:tcPr>
          <w:p>
            <w:pPr>
              <w:pStyle w:val="18"/>
              <w:spacing w:line="236" w:lineRule="exact"/>
              <w:ind w:left="36" w:right="-15"/>
              <w:jc w:val="left"/>
              <w:rPr>
                <w:sz w:val="21"/>
              </w:rPr>
            </w:pPr>
            <w:r>
              <w:rPr>
                <w:spacing w:val="3"/>
                <w:w w:val="95"/>
                <w:sz w:val="21"/>
              </w:rPr>
              <w:t>羊尿液直接排入羊舍干草垫，定期清运至堆肥厂用作周边</w:t>
            </w:r>
          </w:p>
          <w:p>
            <w:pPr>
              <w:pStyle w:val="18"/>
              <w:spacing w:line="224" w:lineRule="exact"/>
              <w:ind w:left="36"/>
              <w:jc w:val="left"/>
              <w:rPr>
                <w:sz w:val="21"/>
              </w:rPr>
            </w:pPr>
            <w:r>
              <w:rPr>
                <w:sz w:val="21"/>
              </w:rPr>
              <w:t>农作物的生产用肥；羊舍采用干清粪工艺，无冲洗废水。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continue"/>
            <w:tcBorders>
              <w:top w:val="nil"/>
            </w:tcBorders>
          </w:tcPr>
          <w:p>
            <w:pPr>
              <w:rPr>
                <w:sz w:val="2"/>
                <w:szCs w:val="2"/>
              </w:rPr>
            </w:pPr>
          </w:p>
        </w:tc>
        <w:tc>
          <w:tcPr>
            <w:tcW w:w="483" w:type="dxa"/>
            <w:vMerge w:val="continue"/>
            <w:tcBorders>
              <w:top w:val="nil"/>
            </w:tcBorders>
          </w:tcPr>
          <w:p>
            <w:pPr>
              <w:rPr>
                <w:sz w:val="2"/>
                <w:szCs w:val="2"/>
              </w:rPr>
            </w:pPr>
          </w:p>
        </w:tc>
        <w:tc>
          <w:tcPr>
            <w:tcW w:w="1883" w:type="dxa"/>
          </w:tcPr>
          <w:p>
            <w:pPr>
              <w:pStyle w:val="18"/>
              <w:spacing w:line="236" w:lineRule="exact"/>
              <w:ind w:left="94" w:right="87"/>
              <w:rPr>
                <w:sz w:val="21"/>
              </w:rPr>
            </w:pPr>
            <w:r>
              <w:rPr>
                <w:sz w:val="21"/>
              </w:rPr>
              <w:t>病死尸体无害化</w:t>
            </w:r>
          </w:p>
          <w:p>
            <w:pPr>
              <w:pStyle w:val="18"/>
              <w:spacing w:line="224" w:lineRule="exact"/>
              <w:ind w:left="94" w:right="87"/>
              <w:rPr>
                <w:sz w:val="21"/>
              </w:rPr>
            </w:pPr>
            <w:r>
              <w:rPr>
                <w:sz w:val="21"/>
              </w:rPr>
              <w:t>处理车间废水</w:t>
            </w:r>
          </w:p>
        </w:tc>
        <w:tc>
          <w:tcPr>
            <w:tcW w:w="5961" w:type="dxa"/>
          </w:tcPr>
          <w:p>
            <w:pPr>
              <w:pStyle w:val="18"/>
              <w:spacing w:line="236" w:lineRule="exact"/>
              <w:ind w:left="36" w:right="-15"/>
              <w:jc w:val="left"/>
              <w:rPr>
                <w:sz w:val="21"/>
              </w:rPr>
            </w:pPr>
            <w:r>
              <w:rPr>
                <w:spacing w:val="3"/>
                <w:w w:val="95"/>
                <w:sz w:val="21"/>
              </w:rPr>
              <w:t>最后过滤下的废水进入废水槽，收集后拉运至</w:t>
            </w:r>
            <w:r>
              <w:rPr>
                <w:rFonts w:hint="eastAsia"/>
                <w:spacing w:val="3"/>
                <w:w w:val="95"/>
                <w:sz w:val="21"/>
                <w:lang w:val="en-US" w:eastAsia="zh-CN"/>
              </w:rPr>
              <w:t>莎车</w:t>
            </w:r>
            <w:r>
              <w:rPr>
                <w:spacing w:val="3"/>
                <w:w w:val="95"/>
                <w:sz w:val="21"/>
              </w:rPr>
              <w:t>县污水</w:t>
            </w:r>
          </w:p>
          <w:p>
            <w:pPr>
              <w:pStyle w:val="18"/>
              <w:spacing w:line="224" w:lineRule="exact"/>
              <w:ind w:left="36"/>
              <w:jc w:val="left"/>
              <w:rPr>
                <w:sz w:val="21"/>
              </w:rPr>
            </w:pPr>
            <w:r>
              <w:rPr>
                <w:sz w:val="21"/>
              </w:rPr>
              <w:t>处理站处理。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31" w:type="dxa"/>
            <w:vMerge w:val="continue"/>
            <w:tcBorders>
              <w:top w:val="nil"/>
            </w:tcBorders>
          </w:tcPr>
          <w:p>
            <w:pPr>
              <w:rPr>
                <w:sz w:val="2"/>
                <w:szCs w:val="2"/>
              </w:rPr>
            </w:pPr>
          </w:p>
        </w:tc>
        <w:tc>
          <w:tcPr>
            <w:tcW w:w="2366" w:type="dxa"/>
            <w:gridSpan w:val="2"/>
          </w:tcPr>
          <w:p>
            <w:pPr>
              <w:pStyle w:val="18"/>
              <w:spacing w:before="31"/>
              <w:ind w:left="647"/>
              <w:jc w:val="left"/>
              <w:rPr>
                <w:sz w:val="21"/>
              </w:rPr>
            </w:pPr>
            <w:r>
              <w:rPr>
                <w:sz w:val="21"/>
              </w:rPr>
              <w:t>噪声治理</w:t>
            </w:r>
          </w:p>
        </w:tc>
        <w:tc>
          <w:tcPr>
            <w:tcW w:w="5961" w:type="dxa"/>
          </w:tcPr>
          <w:p>
            <w:pPr>
              <w:pStyle w:val="18"/>
              <w:spacing w:before="31"/>
              <w:ind w:left="36"/>
              <w:jc w:val="left"/>
              <w:rPr>
                <w:sz w:val="21"/>
              </w:rPr>
            </w:pPr>
            <w:r>
              <w:rPr>
                <w:sz w:val="21"/>
              </w:rPr>
              <w:t>基础减振、墙体隔声等措施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31" w:type="dxa"/>
            <w:vMerge w:val="continue"/>
            <w:tcBorders>
              <w:top w:val="nil"/>
            </w:tcBorders>
          </w:tcPr>
          <w:p>
            <w:pPr>
              <w:rPr>
                <w:sz w:val="2"/>
                <w:szCs w:val="2"/>
              </w:rPr>
            </w:pPr>
          </w:p>
        </w:tc>
        <w:tc>
          <w:tcPr>
            <w:tcW w:w="483" w:type="dxa"/>
            <w:vMerge w:val="restart"/>
          </w:tcPr>
          <w:p>
            <w:pPr>
              <w:pStyle w:val="18"/>
              <w:jc w:val="left"/>
              <w:rPr>
                <w:sz w:val="20"/>
              </w:rPr>
            </w:pPr>
          </w:p>
          <w:p>
            <w:pPr>
              <w:pStyle w:val="18"/>
              <w:spacing w:line="213" w:lineRule="auto"/>
              <w:ind w:left="112" w:right="103"/>
              <w:jc w:val="both"/>
              <w:rPr>
                <w:sz w:val="21"/>
              </w:rPr>
            </w:pPr>
            <w:r>
              <w:rPr>
                <w:sz w:val="21"/>
              </w:rPr>
              <w:t>固体废弃物治理</w:t>
            </w:r>
          </w:p>
        </w:tc>
        <w:tc>
          <w:tcPr>
            <w:tcW w:w="1883" w:type="dxa"/>
          </w:tcPr>
          <w:p>
            <w:pPr>
              <w:pStyle w:val="18"/>
              <w:spacing w:before="101"/>
              <w:ind w:left="92" w:right="87"/>
              <w:rPr>
                <w:sz w:val="21"/>
              </w:rPr>
            </w:pPr>
            <w:r>
              <w:rPr>
                <w:sz w:val="21"/>
              </w:rPr>
              <w:t>羊粪、粪渣</w:t>
            </w:r>
          </w:p>
        </w:tc>
        <w:tc>
          <w:tcPr>
            <w:tcW w:w="5961" w:type="dxa"/>
          </w:tcPr>
          <w:p>
            <w:pPr>
              <w:pStyle w:val="18"/>
              <w:spacing w:line="236" w:lineRule="exact"/>
              <w:ind w:left="36" w:right="-15"/>
              <w:jc w:val="left"/>
              <w:rPr>
                <w:sz w:val="21"/>
              </w:rPr>
            </w:pPr>
            <w:r>
              <w:rPr>
                <w:spacing w:val="3"/>
                <w:w w:val="95"/>
                <w:sz w:val="21"/>
              </w:rPr>
              <w:t>羊粪采用干清粪工艺。羊粪成颗粒状，含水率低，清运至</w:t>
            </w:r>
          </w:p>
          <w:p>
            <w:pPr>
              <w:pStyle w:val="18"/>
              <w:spacing w:line="224" w:lineRule="exact"/>
              <w:ind w:left="36"/>
              <w:jc w:val="left"/>
              <w:rPr>
                <w:sz w:val="21"/>
              </w:rPr>
            </w:pPr>
            <w:r>
              <w:rPr>
                <w:sz w:val="21"/>
              </w:rPr>
              <w:t>堆肥厂，制成有机肥外售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1031" w:type="dxa"/>
            <w:vMerge w:val="continue"/>
            <w:tcBorders>
              <w:top w:val="nil"/>
            </w:tcBorders>
          </w:tcPr>
          <w:p>
            <w:pPr>
              <w:rPr>
                <w:sz w:val="2"/>
                <w:szCs w:val="2"/>
              </w:rPr>
            </w:pPr>
          </w:p>
        </w:tc>
        <w:tc>
          <w:tcPr>
            <w:tcW w:w="483" w:type="dxa"/>
            <w:vMerge w:val="continue"/>
            <w:tcBorders>
              <w:top w:val="nil"/>
            </w:tcBorders>
          </w:tcPr>
          <w:p>
            <w:pPr>
              <w:rPr>
                <w:sz w:val="2"/>
                <w:szCs w:val="2"/>
              </w:rPr>
            </w:pPr>
          </w:p>
        </w:tc>
        <w:tc>
          <w:tcPr>
            <w:tcW w:w="1883" w:type="dxa"/>
          </w:tcPr>
          <w:p>
            <w:pPr>
              <w:pStyle w:val="18"/>
              <w:jc w:val="left"/>
              <w:rPr>
                <w:sz w:val="20"/>
              </w:rPr>
            </w:pPr>
          </w:p>
          <w:p>
            <w:pPr>
              <w:pStyle w:val="18"/>
              <w:spacing w:before="1"/>
              <w:jc w:val="left"/>
              <w:rPr>
                <w:sz w:val="16"/>
              </w:rPr>
            </w:pPr>
          </w:p>
          <w:p>
            <w:pPr>
              <w:pStyle w:val="18"/>
              <w:spacing w:before="1"/>
              <w:ind w:left="94" w:right="87"/>
              <w:rPr>
                <w:sz w:val="21"/>
              </w:rPr>
            </w:pPr>
            <w:r>
              <w:rPr>
                <w:sz w:val="21"/>
              </w:rPr>
              <w:t>病死羊及分娩物</w:t>
            </w:r>
          </w:p>
        </w:tc>
        <w:tc>
          <w:tcPr>
            <w:tcW w:w="5961" w:type="dxa"/>
          </w:tcPr>
          <w:p>
            <w:pPr>
              <w:pStyle w:val="18"/>
              <w:spacing w:before="1" w:line="240" w:lineRule="exact"/>
              <w:ind w:left="36" w:right="-15"/>
              <w:jc w:val="left"/>
              <w:rPr>
                <w:sz w:val="21"/>
              </w:rPr>
            </w:pPr>
            <w:r>
              <w:rPr>
                <w:spacing w:val="3"/>
                <w:w w:val="95"/>
                <w:sz w:val="21"/>
              </w:rPr>
              <w:t xml:space="preserve">本项目病死羊采用干化法畜禽无害化处理方式处理，项目 </w:t>
            </w:r>
            <w:r>
              <w:rPr>
                <w:spacing w:val="-2"/>
                <w:sz w:val="21"/>
              </w:rPr>
              <w:t xml:space="preserve">区拟建畜禽无害化处理车间，并购进畜禽无害化处理 </w:t>
            </w:r>
            <w:r>
              <w:rPr>
                <w:rFonts w:ascii="Times New Roman" w:eastAsia="Times New Roman"/>
                <w:sz w:val="21"/>
              </w:rPr>
              <w:t>1</w:t>
            </w:r>
            <w:r>
              <w:rPr>
                <w:rFonts w:ascii="Times New Roman" w:eastAsia="Times New Roman"/>
                <w:spacing w:val="6"/>
                <w:sz w:val="21"/>
              </w:rPr>
              <w:t xml:space="preserve"> </w:t>
            </w:r>
            <w:r>
              <w:rPr>
                <w:spacing w:val="4"/>
                <w:sz w:val="21"/>
              </w:rPr>
              <w:t>吨</w:t>
            </w:r>
            <w:r>
              <w:rPr>
                <w:rFonts w:ascii="Times New Roman" w:eastAsia="Times New Roman"/>
                <w:sz w:val="21"/>
              </w:rPr>
              <w:t xml:space="preserve">/ </w:t>
            </w:r>
            <w:r>
              <w:rPr>
                <w:spacing w:val="-1"/>
                <w:sz w:val="21"/>
              </w:rPr>
              <w:t>次成套设备，采用高温高压灭菌技术，大型动物无需肢解</w:t>
            </w:r>
            <w:r>
              <w:rPr>
                <w:spacing w:val="3"/>
                <w:w w:val="95"/>
                <w:sz w:val="21"/>
              </w:rPr>
              <w:t xml:space="preserve">可直接进行处理，处理后的产物可出售给肉骨粉干品生产 </w:t>
            </w:r>
            <w:r>
              <w:rPr>
                <w:spacing w:val="3"/>
                <w:sz w:val="21"/>
              </w:rPr>
              <w:t>厂和工业用油脂厂，综合利用，符合国家防疫法规要求。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31" w:type="dxa"/>
            <w:vMerge w:val="continue"/>
            <w:tcBorders>
              <w:top w:val="nil"/>
            </w:tcBorders>
          </w:tcPr>
          <w:p>
            <w:pPr>
              <w:rPr>
                <w:sz w:val="2"/>
                <w:szCs w:val="2"/>
              </w:rPr>
            </w:pPr>
          </w:p>
        </w:tc>
        <w:tc>
          <w:tcPr>
            <w:tcW w:w="483" w:type="dxa"/>
            <w:vMerge w:val="continue"/>
            <w:tcBorders>
              <w:top w:val="nil"/>
            </w:tcBorders>
          </w:tcPr>
          <w:p>
            <w:pPr>
              <w:rPr>
                <w:sz w:val="2"/>
                <w:szCs w:val="2"/>
              </w:rPr>
            </w:pPr>
          </w:p>
        </w:tc>
        <w:tc>
          <w:tcPr>
            <w:tcW w:w="1883" w:type="dxa"/>
          </w:tcPr>
          <w:p>
            <w:pPr>
              <w:pStyle w:val="18"/>
              <w:spacing w:before="102"/>
              <w:ind w:left="92" w:right="87"/>
              <w:rPr>
                <w:sz w:val="21"/>
              </w:rPr>
            </w:pPr>
            <w:r>
              <w:rPr>
                <w:sz w:val="21"/>
              </w:rPr>
              <w:t>医疗废物</w:t>
            </w:r>
          </w:p>
        </w:tc>
        <w:tc>
          <w:tcPr>
            <w:tcW w:w="5961" w:type="dxa"/>
          </w:tcPr>
          <w:p>
            <w:pPr>
              <w:pStyle w:val="18"/>
              <w:spacing w:line="240" w:lineRule="exact"/>
              <w:ind w:left="36" w:right="-15"/>
              <w:jc w:val="left"/>
              <w:rPr>
                <w:sz w:val="21"/>
              </w:rPr>
            </w:pPr>
            <w:r>
              <w:rPr>
                <w:spacing w:val="3"/>
                <w:w w:val="95"/>
                <w:sz w:val="21"/>
              </w:rPr>
              <w:t>本项目产生的医疗废物由</w:t>
            </w:r>
            <w:r>
              <w:rPr>
                <w:rFonts w:hint="eastAsia"/>
                <w:spacing w:val="3"/>
                <w:w w:val="95"/>
                <w:sz w:val="21"/>
                <w:lang w:val="en-US" w:eastAsia="zh-CN"/>
              </w:rPr>
              <w:t>莎车</w:t>
            </w:r>
            <w:r>
              <w:rPr>
                <w:spacing w:val="3"/>
                <w:w w:val="95"/>
                <w:sz w:val="21"/>
              </w:rPr>
              <w:t xml:space="preserve">乡兽医站以及村级防疫中心 </w:t>
            </w:r>
            <w:r>
              <w:rPr>
                <w:spacing w:val="3"/>
                <w:sz w:val="21"/>
              </w:rPr>
              <w:t>委托有资质的单位处理处置。</w:t>
            </w:r>
          </w:p>
        </w:tc>
      </w:tr>
    </w:tbl>
    <w:p>
      <w:pPr>
        <w:pStyle w:val="7"/>
        <w:spacing w:before="8"/>
        <w:ind w:left="0"/>
        <w:rPr>
          <w:sz w:val="9"/>
        </w:rPr>
      </w:pPr>
    </w:p>
    <w:p>
      <w:pPr>
        <w:pStyle w:val="5"/>
        <w:numPr>
          <w:ilvl w:val="2"/>
          <w:numId w:val="16"/>
        </w:numPr>
        <w:tabs>
          <w:tab w:val="left" w:pos="1241"/>
        </w:tabs>
        <w:spacing w:before="73" w:after="0" w:line="240" w:lineRule="auto"/>
        <w:ind w:left="1240" w:right="0" w:hanging="701"/>
        <w:jc w:val="left"/>
      </w:pPr>
      <w:bookmarkStart w:id="117" w:name="3.1.5 公用工程"/>
      <w:bookmarkEnd w:id="117"/>
      <w:bookmarkStart w:id="118" w:name="3.1.5 公用工程"/>
      <w:bookmarkEnd w:id="118"/>
      <w:r>
        <w:rPr>
          <w:spacing w:val="-1"/>
          <w:w w:val="95"/>
        </w:rPr>
        <w:t>公用工程</w:t>
      </w:r>
    </w:p>
    <w:p>
      <w:pPr>
        <w:pStyle w:val="7"/>
        <w:spacing w:before="12"/>
        <w:ind w:left="0"/>
        <w:rPr>
          <w:b/>
          <w:sz w:val="21"/>
        </w:rPr>
      </w:pPr>
    </w:p>
    <w:p>
      <w:pPr>
        <w:pStyle w:val="17"/>
        <w:numPr>
          <w:ilvl w:val="3"/>
          <w:numId w:val="17"/>
        </w:numPr>
        <w:tabs>
          <w:tab w:val="left" w:pos="1320"/>
        </w:tabs>
        <w:spacing w:before="0" w:after="0" w:line="240" w:lineRule="auto"/>
        <w:ind w:left="1320" w:right="0" w:hanging="780"/>
        <w:jc w:val="left"/>
        <w:rPr>
          <w:sz w:val="24"/>
        </w:rPr>
      </w:pPr>
      <w:bookmarkStart w:id="119" w:name="3.1.5.1 给水工程"/>
      <w:bookmarkEnd w:id="119"/>
      <w:bookmarkStart w:id="120" w:name="3.1.5.1 给水工程"/>
      <w:bookmarkEnd w:id="120"/>
      <w:r>
        <w:rPr>
          <w:sz w:val="24"/>
        </w:rPr>
        <w:t>给水工程</w:t>
      </w:r>
    </w:p>
    <w:p>
      <w:pPr>
        <w:pStyle w:val="17"/>
        <w:numPr>
          <w:ilvl w:val="4"/>
          <w:numId w:val="17"/>
        </w:numPr>
        <w:tabs>
          <w:tab w:val="left" w:pos="1621"/>
        </w:tabs>
        <w:spacing w:before="168" w:after="0" w:line="240" w:lineRule="auto"/>
        <w:ind w:left="1621" w:right="0" w:hanging="601"/>
        <w:jc w:val="left"/>
        <w:rPr>
          <w:color w:val="0000FF"/>
          <w:sz w:val="24"/>
        </w:rPr>
      </w:pPr>
      <w:r>
        <w:rPr>
          <w:color w:val="0000FF"/>
          <w:sz w:val="24"/>
        </w:rPr>
        <w:t>水源</w:t>
      </w:r>
    </w:p>
    <w:p>
      <w:pPr>
        <w:pStyle w:val="7"/>
        <w:spacing w:before="160"/>
        <w:ind w:left="1020"/>
        <w:rPr>
          <w:color w:val="0000FF"/>
        </w:rPr>
      </w:pPr>
      <w:r>
        <w:rPr>
          <w:color w:val="0000FF"/>
        </w:rPr>
        <w:t>项目区供水由农村安全饮用水供水管网供给，可保证养殖场日常用水。</w:t>
      </w:r>
    </w:p>
    <w:p>
      <w:pPr>
        <w:pStyle w:val="17"/>
        <w:numPr>
          <w:ilvl w:val="4"/>
          <w:numId w:val="17"/>
        </w:numPr>
        <w:tabs>
          <w:tab w:val="left" w:pos="1621"/>
        </w:tabs>
        <w:spacing w:before="161" w:after="0" w:line="240" w:lineRule="auto"/>
        <w:ind w:left="1621" w:right="0" w:hanging="601"/>
        <w:jc w:val="left"/>
        <w:rPr>
          <w:color w:val="0000FF"/>
          <w:sz w:val="24"/>
        </w:rPr>
      </w:pPr>
      <w:r>
        <w:rPr>
          <w:color w:val="0000FF"/>
          <w:sz w:val="24"/>
        </w:rPr>
        <w:t>本项目总工程给水量估算</w:t>
      </w:r>
    </w:p>
    <w:p>
      <w:pPr>
        <w:pStyle w:val="7"/>
        <w:spacing w:before="160" w:line="364" w:lineRule="auto"/>
        <w:ind w:right="577" w:firstLine="480"/>
        <w:rPr>
          <w:color w:val="0000FF"/>
        </w:rPr>
      </w:pPr>
      <w:r>
        <w:rPr>
          <w:color w:val="0000FF"/>
          <w:spacing w:val="-7"/>
        </w:rPr>
        <w:t>本项目职工均为周边村镇村民，均不在项目区内食宿，用水主要包括羊饮用</w:t>
      </w:r>
      <w:r>
        <w:rPr>
          <w:color w:val="0000FF"/>
        </w:rPr>
        <w:t>水、消毒用水和绿化用水。</w:t>
      </w:r>
    </w:p>
    <w:p>
      <w:pPr>
        <w:pStyle w:val="7"/>
        <w:spacing w:before="2" w:line="364" w:lineRule="auto"/>
        <w:ind w:right="577" w:firstLine="480"/>
        <w:jc w:val="both"/>
        <w:rPr>
          <w:color w:val="0000FF"/>
        </w:rPr>
      </w:pPr>
      <w:r>
        <w:rPr>
          <w:color w:val="0000FF"/>
          <w:spacing w:val="-4"/>
        </w:rPr>
        <w:t>①羊饮用水：项目年存栏种羊</w:t>
      </w:r>
      <w:r>
        <w:rPr>
          <w:rFonts w:hint="eastAsia" w:ascii="Times New Roman" w:hAnsi="Times New Roman" w:eastAsia="宋体"/>
          <w:color w:val="0000FF"/>
          <w:lang w:val="en-US" w:eastAsia="zh-CN"/>
        </w:rPr>
        <w:t>10</w:t>
      </w:r>
      <w:r>
        <w:rPr>
          <w:color w:val="0000FF"/>
          <w:spacing w:val="-1"/>
        </w:rPr>
        <w:t>万头，根据《新疆维吾尔自治区生活用水</w:t>
      </w:r>
      <w:r>
        <w:rPr>
          <w:color w:val="0000FF"/>
          <w:spacing w:val="-4"/>
        </w:rPr>
        <w:t>定额》中小牲畜用水定额为</w:t>
      </w:r>
      <w:r>
        <w:rPr>
          <w:rFonts w:ascii="Times New Roman" w:hAnsi="Times New Roman" w:eastAsia="Times New Roman"/>
          <w:color w:val="0000FF"/>
        </w:rPr>
        <w:t>8L/</w:t>
      </w:r>
      <w:r>
        <w:rPr>
          <w:color w:val="0000FF"/>
        </w:rPr>
        <w:t>（只</w:t>
      </w:r>
      <w:r>
        <w:rPr>
          <w:rFonts w:ascii="Times New Roman" w:hAnsi="Times New Roman" w:eastAsia="Times New Roman"/>
          <w:color w:val="0000FF"/>
        </w:rPr>
        <w:t>•d</w:t>
      </w:r>
      <w:r>
        <w:rPr>
          <w:color w:val="0000FF"/>
        </w:rPr>
        <w:t>），</w:t>
      </w:r>
      <w:r>
        <w:rPr>
          <w:color w:val="0000FF"/>
          <w:spacing w:val="-1"/>
        </w:rPr>
        <w:t>为新鲜用水。项目全年羊育肥饲养时</w:t>
      </w:r>
      <w:r>
        <w:rPr>
          <w:color w:val="0000FF"/>
          <w:spacing w:val="-20"/>
        </w:rPr>
        <w:t>间按</w:t>
      </w:r>
      <w:r>
        <w:rPr>
          <w:rFonts w:ascii="Times New Roman" w:hAnsi="Times New Roman" w:eastAsia="Times New Roman"/>
          <w:color w:val="0000FF"/>
        </w:rPr>
        <w:t>365</w:t>
      </w:r>
      <w:r>
        <w:rPr>
          <w:color w:val="0000FF"/>
          <w:spacing w:val="-6"/>
        </w:rPr>
        <w:t>天计，则总饮水量为</w:t>
      </w:r>
      <w:r>
        <w:rPr>
          <w:rFonts w:hint="eastAsia"/>
          <w:color w:val="0000FF"/>
          <w:spacing w:val="-6"/>
          <w:lang w:val="en-US" w:eastAsia="zh-CN"/>
        </w:rPr>
        <w:t>292000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p>
    <w:p>
      <w:pPr>
        <w:pStyle w:val="7"/>
        <w:spacing w:before="1" w:line="364" w:lineRule="auto"/>
        <w:ind w:right="455" w:firstLine="480"/>
        <w:rPr>
          <w:color w:val="0000FF"/>
        </w:rPr>
      </w:pPr>
      <w:r>
        <w:rPr>
          <w:color w:val="0000FF"/>
        </w:rPr>
        <w:t>②消毒用水：项目进场需对车辆进行消毒处理，设置消毒池，每车消毒耗</w:t>
      </w:r>
      <w:r>
        <w:rPr>
          <w:color w:val="0000FF"/>
          <w:spacing w:val="-15"/>
        </w:rPr>
        <w:t>水约为</w:t>
      </w:r>
      <w:r>
        <w:rPr>
          <w:rFonts w:ascii="Times New Roman" w:hAnsi="Times New Roman" w:eastAsia="Times New Roman"/>
          <w:color w:val="0000FF"/>
          <w:spacing w:val="-4"/>
        </w:rPr>
        <w:t>0.05m</w:t>
      </w:r>
      <w:r>
        <w:rPr>
          <w:rFonts w:ascii="Times New Roman" w:hAnsi="Times New Roman" w:eastAsia="Times New Roman"/>
          <w:color w:val="0000FF"/>
          <w:spacing w:val="-4"/>
          <w:position w:val="8"/>
          <w:sz w:val="15"/>
        </w:rPr>
        <w:t>3</w:t>
      </w:r>
      <w:r>
        <w:rPr>
          <w:color w:val="0000FF"/>
          <w:spacing w:val="-7"/>
        </w:rPr>
        <w:t>，进入厂区车辆平均约</w:t>
      </w:r>
      <w:r>
        <w:rPr>
          <w:rFonts w:ascii="Times New Roman" w:hAnsi="Times New Roman" w:eastAsia="Times New Roman"/>
          <w:color w:val="0000FF"/>
        </w:rPr>
        <w:t>2</w:t>
      </w:r>
      <w:r>
        <w:rPr>
          <w:color w:val="0000FF"/>
        </w:rPr>
        <w:t>辆</w:t>
      </w:r>
      <w:r>
        <w:rPr>
          <w:rFonts w:ascii="Times New Roman" w:hAnsi="Times New Roman" w:eastAsia="Times New Roman"/>
          <w:color w:val="0000FF"/>
          <w:spacing w:val="-6"/>
        </w:rPr>
        <w:t>/d</w:t>
      </w:r>
      <w:r>
        <w:rPr>
          <w:color w:val="0000FF"/>
          <w:spacing w:val="-7"/>
        </w:rPr>
        <w:t>，则每天车辆消毒用水量为</w:t>
      </w:r>
      <w:r>
        <w:rPr>
          <w:rFonts w:ascii="Times New Roman" w:hAnsi="Times New Roman" w:eastAsia="Times New Roman"/>
          <w:color w:val="0000FF"/>
        </w:rPr>
        <w:t>0.1m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spacing w:val="-13"/>
        </w:rPr>
        <w:t>。</w:t>
      </w:r>
      <w:r>
        <w:rPr>
          <w:color w:val="0000FF"/>
        </w:rPr>
        <w:t>消毒用水量较小，不会在厂区形成径流，随之蒸发。</w:t>
      </w:r>
    </w:p>
    <w:p>
      <w:pPr>
        <w:pStyle w:val="7"/>
        <w:spacing w:before="2" w:line="364" w:lineRule="auto"/>
        <w:ind w:right="572" w:firstLine="480"/>
        <w:jc w:val="both"/>
        <w:rPr>
          <w:color w:val="0000FF"/>
        </w:rPr>
      </w:pPr>
      <w:r>
        <w:rPr>
          <w:color w:val="0000FF"/>
          <w:spacing w:val="-4"/>
        </w:rPr>
        <w:t>③绿化用水：</w:t>
      </w:r>
      <w:r>
        <w:rPr>
          <w:rFonts w:hint="eastAsia" w:ascii="Times New Roman" w:hAnsi="Times New Roman" w:eastAsia="宋体" w:cs="Times New Roman"/>
          <w:color w:val="0000FF"/>
          <w:sz w:val="24"/>
          <w:lang w:val="en-US" w:eastAsia="zh-CN"/>
        </w:rPr>
        <w:t>项目建成后将形成</w:t>
      </w:r>
      <w:r>
        <w:rPr>
          <w:rFonts w:hint="eastAsia" w:ascii="Times New Roman" w:hAnsi="Times New Roman" w:cs="Times New Roman"/>
          <w:color w:val="0000FF"/>
          <w:sz w:val="24"/>
          <w:lang w:val="en-US" w:eastAsia="zh-CN"/>
        </w:rPr>
        <w:t>4.66</w:t>
      </w:r>
      <w:r>
        <w:rPr>
          <w:rFonts w:hint="eastAsia" w:ascii="Times New Roman" w:hAnsi="Times New Roman" w:eastAsia="宋体" w:cs="Times New Roman"/>
          <w:color w:val="0000FF"/>
          <w:sz w:val="24"/>
          <w:lang w:val="en-US" w:eastAsia="zh-CN"/>
        </w:rPr>
        <w:t>亩（约合</w:t>
      </w:r>
      <w:r>
        <w:rPr>
          <w:rFonts w:hint="eastAsia" w:ascii="Times New Roman" w:hAnsi="Times New Roman" w:cs="Times New Roman"/>
          <w:color w:val="0000FF"/>
          <w:sz w:val="24"/>
          <w:lang w:val="en-US" w:eastAsia="zh-CN"/>
        </w:rPr>
        <w:t>3109.5</w:t>
      </w:r>
      <w:r>
        <w:rPr>
          <w:rFonts w:hint="eastAsia" w:ascii="Times New Roman" w:hAnsi="Times New Roman" w:eastAsia="宋体" w:cs="Times New Roman"/>
          <w:color w:val="0000FF"/>
          <w:sz w:val="24"/>
          <w:lang w:val="en-US" w:eastAsia="zh-CN"/>
        </w:rPr>
        <w:t>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lang w:val="en-US" w:eastAsia="zh-CN"/>
        </w:rPr>
        <w:t>）绿化，绿化率15%</w:t>
      </w:r>
      <w:r>
        <w:rPr>
          <w:color w:val="0000FF"/>
        </w:rPr>
        <w:t>，</w:t>
      </w:r>
      <w:r>
        <w:rPr>
          <w:color w:val="0000FF"/>
          <w:spacing w:val="-2"/>
        </w:rPr>
        <w:t>根据《新疆维</w:t>
      </w:r>
      <w:r>
        <w:rPr>
          <w:color w:val="0000FF"/>
          <w:spacing w:val="-7"/>
        </w:rPr>
        <w:t>吾尔自治区生活用水定额》，南疆绿化用水定额为</w:t>
      </w:r>
      <w:r>
        <w:rPr>
          <w:rFonts w:ascii="Times New Roman" w:hAnsi="Times New Roman" w:eastAsia="Times New Roman"/>
          <w:color w:val="0000FF"/>
        </w:rPr>
        <w:t>500</w:t>
      </w:r>
      <w:r>
        <w:rPr>
          <w:color w:val="0000FF"/>
        </w:rPr>
        <w:t>～</w:t>
      </w:r>
      <w:r>
        <w:rPr>
          <w:rFonts w:ascii="Times New Roman" w:hAnsi="Times New Roman" w:eastAsia="Times New Roman"/>
          <w:color w:val="0000FF"/>
        </w:rPr>
        <w:t>600m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（亩</w:t>
      </w:r>
      <w:r>
        <w:rPr>
          <w:rFonts w:ascii="Times New Roman" w:hAnsi="Times New Roman" w:eastAsia="Times New Roman"/>
          <w:color w:val="0000FF"/>
        </w:rPr>
        <w:t>•</w:t>
      </w:r>
      <w:r>
        <w:rPr>
          <w:color w:val="0000FF"/>
        </w:rPr>
        <w:t>年</w:t>
      </w:r>
      <w:r>
        <w:rPr>
          <w:color w:val="0000FF"/>
          <w:spacing w:val="-19"/>
        </w:rPr>
        <w:t>）</w:t>
      </w:r>
      <w:r>
        <w:rPr>
          <w:color w:val="0000FF"/>
          <w:spacing w:val="-7"/>
        </w:rPr>
        <w:t>，此处</w:t>
      </w:r>
      <w:r>
        <w:rPr>
          <w:color w:val="0000FF"/>
          <w:spacing w:val="-26"/>
        </w:rPr>
        <w:t>取</w:t>
      </w:r>
      <w:r>
        <w:rPr>
          <w:rFonts w:ascii="Times New Roman" w:hAnsi="Times New Roman" w:eastAsia="Times New Roman"/>
          <w:color w:val="0000FF"/>
          <w:spacing w:val="-3"/>
        </w:rPr>
        <w:t>500m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w:t>
      </w:r>
      <w:r>
        <w:rPr>
          <w:color w:val="0000FF"/>
          <w:spacing w:val="-3"/>
        </w:rPr>
        <w:t>（</w:t>
      </w:r>
      <w:r>
        <w:rPr>
          <w:color w:val="0000FF"/>
        </w:rPr>
        <w:t>亩</w:t>
      </w:r>
      <w:r>
        <w:rPr>
          <w:rFonts w:ascii="Times New Roman" w:hAnsi="Times New Roman" w:eastAsia="Times New Roman"/>
          <w:color w:val="0000FF"/>
        </w:rPr>
        <w:t>•</w:t>
      </w:r>
      <w:r>
        <w:rPr>
          <w:color w:val="0000FF"/>
        </w:rPr>
        <w:t>年</w:t>
      </w:r>
      <w:r>
        <w:rPr>
          <w:color w:val="0000FF"/>
          <w:spacing w:val="-14"/>
        </w:rPr>
        <w:t>）</w:t>
      </w:r>
      <w:r>
        <w:rPr>
          <w:color w:val="0000FF"/>
          <w:spacing w:val="-8"/>
        </w:rPr>
        <w:t>，则运营期年用水量约</w:t>
      </w:r>
      <w:r>
        <w:rPr>
          <w:rFonts w:hint="eastAsia"/>
          <w:color w:val="0000FF"/>
          <w:spacing w:val="-8"/>
          <w:lang w:val="en-US" w:eastAsia="zh-CN"/>
        </w:rPr>
        <w:t>2330</w:t>
      </w:r>
      <w:r>
        <w:rPr>
          <w:rFonts w:ascii="Times New Roman" w:hAnsi="Times New Roman" w:eastAsia="Times New Roman"/>
          <w:color w:val="0000FF"/>
          <w:spacing w:val="-3"/>
        </w:rPr>
        <w:t>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/a</w:t>
      </w:r>
      <w:r>
        <w:rPr>
          <w:color w:val="0000FF"/>
          <w:spacing w:val="-3"/>
        </w:rPr>
        <w:t>（</w:t>
      </w:r>
      <w:r>
        <w:rPr>
          <w:rFonts w:hint="eastAsia" w:ascii="Times New Roman" w:hAnsi="Times New Roman" w:eastAsia="宋体"/>
          <w:color w:val="0000FF"/>
          <w:spacing w:val="-3"/>
          <w:lang w:val="en-US" w:eastAsia="zh-CN"/>
        </w:rPr>
        <w:t>90.4</w:t>
      </w:r>
      <w:r>
        <w:rPr>
          <w:rFonts w:ascii="Times New Roman" w:hAnsi="Times New Roman" w:eastAsia="Times New Roman"/>
          <w:color w:val="0000FF"/>
          <w:spacing w:val="-3"/>
        </w:rPr>
        <w:t>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/d</w:t>
      </w:r>
      <w:r>
        <w:rPr>
          <w:color w:val="0000FF"/>
          <w:spacing w:val="-3"/>
        </w:rPr>
        <w:t>）</w:t>
      </w:r>
      <w:r>
        <w:rPr>
          <w:color w:val="0000FF"/>
          <w:spacing w:val="-2"/>
        </w:rPr>
        <w:t>，绿化用水全部被植物和土壤吸收。</w:t>
      </w:r>
    </w:p>
    <w:p>
      <w:pPr>
        <w:pStyle w:val="17"/>
        <w:numPr>
          <w:ilvl w:val="3"/>
          <w:numId w:val="17"/>
        </w:numPr>
        <w:tabs>
          <w:tab w:val="left" w:pos="1320"/>
        </w:tabs>
        <w:spacing w:before="12" w:after="0" w:line="240" w:lineRule="auto"/>
        <w:ind w:left="1320" w:right="0" w:hanging="780"/>
        <w:jc w:val="left"/>
        <w:rPr>
          <w:sz w:val="24"/>
        </w:rPr>
      </w:pPr>
      <w:bookmarkStart w:id="121" w:name="3.1.5.2 排水工程"/>
      <w:bookmarkEnd w:id="121"/>
      <w:bookmarkStart w:id="122" w:name="3.1.5.2 排水工程"/>
      <w:bookmarkEnd w:id="122"/>
      <w:r>
        <w:rPr>
          <w:sz w:val="24"/>
        </w:rPr>
        <w:t>排水工程</w:t>
      </w:r>
    </w:p>
    <w:p>
      <w:pPr>
        <w:pStyle w:val="7"/>
        <w:keepNext w:val="0"/>
        <w:keepLines w:val="0"/>
        <w:pageBreakBefore w:val="0"/>
        <w:widowControl w:val="0"/>
        <w:kinsoku/>
        <w:wordWrap/>
        <w:overflowPunct/>
        <w:topLinePunct w:val="0"/>
        <w:autoSpaceDE w:val="0"/>
        <w:autoSpaceDN w:val="0"/>
        <w:bidi w:val="0"/>
        <w:adjustRightInd/>
        <w:snapToGrid/>
        <w:spacing w:before="168" w:line="365" w:lineRule="auto"/>
        <w:ind w:left="539" w:right="577" w:firstLine="482"/>
        <w:jc w:val="both"/>
        <w:textAlignment w:val="auto"/>
        <w:rPr>
          <w:color w:val="0000FF"/>
        </w:rPr>
      </w:pPr>
      <w:r>
        <w:rPr>
          <w:color w:val="0000FF"/>
          <w:spacing w:val="-7"/>
        </w:rPr>
        <w:t>本项目根据养殖场内地形，基地场地排水采用无组织排水。在施工中将场地</w:t>
      </w:r>
      <w:r>
        <w:rPr>
          <w:color w:val="0000FF"/>
          <w:spacing w:val="-10"/>
        </w:rPr>
        <w:t>适当填方，略高于周围地坪，以使建筑有良好的视角，并为雨水的排放提供便利</w:t>
      </w:r>
      <w:r>
        <w:rPr>
          <w:color w:val="0000FF"/>
        </w:rPr>
        <w:t>条件，地表雨水均排入周围绿化带。</w:t>
      </w:r>
    </w:p>
    <w:p>
      <w:pPr>
        <w:pStyle w:val="7"/>
        <w:keepNext w:val="0"/>
        <w:keepLines w:val="0"/>
        <w:pageBreakBefore w:val="0"/>
        <w:widowControl w:val="0"/>
        <w:kinsoku/>
        <w:wordWrap/>
        <w:overflowPunct/>
        <w:topLinePunct w:val="0"/>
        <w:autoSpaceDE w:val="0"/>
        <w:autoSpaceDN w:val="0"/>
        <w:bidi w:val="0"/>
        <w:adjustRightInd/>
        <w:snapToGrid/>
        <w:spacing w:before="2" w:line="365" w:lineRule="auto"/>
        <w:ind w:left="539" w:right="457" w:firstLine="482"/>
        <w:jc w:val="both"/>
        <w:textAlignment w:val="auto"/>
        <w:rPr>
          <w:color w:val="0000FF"/>
        </w:rPr>
      </w:pPr>
      <w:r>
        <w:rPr>
          <w:color w:val="0000FF"/>
          <w:spacing w:val="-7"/>
        </w:rPr>
        <w:t>本项目采用干清粪工艺，不产生圈舍冲洗废水；羊饮水一部分参与羊的新陈</w:t>
      </w:r>
      <w:r>
        <w:rPr>
          <w:color w:val="0000FF"/>
          <w:spacing w:val="-11"/>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24090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p>
    <w:p>
      <w:pPr>
        <w:pStyle w:val="7"/>
        <w:keepNext w:val="0"/>
        <w:keepLines w:val="0"/>
        <w:pageBreakBefore w:val="0"/>
        <w:widowControl w:val="0"/>
        <w:kinsoku/>
        <w:wordWrap/>
        <w:overflowPunct/>
        <w:topLinePunct w:val="0"/>
        <w:autoSpaceDE w:val="0"/>
        <w:autoSpaceDN w:val="0"/>
        <w:bidi w:val="0"/>
        <w:adjustRightInd/>
        <w:snapToGrid/>
        <w:spacing w:before="3" w:line="365" w:lineRule="auto"/>
        <w:ind w:left="539" w:right="577" w:firstLine="482"/>
        <w:jc w:val="both"/>
        <w:textAlignment w:val="auto"/>
        <w:rPr>
          <w:color w:val="0000FF"/>
        </w:rPr>
      </w:pPr>
      <w:r>
        <w:rPr>
          <w:color w:val="0000FF"/>
          <w:spacing w:val="-4"/>
        </w:rPr>
        <w:t>养殖场每栋羊舍地面为混凝土地面，上端覆盖</w:t>
      </w:r>
      <w:r>
        <w:rPr>
          <w:rFonts w:ascii="Times New Roman" w:eastAsia="Times New Roman"/>
          <w:color w:val="0000FF"/>
        </w:rPr>
        <w:t>35cm</w:t>
      </w:r>
      <w:r>
        <w:rPr>
          <w:color w:val="0000FF"/>
          <w:spacing w:val="-6"/>
        </w:rPr>
        <w:t>厚垫料，铺设垫床一般</w:t>
      </w:r>
      <w:r>
        <w:rPr>
          <w:color w:val="0000FF"/>
          <w:spacing w:val="-9"/>
        </w:rPr>
        <w:t>采用废气杂草、农作物秸秆粉、锯末等农业材料，羊排泄的尿液被垫料吸收、蒸发，项目定期对垫料层和粪便进行清理更换，不需要对畜舍进行冲洗，无冲栏废</w:t>
      </w:r>
      <w:r>
        <w:rPr>
          <w:color w:val="0000FF"/>
          <w:spacing w:val="-10"/>
        </w:rPr>
        <w:t>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spacing w:before="2"/>
        <w:ind w:left="1020"/>
      </w:pPr>
      <w:r>
        <w:t>项目给排水情况见表</w:t>
      </w:r>
      <w:r>
        <w:rPr>
          <w:rFonts w:ascii="Times New Roman" w:eastAsia="Times New Roman"/>
        </w:rPr>
        <w:t>3.1-5</w:t>
      </w:r>
      <w:r>
        <w:t>，项目水平衡图见图</w:t>
      </w:r>
      <w:r>
        <w:rPr>
          <w:rFonts w:ascii="Times New Roman" w:eastAsia="Times New Roman"/>
        </w:rPr>
        <w:t>3.1-3</w:t>
      </w:r>
      <w:r>
        <w:t>。</w:t>
      </w:r>
    </w:p>
    <w:p>
      <w:pPr>
        <w:pStyle w:val="7"/>
        <w:bidi w:val="0"/>
        <w:jc w:val="center"/>
      </w:pPr>
      <w:r>
        <w:t>表</w:t>
      </w:r>
      <w:r>
        <w:rPr>
          <w:rFonts w:ascii="Times New Roman" w:eastAsia="Times New Roman"/>
        </w:rPr>
        <w:t>3.1-5</w:t>
      </w:r>
      <w:r>
        <w:rPr>
          <w:rFonts w:ascii="Times New Roman" w:eastAsia="Times New Roman"/>
        </w:rPr>
        <w:tab/>
      </w:r>
      <w:r>
        <w:t>项目给排水情况表</w:t>
      </w:r>
    </w:p>
    <w:p>
      <w:pPr>
        <w:pStyle w:val="7"/>
        <w:spacing w:before="3"/>
        <w:ind w:left="0"/>
        <w:rPr>
          <w:b/>
          <w:sz w:val="6"/>
        </w:rPr>
      </w:pP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388"/>
        <w:gridCol w:w="1287"/>
        <w:gridCol w:w="1565"/>
        <w:gridCol w:w="1643"/>
        <w:gridCol w:w="1055"/>
        <w:gridCol w:w="1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96" w:type="dxa"/>
          </w:tcPr>
          <w:p>
            <w:pPr>
              <w:pStyle w:val="18"/>
              <w:spacing w:before="1" w:line="270" w:lineRule="atLeast"/>
              <w:ind w:left="142" w:right="132"/>
              <w:jc w:val="left"/>
              <w:rPr>
                <w:b/>
                <w:sz w:val="21"/>
              </w:rPr>
            </w:pPr>
            <w:r>
              <w:rPr>
                <w:b/>
                <w:sz w:val="21"/>
              </w:rPr>
              <w:t>序号</w:t>
            </w:r>
          </w:p>
        </w:tc>
        <w:tc>
          <w:tcPr>
            <w:tcW w:w="1388" w:type="dxa"/>
          </w:tcPr>
          <w:p>
            <w:pPr>
              <w:pStyle w:val="18"/>
              <w:spacing w:before="136"/>
              <w:ind w:left="147" w:right="137"/>
              <w:rPr>
                <w:b/>
                <w:sz w:val="21"/>
              </w:rPr>
            </w:pPr>
            <w:r>
              <w:rPr>
                <w:b/>
                <w:sz w:val="21"/>
              </w:rPr>
              <w:t>项目</w:t>
            </w:r>
          </w:p>
        </w:tc>
        <w:tc>
          <w:tcPr>
            <w:tcW w:w="1287" w:type="dxa"/>
          </w:tcPr>
          <w:p>
            <w:pPr>
              <w:pStyle w:val="18"/>
              <w:spacing w:before="136"/>
              <w:ind w:left="201" w:right="192"/>
              <w:rPr>
                <w:b/>
                <w:sz w:val="21"/>
              </w:rPr>
            </w:pPr>
            <w:r>
              <w:rPr>
                <w:b/>
                <w:sz w:val="21"/>
              </w:rPr>
              <w:t>单位数量</w:t>
            </w:r>
          </w:p>
        </w:tc>
        <w:tc>
          <w:tcPr>
            <w:tcW w:w="1565" w:type="dxa"/>
          </w:tcPr>
          <w:p>
            <w:pPr>
              <w:pStyle w:val="18"/>
              <w:spacing w:before="136"/>
              <w:ind w:left="108" w:right="97"/>
              <w:rPr>
                <w:b/>
                <w:sz w:val="21"/>
              </w:rPr>
            </w:pPr>
            <w:r>
              <w:rPr>
                <w:b/>
                <w:sz w:val="21"/>
              </w:rPr>
              <w:t>用水量标准</w:t>
            </w:r>
          </w:p>
        </w:tc>
        <w:tc>
          <w:tcPr>
            <w:tcW w:w="1643" w:type="dxa"/>
          </w:tcPr>
          <w:p>
            <w:pPr>
              <w:pStyle w:val="18"/>
              <w:spacing w:before="136"/>
              <w:ind w:left="90" w:right="45"/>
              <w:rPr>
                <w:b/>
                <w:sz w:val="21"/>
              </w:rPr>
            </w:pPr>
            <w:r>
              <w:rPr>
                <w:b/>
                <w:sz w:val="21"/>
              </w:rPr>
              <w:t>用水量（</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c>
          <w:tcPr>
            <w:tcW w:w="1055" w:type="dxa"/>
          </w:tcPr>
          <w:p>
            <w:pPr>
              <w:pStyle w:val="18"/>
              <w:spacing w:before="14" w:line="255" w:lineRule="exact"/>
              <w:ind w:left="212"/>
              <w:jc w:val="left"/>
              <w:rPr>
                <w:b/>
                <w:sz w:val="21"/>
              </w:rPr>
            </w:pPr>
            <w:r>
              <w:rPr>
                <w:b/>
                <w:sz w:val="21"/>
              </w:rPr>
              <w:t>损耗量</w:t>
            </w:r>
          </w:p>
          <w:p>
            <w:pPr>
              <w:pStyle w:val="18"/>
              <w:spacing w:line="255" w:lineRule="exact"/>
              <w:ind w:left="114"/>
              <w:jc w:val="left"/>
              <w:rPr>
                <w:b/>
                <w:sz w:val="21"/>
              </w:rPr>
            </w:pP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c>
          <w:tcPr>
            <w:tcW w:w="1085" w:type="dxa"/>
          </w:tcPr>
          <w:p>
            <w:pPr>
              <w:pStyle w:val="18"/>
              <w:spacing w:before="14" w:line="255" w:lineRule="exact"/>
              <w:ind w:left="225"/>
              <w:jc w:val="left"/>
              <w:rPr>
                <w:b/>
                <w:sz w:val="21"/>
              </w:rPr>
            </w:pPr>
            <w:r>
              <w:rPr>
                <w:b/>
                <w:sz w:val="21"/>
              </w:rPr>
              <w:t>排水量</w:t>
            </w:r>
          </w:p>
          <w:p>
            <w:pPr>
              <w:pStyle w:val="18"/>
              <w:spacing w:line="255" w:lineRule="exact"/>
              <w:ind w:left="129"/>
              <w:jc w:val="left"/>
              <w:rPr>
                <w:b/>
                <w:sz w:val="21"/>
              </w:rPr>
            </w:pP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8"/>
              <w:spacing w:before="44"/>
              <w:ind w:right="183"/>
              <w:jc w:val="right"/>
              <w:rPr>
                <w:rFonts w:ascii="Times New Roman"/>
                <w:sz w:val="21"/>
              </w:rPr>
            </w:pPr>
            <w:r>
              <w:rPr>
                <w:rFonts w:ascii="Times New Roman"/>
                <w:w w:val="99"/>
                <w:sz w:val="21"/>
              </w:rPr>
              <w:t>1</w:t>
            </w:r>
          </w:p>
        </w:tc>
        <w:tc>
          <w:tcPr>
            <w:tcW w:w="1388" w:type="dxa"/>
          </w:tcPr>
          <w:p>
            <w:pPr>
              <w:pStyle w:val="18"/>
              <w:spacing w:before="27"/>
              <w:ind w:left="147" w:right="141"/>
              <w:rPr>
                <w:color w:val="0000FF"/>
                <w:sz w:val="21"/>
              </w:rPr>
            </w:pPr>
            <w:r>
              <w:rPr>
                <w:color w:val="0000FF"/>
                <w:sz w:val="21"/>
              </w:rPr>
              <w:t>羊饮用水量</w:t>
            </w:r>
          </w:p>
        </w:tc>
        <w:tc>
          <w:tcPr>
            <w:tcW w:w="1287" w:type="dxa"/>
          </w:tcPr>
          <w:p>
            <w:pPr>
              <w:pStyle w:val="18"/>
              <w:spacing w:before="27"/>
              <w:ind w:left="201" w:right="192"/>
              <w:rPr>
                <w:color w:val="0000FF"/>
                <w:sz w:val="21"/>
              </w:rPr>
            </w:pPr>
            <w:r>
              <w:rPr>
                <w:rFonts w:hint="eastAsia" w:ascii="Times New Roman" w:eastAsia="宋体"/>
                <w:color w:val="0000FF"/>
                <w:sz w:val="21"/>
                <w:lang w:val="en-US" w:eastAsia="zh-CN"/>
              </w:rPr>
              <w:t>100000</w:t>
            </w:r>
            <w:r>
              <w:rPr>
                <w:color w:val="0000FF"/>
                <w:sz w:val="21"/>
              </w:rPr>
              <w:t>头</w:t>
            </w:r>
          </w:p>
        </w:tc>
        <w:tc>
          <w:tcPr>
            <w:tcW w:w="1565" w:type="dxa"/>
          </w:tcPr>
          <w:p>
            <w:pPr>
              <w:pStyle w:val="18"/>
              <w:spacing w:before="27"/>
              <w:ind w:left="108" w:right="97"/>
              <w:rPr>
                <w:color w:val="0000FF"/>
                <w:sz w:val="21"/>
              </w:rPr>
            </w:pPr>
            <w:r>
              <w:rPr>
                <w:rFonts w:ascii="Times New Roman" w:hAnsi="Times New Roman" w:eastAsia="Times New Roman"/>
                <w:color w:val="0000FF"/>
                <w:sz w:val="21"/>
              </w:rPr>
              <w:t>8L/</w:t>
            </w:r>
            <w:r>
              <w:rPr>
                <w:color w:val="0000FF"/>
                <w:sz w:val="21"/>
              </w:rPr>
              <w:t>（只</w:t>
            </w:r>
            <w:r>
              <w:rPr>
                <w:rFonts w:ascii="Times New Roman" w:hAnsi="Times New Roman" w:eastAsia="Times New Roman"/>
                <w:color w:val="0000FF"/>
                <w:sz w:val="21"/>
              </w:rPr>
              <w:t>•d</w:t>
            </w:r>
            <w:r>
              <w:rPr>
                <w:color w:val="0000FF"/>
                <w:sz w:val="21"/>
              </w:rPr>
              <w:t>）</w:t>
            </w:r>
          </w:p>
        </w:tc>
        <w:tc>
          <w:tcPr>
            <w:tcW w:w="1643" w:type="dxa"/>
          </w:tcPr>
          <w:p>
            <w:pPr>
              <w:pStyle w:val="18"/>
              <w:spacing w:before="44"/>
              <w:ind w:left="55" w:right="45"/>
              <w:rPr>
                <w:rFonts w:ascii="Times New Roman"/>
                <w:color w:val="0000FF"/>
                <w:sz w:val="21"/>
              </w:rPr>
            </w:pPr>
            <w:r>
              <w:rPr>
                <w:rFonts w:hint="eastAsia"/>
                <w:color w:val="0000FF"/>
                <w:spacing w:val="-6"/>
                <w:lang w:val="en-US" w:eastAsia="zh-CN"/>
              </w:rPr>
              <w:t>292000</w:t>
            </w:r>
          </w:p>
        </w:tc>
        <w:tc>
          <w:tcPr>
            <w:tcW w:w="1055" w:type="dxa"/>
          </w:tcPr>
          <w:p>
            <w:pPr>
              <w:pStyle w:val="18"/>
              <w:spacing w:before="44"/>
              <w:ind w:left="113" w:right="103"/>
              <w:rPr>
                <w:rFonts w:ascii="Times New Roman"/>
                <w:color w:val="0000FF"/>
                <w:sz w:val="21"/>
              </w:rPr>
            </w:pPr>
            <w:r>
              <w:rPr>
                <w:rFonts w:ascii="Times New Roman"/>
                <w:color w:val="0000FF"/>
                <w:sz w:val="21"/>
              </w:rPr>
              <w:t>80373</w:t>
            </w:r>
          </w:p>
        </w:tc>
        <w:tc>
          <w:tcPr>
            <w:tcW w:w="1085" w:type="dxa"/>
          </w:tcPr>
          <w:p>
            <w:pPr>
              <w:pStyle w:val="18"/>
              <w:spacing w:before="44"/>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8"/>
              <w:spacing w:before="42"/>
              <w:ind w:right="183"/>
              <w:jc w:val="right"/>
              <w:rPr>
                <w:rFonts w:ascii="Times New Roman"/>
                <w:sz w:val="21"/>
              </w:rPr>
            </w:pPr>
            <w:r>
              <w:rPr>
                <w:rFonts w:ascii="Times New Roman"/>
                <w:w w:val="99"/>
                <w:sz w:val="21"/>
              </w:rPr>
              <w:t>2</w:t>
            </w:r>
          </w:p>
        </w:tc>
        <w:tc>
          <w:tcPr>
            <w:tcW w:w="1388" w:type="dxa"/>
          </w:tcPr>
          <w:p>
            <w:pPr>
              <w:pStyle w:val="18"/>
              <w:spacing w:before="28"/>
              <w:ind w:left="147" w:right="139"/>
              <w:rPr>
                <w:color w:val="0000FF"/>
                <w:sz w:val="21"/>
              </w:rPr>
            </w:pPr>
            <w:r>
              <w:rPr>
                <w:color w:val="0000FF"/>
                <w:sz w:val="21"/>
              </w:rPr>
              <w:t>消毒</w:t>
            </w:r>
          </w:p>
        </w:tc>
        <w:tc>
          <w:tcPr>
            <w:tcW w:w="1287" w:type="dxa"/>
          </w:tcPr>
          <w:p>
            <w:pPr>
              <w:pStyle w:val="18"/>
              <w:spacing w:before="28"/>
              <w:ind w:left="200" w:right="192"/>
              <w:rPr>
                <w:rFonts w:ascii="Times New Roman" w:eastAsia="Times New Roman"/>
                <w:color w:val="0000FF"/>
                <w:sz w:val="21"/>
              </w:rPr>
            </w:pPr>
            <w:r>
              <w:rPr>
                <w:rFonts w:ascii="Times New Roman" w:eastAsia="Times New Roman"/>
                <w:color w:val="0000FF"/>
                <w:sz w:val="21"/>
              </w:rPr>
              <w:t>2</w:t>
            </w:r>
            <w:r>
              <w:rPr>
                <w:color w:val="0000FF"/>
                <w:sz w:val="21"/>
              </w:rPr>
              <w:t>辆</w:t>
            </w:r>
            <w:r>
              <w:rPr>
                <w:rFonts w:ascii="Times New Roman" w:eastAsia="Times New Roman"/>
                <w:color w:val="0000FF"/>
                <w:sz w:val="21"/>
              </w:rPr>
              <w:t>/d</w:t>
            </w:r>
          </w:p>
        </w:tc>
        <w:tc>
          <w:tcPr>
            <w:tcW w:w="1565" w:type="dxa"/>
          </w:tcPr>
          <w:p>
            <w:pPr>
              <w:pStyle w:val="18"/>
              <w:spacing w:before="28"/>
              <w:ind w:left="108" w:right="100"/>
              <w:rPr>
                <w:color w:val="0000FF"/>
                <w:sz w:val="21"/>
              </w:rPr>
            </w:pPr>
            <w:r>
              <w:rPr>
                <w:rFonts w:ascii="Times New Roman" w:eastAsia="Times New Roman"/>
                <w:color w:val="0000FF"/>
                <w:sz w:val="21"/>
              </w:rPr>
              <w:t>0.05m</w:t>
            </w:r>
            <w:r>
              <w:rPr>
                <w:rFonts w:ascii="Times New Roman" w:eastAsia="Times New Roman"/>
                <w:color w:val="0000FF"/>
                <w:position w:val="7"/>
                <w:sz w:val="13"/>
              </w:rPr>
              <w:t>3</w:t>
            </w:r>
            <w:r>
              <w:rPr>
                <w:rFonts w:ascii="Times New Roman" w:eastAsia="Times New Roman"/>
                <w:color w:val="0000FF"/>
                <w:sz w:val="21"/>
              </w:rPr>
              <w:t>/</w:t>
            </w:r>
            <w:r>
              <w:rPr>
                <w:color w:val="0000FF"/>
                <w:sz w:val="21"/>
              </w:rPr>
              <w:t>辆</w:t>
            </w:r>
          </w:p>
        </w:tc>
        <w:tc>
          <w:tcPr>
            <w:tcW w:w="1643" w:type="dxa"/>
          </w:tcPr>
          <w:p>
            <w:pPr>
              <w:pStyle w:val="18"/>
              <w:spacing w:before="42"/>
              <w:ind w:left="55" w:right="45"/>
              <w:rPr>
                <w:rFonts w:ascii="Times New Roman"/>
                <w:color w:val="0000FF"/>
                <w:sz w:val="21"/>
              </w:rPr>
            </w:pPr>
            <w:r>
              <w:rPr>
                <w:rFonts w:ascii="Times New Roman"/>
                <w:color w:val="0000FF"/>
                <w:sz w:val="21"/>
              </w:rPr>
              <w:t>36.5</w:t>
            </w:r>
          </w:p>
        </w:tc>
        <w:tc>
          <w:tcPr>
            <w:tcW w:w="1055" w:type="dxa"/>
          </w:tcPr>
          <w:p>
            <w:pPr>
              <w:pStyle w:val="18"/>
              <w:spacing w:before="42"/>
              <w:ind w:left="113" w:right="101"/>
              <w:rPr>
                <w:rFonts w:ascii="Times New Roman"/>
                <w:color w:val="0000FF"/>
                <w:sz w:val="21"/>
              </w:rPr>
            </w:pPr>
            <w:r>
              <w:rPr>
                <w:rFonts w:ascii="Times New Roman"/>
                <w:color w:val="0000FF"/>
                <w:sz w:val="21"/>
              </w:rPr>
              <w:t>36.5</w:t>
            </w:r>
          </w:p>
        </w:tc>
        <w:tc>
          <w:tcPr>
            <w:tcW w:w="1085" w:type="dxa"/>
          </w:tcPr>
          <w:p>
            <w:pPr>
              <w:pStyle w:val="18"/>
              <w:spacing w:before="42"/>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8"/>
              <w:spacing w:before="43"/>
              <w:ind w:right="183"/>
              <w:jc w:val="right"/>
              <w:rPr>
                <w:rFonts w:ascii="Times New Roman"/>
                <w:sz w:val="21"/>
              </w:rPr>
            </w:pPr>
            <w:r>
              <w:rPr>
                <w:rFonts w:ascii="Times New Roman"/>
                <w:w w:val="99"/>
                <w:sz w:val="21"/>
              </w:rPr>
              <w:t>3</w:t>
            </w:r>
          </w:p>
        </w:tc>
        <w:tc>
          <w:tcPr>
            <w:tcW w:w="1388" w:type="dxa"/>
          </w:tcPr>
          <w:p>
            <w:pPr>
              <w:pStyle w:val="18"/>
              <w:spacing w:before="27"/>
              <w:ind w:left="147" w:right="141"/>
              <w:rPr>
                <w:color w:val="0000FF"/>
                <w:sz w:val="21"/>
              </w:rPr>
            </w:pPr>
            <w:r>
              <w:rPr>
                <w:color w:val="0000FF"/>
                <w:sz w:val="21"/>
              </w:rPr>
              <w:t>绿化用水</w:t>
            </w:r>
          </w:p>
        </w:tc>
        <w:tc>
          <w:tcPr>
            <w:tcW w:w="1287" w:type="dxa"/>
          </w:tcPr>
          <w:p>
            <w:pPr>
              <w:pStyle w:val="18"/>
              <w:spacing w:before="27"/>
              <w:ind w:left="199" w:right="192"/>
              <w:rPr>
                <w:color w:val="0000FF"/>
                <w:sz w:val="21"/>
              </w:rPr>
            </w:pPr>
            <w:r>
              <w:rPr>
                <w:rFonts w:hint="eastAsia"/>
                <w:color w:val="0000FF"/>
                <w:sz w:val="21"/>
                <w:lang w:val="en-US" w:eastAsia="zh-CN"/>
              </w:rPr>
              <w:t>4.66</w:t>
            </w:r>
            <w:r>
              <w:rPr>
                <w:color w:val="0000FF"/>
                <w:sz w:val="21"/>
              </w:rPr>
              <w:t>亩</w:t>
            </w:r>
          </w:p>
        </w:tc>
        <w:tc>
          <w:tcPr>
            <w:tcW w:w="1565" w:type="dxa"/>
          </w:tcPr>
          <w:p>
            <w:pPr>
              <w:pStyle w:val="18"/>
              <w:spacing w:before="27"/>
              <w:ind w:left="108" w:right="-15"/>
              <w:rPr>
                <w:color w:val="0000FF"/>
                <w:sz w:val="21"/>
              </w:rPr>
            </w:pPr>
            <w:r>
              <w:rPr>
                <w:rFonts w:ascii="Times New Roman" w:hAnsi="Times New Roman" w:eastAsia="Times New Roman"/>
                <w:color w:val="0000FF"/>
                <w:spacing w:val="1"/>
                <w:w w:val="99"/>
                <w:sz w:val="21"/>
              </w:rPr>
              <w:t>500</w:t>
            </w:r>
            <w:r>
              <w:rPr>
                <w:rFonts w:ascii="Times New Roman" w:hAnsi="Times New Roman" w:eastAsia="Times New Roman"/>
                <w:color w:val="0000FF"/>
                <w:spacing w:val="-2"/>
                <w:w w:val="99"/>
                <w:sz w:val="21"/>
              </w:rPr>
              <w:t>m</w:t>
            </w:r>
            <w:r>
              <w:rPr>
                <w:rFonts w:ascii="Times New Roman" w:hAnsi="Times New Roman" w:eastAsia="Times New Roman"/>
                <w:color w:val="0000FF"/>
                <w:spacing w:val="-7"/>
                <w:w w:val="105"/>
                <w:position w:val="7"/>
                <w:sz w:val="13"/>
              </w:rPr>
              <w:t>3</w:t>
            </w:r>
            <w:r>
              <w:rPr>
                <w:color w:val="0000FF"/>
                <w:spacing w:val="-202"/>
                <w:w w:val="99"/>
                <w:sz w:val="21"/>
              </w:rPr>
              <w:t>（</w:t>
            </w:r>
            <w:r>
              <w:rPr>
                <w:rFonts w:ascii="Times New Roman" w:hAnsi="Times New Roman" w:eastAsia="Times New Roman"/>
                <w:color w:val="0000FF"/>
                <w:w w:val="99"/>
                <w:sz w:val="21"/>
              </w:rPr>
              <w:t>/</w:t>
            </w:r>
            <w:r>
              <w:rPr>
                <w:color w:val="0000FF"/>
                <w:spacing w:val="-1"/>
                <w:w w:val="99"/>
                <w:sz w:val="21"/>
              </w:rPr>
              <w:t>亩</w:t>
            </w:r>
            <w:r>
              <w:rPr>
                <w:rFonts w:ascii="Times New Roman" w:hAnsi="Times New Roman" w:eastAsia="Times New Roman"/>
                <w:color w:val="0000FF"/>
                <w:spacing w:val="1"/>
                <w:w w:val="99"/>
                <w:sz w:val="21"/>
              </w:rPr>
              <w:t>•</w:t>
            </w:r>
            <w:r>
              <w:rPr>
                <w:color w:val="0000FF"/>
                <w:spacing w:val="-1"/>
                <w:w w:val="99"/>
                <w:sz w:val="21"/>
              </w:rPr>
              <w:t>年</w:t>
            </w:r>
            <w:r>
              <w:rPr>
                <w:color w:val="0000FF"/>
                <w:w w:val="99"/>
                <w:sz w:val="21"/>
              </w:rPr>
              <w:t>）</w:t>
            </w:r>
          </w:p>
        </w:tc>
        <w:tc>
          <w:tcPr>
            <w:tcW w:w="1643" w:type="dxa"/>
          </w:tcPr>
          <w:p>
            <w:pPr>
              <w:pStyle w:val="18"/>
              <w:spacing w:before="43"/>
              <w:ind w:left="55" w:right="45"/>
              <w:rPr>
                <w:rFonts w:hint="default" w:ascii="Times New Roman" w:eastAsia="宋体"/>
                <w:color w:val="0000FF"/>
                <w:sz w:val="21"/>
                <w:lang w:val="en-US" w:eastAsia="zh-CN"/>
              </w:rPr>
            </w:pPr>
            <w:r>
              <w:rPr>
                <w:rFonts w:hint="eastAsia" w:ascii="Times New Roman"/>
                <w:color w:val="0000FF"/>
                <w:sz w:val="21"/>
                <w:lang w:val="en-US" w:eastAsia="zh-CN"/>
              </w:rPr>
              <w:t>2330</w:t>
            </w:r>
          </w:p>
        </w:tc>
        <w:tc>
          <w:tcPr>
            <w:tcW w:w="1055" w:type="dxa"/>
          </w:tcPr>
          <w:p>
            <w:pPr>
              <w:pStyle w:val="18"/>
              <w:spacing w:before="43"/>
              <w:ind w:left="113" w:right="103"/>
              <w:rPr>
                <w:rFonts w:hint="default" w:ascii="Times New Roman" w:eastAsia="宋体"/>
                <w:color w:val="0000FF"/>
                <w:sz w:val="21"/>
                <w:lang w:val="en-US" w:eastAsia="zh-CN"/>
              </w:rPr>
            </w:pPr>
            <w:r>
              <w:rPr>
                <w:rFonts w:hint="eastAsia" w:ascii="Times New Roman"/>
                <w:color w:val="0000FF"/>
                <w:sz w:val="21"/>
                <w:lang w:val="en-US" w:eastAsia="zh-CN"/>
              </w:rPr>
              <w:t>2330</w:t>
            </w:r>
          </w:p>
        </w:tc>
        <w:tc>
          <w:tcPr>
            <w:tcW w:w="1085" w:type="dxa"/>
          </w:tcPr>
          <w:p>
            <w:pPr>
              <w:pStyle w:val="18"/>
              <w:spacing w:before="43"/>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4" w:type="dxa"/>
            <w:gridSpan w:val="2"/>
          </w:tcPr>
          <w:p>
            <w:pPr>
              <w:pStyle w:val="18"/>
              <w:spacing w:before="27"/>
              <w:ind w:left="709" w:right="704"/>
              <w:rPr>
                <w:sz w:val="21"/>
              </w:rPr>
            </w:pPr>
            <w:r>
              <w:rPr>
                <w:sz w:val="21"/>
              </w:rPr>
              <w:t>小计</w:t>
            </w:r>
          </w:p>
        </w:tc>
        <w:tc>
          <w:tcPr>
            <w:tcW w:w="1287" w:type="dxa"/>
          </w:tcPr>
          <w:p>
            <w:pPr>
              <w:pStyle w:val="18"/>
              <w:spacing w:before="44"/>
              <w:ind w:left="7"/>
              <w:rPr>
                <w:rFonts w:ascii="Times New Roman"/>
                <w:sz w:val="21"/>
              </w:rPr>
            </w:pPr>
            <w:r>
              <w:rPr>
                <w:rFonts w:ascii="Times New Roman"/>
                <w:w w:val="99"/>
                <w:sz w:val="21"/>
              </w:rPr>
              <w:t>/</w:t>
            </w:r>
          </w:p>
        </w:tc>
        <w:tc>
          <w:tcPr>
            <w:tcW w:w="1565" w:type="dxa"/>
          </w:tcPr>
          <w:p>
            <w:pPr>
              <w:pStyle w:val="18"/>
              <w:spacing w:before="44"/>
              <w:ind w:left="6"/>
              <w:rPr>
                <w:rFonts w:ascii="Times New Roman"/>
                <w:sz w:val="21"/>
              </w:rPr>
            </w:pPr>
            <w:r>
              <w:rPr>
                <w:rFonts w:ascii="Times New Roman"/>
                <w:w w:val="99"/>
                <w:sz w:val="21"/>
              </w:rPr>
              <w:t>/</w:t>
            </w:r>
          </w:p>
        </w:tc>
        <w:tc>
          <w:tcPr>
            <w:tcW w:w="1643" w:type="dxa"/>
          </w:tcPr>
          <w:p>
            <w:pPr>
              <w:pStyle w:val="18"/>
              <w:spacing w:before="44"/>
              <w:ind w:left="55" w:right="45"/>
              <w:jc w:val="center"/>
              <w:rPr>
                <w:rFonts w:hint="default" w:ascii="Times New Roman" w:eastAsia="宋体"/>
                <w:color w:val="0000FF"/>
                <w:sz w:val="21"/>
                <w:lang w:val="en-US" w:eastAsia="zh-CN"/>
              </w:rPr>
            </w:pPr>
            <w:r>
              <w:rPr>
                <w:rFonts w:hint="eastAsia" w:ascii="Times New Roman"/>
                <w:color w:val="0000FF"/>
                <w:sz w:val="21"/>
                <w:lang w:val="en-US" w:eastAsia="zh-CN"/>
              </w:rPr>
              <w:t>294366.5</w:t>
            </w:r>
          </w:p>
        </w:tc>
        <w:tc>
          <w:tcPr>
            <w:tcW w:w="1055" w:type="dxa"/>
          </w:tcPr>
          <w:p>
            <w:pPr>
              <w:pStyle w:val="18"/>
              <w:spacing w:before="44"/>
              <w:ind w:left="113" w:right="103"/>
              <w:rPr>
                <w:rFonts w:hint="default" w:ascii="Times New Roman" w:eastAsia="宋体"/>
                <w:color w:val="0000FF"/>
                <w:sz w:val="21"/>
                <w:lang w:val="en-US" w:eastAsia="zh-CN"/>
              </w:rPr>
            </w:pPr>
            <w:r>
              <w:rPr>
                <w:rFonts w:hint="eastAsia" w:ascii="Times New Roman"/>
                <w:color w:val="0000FF"/>
                <w:sz w:val="21"/>
                <w:lang w:val="en-US" w:eastAsia="zh-CN"/>
              </w:rPr>
              <w:t>82739.5</w:t>
            </w:r>
          </w:p>
        </w:tc>
        <w:tc>
          <w:tcPr>
            <w:tcW w:w="1085" w:type="dxa"/>
          </w:tcPr>
          <w:p>
            <w:pPr>
              <w:pStyle w:val="18"/>
              <w:spacing w:before="44"/>
              <w:ind w:left="8"/>
              <w:rPr>
                <w:rFonts w:ascii="Times New Roman"/>
                <w:sz w:val="21"/>
              </w:rPr>
            </w:pPr>
            <w:r>
              <w:rPr>
                <w:rFonts w:ascii="Times New Roman"/>
                <w:w w:val="99"/>
                <w:sz w:val="21"/>
              </w:rPr>
              <w:t>0</w:t>
            </w:r>
          </w:p>
        </w:tc>
      </w:tr>
    </w:tbl>
    <w:p>
      <w:pPr>
        <w:pStyle w:val="7"/>
        <w:spacing w:before="11"/>
        <w:ind w:left="0"/>
        <w:rPr>
          <w:b/>
        </w:rPr>
      </w:pP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tabs>
          <w:tab w:val="left" w:pos="6211"/>
        </w:tabs>
        <w:spacing w:before="79"/>
        <w:ind w:left="5819" w:leftChars="1663" w:hanging="2160" w:hangingChars="900"/>
      </w:pPr>
    </w:p>
    <w:p>
      <w:pPr>
        <w:pStyle w:val="7"/>
        <w:tabs>
          <w:tab w:val="left" w:pos="6211"/>
        </w:tabs>
        <w:spacing w:before="79"/>
        <w:ind w:left="5819" w:leftChars="1663" w:hanging="2160" w:hangingChars="900"/>
      </w:pPr>
    </w:p>
    <w:p>
      <w:pPr>
        <w:pStyle w:val="7"/>
        <w:tabs>
          <w:tab w:val="left" w:pos="6211"/>
        </w:tabs>
        <w:spacing w:before="79"/>
        <w:ind w:left="5819" w:leftChars="1663" w:hanging="2160" w:hangingChars="900"/>
      </w:pPr>
    </w:p>
    <w:p>
      <w:pPr>
        <w:pStyle w:val="7"/>
        <w:tabs>
          <w:tab w:val="left" w:pos="6211"/>
        </w:tabs>
        <w:spacing w:before="79"/>
        <w:ind w:left="5819" w:leftChars="1663" w:hanging="2160" w:hangingChars="900"/>
      </w:pPr>
    </w:p>
    <w:p>
      <w:pPr>
        <w:pStyle w:val="7"/>
        <w:tabs>
          <w:tab w:val="left" w:pos="6211"/>
        </w:tabs>
        <w:spacing w:before="79"/>
        <w:ind w:left="5819" w:leftChars="1663" w:hanging="2160" w:hangingChars="900"/>
      </w:pPr>
    </w:p>
    <w:p>
      <w:pPr>
        <w:pStyle w:val="7"/>
        <w:tabs>
          <w:tab w:val="left" w:pos="6211"/>
        </w:tabs>
        <w:spacing w:before="79"/>
        <w:ind w:left="5819" w:leftChars="1663" w:hanging="2160" w:hangingChars="900"/>
        <w:rPr>
          <w:rFonts w:hint="default" w:ascii="Times New Roman" w:eastAsia="仿宋"/>
          <w:lang w:val="en-US" w:eastAsia="zh-CN"/>
        </w:rPr>
      </w:pPr>
      <w:r>
        <w:rPr>
          <w:sz w:val="24"/>
        </w:rPr>
        <mc:AlternateContent>
          <mc:Choice Requires="wps">
            <w:drawing>
              <wp:anchor distT="0" distB="0" distL="114300" distR="114300" simplePos="0" relativeHeight="2048" behindDoc="0" locked="0" layoutInCell="1" allowOverlap="1">
                <wp:simplePos x="0" y="0"/>
                <wp:positionH relativeFrom="column">
                  <wp:posOffset>3504565</wp:posOffset>
                </wp:positionH>
                <wp:positionV relativeFrom="paragraph">
                  <wp:posOffset>214630</wp:posOffset>
                </wp:positionV>
                <wp:extent cx="567690" cy="328295"/>
                <wp:effectExtent l="0" t="0" r="0" b="0"/>
                <wp:wrapNone/>
                <wp:docPr id="12" name="文本框 185"/>
                <wp:cNvGraphicFramePr/>
                <a:graphic xmlns:a="http://schemas.openxmlformats.org/drawingml/2006/main">
                  <a:graphicData uri="http://schemas.microsoft.com/office/word/2010/wordprocessingShape">
                    <wps:wsp>
                      <wps:cNvSpPr txBox="1"/>
                      <wps:spPr>
                        <a:xfrm>
                          <a:off x="0" y="0"/>
                          <a:ext cx="567690" cy="328295"/>
                        </a:xfrm>
                        <a:prstGeom prst="rect">
                          <a:avLst/>
                        </a:prstGeom>
                        <a:noFill/>
                        <a:ln>
                          <a:noFill/>
                        </a:ln>
                      </wps:spPr>
                      <wps:txbx>
                        <w:txbxContent>
                          <w:p>
                            <w:pPr>
                              <w:rPr>
                                <w:rFonts w:hint="default" w:eastAsia="宋体"/>
                                <w:lang w:val="en-US" w:eastAsia="zh-CN"/>
                              </w:rPr>
                            </w:pPr>
                            <w:r>
                              <w:rPr>
                                <w:rFonts w:hint="eastAsia"/>
                                <w:lang w:val="en-US" w:eastAsia="zh-CN"/>
                              </w:rPr>
                              <w:t>24090</w:t>
                            </w:r>
                          </w:p>
                        </w:txbxContent>
                      </wps:txbx>
                      <wps:bodyPr upright="1"/>
                    </wps:wsp>
                  </a:graphicData>
                </a:graphic>
              </wp:anchor>
            </w:drawing>
          </mc:Choice>
          <mc:Fallback>
            <w:pict>
              <v:shape id="文本框 185" o:spid="_x0000_s1026" o:spt="202" type="#_x0000_t202" style="position:absolute;left:0pt;margin-left:275.95pt;margin-top:16.9pt;height:25.85pt;width:44.7pt;z-index:2048;mso-width-relative:page;mso-height-relative:page;" filled="f" stroked="f" coordsize="21600,21600" o:gfxdata="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uTXU1wAAAAkBAAAPAAAAAAAAAAEAIAAAACIAAABkcnMvZG93&#10;bnJldi54bWxQSwECFAAUAAAACACHTuJAqA5QX48BAAACAwAADgAAAAAAAAABACAAAAAmAQAAZHJz&#10;L2Uyb0RvYy54bWxQSwUGAAAAAAYABgBZAQAAJwUAAAAA&#10;">
                <v:fill on="f" focussize="0,0"/>
                <v:stroke on="f"/>
                <v:imagedata o:title=""/>
                <o:lock v:ext="edit" aspectratio="f"/>
                <v:textbox>
                  <w:txbxContent>
                    <w:p>
                      <w:pPr>
                        <w:rPr>
                          <w:rFonts w:hint="default" w:eastAsia="宋体"/>
                          <w:lang w:val="en-US" w:eastAsia="zh-CN"/>
                        </w:rPr>
                      </w:pPr>
                      <w:r>
                        <w:rPr>
                          <w:rFonts w:hint="eastAsia"/>
                          <w:lang w:val="en-US" w:eastAsia="zh-CN"/>
                        </w:rPr>
                        <w:t>24090</w:t>
                      </w:r>
                    </w:p>
                  </w:txbxContent>
                </v:textbox>
              </v:shape>
            </w:pict>
          </mc:Fallback>
        </mc:AlternateContent>
      </w:r>
      <w:r>
        <w:t>吸收、损耗</w:t>
      </w:r>
      <w:r>
        <w:rPr>
          <w:rFonts w:hint="eastAsia" w:ascii="仿宋" w:eastAsia="仿宋"/>
        </w:rPr>
        <w:t>：</w:t>
      </w:r>
      <w:r>
        <w:rPr>
          <w:rFonts w:ascii="Times New Roman" w:eastAsia="Times New Roman"/>
        </w:rPr>
        <w:t>80373</w:t>
      </w:r>
      <w:r>
        <w:rPr>
          <w:rFonts w:ascii="Times New Roman" w:eastAsia="Times New Roman"/>
        </w:rPr>
        <w:tab/>
      </w:r>
      <w:r>
        <w:t>吸收、损耗</w:t>
      </w:r>
      <w:r>
        <w:rPr>
          <w:rFonts w:hint="eastAsia" w:ascii="仿宋" w:eastAsia="仿宋"/>
          <w:spacing w:val="-4"/>
        </w:rPr>
        <w:t>：</w:t>
      </w:r>
      <w:r>
        <w:rPr>
          <w:rFonts w:hint="eastAsia" w:ascii="Times New Roman" w:eastAsia="宋体"/>
          <w:spacing w:val="-4"/>
          <w:lang w:val="en-US" w:eastAsia="zh-CN"/>
        </w:rPr>
        <w:t>24090</w:t>
      </w:r>
    </w:p>
    <w:p>
      <w:pPr>
        <w:pStyle w:val="7"/>
        <w:spacing w:before="67" w:line="242" w:lineRule="auto"/>
        <w:ind w:left="959" w:leftChars="436" w:right="8057" w:firstLine="0" w:firstLineChars="0"/>
        <w:jc w:val="both"/>
      </w:pPr>
      <w:r>
        <mc:AlternateContent>
          <mc:Choice Requires="wpg">
            <w:drawing>
              <wp:anchor distT="0" distB="0" distL="114300" distR="114300" simplePos="0" relativeHeight="251686912" behindDoc="0" locked="0" layoutInCell="1" allowOverlap="1">
                <wp:simplePos x="0" y="0"/>
                <wp:positionH relativeFrom="page">
                  <wp:posOffset>1739900</wp:posOffset>
                </wp:positionH>
                <wp:positionV relativeFrom="paragraph">
                  <wp:posOffset>66040</wp:posOffset>
                </wp:positionV>
                <wp:extent cx="4137025" cy="1948815"/>
                <wp:effectExtent l="0" t="0" r="15875" b="13335"/>
                <wp:wrapNone/>
                <wp:docPr id="118" name="组合 42"/>
                <wp:cNvGraphicFramePr/>
                <a:graphic xmlns:a="http://schemas.openxmlformats.org/drawingml/2006/main">
                  <a:graphicData uri="http://schemas.microsoft.com/office/word/2010/wordprocessingGroup">
                    <wpg:wgp>
                      <wpg:cNvGrpSpPr/>
                      <wpg:grpSpPr>
                        <a:xfrm>
                          <a:off x="0" y="0"/>
                          <a:ext cx="4137025" cy="1948815"/>
                          <a:chOff x="2756" y="-1100"/>
                          <a:chExt cx="6515" cy="3069"/>
                        </a:xfrm>
                      </wpg:grpSpPr>
                      <pic:pic xmlns:pic="http://schemas.openxmlformats.org/drawingml/2006/picture">
                        <pic:nvPicPr>
                          <pic:cNvPr id="107" name="图片 43"/>
                          <pic:cNvPicPr>
                            <a:picLocks noChangeAspect="1"/>
                          </pic:cNvPicPr>
                        </pic:nvPicPr>
                        <pic:blipFill>
                          <a:blip r:embed="rId32"/>
                          <a:stretch>
                            <a:fillRect/>
                          </a:stretch>
                        </pic:blipFill>
                        <pic:spPr>
                          <a:xfrm>
                            <a:off x="2756" y="-1100"/>
                            <a:ext cx="6515" cy="3069"/>
                          </a:xfrm>
                          <a:prstGeom prst="rect">
                            <a:avLst/>
                          </a:prstGeom>
                          <a:noFill/>
                          <a:ln>
                            <a:noFill/>
                          </a:ln>
                        </pic:spPr>
                      </pic:pic>
                      <wps:wsp>
                        <wps:cNvPr id="108" name="文本框 44"/>
                        <wps:cNvSpPr txBox="1"/>
                        <wps:spPr>
                          <a:xfrm>
                            <a:off x="4144" y="-889"/>
                            <a:ext cx="620" cy="266"/>
                          </a:xfrm>
                          <a:prstGeom prst="rect">
                            <a:avLst/>
                          </a:prstGeom>
                          <a:noFill/>
                          <a:ln>
                            <a:noFill/>
                          </a:ln>
                        </wps:spPr>
                        <wps:txbx>
                          <w:txbxContent>
                            <w:p>
                              <w:pPr>
                                <w:spacing w:before="0" w:line="266" w:lineRule="exact"/>
                                <w:ind w:left="0" w:right="0" w:firstLine="0"/>
                                <w:jc w:val="left"/>
                                <w:rPr>
                                  <w:rFonts w:hint="default" w:ascii="Times New Roman" w:eastAsia="宋体"/>
                                  <w:sz w:val="24"/>
                                  <w:lang w:val="en-US" w:eastAsia="zh-CN"/>
                                </w:rPr>
                              </w:pPr>
                            </w:p>
                          </w:txbxContent>
                        </wps:txbx>
                        <wps:bodyPr vert="horz" lIns="0" tIns="0" rIns="0" bIns="0" anchor="t" upright="1"/>
                      </wps:wsp>
                      <wps:wsp>
                        <wps:cNvPr id="109" name="文本框 45"/>
                        <wps:cNvSpPr txBox="1"/>
                        <wps:spPr>
                          <a:xfrm>
                            <a:off x="5294" y="-677"/>
                            <a:ext cx="980" cy="240"/>
                          </a:xfrm>
                          <a:prstGeom prst="rect">
                            <a:avLst/>
                          </a:prstGeom>
                          <a:noFill/>
                          <a:ln>
                            <a:noFill/>
                          </a:ln>
                        </wps:spPr>
                        <wps:txbx>
                          <w:txbxContent>
                            <w:p>
                              <w:pPr>
                                <w:spacing w:before="0" w:line="240" w:lineRule="exact"/>
                                <w:ind w:left="0" w:right="0" w:firstLine="0"/>
                                <w:jc w:val="left"/>
                                <w:rPr>
                                  <w:sz w:val="24"/>
                                </w:rPr>
                              </w:pPr>
                              <w:r>
                                <w:rPr>
                                  <w:sz w:val="24"/>
                                </w:rPr>
                                <w:t>羊饮用水</w:t>
                              </w:r>
                            </w:p>
                          </w:txbxContent>
                        </wps:txbx>
                        <wps:bodyPr vert="horz" lIns="0" tIns="0" rIns="0" bIns="0" anchor="t" upright="1"/>
                      </wps:wsp>
                      <wps:wsp>
                        <wps:cNvPr id="110" name="文本框 46"/>
                        <wps:cNvSpPr txBox="1"/>
                        <wps:spPr>
                          <a:xfrm>
                            <a:off x="6916" y="-903"/>
                            <a:ext cx="500" cy="675"/>
                          </a:xfrm>
                          <a:prstGeom prst="rect">
                            <a:avLst/>
                          </a:prstGeom>
                          <a:noFill/>
                          <a:ln>
                            <a:noFill/>
                          </a:ln>
                        </wps:spPr>
                        <wps:txbx>
                          <w:txbxContent>
                            <w:p>
                              <w:pPr>
                                <w:spacing w:before="0" w:line="266" w:lineRule="exact"/>
                                <w:ind w:left="0" w:right="0" w:firstLine="0"/>
                                <w:jc w:val="left"/>
                                <w:rPr>
                                  <w:rFonts w:ascii="Times New Roman"/>
                                  <w:sz w:val="24"/>
                                </w:rPr>
                              </w:pPr>
                            </w:p>
                            <w:p>
                              <w:pPr>
                                <w:spacing w:before="135" w:line="274" w:lineRule="exact"/>
                                <w:ind w:left="192" w:right="0" w:firstLine="0"/>
                                <w:jc w:val="left"/>
                                <w:rPr>
                                  <w:sz w:val="24"/>
                                </w:rPr>
                              </w:pPr>
                              <w:r>
                                <w:rPr>
                                  <w:sz w:val="24"/>
                                </w:rPr>
                                <w:t>尿</w:t>
                              </w:r>
                            </w:p>
                          </w:txbxContent>
                        </wps:txbx>
                        <wps:bodyPr vert="horz" lIns="0" tIns="0" rIns="0" bIns="0" anchor="t" upright="1"/>
                      </wps:wsp>
                      <wps:wsp>
                        <wps:cNvPr id="111" name="文本框 47"/>
                        <wps:cNvSpPr txBox="1"/>
                        <wps:spPr>
                          <a:xfrm>
                            <a:off x="7984" y="-704"/>
                            <a:ext cx="500" cy="240"/>
                          </a:xfrm>
                          <a:prstGeom prst="rect">
                            <a:avLst/>
                          </a:prstGeom>
                          <a:noFill/>
                          <a:ln>
                            <a:noFill/>
                          </a:ln>
                        </wps:spPr>
                        <wps:txbx>
                          <w:txbxContent>
                            <w:p>
                              <w:pPr>
                                <w:spacing w:before="0" w:line="240" w:lineRule="exact"/>
                                <w:ind w:left="0" w:right="0" w:firstLine="0"/>
                                <w:jc w:val="left"/>
                                <w:rPr>
                                  <w:sz w:val="24"/>
                                </w:rPr>
                              </w:pPr>
                              <w:r>
                                <w:rPr>
                                  <w:sz w:val="24"/>
                                </w:rPr>
                                <w:t>垫料</w:t>
                              </w:r>
                            </w:p>
                          </w:txbxContent>
                        </wps:txbx>
                        <wps:bodyPr vert="horz" lIns="0" tIns="0" rIns="0" bIns="0" anchor="t" upright="1"/>
                      </wps:wsp>
                      <wps:wsp>
                        <wps:cNvPr id="112" name="文本框 48"/>
                        <wps:cNvSpPr txBox="1"/>
                        <wps:spPr>
                          <a:xfrm>
                            <a:off x="5402" y="-121"/>
                            <a:ext cx="1160" cy="266"/>
                          </a:xfrm>
                          <a:prstGeom prst="rect">
                            <a:avLst/>
                          </a:prstGeom>
                          <a:noFill/>
                          <a:ln>
                            <a:noFill/>
                          </a:ln>
                        </wps:spPr>
                        <wps:txbx>
                          <w:txbxContent>
                            <w:p>
                              <w:pPr>
                                <w:spacing w:before="0" w:line="266" w:lineRule="exact"/>
                                <w:ind w:left="0" w:right="0" w:firstLine="0"/>
                                <w:jc w:val="left"/>
                                <w:rPr>
                                  <w:rFonts w:ascii="Times New Roman" w:eastAsia="Times New Roman"/>
                                  <w:sz w:val="24"/>
                                </w:rPr>
                              </w:pPr>
                              <w:r>
                                <w:rPr>
                                  <w:sz w:val="24"/>
                                </w:rPr>
                                <w:t>损耗</w:t>
                              </w:r>
                              <w:r>
                                <w:rPr>
                                  <w:rFonts w:hint="eastAsia" w:ascii="仿宋" w:eastAsia="仿宋"/>
                                  <w:sz w:val="24"/>
                                </w:rPr>
                                <w:t>：</w:t>
                              </w:r>
                              <w:r>
                                <w:rPr>
                                  <w:rFonts w:ascii="Times New Roman" w:eastAsia="Times New Roman"/>
                                  <w:sz w:val="24"/>
                                </w:rPr>
                                <w:t>36.5</w:t>
                              </w:r>
                            </w:p>
                          </w:txbxContent>
                        </wps:txbx>
                        <wps:bodyPr vert="horz" lIns="0" tIns="0" rIns="0" bIns="0" anchor="t" upright="1"/>
                      </wps:wsp>
                      <wps:wsp>
                        <wps:cNvPr id="113" name="文本框 49"/>
                        <wps:cNvSpPr txBox="1"/>
                        <wps:spPr>
                          <a:xfrm>
                            <a:off x="2810" y="129"/>
                            <a:ext cx="920" cy="266"/>
                          </a:xfrm>
                          <a:prstGeom prst="rect">
                            <a:avLst/>
                          </a:prstGeom>
                          <a:noFill/>
                          <a:ln>
                            <a:noFill/>
                          </a:ln>
                        </wps:spPr>
                        <wps:txbx>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294366.5</w:t>
                              </w:r>
                            </w:p>
                          </w:txbxContent>
                        </wps:txbx>
                        <wps:bodyPr vert="horz" lIns="0" tIns="0" rIns="0" bIns="0" anchor="t" upright="1"/>
                      </wps:wsp>
                      <wps:wsp>
                        <wps:cNvPr id="114" name="文本框 50"/>
                        <wps:cNvSpPr txBox="1"/>
                        <wps:spPr>
                          <a:xfrm>
                            <a:off x="4245" y="294"/>
                            <a:ext cx="440"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z w:val="24"/>
                                </w:rPr>
                                <w:t>36.5</w:t>
                              </w:r>
                            </w:p>
                          </w:txbxContent>
                        </wps:txbx>
                        <wps:bodyPr vert="horz" lIns="0" tIns="0" rIns="0" bIns="0" anchor="t" upright="1"/>
                      </wps:wsp>
                      <wps:wsp>
                        <wps:cNvPr id="115" name="文本框 51"/>
                        <wps:cNvSpPr txBox="1"/>
                        <wps:spPr>
                          <a:xfrm>
                            <a:off x="5332" y="583"/>
                            <a:ext cx="980" cy="240"/>
                          </a:xfrm>
                          <a:prstGeom prst="rect">
                            <a:avLst/>
                          </a:prstGeom>
                          <a:noFill/>
                          <a:ln>
                            <a:noFill/>
                          </a:ln>
                        </wps:spPr>
                        <wps:txbx>
                          <w:txbxContent>
                            <w:p>
                              <w:pPr>
                                <w:spacing w:before="0" w:line="240" w:lineRule="exact"/>
                                <w:ind w:left="0" w:right="0" w:firstLine="0"/>
                                <w:jc w:val="left"/>
                                <w:rPr>
                                  <w:sz w:val="24"/>
                                </w:rPr>
                              </w:pPr>
                              <w:r>
                                <w:rPr>
                                  <w:sz w:val="24"/>
                                </w:rPr>
                                <w:t>消毒用水</w:t>
                              </w:r>
                            </w:p>
                          </w:txbxContent>
                        </wps:txbx>
                        <wps:bodyPr vert="horz" lIns="0" tIns="0" rIns="0" bIns="0" anchor="t" upright="1"/>
                      </wps:wsp>
                      <wps:wsp>
                        <wps:cNvPr id="116" name="文本框 52"/>
                        <wps:cNvSpPr txBox="1"/>
                        <wps:spPr>
                          <a:xfrm>
                            <a:off x="4048" y="1288"/>
                            <a:ext cx="740" cy="266"/>
                          </a:xfrm>
                          <a:prstGeom prst="rect">
                            <a:avLst/>
                          </a:prstGeom>
                          <a:noFill/>
                          <a:ln>
                            <a:noFill/>
                          </a:ln>
                        </wps:spPr>
                        <wps:txbx>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2330</w:t>
                              </w:r>
                            </w:p>
                          </w:txbxContent>
                        </wps:txbx>
                        <wps:bodyPr vert="horz" lIns="0" tIns="0" rIns="0" bIns="0" anchor="t" upright="1"/>
                      </wps:wsp>
                      <wps:wsp>
                        <wps:cNvPr id="117" name="文本框 53"/>
                        <wps:cNvSpPr txBox="1"/>
                        <wps:spPr>
                          <a:xfrm>
                            <a:off x="5313" y="1617"/>
                            <a:ext cx="980" cy="240"/>
                          </a:xfrm>
                          <a:prstGeom prst="rect">
                            <a:avLst/>
                          </a:prstGeom>
                          <a:noFill/>
                          <a:ln>
                            <a:noFill/>
                          </a:ln>
                        </wps:spPr>
                        <wps:txbx>
                          <w:txbxContent>
                            <w:p>
                              <w:pPr>
                                <w:spacing w:before="0" w:line="240" w:lineRule="exact"/>
                                <w:ind w:left="0" w:right="0" w:firstLine="0"/>
                                <w:jc w:val="left"/>
                                <w:rPr>
                                  <w:sz w:val="24"/>
                                </w:rPr>
                              </w:pPr>
                              <w:r>
                                <w:rPr>
                                  <w:sz w:val="24"/>
                                </w:rPr>
                                <w:t>绿化用水</w:t>
                              </w:r>
                            </w:p>
                          </w:txbxContent>
                        </wps:txbx>
                        <wps:bodyPr vert="horz" lIns="0" tIns="0" rIns="0" bIns="0" anchor="t" upright="1"/>
                      </wps:wsp>
                    </wpg:wgp>
                  </a:graphicData>
                </a:graphic>
              </wp:anchor>
            </w:drawing>
          </mc:Choice>
          <mc:Fallback>
            <w:pict>
              <v:group id="组合 42" o:spid="_x0000_s1026" o:spt="203" style="position:absolute;left:0pt;margin-left:137pt;margin-top:5.2pt;height:153.45pt;width:325.75pt;mso-position-horizontal-relative:page;z-index:251686912;mso-width-relative:page;mso-height-relative:page;" coordorigin="2756,-1100" coordsize="6515,3069" o:gfxdata="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">
                <o:lock v:ext="edit" aspectratio="f"/>
                <v:shape id="图片 43" o:spid="_x0000_s1026" o:spt="75" type="#_x0000_t75" style="position:absolute;left:2756;top:-1100;height:3069;width:6515;" filled="f" o:preferrelative="t" stroked="f" coordsize="21600,21600" o:gfxdata="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sAH7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文本框 44" o:spid="_x0000_s1026" o:spt="202" type="#_x0000_t202" style="position:absolute;left:4144;top:-889;height:266;width:62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p>
                    </w:txbxContent>
                  </v:textbox>
                </v:shape>
                <v:shape id="文本框 45" o:spid="_x0000_s1026" o:spt="202" type="#_x0000_t202" style="position:absolute;left:5294;top:-677;height:240;width:980;"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exact"/>
                          <w:ind w:left="0" w:right="0" w:firstLine="0"/>
                          <w:jc w:val="left"/>
                          <w:rPr>
                            <w:sz w:val="24"/>
                          </w:rPr>
                        </w:pPr>
                        <w:r>
                          <w:rPr>
                            <w:sz w:val="24"/>
                          </w:rPr>
                          <w:t>羊饮用水</w:t>
                        </w:r>
                      </w:p>
                    </w:txbxContent>
                  </v:textbox>
                </v:shape>
                <v:shape id="文本框 46" o:spid="_x0000_s1026" o:spt="202" type="#_x0000_t202" style="position:absolute;left:6916;top:-903;height:675;width:500;"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p>
                      <w:p>
                        <w:pPr>
                          <w:spacing w:before="135" w:line="274" w:lineRule="exact"/>
                          <w:ind w:left="192" w:right="0" w:firstLine="0"/>
                          <w:jc w:val="left"/>
                          <w:rPr>
                            <w:sz w:val="24"/>
                          </w:rPr>
                        </w:pPr>
                        <w:r>
                          <w:rPr>
                            <w:sz w:val="24"/>
                          </w:rPr>
                          <w:t>尿</w:t>
                        </w:r>
                      </w:p>
                    </w:txbxContent>
                  </v:textbox>
                </v:shape>
                <v:shape id="文本框 47" o:spid="_x0000_s1026" o:spt="202" type="#_x0000_t202" style="position:absolute;left:7984;top:-704;height:240;width:500;"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垫料</w:t>
                        </w:r>
                      </w:p>
                    </w:txbxContent>
                  </v:textbox>
                </v:shape>
                <v:shape id="文本框 48" o:spid="_x0000_s1026" o:spt="202" type="#_x0000_t202" style="position:absolute;left:5402;top:-121;height:266;width:1160;"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ascii="Times New Roman" w:eastAsia="Times New Roman"/>
                            <w:sz w:val="24"/>
                          </w:rPr>
                        </w:pPr>
                        <w:r>
                          <w:rPr>
                            <w:sz w:val="24"/>
                          </w:rPr>
                          <w:t>损耗</w:t>
                        </w:r>
                        <w:r>
                          <w:rPr>
                            <w:rFonts w:hint="eastAsia" w:ascii="仿宋" w:eastAsia="仿宋"/>
                            <w:sz w:val="24"/>
                          </w:rPr>
                          <w:t>：</w:t>
                        </w:r>
                        <w:r>
                          <w:rPr>
                            <w:rFonts w:ascii="Times New Roman" w:eastAsia="Times New Roman"/>
                            <w:sz w:val="24"/>
                          </w:rPr>
                          <w:t>36.5</w:t>
                        </w:r>
                      </w:p>
                    </w:txbxContent>
                  </v:textbox>
                </v:shape>
                <v:shape id="文本框 49" o:spid="_x0000_s1026" o:spt="202" type="#_x0000_t202" style="position:absolute;left:2810;top:129;height:266;width:92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294366.5</w:t>
                        </w:r>
                      </w:p>
                    </w:txbxContent>
                  </v:textbox>
                </v:shape>
                <v:shape id="文本框 50" o:spid="_x0000_s1026" o:spt="202" type="#_x0000_t202" style="position:absolute;left:4245;top:294;height:266;width:440;"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36.5</w:t>
                        </w:r>
                      </w:p>
                    </w:txbxContent>
                  </v:textbox>
                </v:shape>
                <v:shape id="文本框 51" o:spid="_x0000_s1026" o:spt="202" type="#_x0000_t202" style="position:absolute;left:5332;top:583;height:240;width:980;"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消毒用水</w:t>
                        </w:r>
                      </w:p>
                    </w:txbxContent>
                  </v:textbox>
                </v:shape>
                <v:shape id="文本框 52" o:spid="_x0000_s1026" o:spt="202" type="#_x0000_t202" style="position:absolute;left:4048;top:1288;height:266;width:740;"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2330</w:t>
                        </w:r>
                      </w:p>
                    </w:txbxContent>
                  </v:textbox>
                </v:shape>
                <v:shape id="文本框 53" o:spid="_x0000_s1026" o:spt="202" type="#_x0000_t202" style="position:absolute;left:5313;top:1617;height:240;width:980;"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绿化用水</w:t>
                        </w:r>
                      </w:p>
                    </w:txbxContent>
                  </v:textbox>
                </v:shape>
              </v:group>
            </w:pict>
          </mc:Fallback>
        </mc:AlternateContent>
      </w:r>
      <w:r>
        <w:rPr>
          <w:sz w:val="24"/>
        </w:rPr>
        <mc:AlternateContent>
          <mc:Choice Requires="wps">
            <w:drawing>
              <wp:anchor distT="0" distB="0" distL="114300" distR="114300" simplePos="0" relativeHeight="2048" behindDoc="0" locked="0" layoutInCell="1" allowOverlap="1">
                <wp:simplePos x="0" y="0"/>
                <wp:positionH relativeFrom="column">
                  <wp:posOffset>1708150</wp:posOffset>
                </wp:positionH>
                <wp:positionV relativeFrom="paragraph">
                  <wp:posOffset>146685</wp:posOffset>
                </wp:positionV>
                <wp:extent cx="788035" cy="300990"/>
                <wp:effectExtent l="0" t="0" r="0" b="0"/>
                <wp:wrapNone/>
                <wp:docPr id="167" name="文本框 186"/>
                <wp:cNvGraphicFramePr/>
                <a:graphic xmlns:a="http://schemas.openxmlformats.org/drawingml/2006/main">
                  <a:graphicData uri="http://schemas.microsoft.com/office/word/2010/wordprocessingShape">
                    <wps:wsp>
                      <wps:cNvSpPr txBox="1"/>
                      <wps:spPr>
                        <a:xfrm>
                          <a:off x="2508250" y="4525010"/>
                          <a:ext cx="788035" cy="300990"/>
                        </a:xfrm>
                        <a:prstGeom prst="rect">
                          <a:avLst/>
                        </a:prstGeom>
                        <a:noFill/>
                        <a:ln w="9525">
                          <a:noFill/>
                        </a:ln>
                      </wps:spPr>
                      <wps:txbx>
                        <w:txbxContent>
                          <w:p>
                            <w:pPr>
                              <w:rPr>
                                <w:rFonts w:hint="default" w:eastAsia="宋体"/>
                                <w:lang w:val="en-US" w:eastAsia="zh-CN"/>
                              </w:rPr>
                            </w:pPr>
                            <w:r>
                              <w:rPr>
                                <w:rFonts w:hint="eastAsia"/>
                                <w:lang w:val="en-US" w:eastAsia="zh-CN"/>
                              </w:rPr>
                              <w:t>292000</w:t>
                            </w:r>
                          </w:p>
                        </w:txbxContent>
                      </wps:txbx>
                      <wps:bodyPr vert="horz" anchor="t" upright="1"/>
                    </wps:wsp>
                  </a:graphicData>
                </a:graphic>
              </wp:anchor>
            </w:drawing>
          </mc:Choice>
          <mc:Fallback>
            <w:pict>
              <v:shape id="文本框 186" o:spid="_x0000_s1026" o:spt="202" type="#_x0000_t202" style="position:absolute;left:0pt;margin-left:134.5pt;margin-top:11.55pt;height:23.7pt;width:62.05pt;z-index:2048;mso-width-relative:page;mso-height-relative:page;" filled="f" stroked="f" coordsize="21600,21600" o:gfxdata="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JVtq9YAAAAJAQAADwAAAAAAAAABACAAAAAiAAAAZHJzL2Rvd25yZXYueG1sUEsBAhQAFAAAAAgA&#10;h07iQOWlRyu1AQAALwMAAA4AAAAAAAAAAQAgAAAAJQEAAGRycy9lMm9Eb2MueG1sUEsFBgAAAAAG&#10;AAYAWQEAAEwFAAAAAA==&#10;">
                <v:fill on="f" focussize="0,0"/>
                <v:stroke on="f"/>
                <v:imagedata o:title=""/>
                <o:lock v:ext="edit" aspectratio="f"/>
                <v:textbox>
                  <w:txbxContent>
                    <w:p>
                      <w:pPr>
                        <w:rPr>
                          <w:rFonts w:hint="default" w:eastAsia="宋体"/>
                          <w:lang w:val="en-US" w:eastAsia="zh-CN"/>
                        </w:rPr>
                      </w:pPr>
                      <w:r>
                        <w:rPr>
                          <w:rFonts w:hint="eastAsia"/>
                          <w:lang w:val="en-US" w:eastAsia="zh-CN"/>
                        </w:rPr>
                        <w:t>292000</w:t>
                      </w:r>
                    </w:p>
                  </w:txbxContent>
                </v:textbox>
              </v:shape>
            </w:pict>
          </mc:Fallback>
        </mc:AlternateContent>
      </w:r>
    </w:p>
    <w:p>
      <w:pPr>
        <w:pStyle w:val="7"/>
        <w:spacing w:before="67" w:line="242" w:lineRule="auto"/>
        <w:ind w:left="959" w:leftChars="436" w:right="8057" w:firstLine="0" w:firstLineChars="0"/>
        <w:jc w:val="both"/>
      </w:pPr>
    </w:p>
    <w:p>
      <w:pPr>
        <w:pStyle w:val="7"/>
        <w:spacing w:before="67" w:line="242" w:lineRule="auto"/>
        <w:ind w:left="959" w:leftChars="436" w:right="8057" w:firstLine="0" w:firstLineChars="0"/>
        <w:jc w:val="both"/>
      </w:pPr>
      <w:r>
        <w:rPr>
          <w:sz w:val="24"/>
        </w:rPr>
        <mc:AlternateContent>
          <mc:Choice Requires="wps">
            <w:drawing>
              <wp:anchor distT="0" distB="0" distL="114300" distR="114300" simplePos="0" relativeHeight="251765760" behindDoc="0" locked="0" layoutInCell="1" allowOverlap="1">
                <wp:simplePos x="0" y="0"/>
                <wp:positionH relativeFrom="column">
                  <wp:posOffset>442595</wp:posOffset>
                </wp:positionH>
                <wp:positionV relativeFrom="paragraph">
                  <wp:posOffset>196850</wp:posOffset>
                </wp:positionV>
                <wp:extent cx="474980" cy="1111250"/>
                <wp:effectExtent l="0" t="0" r="0" b="0"/>
                <wp:wrapNone/>
                <wp:docPr id="197" name="文本框 197"/>
                <wp:cNvGraphicFramePr/>
                <a:graphic xmlns:a="http://schemas.openxmlformats.org/drawingml/2006/main">
                  <a:graphicData uri="http://schemas.microsoft.com/office/word/2010/wordprocessingShape">
                    <wps:wsp>
                      <wps:cNvSpPr txBox="1"/>
                      <wps:spPr>
                        <a:xfrm>
                          <a:off x="1390015" y="2010410"/>
                          <a:ext cx="474980" cy="1111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eastAsia="宋体"/>
                                <w:sz w:val="28"/>
                                <w:szCs w:val="28"/>
                                <w:lang w:val="en-US" w:eastAsia="zh-CN"/>
                              </w:rPr>
                            </w:pPr>
                            <w:r>
                              <w:rPr>
                                <w:rFonts w:hint="eastAsia"/>
                                <w:sz w:val="28"/>
                                <w:szCs w:val="28"/>
                                <w:lang w:val="en-US" w:eastAsia="zh-CN"/>
                              </w:rPr>
                              <w:t>新鲜水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5pt;margin-top:15.5pt;height:87.5pt;width:37.4pt;z-index:251765760;mso-width-relative:page;mso-height-relative:page;" filled="f" stroked="f" coordsize="21600,21600" o:gfxdata="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wE5a2AAAAAkBAAAPAAAAAAAAAAEAIAAAACIAAABkcnMvZG93bnJldi54bWxQSwEC&#10;FAAUAAAACACHTuJAcPucGC0CAAAqBAAADgAAAAAAAAABACAAAAAnAQAAZHJzL2Uyb0RvYy54bWxQ&#10;SwUGAAAAAAYABgBZAQAAxgU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eastAsia="宋体"/>
                          <w:sz w:val="28"/>
                          <w:szCs w:val="28"/>
                          <w:lang w:val="en-US" w:eastAsia="zh-CN"/>
                        </w:rPr>
                      </w:pPr>
                      <w:r>
                        <w:rPr>
                          <w:rFonts w:hint="eastAsia"/>
                          <w:sz w:val="28"/>
                          <w:szCs w:val="28"/>
                          <w:lang w:val="en-US" w:eastAsia="zh-CN"/>
                        </w:rPr>
                        <w:t>新鲜水</w:t>
                      </w:r>
                    </w:p>
                  </w:txbxContent>
                </v:textbox>
              </v:shape>
            </w:pict>
          </mc:Fallback>
        </mc:AlternateContent>
      </w:r>
    </w:p>
    <w:p>
      <w:pPr>
        <w:pStyle w:val="7"/>
        <w:spacing w:before="67" w:line="242" w:lineRule="auto"/>
        <w:ind w:right="8057"/>
        <w:jc w:val="both"/>
      </w:pPr>
    </w:p>
    <w:p>
      <w:pPr>
        <w:pStyle w:val="7"/>
        <w:spacing w:before="67" w:line="242" w:lineRule="auto"/>
        <w:ind w:right="8057"/>
        <w:jc w:val="both"/>
      </w:pPr>
    </w:p>
    <w:p>
      <w:pPr>
        <w:pStyle w:val="7"/>
        <w:spacing w:before="67" w:line="242" w:lineRule="auto"/>
        <w:ind w:right="8057"/>
        <w:jc w:val="both"/>
      </w:pPr>
    </w:p>
    <w:p>
      <w:pPr>
        <w:pStyle w:val="7"/>
        <w:spacing w:before="67" w:line="242" w:lineRule="auto"/>
        <w:ind w:right="8057"/>
        <w:jc w:val="both"/>
      </w:pPr>
    </w:p>
    <w:p>
      <w:pPr>
        <w:pStyle w:val="7"/>
        <w:ind w:left="0"/>
      </w:pPr>
    </w:p>
    <w:p>
      <w:pPr>
        <w:pStyle w:val="7"/>
        <w:ind w:left="0"/>
      </w:pPr>
    </w:p>
    <w:p>
      <w:pPr>
        <w:pStyle w:val="7"/>
        <w:ind w:left="0"/>
      </w:pPr>
    </w:p>
    <w:p>
      <w:pPr>
        <w:pStyle w:val="7"/>
        <w:bidi w:val="0"/>
        <w:jc w:val="center"/>
      </w:pPr>
    </w:p>
    <w:p>
      <w:pPr>
        <w:pStyle w:val="7"/>
        <w:bidi w:val="0"/>
        <w:jc w:val="center"/>
        <w:rPr>
          <w:rFonts w:ascii="Times New Roman" w:eastAsia="Times New Roman"/>
        </w:rPr>
      </w:pPr>
      <w:r>
        <w:t>图</w:t>
      </w:r>
      <w:r>
        <w:rPr>
          <w:rFonts w:ascii="Times New Roman" w:eastAsia="Times New Roman"/>
        </w:rPr>
        <w:t>3.1-3</w:t>
      </w:r>
      <w:r>
        <w:rPr>
          <w:rFonts w:ascii="Times New Roman" w:eastAsia="Times New Roman"/>
        </w:rPr>
        <w:tab/>
      </w:r>
      <w:r>
        <w:t>项目水平衡示意图</w:t>
      </w:r>
      <w:r>
        <w:tab/>
      </w:r>
      <w:r>
        <w:t>单位：</w:t>
      </w:r>
      <w:r>
        <w:rPr>
          <w:rFonts w:ascii="Times New Roman" w:eastAsia="Times New Roman"/>
        </w:rPr>
        <w:t>m</w:t>
      </w:r>
      <w:r>
        <w:rPr>
          <w:rFonts w:ascii="Times New Roman" w:eastAsia="Times New Roman"/>
          <w:position w:val="8"/>
          <w:sz w:val="15"/>
        </w:rPr>
        <w:t>3</w:t>
      </w:r>
      <w:r>
        <w:rPr>
          <w:rFonts w:ascii="Times New Roman" w:eastAsia="Times New Roman"/>
        </w:rPr>
        <w:t>/a</w:t>
      </w:r>
    </w:p>
    <w:p>
      <w:pPr>
        <w:pStyle w:val="7"/>
        <w:ind w:left="0"/>
        <w:rPr>
          <w:rFonts w:ascii="Times New Roman"/>
        </w:rPr>
      </w:pPr>
      <w:r>
        <w:br w:type="column"/>
      </w:r>
    </w:p>
    <w:p>
      <w:pPr>
        <w:pStyle w:val="7"/>
        <w:ind w:left="0"/>
        <w:rPr>
          <w:rFonts w:ascii="Times New Roman"/>
        </w:rPr>
      </w:pPr>
    </w:p>
    <w:p>
      <w:pPr>
        <w:pStyle w:val="7"/>
        <w:spacing w:before="6"/>
        <w:ind w:left="0"/>
        <w:rPr>
          <w:rFonts w:ascii="Times New Roman"/>
          <w:sz w:val="22"/>
        </w:rPr>
      </w:pPr>
    </w:p>
    <w:p>
      <w:pPr>
        <w:pStyle w:val="7"/>
        <w:ind w:left="48"/>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8132" w:space="40"/>
            <w:col w:w="1258"/>
          </w:cols>
        </w:sectPr>
      </w:pPr>
      <w:r>
        <w:t>堆肥厂</w:t>
      </w:r>
    </w:p>
    <w:p>
      <w:pPr>
        <w:pStyle w:val="17"/>
        <w:numPr>
          <w:ilvl w:val="3"/>
          <w:numId w:val="17"/>
        </w:numPr>
        <w:tabs>
          <w:tab w:val="left" w:pos="1320"/>
        </w:tabs>
        <w:spacing w:before="167" w:after="0" w:line="240" w:lineRule="auto"/>
        <w:ind w:left="1320" w:right="0" w:hanging="780"/>
        <w:jc w:val="left"/>
        <w:rPr>
          <w:sz w:val="24"/>
        </w:rPr>
      </w:pPr>
      <w:bookmarkStart w:id="123" w:name="3.1.5.3 供电工程"/>
      <w:bookmarkEnd w:id="123"/>
      <w:bookmarkStart w:id="124" w:name="3.1.5.3 供电工程"/>
      <w:bookmarkEnd w:id="124"/>
      <w:r>
        <w:rPr>
          <w:sz w:val="24"/>
        </w:rPr>
        <w:t>供电工程</w:t>
      </w:r>
    </w:p>
    <w:p>
      <w:pPr>
        <w:pStyle w:val="7"/>
        <w:spacing w:before="170" w:line="364" w:lineRule="auto"/>
        <w:ind w:right="577" w:firstLine="480"/>
        <w:jc w:val="both"/>
        <w:rPr>
          <w:color w:val="0000FF"/>
        </w:rPr>
      </w:pPr>
      <w:r>
        <w:rPr>
          <w:color w:val="0000FF"/>
          <w:spacing w:val="2"/>
        </w:rPr>
        <w:t>项目区电力主要由</w:t>
      </w:r>
      <w:r>
        <w:rPr>
          <w:rFonts w:hint="eastAsia"/>
          <w:color w:val="0000FF"/>
          <w:spacing w:val="2"/>
          <w:lang w:val="en-US" w:eastAsia="zh-CN"/>
        </w:rPr>
        <w:t>莎车</w:t>
      </w:r>
      <w:r>
        <w:rPr>
          <w:color w:val="0000FF"/>
          <w:spacing w:val="2"/>
        </w:rPr>
        <w:t>县供电公司联网供应，输电线路和电力来源配置完</w:t>
      </w:r>
      <w:r>
        <w:rPr>
          <w:color w:val="0000FF"/>
          <w:spacing w:val="-12"/>
        </w:rPr>
        <w:t>善，用电有保障，能够保证施工的供电。电源由养殖场周边道路农村低压电网引</w:t>
      </w:r>
      <w:r>
        <w:rPr>
          <w:color w:val="0000FF"/>
          <w:spacing w:val="-3"/>
        </w:rPr>
        <w:t>进建筑物，供电电压</w:t>
      </w:r>
      <w:r>
        <w:rPr>
          <w:rFonts w:ascii="Times New Roman" w:eastAsia="Times New Roman"/>
          <w:color w:val="0000FF"/>
        </w:rPr>
        <w:t>380/220V</w:t>
      </w:r>
      <w:r>
        <w:rPr>
          <w:color w:val="0000FF"/>
        </w:rPr>
        <w:t>，采用三相四线制进线。农村电网可以满足项目建设的要求。羊产业养殖场生产用电距离较近，使用方便。</w:t>
      </w:r>
    </w:p>
    <w:p>
      <w:pPr>
        <w:pStyle w:val="17"/>
        <w:numPr>
          <w:ilvl w:val="3"/>
          <w:numId w:val="17"/>
        </w:numPr>
        <w:tabs>
          <w:tab w:val="left" w:pos="1320"/>
        </w:tabs>
        <w:spacing w:before="10" w:after="0" w:line="240" w:lineRule="auto"/>
        <w:ind w:left="1320" w:right="0" w:hanging="780"/>
        <w:jc w:val="left"/>
        <w:rPr>
          <w:color w:val="0000FF"/>
          <w:sz w:val="24"/>
        </w:rPr>
      </w:pPr>
      <w:bookmarkStart w:id="125" w:name="3.1.5.4 供暖工程"/>
      <w:bookmarkEnd w:id="125"/>
      <w:bookmarkStart w:id="126" w:name="3.1.5.4 供暖工程"/>
      <w:bookmarkEnd w:id="126"/>
      <w:r>
        <w:rPr>
          <w:color w:val="0000FF"/>
          <w:sz w:val="24"/>
        </w:rPr>
        <w:t>供暖工程</w:t>
      </w:r>
    </w:p>
    <w:p>
      <w:pPr>
        <w:pStyle w:val="7"/>
        <w:spacing w:before="168"/>
        <w:ind w:left="1020"/>
        <w:rPr>
          <w:color w:val="0000FF"/>
        </w:rPr>
      </w:pPr>
      <w:r>
        <w:rPr>
          <w:color w:val="0000FF"/>
        </w:rPr>
        <w:t>本项目供暖采用电采暖。</w:t>
      </w:r>
    </w:p>
    <w:p>
      <w:pPr>
        <w:pStyle w:val="17"/>
        <w:numPr>
          <w:ilvl w:val="3"/>
          <w:numId w:val="17"/>
        </w:numPr>
        <w:tabs>
          <w:tab w:val="left" w:pos="1320"/>
        </w:tabs>
        <w:spacing w:before="167" w:after="0" w:line="240" w:lineRule="auto"/>
        <w:ind w:left="1320" w:right="0" w:hanging="780"/>
        <w:jc w:val="left"/>
        <w:rPr>
          <w:color w:val="0000FF"/>
          <w:sz w:val="24"/>
        </w:rPr>
      </w:pPr>
      <w:bookmarkStart w:id="127" w:name="3.1.5.5 交通运输工程"/>
      <w:bookmarkEnd w:id="127"/>
      <w:bookmarkStart w:id="128" w:name="3.1.5.5 交通运输工程"/>
      <w:bookmarkEnd w:id="128"/>
      <w:r>
        <w:rPr>
          <w:color w:val="0000FF"/>
          <w:sz w:val="24"/>
        </w:rPr>
        <w:t>交通运输工程</w:t>
      </w:r>
    </w:p>
    <w:p>
      <w:pPr>
        <w:pStyle w:val="7"/>
        <w:spacing w:before="171" w:line="364" w:lineRule="auto"/>
        <w:ind w:right="577" w:firstLine="480"/>
        <w:rPr>
          <w:color w:val="0000FF"/>
        </w:rPr>
      </w:pPr>
      <w:r>
        <w:rPr>
          <w:color w:val="0000FF"/>
          <w:spacing w:val="-5"/>
        </w:rPr>
        <w:t>本项目进厂的原材料和出厂的产品全部采用公路运输的方式，依托</w:t>
      </w:r>
      <w:r>
        <w:rPr>
          <w:rFonts w:hint="eastAsia"/>
          <w:color w:val="0000FF"/>
          <w:spacing w:val="-5"/>
          <w:lang w:val="en-US" w:eastAsia="zh-CN"/>
        </w:rPr>
        <w:t>莎车</w:t>
      </w:r>
      <w:r>
        <w:rPr>
          <w:color w:val="0000FF"/>
          <w:spacing w:val="-5"/>
        </w:rPr>
        <w:t>县</w:t>
      </w:r>
      <w:r>
        <w:rPr>
          <w:color w:val="0000FF"/>
        </w:rPr>
        <w:t>已有公路，不新增公路建设。</w:t>
      </w:r>
    </w:p>
    <w:p>
      <w:pPr>
        <w:pStyle w:val="7"/>
        <w:spacing w:before="143"/>
        <w:rPr>
          <w:color w:val="0000FF"/>
        </w:rPr>
      </w:pPr>
      <w:r>
        <w:rPr>
          <w:color w:val="0000FF"/>
        </w:rPr>
        <w:t>基地内道路采用戈壁石路面，基地内外形成环状道路，并与消防车道相结合。</w:t>
      </w:r>
    </w:p>
    <w:p>
      <w:pPr>
        <w:pStyle w:val="7"/>
        <w:spacing w:before="143"/>
        <w:rPr>
          <w:color w:val="0000FF"/>
        </w:rPr>
      </w:pPr>
      <w:r>
        <w:rPr>
          <w:color w:val="0000FF"/>
        </w:rPr>
        <w:t>道路宽度</w:t>
      </w:r>
      <w:r>
        <w:rPr>
          <w:rFonts w:ascii="Times New Roman" w:eastAsia="Times New Roman"/>
          <w:color w:val="0000FF"/>
        </w:rPr>
        <w:t>6</w:t>
      </w:r>
      <w:r>
        <w:rPr>
          <w:color w:val="0000FF"/>
        </w:rPr>
        <w:t>米，纵坡</w:t>
      </w:r>
      <w:r>
        <w:rPr>
          <w:rFonts w:ascii="Times New Roman" w:eastAsia="Times New Roman"/>
          <w:color w:val="0000FF"/>
        </w:rPr>
        <w:t>0.55</w:t>
      </w:r>
      <w:r>
        <w:rPr>
          <w:color w:val="0000FF"/>
        </w:rPr>
        <w:t>％，最小纵坡</w:t>
      </w:r>
      <w:r>
        <w:rPr>
          <w:rFonts w:ascii="Times New Roman" w:eastAsia="Times New Roman"/>
          <w:color w:val="0000FF"/>
        </w:rPr>
        <w:t>0.2</w:t>
      </w:r>
      <w:r>
        <w:rPr>
          <w:color w:val="0000FF"/>
        </w:rPr>
        <w:t>％。地表雨水均排入周围绿化带。</w:t>
      </w:r>
    </w:p>
    <w:p>
      <w:pPr>
        <w:pStyle w:val="17"/>
        <w:numPr>
          <w:ilvl w:val="3"/>
          <w:numId w:val="17"/>
        </w:numPr>
        <w:tabs>
          <w:tab w:val="left" w:pos="1320"/>
        </w:tabs>
        <w:spacing w:before="170" w:after="0" w:line="240" w:lineRule="auto"/>
        <w:ind w:left="1320" w:right="0" w:hanging="780"/>
        <w:jc w:val="left"/>
        <w:rPr>
          <w:color w:val="0000FF"/>
          <w:sz w:val="24"/>
        </w:rPr>
      </w:pPr>
      <w:bookmarkStart w:id="129" w:name="3.1.5.6 通风降温"/>
      <w:bookmarkEnd w:id="129"/>
      <w:bookmarkStart w:id="130" w:name="3.1.5.6 通风降温"/>
      <w:bookmarkEnd w:id="130"/>
      <w:r>
        <w:rPr>
          <w:color w:val="0000FF"/>
          <w:sz w:val="24"/>
        </w:rPr>
        <w:t>通风降温</w:t>
      </w:r>
    </w:p>
    <w:p>
      <w:pPr>
        <w:pStyle w:val="7"/>
        <w:spacing w:before="168" w:line="364" w:lineRule="auto"/>
        <w:ind w:right="577" w:firstLine="480"/>
        <w:jc w:val="both"/>
        <w:rPr>
          <w:color w:val="0000FF"/>
        </w:rPr>
      </w:pPr>
      <w:r>
        <w:rPr>
          <w:color w:val="0000FF"/>
          <w:spacing w:val="-8"/>
        </w:rPr>
        <w:t>为了保证羊养殖有个良好的环境，羊舍内气温的调节通过室内外空气交换完</w:t>
      </w:r>
      <w:r>
        <w:rPr>
          <w:color w:val="0000FF"/>
          <w:spacing w:val="-4"/>
        </w:rPr>
        <w:t>成。羊舍内安装通风风扇保证羊舍内以</w:t>
      </w:r>
      <w:r>
        <w:rPr>
          <w:rFonts w:ascii="Times New Roman" w:eastAsia="Times New Roman"/>
          <w:color w:val="0000FF"/>
        </w:rPr>
        <w:t>2m/s</w:t>
      </w:r>
      <w:r>
        <w:rPr>
          <w:color w:val="0000FF"/>
        </w:rPr>
        <w:t>的风速保持通风状态，每座羊舍有</w:t>
      </w:r>
      <w:r>
        <w:rPr>
          <w:rFonts w:ascii="Times New Roman" w:eastAsia="Times New Roman"/>
          <w:color w:val="0000FF"/>
        </w:rPr>
        <w:t>8</w:t>
      </w:r>
      <w:r>
        <w:rPr>
          <w:color w:val="0000FF"/>
        </w:rPr>
        <w:t>台风机。</w:t>
      </w:r>
    </w:p>
    <w:p>
      <w:pPr>
        <w:pStyle w:val="7"/>
        <w:spacing w:before="2"/>
        <w:ind w:left="0"/>
        <w:rPr>
          <w:sz w:val="21"/>
        </w:rPr>
      </w:pPr>
    </w:p>
    <w:p>
      <w:pPr>
        <w:pStyle w:val="5"/>
        <w:numPr>
          <w:ilvl w:val="2"/>
          <w:numId w:val="16"/>
        </w:numPr>
        <w:tabs>
          <w:tab w:val="left" w:pos="1241"/>
        </w:tabs>
        <w:spacing w:before="0" w:after="0" w:line="240" w:lineRule="auto"/>
        <w:ind w:left="1240" w:right="0" w:hanging="701"/>
        <w:jc w:val="left"/>
      </w:pPr>
      <w:bookmarkStart w:id="131" w:name="3.1.6 主要原辅材料及能耗"/>
      <w:bookmarkEnd w:id="131"/>
      <w:bookmarkStart w:id="132" w:name="3.1.6 主要原辅材料及能耗"/>
      <w:bookmarkEnd w:id="132"/>
      <w:r>
        <w:t>主要原辅材料及能耗</w:t>
      </w:r>
    </w:p>
    <w:p>
      <w:pPr>
        <w:pStyle w:val="7"/>
        <w:spacing w:before="5"/>
        <w:ind w:left="0"/>
        <w:rPr>
          <w:b/>
          <w:sz w:val="21"/>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firstLine="480" w:firstLineChars="200"/>
        <w:textAlignment w:val="auto"/>
        <w:rPr>
          <w:color w:val="0000FF"/>
        </w:rPr>
      </w:pPr>
      <w:r>
        <w:rPr>
          <w:color w:val="0000FF"/>
        </w:rPr>
        <w:t>本项目引进</w:t>
      </w:r>
      <w:r>
        <w:rPr>
          <w:rFonts w:hint="eastAsia"/>
          <w:color w:val="0000FF"/>
          <w:lang w:val="en-US" w:eastAsia="zh-CN"/>
        </w:rPr>
        <w:t>多胎羊9157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w:t>
      </w:r>
      <w:r>
        <w:rPr>
          <w:rFonts w:ascii="宋?" w:hAnsi="宋?" w:cs="宋?"/>
          <w:color w:val="0000FF"/>
          <w:kern w:val="0"/>
          <w:sz w:val="24"/>
          <w:szCs w:val="24"/>
        </w:rPr>
        <w:t>萨福克种公羊</w:t>
      </w:r>
      <w:r>
        <w:rPr>
          <w:rFonts w:ascii="Times New Roman" w:eastAsia="Times New Roman"/>
          <w:color w:val="0000FF"/>
        </w:rPr>
        <w:t>20</w:t>
      </w:r>
      <w:r>
        <w:rPr>
          <w:color w:val="0000FF"/>
        </w:rPr>
        <w:t>只，湖羊种公羊</w:t>
      </w:r>
      <w:r>
        <w:rPr>
          <w:rFonts w:hint="eastAsia" w:ascii="Times New Roman" w:eastAsia="宋体"/>
          <w:color w:val="0000FF"/>
          <w:lang w:val="en-US" w:eastAsia="zh-CN"/>
        </w:rPr>
        <w:t>20</w:t>
      </w:r>
      <w:r>
        <w:rPr>
          <w:color w:val="0000FF"/>
        </w:rPr>
        <w:t>只，计划实现年出栏</w:t>
      </w:r>
      <w:r>
        <w:rPr>
          <w:rFonts w:hint="eastAsia"/>
          <w:color w:val="0000FF"/>
          <w:lang w:val="en-US" w:eastAsia="zh-CN"/>
        </w:rPr>
        <w:t>公羊</w:t>
      </w:r>
      <w:r>
        <w:rPr>
          <w:rFonts w:ascii="Times New Roman" w:eastAsia="Times New Roman"/>
          <w:color w:val="0000FF"/>
        </w:rPr>
        <w:t>4</w:t>
      </w:r>
      <w:r>
        <w:rPr>
          <w:color w:val="0000FF"/>
        </w:rPr>
        <w:t>万只，本项目全部外购成品饲料，</w:t>
      </w:r>
      <w:r>
        <w:rPr>
          <w:color w:val="0000FF"/>
          <w:spacing w:val="-6"/>
        </w:rPr>
        <w:t>粗饲料及青贮年用量</w:t>
      </w:r>
      <w:r>
        <w:rPr>
          <w:rFonts w:ascii="Times New Roman" w:eastAsia="Times New Roman"/>
          <w:color w:val="0000FF"/>
        </w:rPr>
        <w:t>600</w:t>
      </w:r>
      <w:r>
        <w:rPr>
          <w:color w:val="0000FF"/>
        </w:rPr>
        <w:t>公斤</w:t>
      </w:r>
      <w:r>
        <w:rPr>
          <w:rFonts w:ascii="Times New Roman" w:eastAsia="Times New Roman"/>
          <w:color w:val="0000FF"/>
        </w:rPr>
        <w:t>/</w:t>
      </w:r>
      <w:r>
        <w:rPr>
          <w:color w:val="0000FF"/>
          <w:spacing w:val="-15"/>
        </w:rPr>
        <w:t>头，混合精料</w:t>
      </w:r>
      <w:r>
        <w:rPr>
          <w:rFonts w:ascii="Times New Roman" w:eastAsia="Times New Roman"/>
          <w:color w:val="0000FF"/>
        </w:rPr>
        <w:t>70</w:t>
      </w:r>
      <w:r>
        <w:rPr>
          <w:color w:val="0000FF"/>
        </w:rPr>
        <w:t>公斤</w:t>
      </w:r>
      <w:r>
        <w:rPr>
          <w:rFonts w:ascii="Times New Roman" w:eastAsia="Times New Roman"/>
          <w:color w:val="0000FF"/>
        </w:rPr>
        <w:t>/</w:t>
      </w:r>
      <w:r>
        <w:rPr>
          <w:color w:val="0000FF"/>
          <w:spacing w:val="-10"/>
        </w:rPr>
        <w:t>头。本项目主要原、辅材料</w:t>
      </w:r>
      <w:r>
        <w:rPr>
          <w:color w:val="0000FF"/>
          <w:spacing w:val="-6"/>
        </w:rPr>
        <w:t>及能源消耗情况见下表</w:t>
      </w:r>
      <w:r>
        <w:rPr>
          <w:rFonts w:ascii="Times New Roman" w:eastAsia="Times New Roman"/>
          <w:color w:val="0000FF"/>
        </w:rPr>
        <w:t>3.1-6</w:t>
      </w:r>
      <w:r>
        <w:rPr>
          <w:color w:val="0000FF"/>
        </w:rPr>
        <w:t>。</w:t>
      </w:r>
    </w:p>
    <w:p>
      <w:pPr>
        <w:pStyle w:val="7"/>
        <w:bidi w:val="0"/>
        <w:jc w:val="center"/>
        <w:rPr>
          <w:color w:val="0000FF"/>
        </w:rPr>
      </w:pPr>
      <w:r>
        <w:rPr>
          <w:color w:val="0000FF"/>
        </w:rPr>
        <w:t>表</w:t>
      </w:r>
      <w:r>
        <w:rPr>
          <w:rFonts w:ascii="Times New Roman" w:eastAsia="Times New Roman"/>
          <w:color w:val="0000FF"/>
        </w:rPr>
        <w:t>3.1-6</w:t>
      </w:r>
      <w:r>
        <w:rPr>
          <w:rFonts w:ascii="Times New Roman" w:eastAsia="Times New Roman"/>
          <w:color w:val="0000FF"/>
        </w:rPr>
        <w:tab/>
      </w:r>
      <w:r>
        <w:rPr>
          <w:color w:val="0000FF"/>
        </w:rPr>
        <w:t>项目主要原辅材料及能源消耗一览表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968"/>
        <w:gridCol w:w="1795"/>
        <w:gridCol w:w="1520"/>
        <w:gridCol w:w="1617"/>
        <w:gridCol w:w="1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8"/>
              <w:spacing w:before="27"/>
              <w:ind w:left="196" w:right="188"/>
              <w:rPr>
                <w:b/>
                <w:color w:val="0000FF"/>
                <w:sz w:val="21"/>
              </w:rPr>
            </w:pPr>
            <w:r>
              <w:rPr>
                <w:b/>
                <w:color w:val="0000FF"/>
                <w:sz w:val="21"/>
              </w:rPr>
              <w:t>序号</w:t>
            </w:r>
          </w:p>
        </w:tc>
        <w:tc>
          <w:tcPr>
            <w:tcW w:w="2763" w:type="dxa"/>
            <w:gridSpan w:val="2"/>
          </w:tcPr>
          <w:p>
            <w:pPr>
              <w:pStyle w:val="18"/>
              <w:spacing w:before="27"/>
              <w:ind w:left="1149" w:right="1141"/>
              <w:rPr>
                <w:b/>
                <w:color w:val="0000FF"/>
                <w:sz w:val="21"/>
              </w:rPr>
            </w:pPr>
            <w:r>
              <w:rPr>
                <w:b/>
                <w:color w:val="0000FF"/>
                <w:sz w:val="21"/>
              </w:rPr>
              <w:t>名称</w:t>
            </w:r>
          </w:p>
        </w:tc>
        <w:tc>
          <w:tcPr>
            <w:tcW w:w="1520" w:type="dxa"/>
          </w:tcPr>
          <w:p>
            <w:pPr>
              <w:pStyle w:val="18"/>
              <w:spacing w:before="27"/>
              <w:ind w:left="445"/>
              <w:jc w:val="left"/>
              <w:rPr>
                <w:b/>
                <w:color w:val="0000FF"/>
                <w:sz w:val="21"/>
              </w:rPr>
            </w:pPr>
            <w:r>
              <w:rPr>
                <w:b/>
                <w:color w:val="0000FF"/>
                <w:sz w:val="21"/>
              </w:rPr>
              <w:t>年耗量</w:t>
            </w:r>
          </w:p>
        </w:tc>
        <w:tc>
          <w:tcPr>
            <w:tcW w:w="1617" w:type="dxa"/>
          </w:tcPr>
          <w:p>
            <w:pPr>
              <w:pStyle w:val="18"/>
              <w:spacing w:before="27"/>
              <w:ind w:left="365" w:right="356"/>
              <w:rPr>
                <w:b/>
                <w:color w:val="0000FF"/>
                <w:sz w:val="21"/>
              </w:rPr>
            </w:pPr>
            <w:r>
              <w:rPr>
                <w:b/>
                <w:color w:val="0000FF"/>
                <w:sz w:val="21"/>
              </w:rPr>
              <w:t>单位</w:t>
            </w:r>
          </w:p>
        </w:tc>
        <w:tc>
          <w:tcPr>
            <w:tcW w:w="1763" w:type="dxa"/>
          </w:tcPr>
          <w:p>
            <w:pPr>
              <w:pStyle w:val="18"/>
              <w:spacing w:before="27"/>
              <w:ind w:left="438" w:right="430"/>
              <w:rPr>
                <w:b/>
                <w:color w:val="0000FF"/>
                <w:sz w:val="21"/>
              </w:rPr>
            </w:pPr>
            <w:r>
              <w:rPr>
                <w:b/>
                <w:color w:val="0000FF"/>
                <w:sz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restart"/>
          </w:tcPr>
          <w:p>
            <w:pPr>
              <w:pStyle w:val="18"/>
              <w:spacing w:before="11"/>
              <w:jc w:val="left"/>
              <w:rPr>
                <w:b/>
                <w:color w:val="0000FF"/>
                <w:sz w:val="29"/>
              </w:rPr>
            </w:pPr>
          </w:p>
          <w:p>
            <w:pPr>
              <w:pStyle w:val="18"/>
              <w:ind w:left="9"/>
              <w:rPr>
                <w:rFonts w:ascii="Times New Roman"/>
                <w:color w:val="0000FF"/>
                <w:sz w:val="21"/>
              </w:rPr>
            </w:pPr>
            <w:r>
              <w:rPr>
                <w:rFonts w:ascii="Times New Roman"/>
                <w:color w:val="0000FF"/>
                <w:w w:val="99"/>
                <w:sz w:val="21"/>
              </w:rPr>
              <w:t>1</w:t>
            </w:r>
          </w:p>
        </w:tc>
        <w:tc>
          <w:tcPr>
            <w:tcW w:w="968" w:type="dxa"/>
            <w:vMerge w:val="restart"/>
          </w:tcPr>
          <w:p>
            <w:pPr>
              <w:pStyle w:val="18"/>
              <w:spacing w:before="10"/>
              <w:jc w:val="center"/>
              <w:rPr>
                <w:b/>
                <w:color w:val="0000FF"/>
                <w:sz w:val="28"/>
              </w:rPr>
            </w:pPr>
          </w:p>
          <w:p>
            <w:pPr>
              <w:pStyle w:val="18"/>
              <w:ind w:left="167"/>
              <w:jc w:val="center"/>
              <w:rPr>
                <w:color w:val="0000FF"/>
                <w:sz w:val="21"/>
              </w:rPr>
            </w:pPr>
            <w:r>
              <w:rPr>
                <w:color w:val="0000FF"/>
                <w:sz w:val="21"/>
              </w:rPr>
              <w:t>繁育羊</w:t>
            </w:r>
          </w:p>
        </w:tc>
        <w:tc>
          <w:tcPr>
            <w:tcW w:w="1795" w:type="dxa"/>
          </w:tcPr>
          <w:p>
            <w:pPr>
              <w:pStyle w:val="18"/>
              <w:spacing w:before="28"/>
              <w:ind w:left="141" w:right="134"/>
              <w:jc w:val="center"/>
              <w:rPr>
                <w:color w:val="0000FF"/>
                <w:sz w:val="21"/>
              </w:rPr>
            </w:pPr>
            <w:r>
              <w:rPr>
                <w:rFonts w:ascii="宋?" w:hAnsi="宋?" w:cs="宋?"/>
                <w:color w:val="0000FF"/>
                <w:kern w:val="0"/>
                <w:sz w:val="24"/>
                <w:szCs w:val="24"/>
              </w:rPr>
              <w:t>多胎性生产母羊</w:t>
            </w:r>
          </w:p>
        </w:tc>
        <w:tc>
          <w:tcPr>
            <w:tcW w:w="1520" w:type="dxa"/>
          </w:tcPr>
          <w:p>
            <w:pPr>
              <w:pStyle w:val="18"/>
              <w:spacing w:before="42"/>
              <w:ind w:left="529" w:right="521"/>
              <w:jc w:val="center"/>
              <w:rPr>
                <w:rFonts w:hint="default" w:ascii="Times New Roman" w:eastAsia="宋体"/>
                <w:color w:val="0000FF"/>
                <w:sz w:val="21"/>
                <w:lang w:val="en-US" w:eastAsia="zh-CN"/>
              </w:rPr>
            </w:pPr>
            <w:r>
              <w:rPr>
                <w:rFonts w:hint="eastAsia" w:ascii="Times New Roman"/>
                <w:color w:val="0000FF"/>
                <w:sz w:val="21"/>
                <w:lang w:val="en-US" w:eastAsia="zh-CN"/>
              </w:rPr>
              <w:t>9117</w:t>
            </w:r>
          </w:p>
        </w:tc>
        <w:tc>
          <w:tcPr>
            <w:tcW w:w="1617" w:type="dxa"/>
          </w:tcPr>
          <w:p>
            <w:pPr>
              <w:pStyle w:val="18"/>
              <w:spacing w:before="28"/>
              <w:ind w:left="9"/>
              <w:jc w:val="center"/>
              <w:rPr>
                <w:color w:val="0000FF"/>
                <w:sz w:val="21"/>
              </w:rPr>
            </w:pPr>
            <w:r>
              <w:rPr>
                <w:color w:val="0000FF"/>
                <w:w w:val="99"/>
                <w:sz w:val="21"/>
              </w:rPr>
              <w:t>只</w:t>
            </w:r>
          </w:p>
        </w:tc>
        <w:tc>
          <w:tcPr>
            <w:tcW w:w="1763" w:type="dxa"/>
          </w:tcPr>
          <w:p>
            <w:pPr>
              <w:pStyle w:val="18"/>
              <w:spacing w:before="28"/>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jc w:val="center"/>
              <w:rPr>
                <w:color w:val="0000FF"/>
                <w:sz w:val="2"/>
                <w:szCs w:val="2"/>
              </w:rPr>
            </w:pPr>
          </w:p>
        </w:tc>
        <w:tc>
          <w:tcPr>
            <w:tcW w:w="1795" w:type="dxa"/>
          </w:tcPr>
          <w:p>
            <w:pPr>
              <w:pStyle w:val="18"/>
              <w:spacing w:before="29"/>
              <w:ind w:left="139" w:right="134"/>
              <w:jc w:val="center"/>
              <w:rPr>
                <w:color w:val="0000FF"/>
                <w:sz w:val="21"/>
              </w:rPr>
            </w:pPr>
            <w:r>
              <w:rPr>
                <w:rFonts w:ascii="宋?" w:hAnsi="宋?" w:cs="宋?"/>
                <w:color w:val="0000FF"/>
                <w:kern w:val="0"/>
                <w:sz w:val="24"/>
                <w:szCs w:val="24"/>
              </w:rPr>
              <w:t>萨福克种公羊</w:t>
            </w:r>
          </w:p>
        </w:tc>
        <w:tc>
          <w:tcPr>
            <w:tcW w:w="1520" w:type="dxa"/>
          </w:tcPr>
          <w:p>
            <w:pPr>
              <w:pStyle w:val="18"/>
              <w:spacing w:before="43"/>
              <w:jc w:val="center"/>
              <w:rPr>
                <w:rFonts w:ascii="Times New Roman"/>
                <w:color w:val="0000FF"/>
                <w:sz w:val="21"/>
              </w:rPr>
            </w:pPr>
            <w:r>
              <w:rPr>
                <w:rFonts w:ascii="Times New Roman"/>
                <w:color w:val="0000FF"/>
                <w:sz w:val="21"/>
              </w:rPr>
              <w:t>20</w:t>
            </w:r>
          </w:p>
        </w:tc>
        <w:tc>
          <w:tcPr>
            <w:tcW w:w="1617" w:type="dxa"/>
          </w:tcPr>
          <w:p>
            <w:pPr>
              <w:pStyle w:val="18"/>
              <w:spacing w:before="29"/>
              <w:ind w:left="9"/>
              <w:jc w:val="center"/>
              <w:rPr>
                <w:color w:val="0000FF"/>
                <w:sz w:val="21"/>
              </w:rPr>
            </w:pPr>
            <w:r>
              <w:rPr>
                <w:color w:val="0000FF"/>
                <w:w w:val="99"/>
                <w:sz w:val="21"/>
              </w:rPr>
              <w:t>只</w:t>
            </w:r>
          </w:p>
        </w:tc>
        <w:tc>
          <w:tcPr>
            <w:tcW w:w="1763" w:type="dxa"/>
          </w:tcPr>
          <w:p>
            <w:pPr>
              <w:pStyle w:val="18"/>
              <w:spacing w:before="29"/>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jc w:val="center"/>
              <w:rPr>
                <w:color w:val="0000FF"/>
                <w:sz w:val="2"/>
                <w:szCs w:val="2"/>
              </w:rPr>
            </w:pPr>
          </w:p>
        </w:tc>
        <w:tc>
          <w:tcPr>
            <w:tcW w:w="1795" w:type="dxa"/>
          </w:tcPr>
          <w:p>
            <w:pPr>
              <w:pStyle w:val="18"/>
              <w:spacing w:before="27"/>
              <w:ind w:left="139" w:right="134"/>
              <w:jc w:val="center"/>
              <w:rPr>
                <w:color w:val="0000FF"/>
                <w:sz w:val="21"/>
              </w:rPr>
            </w:pPr>
            <w:r>
              <w:rPr>
                <w:rFonts w:hint="eastAsia"/>
                <w:color w:val="0000FF"/>
                <w:sz w:val="21"/>
                <w:lang w:val="en-US" w:eastAsia="zh-CN"/>
              </w:rPr>
              <w:t>湖</w:t>
            </w:r>
            <w:r>
              <w:rPr>
                <w:color w:val="0000FF"/>
                <w:sz w:val="21"/>
              </w:rPr>
              <w:t>羊</w:t>
            </w:r>
          </w:p>
        </w:tc>
        <w:tc>
          <w:tcPr>
            <w:tcW w:w="1520" w:type="dxa"/>
          </w:tcPr>
          <w:p>
            <w:pPr>
              <w:pStyle w:val="18"/>
              <w:spacing w:before="44"/>
              <w:ind w:right="521"/>
              <w:jc w:val="center"/>
              <w:rPr>
                <w:rFonts w:ascii="Times New Roman"/>
                <w:color w:val="0000FF"/>
                <w:sz w:val="21"/>
              </w:rPr>
            </w:pPr>
            <w:r>
              <w:rPr>
                <w:rFonts w:hint="eastAsia" w:ascii="Times New Roman"/>
                <w:color w:val="0000FF"/>
                <w:lang w:val="en-US" w:eastAsia="zh-CN"/>
              </w:rPr>
              <w:t xml:space="preserve">         </w:t>
            </w:r>
            <w:r>
              <w:rPr>
                <w:rFonts w:hint="eastAsia" w:ascii="Times New Roman" w:eastAsia="宋体"/>
                <w:color w:val="0000FF"/>
                <w:lang w:val="en-US" w:eastAsia="zh-CN"/>
              </w:rPr>
              <w:t>20</w:t>
            </w:r>
          </w:p>
        </w:tc>
        <w:tc>
          <w:tcPr>
            <w:tcW w:w="1617" w:type="dxa"/>
          </w:tcPr>
          <w:p>
            <w:pPr>
              <w:pStyle w:val="18"/>
              <w:spacing w:before="27"/>
              <w:ind w:left="9"/>
              <w:jc w:val="center"/>
              <w:rPr>
                <w:color w:val="0000FF"/>
                <w:sz w:val="21"/>
              </w:rPr>
            </w:pPr>
            <w:r>
              <w:rPr>
                <w:color w:val="0000FF"/>
                <w:w w:val="99"/>
                <w:sz w:val="21"/>
              </w:rPr>
              <w:t>只</w:t>
            </w:r>
          </w:p>
        </w:tc>
        <w:tc>
          <w:tcPr>
            <w:tcW w:w="1763" w:type="dxa"/>
          </w:tcPr>
          <w:p>
            <w:pPr>
              <w:pStyle w:val="18"/>
              <w:spacing w:before="27"/>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restart"/>
          </w:tcPr>
          <w:p>
            <w:pPr>
              <w:pStyle w:val="18"/>
              <w:spacing w:before="7"/>
              <w:jc w:val="left"/>
              <w:rPr>
                <w:b/>
                <w:color w:val="0000FF"/>
                <w:sz w:val="16"/>
              </w:rPr>
            </w:pPr>
          </w:p>
          <w:p>
            <w:pPr>
              <w:pStyle w:val="18"/>
              <w:ind w:left="9"/>
              <w:rPr>
                <w:rFonts w:ascii="Times New Roman"/>
                <w:color w:val="0000FF"/>
                <w:sz w:val="21"/>
              </w:rPr>
            </w:pPr>
            <w:r>
              <w:rPr>
                <w:rFonts w:ascii="Times New Roman"/>
                <w:color w:val="0000FF"/>
                <w:w w:val="99"/>
                <w:sz w:val="21"/>
              </w:rPr>
              <w:t>2</w:t>
            </w:r>
          </w:p>
        </w:tc>
        <w:tc>
          <w:tcPr>
            <w:tcW w:w="968" w:type="dxa"/>
            <w:vMerge w:val="restart"/>
          </w:tcPr>
          <w:p>
            <w:pPr>
              <w:pStyle w:val="18"/>
              <w:spacing w:before="6"/>
              <w:jc w:val="left"/>
              <w:rPr>
                <w:b/>
                <w:color w:val="0000FF"/>
                <w:sz w:val="15"/>
              </w:rPr>
            </w:pPr>
          </w:p>
          <w:p>
            <w:pPr>
              <w:pStyle w:val="18"/>
              <w:ind w:left="273"/>
              <w:jc w:val="left"/>
              <w:rPr>
                <w:color w:val="0000FF"/>
                <w:sz w:val="21"/>
              </w:rPr>
            </w:pPr>
            <w:r>
              <w:rPr>
                <w:color w:val="0000FF"/>
                <w:sz w:val="21"/>
              </w:rPr>
              <w:t>饲料</w:t>
            </w:r>
          </w:p>
        </w:tc>
        <w:tc>
          <w:tcPr>
            <w:tcW w:w="1795" w:type="dxa"/>
          </w:tcPr>
          <w:p>
            <w:pPr>
              <w:pStyle w:val="18"/>
              <w:spacing w:before="28"/>
              <w:ind w:left="141" w:right="134"/>
              <w:rPr>
                <w:color w:val="0000FF"/>
                <w:sz w:val="21"/>
              </w:rPr>
            </w:pPr>
            <w:r>
              <w:rPr>
                <w:color w:val="0000FF"/>
                <w:sz w:val="21"/>
              </w:rPr>
              <w:t>粗饲料及青贮料</w:t>
            </w:r>
          </w:p>
        </w:tc>
        <w:tc>
          <w:tcPr>
            <w:tcW w:w="1520" w:type="dxa"/>
          </w:tcPr>
          <w:p>
            <w:pPr>
              <w:pStyle w:val="18"/>
              <w:spacing w:before="42"/>
              <w:ind w:left="495"/>
              <w:jc w:val="left"/>
              <w:rPr>
                <w:rFonts w:ascii="Times New Roman"/>
                <w:color w:val="0000FF"/>
                <w:sz w:val="21"/>
              </w:rPr>
            </w:pPr>
            <w:r>
              <w:rPr>
                <w:rFonts w:ascii="Times New Roman"/>
                <w:color w:val="0000FF"/>
                <w:sz w:val="21"/>
              </w:rPr>
              <w:t>18000</w:t>
            </w:r>
          </w:p>
        </w:tc>
        <w:tc>
          <w:tcPr>
            <w:tcW w:w="1617" w:type="dxa"/>
          </w:tcPr>
          <w:p>
            <w:pPr>
              <w:pStyle w:val="18"/>
              <w:spacing w:before="42"/>
              <w:ind w:left="365" w:right="357"/>
              <w:rPr>
                <w:rFonts w:ascii="Times New Roman"/>
                <w:color w:val="0000FF"/>
                <w:sz w:val="21"/>
              </w:rPr>
            </w:pPr>
            <w:r>
              <w:rPr>
                <w:rFonts w:ascii="Times New Roman"/>
                <w:color w:val="0000FF"/>
                <w:sz w:val="21"/>
              </w:rPr>
              <w:t>t/a</w:t>
            </w:r>
          </w:p>
        </w:tc>
        <w:tc>
          <w:tcPr>
            <w:tcW w:w="1763" w:type="dxa"/>
          </w:tcPr>
          <w:p>
            <w:pPr>
              <w:pStyle w:val="18"/>
              <w:spacing w:before="28"/>
              <w:ind w:left="438" w:right="432"/>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rPr>
                <w:color w:val="0000FF"/>
                <w:sz w:val="2"/>
                <w:szCs w:val="2"/>
              </w:rPr>
            </w:pPr>
          </w:p>
        </w:tc>
        <w:tc>
          <w:tcPr>
            <w:tcW w:w="1795" w:type="dxa"/>
          </w:tcPr>
          <w:p>
            <w:pPr>
              <w:pStyle w:val="18"/>
              <w:spacing w:before="29"/>
              <w:ind w:left="139" w:right="134"/>
              <w:rPr>
                <w:color w:val="0000FF"/>
                <w:sz w:val="21"/>
              </w:rPr>
            </w:pPr>
            <w:r>
              <w:rPr>
                <w:color w:val="0000FF"/>
                <w:sz w:val="21"/>
              </w:rPr>
              <w:t>混合精料</w:t>
            </w:r>
          </w:p>
        </w:tc>
        <w:tc>
          <w:tcPr>
            <w:tcW w:w="1520" w:type="dxa"/>
          </w:tcPr>
          <w:p>
            <w:pPr>
              <w:pStyle w:val="18"/>
              <w:spacing w:before="43"/>
              <w:ind w:left="529" w:right="521"/>
              <w:rPr>
                <w:rFonts w:ascii="Times New Roman"/>
                <w:color w:val="0000FF"/>
                <w:sz w:val="21"/>
              </w:rPr>
            </w:pPr>
            <w:r>
              <w:rPr>
                <w:rFonts w:ascii="Times New Roman"/>
                <w:color w:val="0000FF"/>
                <w:sz w:val="21"/>
              </w:rPr>
              <w:t>2100</w:t>
            </w:r>
          </w:p>
        </w:tc>
        <w:tc>
          <w:tcPr>
            <w:tcW w:w="1617" w:type="dxa"/>
          </w:tcPr>
          <w:p>
            <w:pPr>
              <w:pStyle w:val="18"/>
              <w:spacing w:before="43"/>
              <w:ind w:left="365" w:right="357"/>
              <w:rPr>
                <w:rFonts w:ascii="Times New Roman"/>
                <w:color w:val="0000FF"/>
                <w:sz w:val="21"/>
              </w:rPr>
            </w:pPr>
            <w:r>
              <w:rPr>
                <w:rFonts w:ascii="Times New Roman"/>
                <w:color w:val="0000FF"/>
                <w:sz w:val="21"/>
              </w:rPr>
              <w:t>t/a</w:t>
            </w:r>
          </w:p>
        </w:tc>
        <w:tc>
          <w:tcPr>
            <w:tcW w:w="1763" w:type="dxa"/>
          </w:tcPr>
          <w:p>
            <w:pPr>
              <w:pStyle w:val="18"/>
              <w:spacing w:before="29"/>
              <w:ind w:left="438" w:right="432"/>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8"/>
              <w:spacing w:before="44"/>
              <w:ind w:left="9"/>
              <w:rPr>
                <w:rFonts w:ascii="Times New Roman"/>
                <w:color w:val="0000FF"/>
                <w:sz w:val="21"/>
              </w:rPr>
            </w:pPr>
            <w:r>
              <w:rPr>
                <w:rFonts w:ascii="Times New Roman"/>
                <w:color w:val="0000FF"/>
                <w:w w:val="99"/>
                <w:sz w:val="21"/>
              </w:rPr>
              <w:t>3</w:t>
            </w:r>
          </w:p>
        </w:tc>
        <w:tc>
          <w:tcPr>
            <w:tcW w:w="2763" w:type="dxa"/>
            <w:gridSpan w:val="2"/>
          </w:tcPr>
          <w:p>
            <w:pPr>
              <w:pStyle w:val="18"/>
              <w:spacing w:before="27"/>
              <w:ind w:left="8"/>
              <w:rPr>
                <w:color w:val="0000FF"/>
                <w:sz w:val="21"/>
              </w:rPr>
            </w:pPr>
            <w:r>
              <w:rPr>
                <w:color w:val="0000FF"/>
                <w:w w:val="99"/>
                <w:sz w:val="21"/>
              </w:rPr>
              <w:t>水</w:t>
            </w:r>
          </w:p>
        </w:tc>
        <w:tc>
          <w:tcPr>
            <w:tcW w:w="1520" w:type="dxa"/>
          </w:tcPr>
          <w:p>
            <w:pPr>
              <w:pStyle w:val="18"/>
              <w:spacing w:before="44"/>
              <w:ind w:left="418"/>
              <w:jc w:val="left"/>
              <w:rPr>
                <w:rFonts w:ascii="Times New Roman"/>
                <w:color w:val="0000FF"/>
                <w:sz w:val="21"/>
              </w:rPr>
            </w:pPr>
            <w:r>
              <w:rPr>
                <w:rFonts w:ascii="Times New Roman"/>
                <w:color w:val="0000FF"/>
                <w:sz w:val="21"/>
              </w:rPr>
              <w:t>6752.36</w:t>
            </w:r>
          </w:p>
        </w:tc>
        <w:tc>
          <w:tcPr>
            <w:tcW w:w="1617" w:type="dxa"/>
          </w:tcPr>
          <w:p>
            <w:pPr>
              <w:pStyle w:val="18"/>
              <w:spacing w:before="44"/>
              <w:ind w:left="365" w:right="357"/>
              <w:rPr>
                <w:rFonts w:ascii="Times New Roman"/>
                <w:color w:val="0000FF"/>
                <w:sz w:val="21"/>
              </w:rPr>
            </w:pPr>
            <w:r>
              <w:rPr>
                <w:rFonts w:ascii="Times New Roman"/>
                <w:color w:val="0000FF"/>
                <w:sz w:val="21"/>
              </w:rPr>
              <w:t>m</w:t>
            </w:r>
            <w:r>
              <w:rPr>
                <w:rFonts w:ascii="Times New Roman"/>
                <w:color w:val="0000FF"/>
                <w:position w:val="7"/>
                <w:sz w:val="13"/>
              </w:rPr>
              <w:t>3</w:t>
            </w:r>
            <w:r>
              <w:rPr>
                <w:rFonts w:ascii="Times New Roman"/>
                <w:color w:val="0000FF"/>
                <w:sz w:val="21"/>
              </w:rPr>
              <w:t>/a</w:t>
            </w:r>
          </w:p>
        </w:tc>
        <w:tc>
          <w:tcPr>
            <w:tcW w:w="1763" w:type="dxa"/>
          </w:tcPr>
          <w:p>
            <w:pPr>
              <w:pStyle w:val="18"/>
              <w:spacing w:before="27"/>
              <w:ind w:left="438" w:right="435"/>
              <w:rPr>
                <w:color w:val="0000FF"/>
                <w:sz w:val="21"/>
              </w:rPr>
            </w:pPr>
            <w:r>
              <w:rPr>
                <w:color w:val="0000FF"/>
                <w:sz w:val="21"/>
              </w:rPr>
              <w:t>供水管网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8"/>
              <w:spacing w:before="42"/>
              <w:ind w:left="9"/>
              <w:rPr>
                <w:rFonts w:ascii="Times New Roman"/>
                <w:color w:val="0000FF"/>
                <w:sz w:val="21"/>
              </w:rPr>
            </w:pPr>
            <w:r>
              <w:rPr>
                <w:rFonts w:ascii="Times New Roman"/>
                <w:color w:val="0000FF"/>
                <w:w w:val="99"/>
                <w:sz w:val="21"/>
              </w:rPr>
              <w:t>4</w:t>
            </w:r>
          </w:p>
        </w:tc>
        <w:tc>
          <w:tcPr>
            <w:tcW w:w="2763" w:type="dxa"/>
            <w:gridSpan w:val="2"/>
          </w:tcPr>
          <w:p>
            <w:pPr>
              <w:pStyle w:val="18"/>
              <w:spacing w:before="28"/>
              <w:ind w:left="8"/>
              <w:rPr>
                <w:color w:val="0000FF"/>
                <w:sz w:val="21"/>
              </w:rPr>
            </w:pPr>
            <w:r>
              <w:rPr>
                <w:color w:val="0000FF"/>
                <w:w w:val="99"/>
                <w:sz w:val="21"/>
              </w:rPr>
              <w:t>电</w:t>
            </w:r>
          </w:p>
        </w:tc>
        <w:tc>
          <w:tcPr>
            <w:tcW w:w="1520" w:type="dxa"/>
          </w:tcPr>
          <w:p>
            <w:pPr>
              <w:pStyle w:val="18"/>
              <w:spacing w:before="42"/>
              <w:ind w:left="471"/>
              <w:jc w:val="left"/>
              <w:rPr>
                <w:rFonts w:ascii="Times New Roman"/>
                <w:color w:val="0000FF"/>
                <w:sz w:val="21"/>
              </w:rPr>
            </w:pPr>
            <w:r>
              <w:rPr>
                <w:rFonts w:ascii="Times New Roman"/>
                <w:color w:val="0000FF"/>
                <w:sz w:val="21"/>
              </w:rPr>
              <w:t>126.50</w:t>
            </w:r>
          </w:p>
        </w:tc>
        <w:tc>
          <w:tcPr>
            <w:tcW w:w="1617" w:type="dxa"/>
          </w:tcPr>
          <w:p>
            <w:pPr>
              <w:pStyle w:val="18"/>
              <w:spacing w:before="28"/>
              <w:ind w:left="365" w:right="361"/>
              <w:rPr>
                <w:color w:val="0000FF"/>
                <w:sz w:val="21"/>
              </w:rPr>
            </w:pPr>
            <w:r>
              <w:rPr>
                <w:color w:val="0000FF"/>
                <w:sz w:val="21"/>
              </w:rPr>
              <w:t>万千瓦时</w:t>
            </w:r>
          </w:p>
        </w:tc>
        <w:tc>
          <w:tcPr>
            <w:tcW w:w="1763" w:type="dxa"/>
          </w:tcPr>
          <w:p>
            <w:pPr>
              <w:pStyle w:val="18"/>
              <w:spacing w:before="28"/>
              <w:ind w:left="438" w:right="435"/>
              <w:rPr>
                <w:color w:val="0000FF"/>
                <w:sz w:val="21"/>
              </w:rPr>
            </w:pPr>
            <w:r>
              <w:rPr>
                <w:color w:val="0000FF"/>
                <w:sz w:val="21"/>
              </w:rPr>
              <w:t>农村电网</w:t>
            </w:r>
          </w:p>
        </w:tc>
      </w:tr>
    </w:tbl>
    <w:p>
      <w:pPr>
        <w:pStyle w:val="7"/>
        <w:spacing w:before="4"/>
        <w:ind w:left="0"/>
        <w:rPr>
          <w:b/>
          <w:color w:val="0000FF"/>
          <w:sz w:val="27"/>
        </w:rPr>
      </w:pPr>
    </w:p>
    <w:p>
      <w:pPr>
        <w:pStyle w:val="5"/>
        <w:numPr>
          <w:ilvl w:val="2"/>
          <w:numId w:val="16"/>
        </w:numPr>
        <w:bidi w:val="0"/>
      </w:pPr>
      <w:bookmarkStart w:id="133" w:name="3.1.7 生产工艺流程"/>
      <w:bookmarkEnd w:id="133"/>
      <w:bookmarkStart w:id="134" w:name="3.1.7 生产工艺流程"/>
      <w:bookmarkEnd w:id="134"/>
      <w:r>
        <w:t>生产工艺流程</w:t>
      </w:r>
    </w:p>
    <w:p>
      <w:pPr>
        <w:pStyle w:val="7"/>
        <w:spacing w:before="2"/>
        <w:ind w:left="0"/>
        <w:rPr>
          <w:b/>
          <w:sz w:val="22"/>
        </w:rPr>
      </w:pPr>
    </w:p>
    <w:p>
      <w:pPr>
        <w:pStyle w:val="17"/>
        <w:numPr>
          <w:ilvl w:val="3"/>
          <w:numId w:val="18"/>
        </w:numPr>
        <w:tabs>
          <w:tab w:val="left" w:pos="1320"/>
        </w:tabs>
        <w:spacing w:before="0" w:after="0" w:line="240" w:lineRule="auto"/>
        <w:ind w:left="1320" w:right="0" w:hanging="780"/>
        <w:jc w:val="left"/>
        <w:rPr>
          <w:color w:val="0000FF"/>
          <w:sz w:val="24"/>
        </w:rPr>
      </w:pPr>
      <w:bookmarkStart w:id="135" w:name="3.1.7.1 饲料加工流程简述"/>
      <w:bookmarkEnd w:id="135"/>
      <w:bookmarkStart w:id="136" w:name="3.1.7.1 饲料加工流程简述"/>
      <w:bookmarkEnd w:id="136"/>
      <w:r>
        <w:rPr>
          <w:color w:val="0000FF"/>
          <w:sz w:val="24"/>
        </w:rPr>
        <w:t>饲料加工流程简述</w:t>
      </w:r>
    </w:p>
    <w:p>
      <w:pPr>
        <w:pStyle w:val="7"/>
        <w:spacing w:before="168"/>
        <w:ind w:left="1020"/>
        <w:rPr>
          <w:color w:val="0000FF"/>
        </w:rPr>
      </w:pPr>
      <w:r>
        <w:rPr>
          <w:color w:val="0000FF"/>
        </w:rPr>
        <w:t>本项目饲料采购成品，在厂区内无粉碎、发酵等工序，可直接进行饲喂。</w:t>
      </w:r>
    </w:p>
    <w:p>
      <w:pPr>
        <w:pStyle w:val="17"/>
        <w:numPr>
          <w:ilvl w:val="3"/>
          <w:numId w:val="18"/>
        </w:numPr>
        <w:tabs>
          <w:tab w:val="left" w:pos="1320"/>
        </w:tabs>
        <w:spacing w:before="168" w:after="0" w:line="240" w:lineRule="auto"/>
        <w:ind w:left="1320" w:right="0" w:hanging="780"/>
        <w:jc w:val="left"/>
        <w:rPr>
          <w:color w:val="0000FF"/>
          <w:sz w:val="24"/>
        </w:rPr>
      </w:pPr>
      <w:bookmarkStart w:id="137" w:name="3.1.7.2 养殖工艺流程"/>
      <w:bookmarkEnd w:id="137"/>
      <w:bookmarkStart w:id="138" w:name="3.1.7.2 养殖工艺流程"/>
      <w:bookmarkEnd w:id="138"/>
      <w:r>
        <w:rPr>
          <w:color w:val="0000FF"/>
          <w:sz w:val="24"/>
        </w:rPr>
        <w:t>养殖工艺流程</w:t>
      </w:r>
    </w:p>
    <w:p>
      <w:pPr>
        <w:pStyle w:val="7"/>
        <w:spacing w:before="161" w:line="364" w:lineRule="auto"/>
        <w:ind w:right="577" w:firstLine="480" w:firstLineChars="200"/>
        <w:rPr>
          <w:sz w:val="20"/>
        </w:rPr>
      </w:pPr>
      <w:r>
        <w:rPr>
          <w:color w:val="0000FF"/>
        </w:rPr>
        <w:t>本项目年引进繁育羊</w:t>
      </w:r>
      <w:r>
        <w:rPr>
          <w:rFonts w:hint="eastAsia"/>
          <w:color w:val="0000FF"/>
          <w:lang w:val="en-US" w:eastAsia="zh-CN"/>
        </w:rPr>
        <w:t>9157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w:t>
      </w:r>
      <w:r>
        <w:rPr>
          <w:rFonts w:ascii="宋?" w:hAnsi="宋?" w:cs="宋?"/>
          <w:color w:val="0000FF"/>
          <w:kern w:val="0"/>
          <w:sz w:val="24"/>
          <w:szCs w:val="24"/>
        </w:rPr>
        <w:t>萨福克种公羊</w:t>
      </w:r>
      <w:r>
        <w:rPr>
          <w:rFonts w:ascii="Times New Roman" w:eastAsia="Times New Roman"/>
          <w:color w:val="0000FF"/>
        </w:rPr>
        <w:t>20</w:t>
      </w:r>
      <w:r>
        <w:rPr>
          <w:color w:val="0000FF"/>
        </w:rPr>
        <w:t>只，湖羊种公羊</w:t>
      </w:r>
      <w:r>
        <w:rPr>
          <w:rFonts w:hint="eastAsia" w:ascii="Times New Roman" w:eastAsia="宋体"/>
          <w:color w:val="0000FF"/>
          <w:lang w:val="en-US" w:eastAsia="zh-CN"/>
        </w:rPr>
        <w:t>20</w:t>
      </w:r>
      <w:r>
        <w:rPr>
          <w:color w:val="0000FF"/>
        </w:rPr>
        <w:t>只</w:t>
      </w:r>
      <w:r>
        <w:rPr>
          <w:color w:val="0000FF"/>
          <w:spacing w:val="-9"/>
        </w:rPr>
        <w:t>。正常年出栏</w:t>
      </w:r>
      <w:r>
        <w:rPr>
          <w:rFonts w:hint="eastAsia"/>
          <w:color w:val="0000FF"/>
          <w:spacing w:val="-9"/>
          <w:lang w:val="en-US" w:eastAsia="zh-CN"/>
        </w:rPr>
        <w:t>公羊</w:t>
      </w:r>
      <w:r>
        <w:rPr>
          <w:rFonts w:ascii="Times New Roman" w:eastAsia="Times New Roman"/>
          <w:color w:val="0000FF"/>
          <w:spacing w:val="-3"/>
        </w:rPr>
        <w:t>4</w:t>
      </w:r>
      <w:r>
        <w:rPr>
          <w:color w:val="0000FF"/>
          <w:spacing w:val="-5"/>
        </w:rPr>
        <w:t>万只，出栏肉羊外售。项目运营期养殖</w:t>
      </w:r>
      <w:r>
        <w:rPr>
          <w:color w:val="0000FF"/>
          <w:spacing w:val="-6"/>
        </w:rPr>
        <w:t>工艺流程及产污节点见图</w:t>
      </w:r>
      <w:r>
        <w:rPr>
          <w:rFonts w:ascii="Times New Roman" w:eastAsia="Times New Roman"/>
          <w:color w:val="0000FF"/>
        </w:rPr>
        <w:t>3.1-4</w:t>
      </w:r>
      <w:r>
        <w:rPr>
          <w:color w:val="0000FF"/>
        </w:rPr>
        <w:t>。</w:t>
      </w:r>
    </w:p>
    <w:p>
      <w:pPr>
        <w:pStyle w:val="7"/>
        <w:spacing w:before="3"/>
        <w:ind w:left="0"/>
        <w:rPr>
          <w:sz w:val="15"/>
        </w:rPr>
      </w:pPr>
    </w:p>
    <w:p>
      <w:pPr>
        <w:pStyle w:val="7"/>
        <w:ind w:left="869"/>
        <w:rPr>
          <w:sz w:val="20"/>
        </w:rPr>
      </w:pPr>
      <w:r>
        <w:rPr>
          <w:sz w:val="20"/>
        </w:rPr>
        <mc:AlternateContent>
          <mc:Choice Requires="wpg">
            <w:drawing>
              <wp:inline distT="0" distB="0" distL="114300" distR="114300">
                <wp:extent cx="4935220" cy="4237990"/>
                <wp:effectExtent l="0" t="0" r="0" b="10160"/>
                <wp:docPr id="97" name="组合 54"/>
                <wp:cNvGraphicFramePr/>
                <a:graphic xmlns:a="http://schemas.openxmlformats.org/drawingml/2006/main">
                  <a:graphicData uri="http://schemas.microsoft.com/office/word/2010/wordprocessingGroup">
                    <wpg:wgp>
                      <wpg:cNvGrpSpPr/>
                      <wpg:grpSpPr>
                        <a:xfrm>
                          <a:off x="0" y="0"/>
                          <a:ext cx="4935220" cy="4237990"/>
                          <a:chOff x="0" y="0"/>
                          <a:chExt cx="7690" cy="6525"/>
                        </a:xfrm>
                      </wpg:grpSpPr>
                      <wps:wsp>
                        <wps:cNvPr id="57" name="任意多边形 55"/>
                        <wps:cNvSpPr/>
                        <wps:spPr>
                          <a:xfrm>
                            <a:off x="6674" y="2495"/>
                            <a:ext cx="405" cy="120"/>
                          </a:xfrm>
                          <a:custGeom>
                            <a:avLst/>
                            <a:gdLst/>
                            <a:ahLst/>
                            <a:cxnLst/>
                            <a:pathLst>
                              <a:path w="405" h="120">
                                <a:moveTo>
                                  <a:pt x="286" y="120"/>
                                </a:moveTo>
                                <a:lnTo>
                                  <a:pt x="282" y="0"/>
                                </a:lnTo>
                                <a:lnTo>
                                  <a:pt x="404" y="56"/>
                                </a:lnTo>
                                <a:lnTo>
                                  <a:pt x="286" y="120"/>
                                </a:lnTo>
                                <a:close/>
                                <a:moveTo>
                                  <a:pt x="0" y="76"/>
                                </a:moveTo>
                                <a:lnTo>
                                  <a:pt x="0" y="61"/>
                                </a:lnTo>
                                <a:lnTo>
                                  <a:pt x="60" y="59"/>
                                </a:lnTo>
                                <a:lnTo>
                                  <a:pt x="60" y="74"/>
                                </a:lnTo>
                                <a:lnTo>
                                  <a:pt x="0" y="76"/>
                                </a:lnTo>
                                <a:close/>
                                <a:moveTo>
                                  <a:pt x="105" y="72"/>
                                </a:moveTo>
                                <a:lnTo>
                                  <a:pt x="105" y="57"/>
                                </a:lnTo>
                                <a:lnTo>
                                  <a:pt x="165" y="56"/>
                                </a:lnTo>
                                <a:lnTo>
                                  <a:pt x="165" y="71"/>
                                </a:lnTo>
                                <a:lnTo>
                                  <a:pt x="105" y="72"/>
                                </a:lnTo>
                                <a:close/>
                                <a:moveTo>
                                  <a:pt x="210" y="69"/>
                                </a:moveTo>
                                <a:lnTo>
                                  <a:pt x="210" y="54"/>
                                </a:lnTo>
                                <a:lnTo>
                                  <a:pt x="270" y="53"/>
                                </a:lnTo>
                                <a:lnTo>
                                  <a:pt x="270" y="68"/>
                                </a:lnTo>
                                <a:lnTo>
                                  <a:pt x="210" y="69"/>
                                </a:lnTo>
                                <a:close/>
                              </a:path>
                            </a:pathLst>
                          </a:custGeom>
                          <a:solidFill>
                            <a:srgbClr val="000000"/>
                          </a:solidFill>
                          <a:ln>
                            <a:noFill/>
                          </a:ln>
                        </wps:spPr>
                        <wps:bodyPr upright="1"/>
                      </wps:wsp>
                      <wps:wsp>
                        <wps:cNvPr id="58" name="任意多边形 56"/>
                        <wps:cNvSpPr/>
                        <wps:spPr>
                          <a:xfrm>
                            <a:off x="1099" y="410"/>
                            <a:ext cx="3151" cy="4013"/>
                          </a:xfrm>
                          <a:custGeom>
                            <a:avLst/>
                            <a:gdLst/>
                            <a:ahLst/>
                            <a:cxnLst/>
                            <a:pathLst>
                              <a:path w="3151" h="4013">
                                <a:moveTo>
                                  <a:pt x="3141" y="20"/>
                                </a:moveTo>
                                <a:lnTo>
                                  <a:pt x="3061" y="20"/>
                                </a:lnTo>
                                <a:lnTo>
                                  <a:pt x="3061" y="0"/>
                                </a:lnTo>
                                <a:lnTo>
                                  <a:pt x="3141" y="0"/>
                                </a:lnTo>
                                <a:lnTo>
                                  <a:pt x="3141" y="20"/>
                                </a:lnTo>
                                <a:close/>
                                <a:moveTo>
                                  <a:pt x="3001" y="20"/>
                                </a:moveTo>
                                <a:lnTo>
                                  <a:pt x="2921" y="20"/>
                                </a:lnTo>
                                <a:lnTo>
                                  <a:pt x="2921" y="0"/>
                                </a:lnTo>
                                <a:lnTo>
                                  <a:pt x="3001" y="0"/>
                                </a:lnTo>
                                <a:lnTo>
                                  <a:pt x="3001" y="20"/>
                                </a:lnTo>
                                <a:close/>
                                <a:moveTo>
                                  <a:pt x="2861" y="20"/>
                                </a:moveTo>
                                <a:lnTo>
                                  <a:pt x="2781" y="20"/>
                                </a:lnTo>
                                <a:lnTo>
                                  <a:pt x="2781" y="0"/>
                                </a:lnTo>
                                <a:lnTo>
                                  <a:pt x="2861" y="0"/>
                                </a:lnTo>
                                <a:lnTo>
                                  <a:pt x="2861" y="20"/>
                                </a:lnTo>
                                <a:close/>
                                <a:moveTo>
                                  <a:pt x="2721" y="20"/>
                                </a:moveTo>
                                <a:lnTo>
                                  <a:pt x="2641" y="20"/>
                                </a:lnTo>
                                <a:lnTo>
                                  <a:pt x="2641" y="0"/>
                                </a:lnTo>
                                <a:lnTo>
                                  <a:pt x="2721" y="0"/>
                                </a:lnTo>
                                <a:lnTo>
                                  <a:pt x="2721" y="20"/>
                                </a:lnTo>
                                <a:close/>
                                <a:moveTo>
                                  <a:pt x="2581" y="20"/>
                                </a:moveTo>
                                <a:lnTo>
                                  <a:pt x="2501" y="20"/>
                                </a:lnTo>
                                <a:lnTo>
                                  <a:pt x="2501" y="0"/>
                                </a:lnTo>
                                <a:lnTo>
                                  <a:pt x="2581" y="0"/>
                                </a:lnTo>
                                <a:lnTo>
                                  <a:pt x="2581" y="20"/>
                                </a:lnTo>
                                <a:close/>
                                <a:moveTo>
                                  <a:pt x="2441" y="20"/>
                                </a:moveTo>
                                <a:lnTo>
                                  <a:pt x="2361" y="20"/>
                                </a:lnTo>
                                <a:lnTo>
                                  <a:pt x="2361" y="0"/>
                                </a:lnTo>
                                <a:lnTo>
                                  <a:pt x="2441" y="0"/>
                                </a:lnTo>
                                <a:lnTo>
                                  <a:pt x="2441" y="20"/>
                                </a:lnTo>
                                <a:close/>
                                <a:moveTo>
                                  <a:pt x="2301" y="20"/>
                                </a:moveTo>
                                <a:lnTo>
                                  <a:pt x="2221" y="20"/>
                                </a:lnTo>
                                <a:lnTo>
                                  <a:pt x="2221" y="0"/>
                                </a:lnTo>
                                <a:lnTo>
                                  <a:pt x="2301" y="0"/>
                                </a:lnTo>
                                <a:lnTo>
                                  <a:pt x="2301" y="20"/>
                                </a:lnTo>
                                <a:close/>
                                <a:moveTo>
                                  <a:pt x="2161" y="20"/>
                                </a:moveTo>
                                <a:lnTo>
                                  <a:pt x="2081" y="20"/>
                                </a:lnTo>
                                <a:lnTo>
                                  <a:pt x="2081" y="0"/>
                                </a:lnTo>
                                <a:lnTo>
                                  <a:pt x="2161" y="0"/>
                                </a:lnTo>
                                <a:lnTo>
                                  <a:pt x="2161" y="20"/>
                                </a:lnTo>
                                <a:close/>
                                <a:moveTo>
                                  <a:pt x="2021" y="20"/>
                                </a:moveTo>
                                <a:lnTo>
                                  <a:pt x="1941" y="20"/>
                                </a:lnTo>
                                <a:lnTo>
                                  <a:pt x="1941" y="0"/>
                                </a:lnTo>
                                <a:lnTo>
                                  <a:pt x="2021" y="0"/>
                                </a:lnTo>
                                <a:lnTo>
                                  <a:pt x="2021" y="20"/>
                                </a:lnTo>
                                <a:close/>
                                <a:moveTo>
                                  <a:pt x="1881" y="20"/>
                                </a:moveTo>
                                <a:lnTo>
                                  <a:pt x="1801" y="20"/>
                                </a:lnTo>
                                <a:lnTo>
                                  <a:pt x="1801" y="0"/>
                                </a:lnTo>
                                <a:lnTo>
                                  <a:pt x="1881" y="0"/>
                                </a:lnTo>
                                <a:lnTo>
                                  <a:pt x="1881" y="20"/>
                                </a:lnTo>
                                <a:close/>
                                <a:moveTo>
                                  <a:pt x="1741" y="20"/>
                                </a:moveTo>
                                <a:lnTo>
                                  <a:pt x="1661" y="20"/>
                                </a:lnTo>
                                <a:lnTo>
                                  <a:pt x="1661" y="0"/>
                                </a:lnTo>
                                <a:lnTo>
                                  <a:pt x="1741" y="0"/>
                                </a:lnTo>
                                <a:lnTo>
                                  <a:pt x="1741" y="20"/>
                                </a:lnTo>
                                <a:close/>
                                <a:moveTo>
                                  <a:pt x="1601" y="20"/>
                                </a:moveTo>
                                <a:lnTo>
                                  <a:pt x="1521" y="20"/>
                                </a:lnTo>
                                <a:lnTo>
                                  <a:pt x="1521" y="0"/>
                                </a:lnTo>
                                <a:lnTo>
                                  <a:pt x="1601" y="0"/>
                                </a:lnTo>
                                <a:lnTo>
                                  <a:pt x="1601" y="20"/>
                                </a:lnTo>
                                <a:close/>
                                <a:moveTo>
                                  <a:pt x="1461" y="20"/>
                                </a:moveTo>
                                <a:lnTo>
                                  <a:pt x="1381" y="20"/>
                                </a:lnTo>
                                <a:lnTo>
                                  <a:pt x="1381" y="0"/>
                                </a:lnTo>
                                <a:lnTo>
                                  <a:pt x="1461" y="0"/>
                                </a:lnTo>
                                <a:lnTo>
                                  <a:pt x="1461" y="20"/>
                                </a:lnTo>
                                <a:close/>
                                <a:moveTo>
                                  <a:pt x="1321" y="20"/>
                                </a:moveTo>
                                <a:lnTo>
                                  <a:pt x="1241" y="20"/>
                                </a:lnTo>
                                <a:lnTo>
                                  <a:pt x="1241" y="0"/>
                                </a:lnTo>
                                <a:lnTo>
                                  <a:pt x="1321" y="0"/>
                                </a:lnTo>
                                <a:lnTo>
                                  <a:pt x="1321" y="20"/>
                                </a:lnTo>
                                <a:close/>
                                <a:moveTo>
                                  <a:pt x="1181" y="20"/>
                                </a:moveTo>
                                <a:lnTo>
                                  <a:pt x="1101" y="20"/>
                                </a:lnTo>
                                <a:lnTo>
                                  <a:pt x="1101" y="0"/>
                                </a:lnTo>
                                <a:lnTo>
                                  <a:pt x="1181" y="0"/>
                                </a:lnTo>
                                <a:lnTo>
                                  <a:pt x="1181" y="20"/>
                                </a:lnTo>
                                <a:close/>
                                <a:moveTo>
                                  <a:pt x="1041" y="20"/>
                                </a:moveTo>
                                <a:lnTo>
                                  <a:pt x="961" y="20"/>
                                </a:lnTo>
                                <a:lnTo>
                                  <a:pt x="961" y="0"/>
                                </a:lnTo>
                                <a:lnTo>
                                  <a:pt x="1041" y="0"/>
                                </a:lnTo>
                                <a:lnTo>
                                  <a:pt x="1041" y="20"/>
                                </a:lnTo>
                                <a:close/>
                                <a:moveTo>
                                  <a:pt x="901" y="20"/>
                                </a:moveTo>
                                <a:lnTo>
                                  <a:pt x="821" y="20"/>
                                </a:lnTo>
                                <a:lnTo>
                                  <a:pt x="821" y="0"/>
                                </a:lnTo>
                                <a:lnTo>
                                  <a:pt x="901" y="0"/>
                                </a:lnTo>
                                <a:lnTo>
                                  <a:pt x="901" y="20"/>
                                </a:lnTo>
                                <a:close/>
                                <a:moveTo>
                                  <a:pt x="761" y="20"/>
                                </a:moveTo>
                                <a:lnTo>
                                  <a:pt x="681" y="20"/>
                                </a:lnTo>
                                <a:lnTo>
                                  <a:pt x="681" y="0"/>
                                </a:lnTo>
                                <a:lnTo>
                                  <a:pt x="761" y="0"/>
                                </a:lnTo>
                                <a:lnTo>
                                  <a:pt x="761" y="20"/>
                                </a:lnTo>
                                <a:close/>
                                <a:moveTo>
                                  <a:pt x="621" y="20"/>
                                </a:moveTo>
                                <a:lnTo>
                                  <a:pt x="541" y="20"/>
                                </a:lnTo>
                                <a:lnTo>
                                  <a:pt x="541" y="0"/>
                                </a:lnTo>
                                <a:lnTo>
                                  <a:pt x="621" y="0"/>
                                </a:lnTo>
                                <a:lnTo>
                                  <a:pt x="621" y="20"/>
                                </a:lnTo>
                                <a:close/>
                                <a:moveTo>
                                  <a:pt x="481" y="20"/>
                                </a:moveTo>
                                <a:lnTo>
                                  <a:pt x="401" y="20"/>
                                </a:lnTo>
                                <a:lnTo>
                                  <a:pt x="401" y="0"/>
                                </a:lnTo>
                                <a:lnTo>
                                  <a:pt x="481" y="0"/>
                                </a:lnTo>
                                <a:lnTo>
                                  <a:pt x="481" y="20"/>
                                </a:lnTo>
                                <a:close/>
                                <a:moveTo>
                                  <a:pt x="341" y="20"/>
                                </a:moveTo>
                                <a:lnTo>
                                  <a:pt x="261" y="20"/>
                                </a:lnTo>
                                <a:lnTo>
                                  <a:pt x="261" y="0"/>
                                </a:lnTo>
                                <a:lnTo>
                                  <a:pt x="341" y="0"/>
                                </a:lnTo>
                                <a:lnTo>
                                  <a:pt x="341" y="20"/>
                                </a:lnTo>
                                <a:close/>
                                <a:moveTo>
                                  <a:pt x="201" y="20"/>
                                </a:moveTo>
                                <a:lnTo>
                                  <a:pt x="121" y="20"/>
                                </a:lnTo>
                                <a:lnTo>
                                  <a:pt x="121" y="0"/>
                                </a:lnTo>
                                <a:lnTo>
                                  <a:pt x="201" y="0"/>
                                </a:lnTo>
                                <a:lnTo>
                                  <a:pt x="201" y="20"/>
                                </a:lnTo>
                                <a:close/>
                                <a:moveTo>
                                  <a:pt x="20" y="39"/>
                                </a:moveTo>
                                <a:lnTo>
                                  <a:pt x="0" y="39"/>
                                </a:lnTo>
                                <a:lnTo>
                                  <a:pt x="0" y="0"/>
                                </a:lnTo>
                                <a:lnTo>
                                  <a:pt x="61" y="0"/>
                                </a:lnTo>
                                <a:lnTo>
                                  <a:pt x="61" y="10"/>
                                </a:lnTo>
                                <a:lnTo>
                                  <a:pt x="20" y="10"/>
                                </a:lnTo>
                                <a:lnTo>
                                  <a:pt x="10" y="20"/>
                                </a:lnTo>
                                <a:lnTo>
                                  <a:pt x="20" y="20"/>
                                </a:lnTo>
                                <a:lnTo>
                                  <a:pt x="20" y="39"/>
                                </a:lnTo>
                                <a:close/>
                                <a:moveTo>
                                  <a:pt x="20" y="20"/>
                                </a:moveTo>
                                <a:lnTo>
                                  <a:pt x="10" y="20"/>
                                </a:lnTo>
                                <a:lnTo>
                                  <a:pt x="20" y="10"/>
                                </a:lnTo>
                                <a:lnTo>
                                  <a:pt x="20" y="20"/>
                                </a:lnTo>
                                <a:close/>
                                <a:moveTo>
                                  <a:pt x="61" y="20"/>
                                </a:moveTo>
                                <a:lnTo>
                                  <a:pt x="20" y="20"/>
                                </a:lnTo>
                                <a:lnTo>
                                  <a:pt x="20" y="10"/>
                                </a:lnTo>
                                <a:lnTo>
                                  <a:pt x="61" y="10"/>
                                </a:lnTo>
                                <a:lnTo>
                                  <a:pt x="61" y="20"/>
                                </a:lnTo>
                                <a:close/>
                                <a:moveTo>
                                  <a:pt x="20" y="179"/>
                                </a:moveTo>
                                <a:lnTo>
                                  <a:pt x="0" y="179"/>
                                </a:lnTo>
                                <a:lnTo>
                                  <a:pt x="0" y="99"/>
                                </a:lnTo>
                                <a:lnTo>
                                  <a:pt x="20" y="99"/>
                                </a:lnTo>
                                <a:lnTo>
                                  <a:pt x="20" y="179"/>
                                </a:lnTo>
                                <a:close/>
                                <a:moveTo>
                                  <a:pt x="20" y="319"/>
                                </a:moveTo>
                                <a:lnTo>
                                  <a:pt x="0" y="319"/>
                                </a:lnTo>
                                <a:lnTo>
                                  <a:pt x="0" y="239"/>
                                </a:lnTo>
                                <a:lnTo>
                                  <a:pt x="20" y="239"/>
                                </a:lnTo>
                                <a:lnTo>
                                  <a:pt x="20" y="319"/>
                                </a:lnTo>
                                <a:close/>
                                <a:moveTo>
                                  <a:pt x="20" y="459"/>
                                </a:moveTo>
                                <a:lnTo>
                                  <a:pt x="0" y="459"/>
                                </a:lnTo>
                                <a:lnTo>
                                  <a:pt x="0" y="379"/>
                                </a:lnTo>
                                <a:lnTo>
                                  <a:pt x="20" y="379"/>
                                </a:lnTo>
                                <a:lnTo>
                                  <a:pt x="20" y="459"/>
                                </a:lnTo>
                                <a:close/>
                                <a:moveTo>
                                  <a:pt x="20" y="599"/>
                                </a:moveTo>
                                <a:lnTo>
                                  <a:pt x="0" y="599"/>
                                </a:lnTo>
                                <a:lnTo>
                                  <a:pt x="0" y="519"/>
                                </a:lnTo>
                                <a:lnTo>
                                  <a:pt x="20" y="519"/>
                                </a:lnTo>
                                <a:lnTo>
                                  <a:pt x="20" y="599"/>
                                </a:lnTo>
                                <a:close/>
                                <a:moveTo>
                                  <a:pt x="20" y="739"/>
                                </a:moveTo>
                                <a:lnTo>
                                  <a:pt x="0" y="739"/>
                                </a:lnTo>
                                <a:lnTo>
                                  <a:pt x="0" y="659"/>
                                </a:lnTo>
                                <a:lnTo>
                                  <a:pt x="20" y="659"/>
                                </a:lnTo>
                                <a:lnTo>
                                  <a:pt x="20" y="739"/>
                                </a:lnTo>
                                <a:close/>
                                <a:moveTo>
                                  <a:pt x="20" y="879"/>
                                </a:moveTo>
                                <a:lnTo>
                                  <a:pt x="0" y="879"/>
                                </a:lnTo>
                                <a:lnTo>
                                  <a:pt x="0" y="799"/>
                                </a:lnTo>
                                <a:lnTo>
                                  <a:pt x="20" y="799"/>
                                </a:lnTo>
                                <a:lnTo>
                                  <a:pt x="20" y="879"/>
                                </a:lnTo>
                                <a:close/>
                                <a:moveTo>
                                  <a:pt x="20" y="1019"/>
                                </a:moveTo>
                                <a:lnTo>
                                  <a:pt x="0" y="1019"/>
                                </a:lnTo>
                                <a:lnTo>
                                  <a:pt x="0" y="939"/>
                                </a:lnTo>
                                <a:lnTo>
                                  <a:pt x="20" y="939"/>
                                </a:lnTo>
                                <a:lnTo>
                                  <a:pt x="20" y="1019"/>
                                </a:lnTo>
                                <a:close/>
                                <a:moveTo>
                                  <a:pt x="20" y="1159"/>
                                </a:moveTo>
                                <a:lnTo>
                                  <a:pt x="0" y="1159"/>
                                </a:lnTo>
                                <a:lnTo>
                                  <a:pt x="0" y="1079"/>
                                </a:lnTo>
                                <a:lnTo>
                                  <a:pt x="20" y="1079"/>
                                </a:lnTo>
                                <a:lnTo>
                                  <a:pt x="20" y="1159"/>
                                </a:lnTo>
                                <a:close/>
                                <a:moveTo>
                                  <a:pt x="20" y="1299"/>
                                </a:moveTo>
                                <a:lnTo>
                                  <a:pt x="0" y="1299"/>
                                </a:lnTo>
                                <a:lnTo>
                                  <a:pt x="0" y="1219"/>
                                </a:lnTo>
                                <a:lnTo>
                                  <a:pt x="20" y="1219"/>
                                </a:lnTo>
                                <a:lnTo>
                                  <a:pt x="20" y="1299"/>
                                </a:lnTo>
                                <a:close/>
                                <a:moveTo>
                                  <a:pt x="20" y="1439"/>
                                </a:moveTo>
                                <a:lnTo>
                                  <a:pt x="0" y="1439"/>
                                </a:lnTo>
                                <a:lnTo>
                                  <a:pt x="0" y="1359"/>
                                </a:lnTo>
                                <a:lnTo>
                                  <a:pt x="20" y="1359"/>
                                </a:lnTo>
                                <a:lnTo>
                                  <a:pt x="20" y="1439"/>
                                </a:lnTo>
                                <a:close/>
                                <a:moveTo>
                                  <a:pt x="20" y="1579"/>
                                </a:moveTo>
                                <a:lnTo>
                                  <a:pt x="0" y="1579"/>
                                </a:lnTo>
                                <a:lnTo>
                                  <a:pt x="0" y="1499"/>
                                </a:lnTo>
                                <a:lnTo>
                                  <a:pt x="20" y="1499"/>
                                </a:lnTo>
                                <a:lnTo>
                                  <a:pt x="20" y="1579"/>
                                </a:lnTo>
                                <a:close/>
                                <a:moveTo>
                                  <a:pt x="20" y="1719"/>
                                </a:moveTo>
                                <a:lnTo>
                                  <a:pt x="0" y="1719"/>
                                </a:lnTo>
                                <a:lnTo>
                                  <a:pt x="0" y="1639"/>
                                </a:lnTo>
                                <a:lnTo>
                                  <a:pt x="20" y="1639"/>
                                </a:lnTo>
                                <a:lnTo>
                                  <a:pt x="20" y="1719"/>
                                </a:lnTo>
                                <a:close/>
                                <a:moveTo>
                                  <a:pt x="20" y="1859"/>
                                </a:moveTo>
                                <a:lnTo>
                                  <a:pt x="0" y="1859"/>
                                </a:lnTo>
                                <a:lnTo>
                                  <a:pt x="0" y="1779"/>
                                </a:lnTo>
                                <a:lnTo>
                                  <a:pt x="20" y="1779"/>
                                </a:lnTo>
                                <a:lnTo>
                                  <a:pt x="20" y="1859"/>
                                </a:lnTo>
                                <a:close/>
                                <a:moveTo>
                                  <a:pt x="20" y="1999"/>
                                </a:moveTo>
                                <a:lnTo>
                                  <a:pt x="0" y="1999"/>
                                </a:lnTo>
                                <a:lnTo>
                                  <a:pt x="0" y="1919"/>
                                </a:lnTo>
                                <a:lnTo>
                                  <a:pt x="20" y="1919"/>
                                </a:lnTo>
                                <a:lnTo>
                                  <a:pt x="20" y="1999"/>
                                </a:lnTo>
                                <a:close/>
                                <a:moveTo>
                                  <a:pt x="20" y="2139"/>
                                </a:moveTo>
                                <a:lnTo>
                                  <a:pt x="0" y="2139"/>
                                </a:lnTo>
                                <a:lnTo>
                                  <a:pt x="0" y="2059"/>
                                </a:lnTo>
                                <a:lnTo>
                                  <a:pt x="20" y="2059"/>
                                </a:lnTo>
                                <a:lnTo>
                                  <a:pt x="20" y="2139"/>
                                </a:lnTo>
                                <a:close/>
                                <a:moveTo>
                                  <a:pt x="20" y="2279"/>
                                </a:moveTo>
                                <a:lnTo>
                                  <a:pt x="0" y="2279"/>
                                </a:lnTo>
                                <a:lnTo>
                                  <a:pt x="0" y="2199"/>
                                </a:lnTo>
                                <a:lnTo>
                                  <a:pt x="20" y="2199"/>
                                </a:lnTo>
                                <a:lnTo>
                                  <a:pt x="20" y="2279"/>
                                </a:lnTo>
                                <a:close/>
                                <a:moveTo>
                                  <a:pt x="20" y="2419"/>
                                </a:moveTo>
                                <a:lnTo>
                                  <a:pt x="0" y="2419"/>
                                </a:lnTo>
                                <a:lnTo>
                                  <a:pt x="0" y="2339"/>
                                </a:lnTo>
                                <a:lnTo>
                                  <a:pt x="20" y="2339"/>
                                </a:lnTo>
                                <a:lnTo>
                                  <a:pt x="20" y="2419"/>
                                </a:lnTo>
                                <a:close/>
                                <a:moveTo>
                                  <a:pt x="20" y="2559"/>
                                </a:moveTo>
                                <a:lnTo>
                                  <a:pt x="0" y="2559"/>
                                </a:lnTo>
                                <a:lnTo>
                                  <a:pt x="0" y="2479"/>
                                </a:lnTo>
                                <a:lnTo>
                                  <a:pt x="20" y="2479"/>
                                </a:lnTo>
                                <a:lnTo>
                                  <a:pt x="20" y="2559"/>
                                </a:lnTo>
                                <a:close/>
                                <a:moveTo>
                                  <a:pt x="20" y="2699"/>
                                </a:moveTo>
                                <a:lnTo>
                                  <a:pt x="0" y="2699"/>
                                </a:lnTo>
                                <a:lnTo>
                                  <a:pt x="0" y="2619"/>
                                </a:lnTo>
                                <a:lnTo>
                                  <a:pt x="20" y="2619"/>
                                </a:lnTo>
                                <a:lnTo>
                                  <a:pt x="20" y="2699"/>
                                </a:lnTo>
                                <a:close/>
                                <a:moveTo>
                                  <a:pt x="20" y="2839"/>
                                </a:moveTo>
                                <a:lnTo>
                                  <a:pt x="0" y="2839"/>
                                </a:lnTo>
                                <a:lnTo>
                                  <a:pt x="0" y="2759"/>
                                </a:lnTo>
                                <a:lnTo>
                                  <a:pt x="20" y="2759"/>
                                </a:lnTo>
                                <a:lnTo>
                                  <a:pt x="20" y="2839"/>
                                </a:lnTo>
                                <a:close/>
                                <a:moveTo>
                                  <a:pt x="20" y="2979"/>
                                </a:moveTo>
                                <a:lnTo>
                                  <a:pt x="0" y="2979"/>
                                </a:lnTo>
                                <a:lnTo>
                                  <a:pt x="0" y="2899"/>
                                </a:lnTo>
                                <a:lnTo>
                                  <a:pt x="20" y="2899"/>
                                </a:lnTo>
                                <a:lnTo>
                                  <a:pt x="20" y="2979"/>
                                </a:lnTo>
                                <a:close/>
                                <a:moveTo>
                                  <a:pt x="20" y="3119"/>
                                </a:moveTo>
                                <a:lnTo>
                                  <a:pt x="0" y="3119"/>
                                </a:lnTo>
                                <a:lnTo>
                                  <a:pt x="0" y="3039"/>
                                </a:lnTo>
                                <a:lnTo>
                                  <a:pt x="20" y="3039"/>
                                </a:lnTo>
                                <a:lnTo>
                                  <a:pt x="20" y="3119"/>
                                </a:lnTo>
                                <a:close/>
                                <a:moveTo>
                                  <a:pt x="20" y="3259"/>
                                </a:moveTo>
                                <a:lnTo>
                                  <a:pt x="0" y="3259"/>
                                </a:lnTo>
                                <a:lnTo>
                                  <a:pt x="0" y="3179"/>
                                </a:lnTo>
                                <a:lnTo>
                                  <a:pt x="20" y="3179"/>
                                </a:lnTo>
                                <a:lnTo>
                                  <a:pt x="20" y="3259"/>
                                </a:lnTo>
                                <a:close/>
                                <a:moveTo>
                                  <a:pt x="20" y="3399"/>
                                </a:moveTo>
                                <a:lnTo>
                                  <a:pt x="0" y="3399"/>
                                </a:lnTo>
                                <a:lnTo>
                                  <a:pt x="0" y="3319"/>
                                </a:lnTo>
                                <a:lnTo>
                                  <a:pt x="20" y="3319"/>
                                </a:lnTo>
                                <a:lnTo>
                                  <a:pt x="20" y="3399"/>
                                </a:lnTo>
                                <a:close/>
                                <a:moveTo>
                                  <a:pt x="20" y="3539"/>
                                </a:moveTo>
                                <a:lnTo>
                                  <a:pt x="0" y="3539"/>
                                </a:lnTo>
                                <a:lnTo>
                                  <a:pt x="0" y="3459"/>
                                </a:lnTo>
                                <a:lnTo>
                                  <a:pt x="20" y="3459"/>
                                </a:lnTo>
                                <a:lnTo>
                                  <a:pt x="20" y="3539"/>
                                </a:lnTo>
                                <a:close/>
                                <a:moveTo>
                                  <a:pt x="20" y="3679"/>
                                </a:moveTo>
                                <a:lnTo>
                                  <a:pt x="0" y="3679"/>
                                </a:lnTo>
                                <a:lnTo>
                                  <a:pt x="0" y="3599"/>
                                </a:lnTo>
                                <a:lnTo>
                                  <a:pt x="20" y="3599"/>
                                </a:lnTo>
                                <a:lnTo>
                                  <a:pt x="20" y="3679"/>
                                </a:lnTo>
                                <a:close/>
                                <a:moveTo>
                                  <a:pt x="20" y="3819"/>
                                </a:moveTo>
                                <a:lnTo>
                                  <a:pt x="0" y="3819"/>
                                </a:lnTo>
                                <a:lnTo>
                                  <a:pt x="0" y="3739"/>
                                </a:lnTo>
                                <a:lnTo>
                                  <a:pt x="20" y="3739"/>
                                </a:lnTo>
                                <a:lnTo>
                                  <a:pt x="20" y="3819"/>
                                </a:lnTo>
                                <a:close/>
                                <a:moveTo>
                                  <a:pt x="20" y="3959"/>
                                </a:moveTo>
                                <a:lnTo>
                                  <a:pt x="0" y="3959"/>
                                </a:lnTo>
                                <a:lnTo>
                                  <a:pt x="0" y="3879"/>
                                </a:lnTo>
                                <a:lnTo>
                                  <a:pt x="20" y="3879"/>
                                </a:lnTo>
                                <a:lnTo>
                                  <a:pt x="20" y="3959"/>
                                </a:lnTo>
                                <a:close/>
                                <a:moveTo>
                                  <a:pt x="106" y="4013"/>
                                </a:moveTo>
                                <a:lnTo>
                                  <a:pt x="26" y="4013"/>
                                </a:lnTo>
                                <a:lnTo>
                                  <a:pt x="26" y="3993"/>
                                </a:lnTo>
                                <a:lnTo>
                                  <a:pt x="106" y="3993"/>
                                </a:lnTo>
                                <a:lnTo>
                                  <a:pt x="106" y="4013"/>
                                </a:lnTo>
                                <a:close/>
                                <a:moveTo>
                                  <a:pt x="246" y="4013"/>
                                </a:moveTo>
                                <a:lnTo>
                                  <a:pt x="166" y="4013"/>
                                </a:lnTo>
                                <a:lnTo>
                                  <a:pt x="166" y="3993"/>
                                </a:lnTo>
                                <a:lnTo>
                                  <a:pt x="246" y="3993"/>
                                </a:lnTo>
                                <a:lnTo>
                                  <a:pt x="246" y="4013"/>
                                </a:lnTo>
                                <a:close/>
                                <a:moveTo>
                                  <a:pt x="386" y="4013"/>
                                </a:moveTo>
                                <a:lnTo>
                                  <a:pt x="306" y="4013"/>
                                </a:lnTo>
                                <a:lnTo>
                                  <a:pt x="306" y="3993"/>
                                </a:lnTo>
                                <a:lnTo>
                                  <a:pt x="386" y="3993"/>
                                </a:lnTo>
                                <a:lnTo>
                                  <a:pt x="386" y="4013"/>
                                </a:lnTo>
                                <a:close/>
                                <a:moveTo>
                                  <a:pt x="526" y="4013"/>
                                </a:moveTo>
                                <a:lnTo>
                                  <a:pt x="446" y="4013"/>
                                </a:lnTo>
                                <a:lnTo>
                                  <a:pt x="446" y="3993"/>
                                </a:lnTo>
                                <a:lnTo>
                                  <a:pt x="526" y="3993"/>
                                </a:lnTo>
                                <a:lnTo>
                                  <a:pt x="526" y="4013"/>
                                </a:lnTo>
                                <a:close/>
                                <a:moveTo>
                                  <a:pt x="666" y="4013"/>
                                </a:moveTo>
                                <a:lnTo>
                                  <a:pt x="586" y="4013"/>
                                </a:lnTo>
                                <a:lnTo>
                                  <a:pt x="586" y="3993"/>
                                </a:lnTo>
                                <a:lnTo>
                                  <a:pt x="666" y="3993"/>
                                </a:lnTo>
                                <a:lnTo>
                                  <a:pt x="666" y="4013"/>
                                </a:lnTo>
                                <a:close/>
                                <a:moveTo>
                                  <a:pt x="806" y="4013"/>
                                </a:moveTo>
                                <a:lnTo>
                                  <a:pt x="726" y="4013"/>
                                </a:lnTo>
                                <a:lnTo>
                                  <a:pt x="726" y="3993"/>
                                </a:lnTo>
                                <a:lnTo>
                                  <a:pt x="806" y="3993"/>
                                </a:lnTo>
                                <a:lnTo>
                                  <a:pt x="806" y="4013"/>
                                </a:lnTo>
                                <a:close/>
                                <a:moveTo>
                                  <a:pt x="946" y="4013"/>
                                </a:moveTo>
                                <a:lnTo>
                                  <a:pt x="866" y="4013"/>
                                </a:lnTo>
                                <a:lnTo>
                                  <a:pt x="866" y="3993"/>
                                </a:lnTo>
                                <a:lnTo>
                                  <a:pt x="946" y="3993"/>
                                </a:lnTo>
                                <a:lnTo>
                                  <a:pt x="946" y="4013"/>
                                </a:lnTo>
                                <a:close/>
                                <a:moveTo>
                                  <a:pt x="1086" y="4013"/>
                                </a:moveTo>
                                <a:lnTo>
                                  <a:pt x="1006" y="4013"/>
                                </a:lnTo>
                                <a:lnTo>
                                  <a:pt x="1006" y="3993"/>
                                </a:lnTo>
                                <a:lnTo>
                                  <a:pt x="1086" y="3993"/>
                                </a:lnTo>
                                <a:lnTo>
                                  <a:pt x="1086" y="4013"/>
                                </a:lnTo>
                                <a:close/>
                                <a:moveTo>
                                  <a:pt x="1226" y="4013"/>
                                </a:moveTo>
                                <a:lnTo>
                                  <a:pt x="1146" y="4013"/>
                                </a:lnTo>
                                <a:lnTo>
                                  <a:pt x="1146" y="3993"/>
                                </a:lnTo>
                                <a:lnTo>
                                  <a:pt x="1226" y="3993"/>
                                </a:lnTo>
                                <a:lnTo>
                                  <a:pt x="1226" y="4013"/>
                                </a:lnTo>
                                <a:close/>
                                <a:moveTo>
                                  <a:pt x="1366" y="4013"/>
                                </a:moveTo>
                                <a:lnTo>
                                  <a:pt x="1286" y="4013"/>
                                </a:lnTo>
                                <a:lnTo>
                                  <a:pt x="1286" y="3993"/>
                                </a:lnTo>
                                <a:lnTo>
                                  <a:pt x="1366" y="3993"/>
                                </a:lnTo>
                                <a:lnTo>
                                  <a:pt x="1366" y="4013"/>
                                </a:lnTo>
                                <a:close/>
                                <a:moveTo>
                                  <a:pt x="1506" y="4013"/>
                                </a:moveTo>
                                <a:lnTo>
                                  <a:pt x="1426" y="4013"/>
                                </a:lnTo>
                                <a:lnTo>
                                  <a:pt x="1426" y="3993"/>
                                </a:lnTo>
                                <a:lnTo>
                                  <a:pt x="1506" y="3993"/>
                                </a:lnTo>
                                <a:lnTo>
                                  <a:pt x="1506" y="4013"/>
                                </a:lnTo>
                                <a:close/>
                                <a:moveTo>
                                  <a:pt x="1646" y="4013"/>
                                </a:moveTo>
                                <a:lnTo>
                                  <a:pt x="1566" y="4013"/>
                                </a:lnTo>
                                <a:lnTo>
                                  <a:pt x="1566" y="3993"/>
                                </a:lnTo>
                                <a:lnTo>
                                  <a:pt x="1646" y="3993"/>
                                </a:lnTo>
                                <a:lnTo>
                                  <a:pt x="1646" y="4013"/>
                                </a:lnTo>
                                <a:close/>
                                <a:moveTo>
                                  <a:pt x="1786" y="4013"/>
                                </a:moveTo>
                                <a:lnTo>
                                  <a:pt x="1706" y="4013"/>
                                </a:lnTo>
                                <a:lnTo>
                                  <a:pt x="1706" y="3993"/>
                                </a:lnTo>
                                <a:lnTo>
                                  <a:pt x="1786" y="3993"/>
                                </a:lnTo>
                                <a:lnTo>
                                  <a:pt x="1786" y="4013"/>
                                </a:lnTo>
                                <a:close/>
                                <a:moveTo>
                                  <a:pt x="1926" y="4013"/>
                                </a:moveTo>
                                <a:lnTo>
                                  <a:pt x="1846" y="4013"/>
                                </a:lnTo>
                                <a:lnTo>
                                  <a:pt x="1846" y="3993"/>
                                </a:lnTo>
                                <a:lnTo>
                                  <a:pt x="1926" y="3993"/>
                                </a:lnTo>
                                <a:lnTo>
                                  <a:pt x="1926" y="4013"/>
                                </a:lnTo>
                                <a:close/>
                                <a:moveTo>
                                  <a:pt x="2066" y="4013"/>
                                </a:moveTo>
                                <a:lnTo>
                                  <a:pt x="1986" y="4013"/>
                                </a:lnTo>
                                <a:lnTo>
                                  <a:pt x="1986" y="3993"/>
                                </a:lnTo>
                                <a:lnTo>
                                  <a:pt x="2066" y="3993"/>
                                </a:lnTo>
                                <a:lnTo>
                                  <a:pt x="2066" y="4013"/>
                                </a:lnTo>
                                <a:close/>
                                <a:moveTo>
                                  <a:pt x="2206" y="4013"/>
                                </a:moveTo>
                                <a:lnTo>
                                  <a:pt x="2126" y="4013"/>
                                </a:lnTo>
                                <a:lnTo>
                                  <a:pt x="2126" y="3993"/>
                                </a:lnTo>
                                <a:lnTo>
                                  <a:pt x="2206" y="3993"/>
                                </a:lnTo>
                                <a:lnTo>
                                  <a:pt x="2206" y="4013"/>
                                </a:lnTo>
                                <a:close/>
                                <a:moveTo>
                                  <a:pt x="2346" y="4013"/>
                                </a:moveTo>
                                <a:lnTo>
                                  <a:pt x="2266" y="4013"/>
                                </a:lnTo>
                                <a:lnTo>
                                  <a:pt x="2266" y="3993"/>
                                </a:lnTo>
                                <a:lnTo>
                                  <a:pt x="2346" y="3993"/>
                                </a:lnTo>
                                <a:lnTo>
                                  <a:pt x="2346" y="4013"/>
                                </a:lnTo>
                                <a:close/>
                                <a:moveTo>
                                  <a:pt x="2486" y="4013"/>
                                </a:moveTo>
                                <a:lnTo>
                                  <a:pt x="2406" y="4013"/>
                                </a:lnTo>
                                <a:lnTo>
                                  <a:pt x="2406" y="3993"/>
                                </a:lnTo>
                                <a:lnTo>
                                  <a:pt x="2486" y="3993"/>
                                </a:lnTo>
                                <a:lnTo>
                                  <a:pt x="2486" y="4013"/>
                                </a:lnTo>
                                <a:close/>
                                <a:moveTo>
                                  <a:pt x="2626" y="4013"/>
                                </a:moveTo>
                                <a:lnTo>
                                  <a:pt x="2546" y="4013"/>
                                </a:lnTo>
                                <a:lnTo>
                                  <a:pt x="2546" y="3993"/>
                                </a:lnTo>
                                <a:lnTo>
                                  <a:pt x="2626" y="3993"/>
                                </a:lnTo>
                                <a:lnTo>
                                  <a:pt x="2626" y="4013"/>
                                </a:lnTo>
                                <a:close/>
                                <a:moveTo>
                                  <a:pt x="2766" y="4013"/>
                                </a:moveTo>
                                <a:lnTo>
                                  <a:pt x="2686" y="4013"/>
                                </a:lnTo>
                                <a:lnTo>
                                  <a:pt x="2686" y="3993"/>
                                </a:lnTo>
                                <a:lnTo>
                                  <a:pt x="2766" y="3993"/>
                                </a:lnTo>
                                <a:lnTo>
                                  <a:pt x="2766" y="4013"/>
                                </a:lnTo>
                                <a:close/>
                                <a:moveTo>
                                  <a:pt x="2906" y="4013"/>
                                </a:moveTo>
                                <a:lnTo>
                                  <a:pt x="2826" y="4013"/>
                                </a:lnTo>
                                <a:lnTo>
                                  <a:pt x="2826" y="3993"/>
                                </a:lnTo>
                                <a:lnTo>
                                  <a:pt x="2906" y="3993"/>
                                </a:lnTo>
                                <a:lnTo>
                                  <a:pt x="2906" y="4013"/>
                                </a:lnTo>
                                <a:close/>
                                <a:moveTo>
                                  <a:pt x="3046" y="4013"/>
                                </a:moveTo>
                                <a:lnTo>
                                  <a:pt x="2966" y="4013"/>
                                </a:lnTo>
                                <a:lnTo>
                                  <a:pt x="2966" y="3993"/>
                                </a:lnTo>
                                <a:lnTo>
                                  <a:pt x="3046" y="3993"/>
                                </a:lnTo>
                                <a:lnTo>
                                  <a:pt x="3046" y="4013"/>
                                </a:lnTo>
                                <a:close/>
                                <a:moveTo>
                                  <a:pt x="3131" y="4003"/>
                                </a:moveTo>
                                <a:lnTo>
                                  <a:pt x="3131" y="3958"/>
                                </a:lnTo>
                                <a:lnTo>
                                  <a:pt x="3151" y="3958"/>
                                </a:lnTo>
                                <a:lnTo>
                                  <a:pt x="3151" y="3993"/>
                                </a:lnTo>
                                <a:lnTo>
                                  <a:pt x="3141" y="3993"/>
                                </a:lnTo>
                                <a:lnTo>
                                  <a:pt x="3131" y="4003"/>
                                </a:lnTo>
                                <a:close/>
                                <a:moveTo>
                                  <a:pt x="3151" y="4013"/>
                                </a:moveTo>
                                <a:lnTo>
                                  <a:pt x="3106" y="4013"/>
                                </a:lnTo>
                                <a:lnTo>
                                  <a:pt x="3106" y="3993"/>
                                </a:lnTo>
                                <a:lnTo>
                                  <a:pt x="3131" y="3993"/>
                                </a:lnTo>
                                <a:lnTo>
                                  <a:pt x="3131" y="4003"/>
                                </a:lnTo>
                                <a:lnTo>
                                  <a:pt x="3151" y="4003"/>
                                </a:lnTo>
                                <a:lnTo>
                                  <a:pt x="3151" y="4013"/>
                                </a:lnTo>
                                <a:close/>
                                <a:moveTo>
                                  <a:pt x="3151" y="4003"/>
                                </a:moveTo>
                                <a:lnTo>
                                  <a:pt x="3131" y="4003"/>
                                </a:lnTo>
                                <a:lnTo>
                                  <a:pt x="3141" y="3993"/>
                                </a:lnTo>
                                <a:lnTo>
                                  <a:pt x="3151" y="3993"/>
                                </a:lnTo>
                                <a:lnTo>
                                  <a:pt x="3151" y="4003"/>
                                </a:lnTo>
                                <a:close/>
                                <a:moveTo>
                                  <a:pt x="3151" y="3898"/>
                                </a:moveTo>
                                <a:lnTo>
                                  <a:pt x="3131" y="3898"/>
                                </a:lnTo>
                                <a:lnTo>
                                  <a:pt x="3131" y="3818"/>
                                </a:lnTo>
                                <a:lnTo>
                                  <a:pt x="3151" y="3818"/>
                                </a:lnTo>
                                <a:lnTo>
                                  <a:pt x="3151" y="3898"/>
                                </a:lnTo>
                                <a:close/>
                                <a:moveTo>
                                  <a:pt x="3151" y="3758"/>
                                </a:moveTo>
                                <a:lnTo>
                                  <a:pt x="3131" y="3758"/>
                                </a:lnTo>
                                <a:lnTo>
                                  <a:pt x="3131" y="3678"/>
                                </a:lnTo>
                                <a:lnTo>
                                  <a:pt x="3151" y="3678"/>
                                </a:lnTo>
                                <a:lnTo>
                                  <a:pt x="3151" y="3758"/>
                                </a:lnTo>
                                <a:close/>
                                <a:moveTo>
                                  <a:pt x="3151" y="3618"/>
                                </a:moveTo>
                                <a:lnTo>
                                  <a:pt x="3131" y="3618"/>
                                </a:lnTo>
                                <a:lnTo>
                                  <a:pt x="3131" y="3538"/>
                                </a:lnTo>
                                <a:lnTo>
                                  <a:pt x="3151" y="3538"/>
                                </a:lnTo>
                                <a:lnTo>
                                  <a:pt x="3151" y="3618"/>
                                </a:lnTo>
                                <a:close/>
                                <a:moveTo>
                                  <a:pt x="3151" y="3478"/>
                                </a:moveTo>
                                <a:lnTo>
                                  <a:pt x="3131" y="3478"/>
                                </a:lnTo>
                                <a:lnTo>
                                  <a:pt x="3131" y="3398"/>
                                </a:lnTo>
                                <a:lnTo>
                                  <a:pt x="3151" y="3398"/>
                                </a:lnTo>
                                <a:lnTo>
                                  <a:pt x="3151" y="3478"/>
                                </a:lnTo>
                                <a:close/>
                                <a:moveTo>
                                  <a:pt x="3151" y="3338"/>
                                </a:moveTo>
                                <a:lnTo>
                                  <a:pt x="3131" y="3338"/>
                                </a:lnTo>
                                <a:lnTo>
                                  <a:pt x="3131" y="3258"/>
                                </a:lnTo>
                                <a:lnTo>
                                  <a:pt x="3151" y="3258"/>
                                </a:lnTo>
                                <a:lnTo>
                                  <a:pt x="3151" y="3338"/>
                                </a:lnTo>
                                <a:close/>
                                <a:moveTo>
                                  <a:pt x="3151" y="3198"/>
                                </a:moveTo>
                                <a:lnTo>
                                  <a:pt x="3131" y="3198"/>
                                </a:lnTo>
                                <a:lnTo>
                                  <a:pt x="3131" y="3118"/>
                                </a:lnTo>
                                <a:lnTo>
                                  <a:pt x="3151" y="3118"/>
                                </a:lnTo>
                                <a:lnTo>
                                  <a:pt x="3151" y="3198"/>
                                </a:lnTo>
                                <a:close/>
                                <a:moveTo>
                                  <a:pt x="3151" y="3058"/>
                                </a:moveTo>
                                <a:lnTo>
                                  <a:pt x="3131" y="3058"/>
                                </a:lnTo>
                                <a:lnTo>
                                  <a:pt x="3131" y="2978"/>
                                </a:lnTo>
                                <a:lnTo>
                                  <a:pt x="3151" y="2978"/>
                                </a:lnTo>
                                <a:lnTo>
                                  <a:pt x="3151" y="3058"/>
                                </a:lnTo>
                                <a:close/>
                                <a:moveTo>
                                  <a:pt x="3151" y="2918"/>
                                </a:moveTo>
                                <a:lnTo>
                                  <a:pt x="3131" y="2918"/>
                                </a:lnTo>
                                <a:lnTo>
                                  <a:pt x="3131" y="2838"/>
                                </a:lnTo>
                                <a:lnTo>
                                  <a:pt x="3151" y="2838"/>
                                </a:lnTo>
                                <a:lnTo>
                                  <a:pt x="3151" y="2918"/>
                                </a:lnTo>
                                <a:close/>
                                <a:moveTo>
                                  <a:pt x="3151" y="2778"/>
                                </a:moveTo>
                                <a:lnTo>
                                  <a:pt x="3131" y="2778"/>
                                </a:lnTo>
                                <a:lnTo>
                                  <a:pt x="3131" y="2698"/>
                                </a:lnTo>
                                <a:lnTo>
                                  <a:pt x="3151" y="2698"/>
                                </a:lnTo>
                                <a:lnTo>
                                  <a:pt x="3151" y="2778"/>
                                </a:lnTo>
                                <a:close/>
                                <a:moveTo>
                                  <a:pt x="3151" y="2638"/>
                                </a:moveTo>
                                <a:lnTo>
                                  <a:pt x="3131" y="2638"/>
                                </a:lnTo>
                                <a:lnTo>
                                  <a:pt x="3131" y="2558"/>
                                </a:lnTo>
                                <a:lnTo>
                                  <a:pt x="3151" y="2558"/>
                                </a:lnTo>
                                <a:lnTo>
                                  <a:pt x="3151" y="2638"/>
                                </a:lnTo>
                                <a:close/>
                                <a:moveTo>
                                  <a:pt x="3151" y="2498"/>
                                </a:moveTo>
                                <a:lnTo>
                                  <a:pt x="3131" y="2498"/>
                                </a:lnTo>
                                <a:lnTo>
                                  <a:pt x="3131" y="2418"/>
                                </a:lnTo>
                                <a:lnTo>
                                  <a:pt x="3151" y="2418"/>
                                </a:lnTo>
                                <a:lnTo>
                                  <a:pt x="3151" y="2498"/>
                                </a:lnTo>
                                <a:close/>
                                <a:moveTo>
                                  <a:pt x="3151" y="2358"/>
                                </a:moveTo>
                                <a:lnTo>
                                  <a:pt x="3131" y="2358"/>
                                </a:lnTo>
                                <a:lnTo>
                                  <a:pt x="3131" y="2278"/>
                                </a:lnTo>
                                <a:lnTo>
                                  <a:pt x="3151" y="2278"/>
                                </a:lnTo>
                                <a:lnTo>
                                  <a:pt x="3151" y="2358"/>
                                </a:lnTo>
                                <a:close/>
                                <a:moveTo>
                                  <a:pt x="3151" y="2218"/>
                                </a:moveTo>
                                <a:lnTo>
                                  <a:pt x="3131" y="2218"/>
                                </a:lnTo>
                                <a:lnTo>
                                  <a:pt x="3131" y="2138"/>
                                </a:lnTo>
                                <a:lnTo>
                                  <a:pt x="3151" y="2138"/>
                                </a:lnTo>
                                <a:lnTo>
                                  <a:pt x="3151" y="2218"/>
                                </a:lnTo>
                                <a:close/>
                                <a:moveTo>
                                  <a:pt x="3151" y="2078"/>
                                </a:moveTo>
                                <a:lnTo>
                                  <a:pt x="3131" y="2078"/>
                                </a:lnTo>
                                <a:lnTo>
                                  <a:pt x="3131" y="1998"/>
                                </a:lnTo>
                                <a:lnTo>
                                  <a:pt x="3151" y="1998"/>
                                </a:lnTo>
                                <a:lnTo>
                                  <a:pt x="3151" y="2078"/>
                                </a:lnTo>
                                <a:close/>
                                <a:moveTo>
                                  <a:pt x="3151" y="1938"/>
                                </a:moveTo>
                                <a:lnTo>
                                  <a:pt x="3131" y="1938"/>
                                </a:lnTo>
                                <a:lnTo>
                                  <a:pt x="3131" y="1858"/>
                                </a:lnTo>
                                <a:lnTo>
                                  <a:pt x="3151" y="1858"/>
                                </a:lnTo>
                                <a:lnTo>
                                  <a:pt x="3151" y="1938"/>
                                </a:lnTo>
                                <a:close/>
                                <a:moveTo>
                                  <a:pt x="3151" y="1798"/>
                                </a:moveTo>
                                <a:lnTo>
                                  <a:pt x="3131" y="1798"/>
                                </a:lnTo>
                                <a:lnTo>
                                  <a:pt x="3131" y="1718"/>
                                </a:lnTo>
                                <a:lnTo>
                                  <a:pt x="3151" y="1718"/>
                                </a:lnTo>
                                <a:lnTo>
                                  <a:pt x="3151" y="1798"/>
                                </a:lnTo>
                                <a:close/>
                                <a:moveTo>
                                  <a:pt x="3151" y="1658"/>
                                </a:moveTo>
                                <a:lnTo>
                                  <a:pt x="3131" y="1658"/>
                                </a:lnTo>
                                <a:lnTo>
                                  <a:pt x="3131" y="1578"/>
                                </a:lnTo>
                                <a:lnTo>
                                  <a:pt x="3151" y="1578"/>
                                </a:lnTo>
                                <a:lnTo>
                                  <a:pt x="3151" y="1658"/>
                                </a:lnTo>
                                <a:close/>
                                <a:moveTo>
                                  <a:pt x="3151" y="1518"/>
                                </a:moveTo>
                                <a:lnTo>
                                  <a:pt x="3131" y="1518"/>
                                </a:lnTo>
                                <a:lnTo>
                                  <a:pt x="3131" y="1438"/>
                                </a:lnTo>
                                <a:lnTo>
                                  <a:pt x="3151" y="1438"/>
                                </a:lnTo>
                                <a:lnTo>
                                  <a:pt x="3151" y="1518"/>
                                </a:lnTo>
                                <a:close/>
                                <a:moveTo>
                                  <a:pt x="3151" y="1378"/>
                                </a:moveTo>
                                <a:lnTo>
                                  <a:pt x="3131" y="1378"/>
                                </a:lnTo>
                                <a:lnTo>
                                  <a:pt x="3131" y="1298"/>
                                </a:lnTo>
                                <a:lnTo>
                                  <a:pt x="3151" y="1298"/>
                                </a:lnTo>
                                <a:lnTo>
                                  <a:pt x="3151" y="1378"/>
                                </a:lnTo>
                                <a:close/>
                                <a:moveTo>
                                  <a:pt x="3151" y="1238"/>
                                </a:moveTo>
                                <a:lnTo>
                                  <a:pt x="3131" y="1238"/>
                                </a:lnTo>
                                <a:lnTo>
                                  <a:pt x="3131" y="1158"/>
                                </a:lnTo>
                                <a:lnTo>
                                  <a:pt x="3151" y="1158"/>
                                </a:lnTo>
                                <a:lnTo>
                                  <a:pt x="3151" y="1238"/>
                                </a:lnTo>
                                <a:close/>
                                <a:moveTo>
                                  <a:pt x="3151" y="1098"/>
                                </a:moveTo>
                                <a:lnTo>
                                  <a:pt x="3131" y="1098"/>
                                </a:lnTo>
                                <a:lnTo>
                                  <a:pt x="3131" y="1018"/>
                                </a:lnTo>
                                <a:lnTo>
                                  <a:pt x="3151" y="1018"/>
                                </a:lnTo>
                                <a:lnTo>
                                  <a:pt x="3151" y="1098"/>
                                </a:lnTo>
                                <a:close/>
                                <a:moveTo>
                                  <a:pt x="3151" y="958"/>
                                </a:moveTo>
                                <a:lnTo>
                                  <a:pt x="3131" y="958"/>
                                </a:lnTo>
                                <a:lnTo>
                                  <a:pt x="3131" y="878"/>
                                </a:lnTo>
                                <a:lnTo>
                                  <a:pt x="3151" y="878"/>
                                </a:lnTo>
                                <a:lnTo>
                                  <a:pt x="3151" y="958"/>
                                </a:lnTo>
                                <a:close/>
                                <a:moveTo>
                                  <a:pt x="3151" y="818"/>
                                </a:moveTo>
                                <a:lnTo>
                                  <a:pt x="3131" y="818"/>
                                </a:lnTo>
                                <a:lnTo>
                                  <a:pt x="3131" y="738"/>
                                </a:lnTo>
                                <a:lnTo>
                                  <a:pt x="3151" y="738"/>
                                </a:lnTo>
                                <a:lnTo>
                                  <a:pt x="3151" y="818"/>
                                </a:lnTo>
                                <a:close/>
                                <a:moveTo>
                                  <a:pt x="3151" y="678"/>
                                </a:moveTo>
                                <a:lnTo>
                                  <a:pt x="3131" y="678"/>
                                </a:lnTo>
                                <a:lnTo>
                                  <a:pt x="3131" y="598"/>
                                </a:lnTo>
                                <a:lnTo>
                                  <a:pt x="3151" y="598"/>
                                </a:lnTo>
                                <a:lnTo>
                                  <a:pt x="3151" y="678"/>
                                </a:lnTo>
                                <a:close/>
                                <a:moveTo>
                                  <a:pt x="3151" y="538"/>
                                </a:moveTo>
                                <a:lnTo>
                                  <a:pt x="3131" y="538"/>
                                </a:lnTo>
                                <a:lnTo>
                                  <a:pt x="3131" y="458"/>
                                </a:lnTo>
                                <a:lnTo>
                                  <a:pt x="3151" y="458"/>
                                </a:lnTo>
                                <a:lnTo>
                                  <a:pt x="3151" y="538"/>
                                </a:lnTo>
                                <a:close/>
                                <a:moveTo>
                                  <a:pt x="3151" y="398"/>
                                </a:moveTo>
                                <a:lnTo>
                                  <a:pt x="3131" y="398"/>
                                </a:lnTo>
                                <a:lnTo>
                                  <a:pt x="3131" y="318"/>
                                </a:lnTo>
                                <a:lnTo>
                                  <a:pt x="3151" y="318"/>
                                </a:lnTo>
                                <a:lnTo>
                                  <a:pt x="3151" y="398"/>
                                </a:lnTo>
                                <a:close/>
                                <a:moveTo>
                                  <a:pt x="3151" y="258"/>
                                </a:moveTo>
                                <a:lnTo>
                                  <a:pt x="3131" y="258"/>
                                </a:lnTo>
                                <a:lnTo>
                                  <a:pt x="3131" y="178"/>
                                </a:lnTo>
                                <a:lnTo>
                                  <a:pt x="3151" y="178"/>
                                </a:lnTo>
                                <a:lnTo>
                                  <a:pt x="3151" y="258"/>
                                </a:lnTo>
                                <a:close/>
                                <a:moveTo>
                                  <a:pt x="3151" y="118"/>
                                </a:moveTo>
                                <a:lnTo>
                                  <a:pt x="3131" y="118"/>
                                </a:lnTo>
                                <a:lnTo>
                                  <a:pt x="3131" y="38"/>
                                </a:lnTo>
                                <a:lnTo>
                                  <a:pt x="3151" y="38"/>
                                </a:lnTo>
                                <a:lnTo>
                                  <a:pt x="3151" y="118"/>
                                </a:lnTo>
                                <a:close/>
                              </a:path>
                            </a:pathLst>
                          </a:custGeom>
                          <a:solidFill>
                            <a:srgbClr val="000000"/>
                          </a:solidFill>
                          <a:ln>
                            <a:noFill/>
                          </a:ln>
                        </wps:spPr>
                        <wps:bodyPr upright="1"/>
                      </wps:wsp>
                      <wps:wsp>
                        <wps:cNvPr id="59" name="任意多边形 57"/>
                        <wps:cNvSpPr/>
                        <wps:spPr>
                          <a:xfrm>
                            <a:off x="4274" y="913"/>
                            <a:ext cx="1058" cy="120"/>
                          </a:xfrm>
                          <a:custGeom>
                            <a:avLst/>
                            <a:gdLst/>
                            <a:ahLst/>
                            <a:cxnLst/>
                            <a:pathLst>
                              <a:path w="1058" h="120">
                                <a:moveTo>
                                  <a:pt x="937" y="120"/>
                                </a:moveTo>
                                <a:lnTo>
                                  <a:pt x="937" y="0"/>
                                </a:lnTo>
                                <a:lnTo>
                                  <a:pt x="1043" y="53"/>
                                </a:lnTo>
                                <a:lnTo>
                                  <a:pt x="967" y="53"/>
                                </a:lnTo>
                                <a:lnTo>
                                  <a:pt x="945" y="53"/>
                                </a:lnTo>
                                <a:lnTo>
                                  <a:pt x="945" y="68"/>
                                </a:lnTo>
                                <a:lnTo>
                                  <a:pt x="1041" y="68"/>
                                </a:lnTo>
                                <a:lnTo>
                                  <a:pt x="937" y="120"/>
                                </a:lnTo>
                                <a:close/>
                                <a:moveTo>
                                  <a:pt x="945" y="68"/>
                                </a:moveTo>
                                <a:lnTo>
                                  <a:pt x="945" y="53"/>
                                </a:lnTo>
                                <a:lnTo>
                                  <a:pt x="967" y="53"/>
                                </a:lnTo>
                                <a:lnTo>
                                  <a:pt x="967" y="68"/>
                                </a:lnTo>
                                <a:lnTo>
                                  <a:pt x="945" y="68"/>
                                </a:lnTo>
                                <a:close/>
                                <a:moveTo>
                                  <a:pt x="1041" y="68"/>
                                </a:moveTo>
                                <a:lnTo>
                                  <a:pt x="945" y="68"/>
                                </a:lnTo>
                                <a:lnTo>
                                  <a:pt x="967" y="68"/>
                                </a:lnTo>
                                <a:lnTo>
                                  <a:pt x="967" y="53"/>
                                </a:lnTo>
                                <a:lnTo>
                                  <a:pt x="1043" y="53"/>
                                </a:lnTo>
                                <a:lnTo>
                                  <a:pt x="1057" y="60"/>
                                </a:lnTo>
                                <a:lnTo>
                                  <a:pt x="1041" y="68"/>
                                </a:lnTo>
                                <a:close/>
                                <a:moveTo>
                                  <a:pt x="0" y="72"/>
                                </a:moveTo>
                                <a:lnTo>
                                  <a:pt x="0" y="57"/>
                                </a:lnTo>
                                <a:lnTo>
                                  <a:pt x="60" y="56"/>
                                </a:lnTo>
                                <a:lnTo>
                                  <a:pt x="60" y="71"/>
                                </a:lnTo>
                                <a:lnTo>
                                  <a:pt x="0" y="72"/>
                                </a:lnTo>
                                <a:close/>
                                <a:moveTo>
                                  <a:pt x="105" y="71"/>
                                </a:moveTo>
                                <a:lnTo>
                                  <a:pt x="105" y="56"/>
                                </a:lnTo>
                                <a:lnTo>
                                  <a:pt x="165" y="56"/>
                                </a:lnTo>
                                <a:lnTo>
                                  <a:pt x="165" y="71"/>
                                </a:lnTo>
                                <a:lnTo>
                                  <a:pt x="105" y="71"/>
                                </a:lnTo>
                                <a:close/>
                                <a:moveTo>
                                  <a:pt x="210" y="71"/>
                                </a:moveTo>
                                <a:lnTo>
                                  <a:pt x="210" y="56"/>
                                </a:lnTo>
                                <a:lnTo>
                                  <a:pt x="270" y="56"/>
                                </a:lnTo>
                                <a:lnTo>
                                  <a:pt x="270" y="71"/>
                                </a:lnTo>
                                <a:lnTo>
                                  <a:pt x="210" y="71"/>
                                </a:lnTo>
                                <a:close/>
                                <a:moveTo>
                                  <a:pt x="315" y="70"/>
                                </a:moveTo>
                                <a:lnTo>
                                  <a:pt x="315" y="55"/>
                                </a:lnTo>
                                <a:lnTo>
                                  <a:pt x="375" y="55"/>
                                </a:lnTo>
                                <a:lnTo>
                                  <a:pt x="375" y="70"/>
                                </a:lnTo>
                                <a:lnTo>
                                  <a:pt x="315" y="70"/>
                                </a:lnTo>
                                <a:close/>
                                <a:moveTo>
                                  <a:pt x="420" y="70"/>
                                </a:moveTo>
                                <a:lnTo>
                                  <a:pt x="420" y="55"/>
                                </a:lnTo>
                                <a:lnTo>
                                  <a:pt x="480" y="55"/>
                                </a:lnTo>
                                <a:lnTo>
                                  <a:pt x="480" y="70"/>
                                </a:lnTo>
                                <a:lnTo>
                                  <a:pt x="420" y="70"/>
                                </a:lnTo>
                                <a:close/>
                                <a:moveTo>
                                  <a:pt x="525" y="70"/>
                                </a:moveTo>
                                <a:lnTo>
                                  <a:pt x="525" y="55"/>
                                </a:lnTo>
                                <a:lnTo>
                                  <a:pt x="585" y="54"/>
                                </a:lnTo>
                                <a:lnTo>
                                  <a:pt x="585" y="69"/>
                                </a:lnTo>
                                <a:lnTo>
                                  <a:pt x="525" y="70"/>
                                </a:lnTo>
                                <a:close/>
                                <a:moveTo>
                                  <a:pt x="630" y="69"/>
                                </a:moveTo>
                                <a:lnTo>
                                  <a:pt x="630" y="54"/>
                                </a:lnTo>
                                <a:lnTo>
                                  <a:pt x="690" y="54"/>
                                </a:lnTo>
                                <a:lnTo>
                                  <a:pt x="690" y="69"/>
                                </a:lnTo>
                                <a:lnTo>
                                  <a:pt x="630" y="69"/>
                                </a:lnTo>
                                <a:close/>
                                <a:moveTo>
                                  <a:pt x="735" y="69"/>
                                </a:moveTo>
                                <a:lnTo>
                                  <a:pt x="735" y="54"/>
                                </a:lnTo>
                                <a:lnTo>
                                  <a:pt x="795" y="54"/>
                                </a:lnTo>
                                <a:lnTo>
                                  <a:pt x="795" y="69"/>
                                </a:lnTo>
                                <a:lnTo>
                                  <a:pt x="735" y="69"/>
                                </a:lnTo>
                                <a:close/>
                                <a:moveTo>
                                  <a:pt x="840" y="68"/>
                                </a:moveTo>
                                <a:lnTo>
                                  <a:pt x="840" y="53"/>
                                </a:lnTo>
                                <a:lnTo>
                                  <a:pt x="900" y="53"/>
                                </a:lnTo>
                                <a:lnTo>
                                  <a:pt x="900" y="68"/>
                                </a:lnTo>
                                <a:lnTo>
                                  <a:pt x="840" y="68"/>
                                </a:lnTo>
                                <a:close/>
                              </a:path>
                            </a:pathLst>
                          </a:custGeom>
                          <a:solidFill>
                            <a:srgbClr val="000000"/>
                          </a:solidFill>
                          <a:ln>
                            <a:noFill/>
                          </a:ln>
                        </wps:spPr>
                        <wps:bodyPr upright="1"/>
                      </wps:wsp>
                      <wps:wsp>
                        <wps:cNvPr id="60" name="任意多边形 58"/>
                        <wps:cNvSpPr/>
                        <wps:spPr>
                          <a:xfrm>
                            <a:off x="5302" y="1504"/>
                            <a:ext cx="2040" cy="516"/>
                          </a:xfrm>
                          <a:custGeom>
                            <a:avLst/>
                            <a:gdLst/>
                            <a:ahLst/>
                            <a:cxnLst/>
                            <a:pathLst>
                              <a:path w="2040" h="516">
                                <a:moveTo>
                                  <a:pt x="2034" y="516"/>
                                </a:moveTo>
                                <a:lnTo>
                                  <a:pt x="6" y="516"/>
                                </a:lnTo>
                                <a:lnTo>
                                  <a:pt x="4" y="516"/>
                                </a:lnTo>
                                <a:lnTo>
                                  <a:pt x="2" y="514"/>
                                </a:lnTo>
                                <a:lnTo>
                                  <a:pt x="0" y="512"/>
                                </a:lnTo>
                                <a:lnTo>
                                  <a:pt x="0" y="510"/>
                                </a:lnTo>
                                <a:lnTo>
                                  <a:pt x="0" y="6"/>
                                </a:lnTo>
                                <a:lnTo>
                                  <a:pt x="0" y="4"/>
                                </a:lnTo>
                                <a:lnTo>
                                  <a:pt x="2" y="2"/>
                                </a:lnTo>
                                <a:lnTo>
                                  <a:pt x="4" y="1"/>
                                </a:lnTo>
                                <a:lnTo>
                                  <a:pt x="6" y="0"/>
                                </a:lnTo>
                                <a:lnTo>
                                  <a:pt x="2034" y="0"/>
                                </a:lnTo>
                                <a:lnTo>
                                  <a:pt x="2036" y="1"/>
                                </a:lnTo>
                                <a:lnTo>
                                  <a:pt x="2038" y="2"/>
                                </a:lnTo>
                                <a:lnTo>
                                  <a:pt x="2040" y="4"/>
                                </a:lnTo>
                                <a:lnTo>
                                  <a:pt x="2040" y="6"/>
                                </a:lnTo>
                                <a:lnTo>
                                  <a:pt x="12" y="6"/>
                                </a:lnTo>
                                <a:lnTo>
                                  <a:pt x="6" y="12"/>
                                </a:lnTo>
                                <a:lnTo>
                                  <a:pt x="12" y="12"/>
                                </a:lnTo>
                                <a:lnTo>
                                  <a:pt x="12" y="504"/>
                                </a:lnTo>
                                <a:lnTo>
                                  <a:pt x="6" y="504"/>
                                </a:lnTo>
                                <a:lnTo>
                                  <a:pt x="12" y="510"/>
                                </a:lnTo>
                                <a:lnTo>
                                  <a:pt x="2040" y="510"/>
                                </a:lnTo>
                                <a:lnTo>
                                  <a:pt x="2040" y="512"/>
                                </a:lnTo>
                                <a:lnTo>
                                  <a:pt x="2038" y="514"/>
                                </a:lnTo>
                                <a:lnTo>
                                  <a:pt x="2036" y="516"/>
                                </a:lnTo>
                                <a:lnTo>
                                  <a:pt x="2034" y="516"/>
                                </a:lnTo>
                                <a:close/>
                                <a:moveTo>
                                  <a:pt x="12" y="12"/>
                                </a:moveTo>
                                <a:lnTo>
                                  <a:pt x="6" y="12"/>
                                </a:lnTo>
                                <a:lnTo>
                                  <a:pt x="12" y="6"/>
                                </a:lnTo>
                                <a:lnTo>
                                  <a:pt x="12" y="12"/>
                                </a:lnTo>
                                <a:close/>
                                <a:moveTo>
                                  <a:pt x="2028" y="12"/>
                                </a:moveTo>
                                <a:lnTo>
                                  <a:pt x="12" y="12"/>
                                </a:lnTo>
                                <a:lnTo>
                                  <a:pt x="12" y="6"/>
                                </a:lnTo>
                                <a:lnTo>
                                  <a:pt x="2028" y="6"/>
                                </a:lnTo>
                                <a:lnTo>
                                  <a:pt x="2028" y="12"/>
                                </a:lnTo>
                                <a:close/>
                                <a:moveTo>
                                  <a:pt x="2028" y="510"/>
                                </a:moveTo>
                                <a:lnTo>
                                  <a:pt x="2028" y="6"/>
                                </a:lnTo>
                                <a:lnTo>
                                  <a:pt x="2034" y="12"/>
                                </a:lnTo>
                                <a:lnTo>
                                  <a:pt x="2040" y="12"/>
                                </a:lnTo>
                                <a:lnTo>
                                  <a:pt x="2040" y="504"/>
                                </a:lnTo>
                                <a:lnTo>
                                  <a:pt x="2034" y="504"/>
                                </a:lnTo>
                                <a:lnTo>
                                  <a:pt x="2028" y="510"/>
                                </a:lnTo>
                                <a:close/>
                                <a:moveTo>
                                  <a:pt x="2040" y="12"/>
                                </a:moveTo>
                                <a:lnTo>
                                  <a:pt x="2034" y="12"/>
                                </a:lnTo>
                                <a:lnTo>
                                  <a:pt x="2028" y="6"/>
                                </a:lnTo>
                                <a:lnTo>
                                  <a:pt x="2040" y="6"/>
                                </a:lnTo>
                                <a:lnTo>
                                  <a:pt x="2040" y="12"/>
                                </a:lnTo>
                                <a:close/>
                                <a:moveTo>
                                  <a:pt x="12" y="510"/>
                                </a:moveTo>
                                <a:lnTo>
                                  <a:pt x="6" y="504"/>
                                </a:lnTo>
                                <a:lnTo>
                                  <a:pt x="12" y="504"/>
                                </a:lnTo>
                                <a:lnTo>
                                  <a:pt x="12" y="510"/>
                                </a:lnTo>
                                <a:close/>
                                <a:moveTo>
                                  <a:pt x="2028" y="510"/>
                                </a:moveTo>
                                <a:lnTo>
                                  <a:pt x="12" y="510"/>
                                </a:lnTo>
                                <a:lnTo>
                                  <a:pt x="12" y="504"/>
                                </a:lnTo>
                                <a:lnTo>
                                  <a:pt x="2028" y="504"/>
                                </a:lnTo>
                                <a:lnTo>
                                  <a:pt x="2028" y="510"/>
                                </a:lnTo>
                                <a:close/>
                                <a:moveTo>
                                  <a:pt x="2040" y="510"/>
                                </a:moveTo>
                                <a:lnTo>
                                  <a:pt x="2028" y="510"/>
                                </a:lnTo>
                                <a:lnTo>
                                  <a:pt x="2034" y="504"/>
                                </a:lnTo>
                                <a:lnTo>
                                  <a:pt x="2040" y="504"/>
                                </a:lnTo>
                                <a:lnTo>
                                  <a:pt x="2040" y="510"/>
                                </a:lnTo>
                                <a:close/>
                              </a:path>
                            </a:pathLst>
                          </a:custGeom>
                          <a:solidFill>
                            <a:srgbClr val="000000"/>
                          </a:solidFill>
                          <a:ln>
                            <a:noFill/>
                          </a:ln>
                        </wps:spPr>
                        <wps:bodyPr upright="1"/>
                      </wps:wsp>
                      <wps:wsp>
                        <wps:cNvPr id="61" name="任意多边形 59"/>
                        <wps:cNvSpPr/>
                        <wps:spPr>
                          <a:xfrm>
                            <a:off x="4261" y="1711"/>
                            <a:ext cx="1058" cy="120"/>
                          </a:xfrm>
                          <a:custGeom>
                            <a:avLst/>
                            <a:gdLst/>
                            <a:ahLst/>
                            <a:cxnLst/>
                            <a:pathLst>
                              <a:path w="1058" h="120">
                                <a:moveTo>
                                  <a:pt x="937" y="120"/>
                                </a:moveTo>
                                <a:lnTo>
                                  <a:pt x="937" y="0"/>
                                </a:lnTo>
                                <a:lnTo>
                                  <a:pt x="1043" y="53"/>
                                </a:lnTo>
                                <a:lnTo>
                                  <a:pt x="967" y="53"/>
                                </a:lnTo>
                                <a:lnTo>
                                  <a:pt x="945" y="53"/>
                                </a:lnTo>
                                <a:lnTo>
                                  <a:pt x="945" y="68"/>
                                </a:lnTo>
                                <a:lnTo>
                                  <a:pt x="1041" y="68"/>
                                </a:lnTo>
                                <a:lnTo>
                                  <a:pt x="937" y="120"/>
                                </a:lnTo>
                                <a:close/>
                                <a:moveTo>
                                  <a:pt x="945" y="68"/>
                                </a:moveTo>
                                <a:lnTo>
                                  <a:pt x="945" y="53"/>
                                </a:lnTo>
                                <a:lnTo>
                                  <a:pt x="967" y="53"/>
                                </a:lnTo>
                                <a:lnTo>
                                  <a:pt x="967" y="68"/>
                                </a:lnTo>
                                <a:lnTo>
                                  <a:pt x="945" y="68"/>
                                </a:lnTo>
                                <a:close/>
                                <a:moveTo>
                                  <a:pt x="1041" y="68"/>
                                </a:moveTo>
                                <a:lnTo>
                                  <a:pt x="945" y="68"/>
                                </a:lnTo>
                                <a:lnTo>
                                  <a:pt x="967" y="68"/>
                                </a:lnTo>
                                <a:lnTo>
                                  <a:pt x="967" y="53"/>
                                </a:lnTo>
                                <a:lnTo>
                                  <a:pt x="1043" y="53"/>
                                </a:lnTo>
                                <a:lnTo>
                                  <a:pt x="1057" y="60"/>
                                </a:lnTo>
                                <a:lnTo>
                                  <a:pt x="1041" y="68"/>
                                </a:lnTo>
                                <a:close/>
                                <a:moveTo>
                                  <a:pt x="0" y="72"/>
                                </a:moveTo>
                                <a:lnTo>
                                  <a:pt x="0" y="57"/>
                                </a:lnTo>
                                <a:lnTo>
                                  <a:pt x="60" y="56"/>
                                </a:lnTo>
                                <a:lnTo>
                                  <a:pt x="60" y="71"/>
                                </a:lnTo>
                                <a:lnTo>
                                  <a:pt x="0" y="72"/>
                                </a:lnTo>
                                <a:close/>
                                <a:moveTo>
                                  <a:pt x="105" y="71"/>
                                </a:moveTo>
                                <a:lnTo>
                                  <a:pt x="105" y="56"/>
                                </a:lnTo>
                                <a:lnTo>
                                  <a:pt x="165" y="56"/>
                                </a:lnTo>
                                <a:lnTo>
                                  <a:pt x="165" y="71"/>
                                </a:lnTo>
                                <a:lnTo>
                                  <a:pt x="105" y="71"/>
                                </a:lnTo>
                                <a:close/>
                                <a:moveTo>
                                  <a:pt x="210" y="71"/>
                                </a:moveTo>
                                <a:lnTo>
                                  <a:pt x="210" y="56"/>
                                </a:lnTo>
                                <a:lnTo>
                                  <a:pt x="270" y="56"/>
                                </a:lnTo>
                                <a:lnTo>
                                  <a:pt x="270" y="71"/>
                                </a:lnTo>
                                <a:lnTo>
                                  <a:pt x="210" y="71"/>
                                </a:lnTo>
                                <a:close/>
                                <a:moveTo>
                                  <a:pt x="315" y="70"/>
                                </a:moveTo>
                                <a:lnTo>
                                  <a:pt x="315" y="55"/>
                                </a:lnTo>
                                <a:lnTo>
                                  <a:pt x="375" y="55"/>
                                </a:lnTo>
                                <a:lnTo>
                                  <a:pt x="375" y="70"/>
                                </a:lnTo>
                                <a:lnTo>
                                  <a:pt x="315" y="70"/>
                                </a:lnTo>
                                <a:close/>
                                <a:moveTo>
                                  <a:pt x="420" y="70"/>
                                </a:moveTo>
                                <a:lnTo>
                                  <a:pt x="420" y="55"/>
                                </a:lnTo>
                                <a:lnTo>
                                  <a:pt x="480" y="55"/>
                                </a:lnTo>
                                <a:lnTo>
                                  <a:pt x="480" y="70"/>
                                </a:lnTo>
                                <a:lnTo>
                                  <a:pt x="420" y="70"/>
                                </a:lnTo>
                                <a:close/>
                                <a:moveTo>
                                  <a:pt x="525" y="70"/>
                                </a:moveTo>
                                <a:lnTo>
                                  <a:pt x="525" y="55"/>
                                </a:lnTo>
                                <a:lnTo>
                                  <a:pt x="585" y="54"/>
                                </a:lnTo>
                                <a:lnTo>
                                  <a:pt x="585" y="69"/>
                                </a:lnTo>
                                <a:lnTo>
                                  <a:pt x="525" y="70"/>
                                </a:lnTo>
                                <a:close/>
                                <a:moveTo>
                                  <a:pt x="630" y="69"/>
                                </a:moveTo>
                                <a:lnTo>
                                  <a:pt x="630" y="54"/>
                                </a:lnTo>
                                <a:lnTo>
                                  <a:pt x="690" y="54"/>
                                </a:lnTo>
                                <a:lnTo>
                                  <a:pt x="690" y="69"/>
                                </a:lnTo>
                                <a:lnTo>
                                  <a:pt x="630" y="69"/>
                                </a:lnTo>
                                <a:close/>
                                <a:moveTo>
                                  <a:pt x="735" y="69"/>
                                </a:moveTo>
                                <a:lnTo>
                                  <a:pt x="735" y="54"/>
                                </a:lnTo>
                                <a:lnTo>
                                  <a:pt x="795" y="54"/>
                                </a:lnTo>
                                <a:lnTo>
                                  <a:pt x="795" y="69"/>
                                </a:lnTo>
                                <a:lnTo>
                                  <a:pt x="735" y="69"/>
                                </a:lnTo>
                                <a:close/>
                                <a:moveTo>
                                  <a:pt x="840" y="68"/>
                                </a:moveTo>
                                <a:lnTo>
                                  <a:pt x="840" y="53"/>
                                </a:lnTo>
                                <a:lnTo>
                                  <a:pt x="900" y="53"/>
                                </a:lnTo>
                                <a:lnTo>
                                  <a:pt x="900" y="68"/>
                                </a:lnTo>
                                <a:lnTo>
                                  <a:pt x="840" y="68"/>
                                </a:lnTo>
                                <a:close/>
                              </a:path>
                            </a:pathLst>
                          </a:custGeom>
                          <a:solidFill>
                            <a:srgbClr val="000000"/>
                          </a:solidFill>
                          <a:ln>
                            <a:noFill/>
                          </a:ln>
                        </wps:spPr>
                        <wps:bodyPr upright="1"/>
                      </wps:wsp>
                      <wps:wsp>
                        <wps:cNvPr id="62" name="任意多边形 60"/>
                        <wps:cNvSpPr/>
                        <wps:spPr>
                          <a:xfrm>
                            <a:off x="0" y="1592"/>
                            <a:ext cx="1126" cy="120"/>
                          </a:xfrm>
                          <a:custGeom>
                            <a:avLst/>
                            <a:gdLst/>
                            <a:ahLst/>
                            <a:cxnLst/>
                            <a:pathLst>
                              <a:path w="1126" h="120">
                                <a:moveTo>
                                  <a:pt x="1111" y="67"/>
                                </a:moveTo>
                                <a:lnTo>
                                  <a:pt x="1035" y="67"/>
                                </a:lnTo>
                                <a:lnTo>
                                  <a:pt x="1035" y="52"/>
                                </a:lnTo>
                                <a:lnTo>
                                  <a:pt x="1005" y="52"/>
                                </a:lnTo>
                                <a:lnTo>
                                  <a:pt x="1005" y="0"/>
                                </a:lnTo>
                                <a:lnTo>
                                  <a:pt x="1125" y="60"/>
                                </a:lnTo>
                                <a:lnTo>
                                  <a:pt x="1111" y="67"/>
                                </a:lnTo>
                                <a:close/>
                                <a:moveTo>
                                  <a:pt x="1005" y="67"/>
                                </a:moveTo>
                                <a:lnTo>
                                  <a:pt x="0" y="64"/>
                                </a:lnTo>
                                <a:lnTo>
                                  <a:pt x="0" y="49"/>
                                </a:lnTo>
                                <a:lnTo>
                                  <a:pt x="1005" y="52"/>
                                </a:lnTo>
                                <a:lnTo>
                                  <a:pt x="1005" y="67"/>
                                </a:lnTo>
                                <a:close/>
                                <a:moveTo>
                                  <a:pt x="1035" y="67"/>
                                </a:moveTo>
                                <a:lnTo>
                                  <a:pt x="1005" y="67"/>
                                </a:lnTo>
                                <a:lnTo>
                                  <a:pt x="1005" y="52"/>
                                </a:lnTo>
                                <a:lnTo>
                                  <a:pt x="1035" y="52"/>
                                </a:lnTo>
                                <a:lnTo>
                                  <a:pt x="1035" y="67"/>
                                </a:lnTo>
                                <a:close/>
                                <a:moveTo>
                                  <a:pt x="1005" y="120"/>
                                </a:moveTo>
                                <a:lnTo>
                                  <a:pt x="1005" y="67"/>
                                </a:lnTo>
                                <a:lnTo>
                                  <a:pt x="1111" y="67"/>
                                </a:lnTo>
                                <a:lnTo>
                                  <a:pt x="1005" y="120"/>
                                </a:lnTo>
                                <a:close/>
                              </a:path>
                            </a:pathLst>
                          </a:custGeom>
                          <a:solidFill>
                            <a:srgbClr val="000000"/>
                          </a:solidFill>
                          <a:ln>
                            <a:noFill/>
                          </a:ln>
                        </wps:spPr>
                        <wps:bodyPr upright="1"/>
                      </wps:wsp>
                      <wps:wsp>
                        <wps:cNvPr id="63" name="任意多边形 61"/>
                        <wps:cNvSpPr/>
                        <wps:spPr>
                          <a:xfrm>
                            <a:off x="5397" y="2306"/>
                            <a:ext cx="1284" cy="516"/>
                          </a:xfrm>
                          <a:custGeom>
                            <a:avLst/>
                            <a:gdLst/>
                            <a:ahLst/>
                            <a:cxnLst/>
                            <a:pathLst>
                              <a:path w="1284" h="516">
                                <a:moveTo>
                                  <a:pt x="1278" y="516"/>
                                </a:moveTo>
                                <a:lnTo>
                                  <a:pt x="6" y="516"/>
                                </a:lnTo>
                                <a:lnTo>
                                  <a:pt x="4" y="516"/>
                                </a:lnTo>
                                <a:lnTo>
                                  <a:pt x="2" y="514"/>
                                </a:lnTo>
                                <a:lnTo>
                                  <a:pt x="0" y="512"/>
                                </a:lnTo>
                                <a:lnTo>
                                  <a:pt x="0" y="510"/>
                                </a:lnTo>
                                <a:lnTo>
                                  <a:pt x="0" y="6"/>
                                </a:lnTo>
                                <a:lnTo>
                                  <a:pt x="0" y="4"/>
                                </a:lnTo>
                                <a:lnTo>
                                  <a:pt x="2" y="2"/>
                                </a:lnTo>
                                <a:lnTo>
                                  <a:pt x="4" y="1"/>
                                </a:lnTo>
                                <a:lnTo>
                                  <a:pt x="6" y="0"/>
                                </a:lnTo>
                                <a:lnTo>
                                  <a:pt x="1278" y="0"/>
                                </a:lnTo>
                                <a:lnTo>
                                  <a:pt x="1280" y="1"/>
                                </a:lnTo>
                                <a:lnTo>
                                  <a:pt x="1282" y="2"/>
                                </a:lnTo>
                                <a:lnTo>
                                  <a:pt x="1284" y="4"/>
                                </a:lnTo>
                                <a:lnTo>
                                  <a:pt x="1284" y="6"/>
                                </a:lnTo>
                                <a:lnTo>
                                  <a:pt x="12" y="6"/>
                                </a:lnTo>
                                <a:lnTo>
                                  <a:pt x="6" y="12"/>
                                </a:lnTo>
                                <a:lnTo>
                                  <a:pt x="12" y="12"/>
                                </a:lnTo>
                                <a:lnTo>
                                  <a:pt x="12" y="504"/>
                                </a:lnTo>
                                <a:lnTo>
                                  <a:pt x="6" y="504"/>
                                </a:lnTo>
                                <a:lnTo>
                                  <a:pt x="12" y="510"/>
                                </a:lnTo>
                                <a:lnTo>
                                  <a:pt x="1284" y="510"/>
                                </a:lnTo>
                                <a:lnTo>
                                  <a:pt x="1284" y="512"/>
                                </a:lnTo>
                                <a:lnTo>
                                  <a:pt x="1282" y="514"/>
                                </a:lnTo>
                                <a:lnTo>
                                  <a:pt x="1280" y="516"/>
                                </a:lnTo>
                                <a:lnTo>
                                  <a:pt x="1278" y="516"/>
                                </a:lnTo>
                                <a:close/>
                                <a:moveTo>
                                  <a:pt x="12" y="12"/>
                                </a:moveTo>
                                <a:lnTo>
                                  <a:pt x="6" y="12"/>
                                </a:lnTo>
                                <a:lnTo>
                                  <a:pt x="12" y="6"/>
                                </a:lnTo>
                                <a:lnTo>
                                  <a:pt x="12" y="12"/>
                                </a:lnTo>
                                <a:close/>
                                <a:moveTo>
                                  <a:pt x="1272" y="12"/>
                                </a:moveTo>
                                <a:lnTo>
                                  <a:pt x="12" y="12"/>
                                </a:lnTo>
                                <a:lnTo>
                                  <a:pt x="12" y="6"/>
                                </a:lnTo>
                                <a:lnTo>
                                  <a:pt x="1272" y="6"/>
                                </a:lnTo>
                                <a:lnTo>
                                  <a:pt x="1272" y="12"/>
                                </a:lnTo>
                                <a:close/>
                                <a:moveTo>
                                  <a:pt x="1272" y="510"/>
                                </a:moveTo>
                                <a:lnTo>
                                  <a:pt x="1272" y="6"/>
                                </a:lnTo>
                                <a:lnTo>
                                  <a:pt x="1278" y="12"/>
                                </a:lnTo>
                                <a:lnTo>
                                  <a:pt x="1284" y="12"/>
                                </a:lnTo>
                                <a:lnTo>
                                  <a:pt x="1284" y="504"/>
                                </a:lnTo>
                                <a:lnTo>
                                  <a:pt x="1278" y="504"/>
                                </a:lnTo>
                                <a:lnTo>
                                  <a:pt x="1272" y="510"/>
                                </a:lnTo>
                                <a:close/>
                                <a:moveTo>
                                  <a:pt x="1284" y="12"/>
                                </a:moveTo>
                                <a:lnTo>
                                  <a:pt x="1278" y="12"/>
                                </a:lnTo>
                                <a:lnTo>
                                  <a:pt x="1272" y="6"/>
                                </a:lnTo>
                                <a:lnTo>
                                  <a:pt x="1284" y="6"/>
                                </a:lnTo>
                                <a:lnTo>
                                  <a:pt x="1284" y="12"/>
                                </a:lnTo>
                                <a:close/>
                                <a:moveTo>
                                  <a:pt x="12" y="510"/>
                                </a:moveTo>
                                <a:lnTo>
                                  <a:pt x="6" y="504"/>
                                </a:lnTo>
                                <a:lnTo>
                                  <a:pt x="12" y="504"/>
                                </a:lnTo>
                                <a:lnTo>
                                  <a:pt x="12" y="510"/>
                                </a:lnTo>
                                <a:close/>
                                <a:moveTo>
                                  <a:pt x="1272" y="510"/>
                                </a:moveTo>
                                <a:lnTo>
                                  <a:pt x="12" y="510"/>
                                </a:lnTo>
                                <a:lnTo>
                                  <a:pt x="12" y="504"/>
                                </a:lnTo>
                                <a:lnTo>
                                  <a:pt x="1272" y="504"/>
                                </a:lnTo>
                                <a:lnTo>
                                  <a:pt x="1272" y="510"/>
                                </a:lnTo>
                                <a:close/>
                                <a:moveTo>
                                  <a:pt x="1284" y="510"/>
                                </a:moveTo>
                                <a:lnTo>
                                  <a:pt x="1272" y="510"/>
                                </a:lnTo>
                                <a:lnTo>
                                  <a:pt x="1278" y="504"/>
                                </a:lnTo>
                                <a:lnTo>
                                  <a:pt x="1284" y="504"/>
                                </a:lnTo>
                                <a:lnTo>
                                  <a:pt x="1284" y="510"/>
                                </a:lnTo>
                                <a:close/>
                              </a:path>
                            </a:pathLst>
                          </a:custGeom>
                          <a:solidFill>
                            <a:srgbClr val="000000"/>
                          </a:solidFill>
                          <a:ln>
                            <a:noFill/>
                          </a:ln>
                        </wps:spPr>
                        <wps:bodyPr upright="1"/>
                      </wps:wsp>
                      <wps:wsp>
                        <wps:cNvPr id="64" name="任意多边形 62"/>
                        <wps:cNvSpPr/>
                        <wps:spPr>
                          <a:xfrm>
                            <a:off x="4300" y="2504"/>
                            <a:ext cx="1103" cy="120"/>
                          </a:xfrm>
                          <a:custGeom>
                            <a:avLst/>
                            <a:gdLst/>
                            <a:ahLst/>
                            <a:cxnLst/>
                            <a:pathLst>
                              <a:path w="1103" h="120">
                                <a:moveTo>
                                  <a:pt x="1088" y="68"/>
                                </a:moveTo>
                                <a:lnTo>
                                  <a:pt x="1005" y="68"/>
                                </a:lnTo>
                                <a:lnTo>
                                  <a:pt x="1005" y="53"/>
                                </a:lnTo>
                                <a:lnTo>
                                  <a:pt x="982" y="53"/>
                                </a:lnTo>
                                <a:lnTo>
                                  <a:pt x="982" y="0"/>
                                </a:lnTo>
                                <a:lnTo>
                                  <a:pt x="1102" y="61"/>
                                </a:lnTo>
                                <a:lnTo>
                                  <a:pt x="1088" y="68"/>
                                </a:lnTo>
                                <a:close/>
                                <a:moveTo>
                                  <a:pt x="982" y="68"/>
                                </a:moveTo>
                                <a:lnTo>
                                  <a:pt x="945" y="68"/>
                                </a:lnTo>
                                <a:lnTo>
                                  <a:pt x="945" y="53"/>
                                </a:lnTo>
                                <a:lnTo>
                                  <a:pt x="982" y="53"/>
                                </a:lnTo>
                                <a:lnTo>
                                  <a:pt x="982" y="68"/>
                                </a:lnTo>
                                <a:close/>
                                <a:moveTo>
                                  <a:pt x="1005" y="68"/>
                                </a:moveTo>
                                <a:lnTo>
                                  <a:pt x="982" y="68"/>
                                </a:lnTo>
                                <a:lnTo>
                                  <a:pt x="982" y="53"/>
                                </a:lnTo>
                                <a:lnTo>
                                  <a:pt x="1005" y="53"/>
                                </a:lnTo>
                                <a:lnTo>
                                  <a:pt x="1005" y="68"/>
                                </a:lnTo>
                                <a:close/>
                                <a:moveTo>
                                  <a:pt x="982" y="120"/>
                                </a:moveTo>
                                <a:lnTo>
                                  <a:pt x="982" y="68"/>
                                </a:lnTo>
                                <a:lnTo>
                                  <a:pt x="1088" y="68"/>
                                </a:lnTo>
                                <a:lnTo>
                                  <a:pt x="982" y="120"/>
                                </a:lnTo>
                                <a:close/>
                                <a:moveTo>
                                  <a:pt x="60" y="64"/>
                                </a:moveTo>
                                <a:lnTo>
                                  <a:pt x="0" y="64"/>
                                </a:lnTo>
                                <a:lnTo>
                                  <a:pt x="0" y="49"/>
                                </a:lnTo>
                                <a:lnTo>
                                  <a:pt x="60" y="49"/>
                                </a:lnTo>
                                <a:lnTo>
                                  <a:pt x="60" y="64"/>
                                </a:lnTo>
                                <a:close/>
                                <a:moveTo>
                                  <a:pt x="165" y="64"/>
                                </a:moveTo>
                                <a:lnTo>
                                  <a:pt x="105" y="64"/>
                                </a:lnTo>
                                <a:lnTo>
                                  <a:pt x="105" y="49"/>
                                </a:lnTo>
                                <a:lnTo>
                                  <a:pt x="165" y="49"/>
                                </a:lnTo>
                                <a:lnTo>
                                  <a:pt x="165" y="64"/>
                                </a:lnTo>
                                <a:close/>
                                <a:moveTo>
                                  <a:pt x="270" y="65"/>
                                </a:moveTo>
                                <a:lnTo>
                                  <a:pt x="210" y="64"/>
                                </a:lnTo>
                                <a:lnTo>
                                  <a:pt x="210" y="49"/>
                                </a:lnTo>
                                <a:lnTo>
                                  <a:pt x="270" y="50"/>
                                </a:lnTo>
                                <a:lnTo>
                                  <a:pt x="270" y="65"/>
                                </a:lnTo>
                                <a:close/>
                                <a:moveTo>
                                  <a:pt x="375" y="65"/>
                                </a:moveTo>
                                <a:lnTo>
                                  <a:pt x="315" y="65"/>
                                </a:lnTo>
                                <a:lnTo>
                                  <a:pt x="315" y="50"/>
                                </a:lnTo>
                                <a:lnTo>
                                  <a:pt x="375" y="50"/>
                                </a:lnTo>
                                <a:lnTo>
                                  <a:pt x="375" y="65"/>
                                </a:lnTo>
                                <a:close/>
                                <a:moveTo>
                                  <a:pt x="480" y="66"/>
                                </a:moveTo>
                                <a:lnTo>
                                  <a:pt x="420" y="65"/>
                                </a:lnTo>
                                <a:lnTo>
                                  <a:pt x="420" y="50"/>
                                </a:lnTo>
                                <a:lnTo>
                                  <a:pt x="480" y="51"/>
                                </a:lnTo>
                                <a:lnTo>
                                  <a:pt x="480" y="66"/>
                                </a:lnTo>
                                <a:close/>
                                <a:moveTo>
                                  <a:pt x="585" y="66"/>
                                </a:moveTo>
                                <a:lnTo>
                                  <a:pt x="525" y="66"/>
                                </a:lnTo>
                                <a:lnTo>
                                  <a:pt x="525" y="51"/>
                                </a:lnTo>
                                <a:lnTo>
                                  <a:pt x="585" y="51"/>
                                </a:lnTo>
                                <a:lnTo>
                                  <a:pt x="585" y="66"/>
                                </a:lnTo>
                                <a:close/>
                                <a:moveTo>
                                  <a:pt x="690" y="67"/>
                                </a:moveTo>
                                <a:lnTo>
                                  <a:pt x="630" y="66"/>
                                </a:lnTo>
                                <a:lnTo>
                                  <a:pt x="630" y="51"/>
                                </a:lnTo>
                                <a:lnTo>
                                  <a:pt x="690" y="52"/>
                                </a:lnTo>
                                <a:lnTo>
                                  <a:pt x="690" y="67"/>
                                </a:lnTo>
                                <a:close/>
                                <a:moveTo>
                                  <a:pt x="795" y="67"/>
                                </a:moveTo>
                                <a:lnTo>
                                  <a:pt x="735" y="67"/>
                                </a:lnTo>
                                <a:lnTo>
                                  <a:pt x="735" y="52"/>
                                </a:lnTo>
                                <a:lnTo>
                                  <a:pt x="795" y="52"/>
                                </a:lnTo>
                                <a:lnTo>
                                  <a:pt x="795" y="67"/>
                                </a:lnTo>
                                <a:close/>
                                <a:moveTo>
                                  <a:pt x="900" y="68"/>
                                </a:moveTo>
                                <a:lnTo>
                                  <a:pt x="840" y="67"/>
                                </a:lnTo>
                                <a:lnTo>
                                  <a:pt x="840" y="52"/>
                                </a:lnTo>
                                <a:lnTo>
                                  <a:pt x="900" y="53"/>
                                </a:lnTo>
                                <a:lnTo>
                                  <a:pt x="900" y="68"/>
                                </a:lnTo>
                                <a:close/>
                              </a:path>
                            </a:pathLst>
                          </a:custGeom>
                          <a:solidFill>
                            <a:srgbClr val="000000"/>
                          </a:solidFill>
                          <a:ln>
                            <a:noFill/>
                          </a:ln>
                        </wps:spPr>
                        <wps:bodyPr upright="1"/>
                      </wps:wsp>
                      <wps:wsp>
                        <wps:cNvPr id="65" name="任意多边形 63"/>
                        <wps:cNvSpPr/>
                        <wps:spPr>
                          <a:xfrm>
                            <a:off x="147" y="2309"/>
                            <a:ext cx="978" cy="120"/>
                          </a:xfrm>
                          <a:custGeom>
                            <a:avLst/>
                            <a:gdLst/>
                            <a:ahLst/>
                            <a:cxnLst/>
                            <a:pathLst>
                              <a:path w="978" h="120">
                                <a:moveTo>
                                  <a:pt x="858" y="120"/>
                                </a:moveTo>
                                <a:lnTo>
                                  <a:pt x="858" y="0"/>
                                </a:lnTo>
                                <a:lnTo>
                                  <a:pt x="963" y="53"/>
                                </a:lnTo>
                                <a:lnTo>
                                  <a:pt x="888" y="53"/>
                                </a:lnTo>
                                <a:lnTo>
                                  <a:pt x="888" y="68"/>
                                </a:lnTo>
                                <a:lnTo>
                                  <a:pt x="963" y="68"/>
                                </a:lnTo>
                                <a:lnTo>
                                  <a:pt x="858" y="120"/>
                                </a:lnTo>
                                <a:close/>
                                <a:moveTo>
                                  <a:pt x="858" y="68"/>
                                </a:moveTo>
                                <a:lnTo>
                                  <a:pt x="0" y="68"/>
                                </a:lnTo>
                                <a:lnTo>
                                  <a:pt x="0" y="53"/>
                                </a:lnTo>
                                <a:lnTo>
                                  <a:pt x="858" y="53"/>
                                </a:lnTo>
                                <a:lnTo>
                                  <a:pt x="858" y="68"/>
                                </a:lnTo>
                                <a:close/>
                                <a:moveTo>
                                  <a:pt x="963" y="68"/>
                                </a:moveTo>
                                <a:lnTo>
                                  <a:pt x="888" y="68"/>
                                </a:lnTo>
                                <a:lnTo>
                                  <a:pt x="888" y="53"/>
                                </a:lnTo>
                                <a:lnTo>
                                  <a:pt x="963" y="53"/>
                                </a:lnTo>
                                <a:lnTo>
                                  <a:pt x="978" y="60"/>
                                </a:lnTo>
                                <a:lnTo>
                                  <a:pt x="963" y="68"/>
                                </a:lnTo>
                                <a:close/>
                              </a:path>
                            </a:pathLst>
                          </a:custGeom>
                          <a:solidFill>
                            <a:srgbClr val="000000"/>
                          </a:solidFill>
                          <a:ln>
                            <a:noFill/>
                          </a:ln>
                        </wps:spPr>
                        <wps:bodyPr upright="1"/>
                      </wps:wsp>
                      <wps:wsp>
                        <wps:cNvPr id="66" name="任意多边形 64"/>
                        <wps:cNvSpPr/>
                        <wps:spPr>
                          <a:xfrm>
                            <a:off x="2765" y="0"/>
                            <a:ext cx="120" cy="1139"/>
                          </a:xfrm>
                          <a:custGeom>
                            <a:avLst/>
                            <a:gdLst/>
                            <a:ahLst/>
                            <a:cxnLst/>
                            <a:pathLst>
                              <a:path w="120" h="1139">
                                <a:moveTo>
                                  <a:pt x="53" y="1018"/>
                                </a:moveTo>
                                <a:lnTo>
                                  <a:pt x="47" y="0"/>
                                </a:lnTo>
                                <a:lnTo>
                                  <a:pt x="62" y="0"/>
                                </a:lnTo>
                                <a:lnTo>
                                  <a:pt x="68" y="1018"/>
                                </a:lnTo>
                                <a:lnTo>
                                  <a:pt x="53" y="1018"/>
                                </a:lnTo>
                                <a:close/>
                                <a:moveTo>
                                  <a:pt x="105" y="1048"/>
                                </a:moveTo>
                                <a:lnTo>
                                  <a:pt x="53" y="1048"/>
                                </a:lnTo>
                                <a:lnTo>
                                  <a:pt x="68" y="1048"/>
                                </a:lnTo>
                                <a:lnTo>
                                  <a:pt x="68" y="1018"/>
                                </a:lnTo>
                                <a:lnTo>
                                  <a:pt x="120" y="1018"/>
                                </a:lnTo>
                                <a:lnTo>
                                  <a:pt x="105" y="1048"/>
                                </a:lnTo>
                                <a:close/>
                                <a:moveTo>
                                  <a:pt x="53" y="1048"/>
                                </a:moveTo>
                                <a:lnTo>
                                  <a:pt x="53" y="1018"/>
                                </a:lnTo>
                                <a:lnTo>
                                  <a:pt x="68" y="1018"/>
                                </a:lnTo>
                                <a:lnTo>
                                  <a:pt x="68" y="1048"/>
                                </a:lnTo>
                                <a:lnTo>
                                  <a:pt x="53" y="1048"/>
                                </a:lnTo>
                                <a:close/>
                                <a:moveTo>
                                  <a:pt x="61" y="1138"/>
                                </a:moveTo>
                                <a:lnTo>
                                  <a:pt x="0" y="1018"/>
                                </a:lnTo>
                                <a:lnTo>
                                  <a:pt x="53" y="1018"/>
                                </a:lnTo>
                                <a:lnTo>
                                  <a:pt x="53" y="1048"/>
                                </a:lnTo>
                                <a:lnTo>
                                  <a:pt x="105" y="1048"/>
                                </a:lnTo>
                                <a:lnTo>
                                  <a:pt x="61" y="1138"/>
                                </a:lnTo>
                                <a:close/>
                              </a:path>
                            </a:pathLst>
                          </a:custGeom>
                          <a:solidFill>
                            <a:srgbClr val="000000"/>
                          </a:solidFill>
                          <a:ln>
                            <a:noFill/>
                          </a:ln>
                        </wps:spPr>
                        <wps:bodyPr upright="1"/>
                      </wps:wsp>
                      <wps:wsp>
                        <wps:cNvPr id="67" name="任意多边形 65"/>
                        <wps:cNvSpPr/>
                        <wps:spPr>
                          <a:xfrm>
                            <a:off x="1953" y="1132"/>
                            <a:ext cx="1745" cy="516"/>
                          </a:xfrm>
                          <a:custGeom>
                            <a:avLst/>
                            <a:gdLst/>
                            <a:ahLst/>
                            <a:cxnLst/>
                            <a:pathLst>
                              <a:path w="1745" h="516">
                                <a:moveTo>
                                  <a:pt x="1739" y="516"/>
                                </a:moveTo>
                                <a:lnTo>
                                  <a:pt x="6" y="516"/>
                                </a:lnTo>
                                <a:lnTo>
                                  <a:pt x="4" y="516"/>
                                </a:lnTo>
                                <a:lnTo>
                                  <a:pt x="2" y="514"/>
                                </a:lnTo>
                                <a:lnTo>
                                  <a:pt x="0" y="512"/>
                                </a:lnTo>
                                <a:lnTo>
                                  <a:pt x="0" y="510"/>
                                </a:lnTo>
                                <a:lnTo>
                                  <a:pt x="0" y="6"/>
                                </a:lnTo>
                                <a:lnTo>
                                  <a:pt x="0" y="4"/>
                                </a:lnTo>
                                <a:lnTo>
                                  <a:pt x="2" y="2"/>
                                </a:lnTo>
                                <a:lnTo>
                                  <a:pt x="4" y="1"/>
                                </a:lnTo>
                                <a:lnTo>
                                  <a:pt x="6" y="0"/>
                                </a:lnTo>
                                <a:lnTo>
                                  <a:pt x="1739" y="0"/>
                                </a:lnTo>
                                <a:lnTo>
                                  <a:pt x="1741" y="1"/>
                                </a:lnTo>
                                <a:lnTo>
                                  <a:pt x="1743" y="2"/>
                                </a:lnTo>
                                <a:lnTo>
                                  <a:pt x="1745" y="4"/>
                                </a:lnTo>
                                <a:lnTo>
                                  <a:pt x="1745" y="6"/>
                                </a:lnTo>
                                <a:lnTo>
                                  <a:pt x="12" y="6"/>
                                </a:lnTo>
                                <a:lnTo>
                                  <a:pt x="6" y="12"/>
                                </a:lnTo>
                                <a:lnTo>
                                  <a:pt x="12" y="12"/>
                                </a:lnTo>
                                <a:lnTo>
                                  <a:pt x="12" y="504"/>
                                </a:lnTo>
                                <a:lnTo>
                                  <a:pt x="6" y="504"/>
                                </a:lnTo>
                                <a:lnTo>
                                  <a:pt x="12" y="510"/>
                                </a:lnTo>
                                <a:lnTo>
                                  <a:pt x="1745" y="510"/>
                                </a:lnTo>
                                <a:lnTo>
                                  <a:pt x="1745" y="512"/>
                                </a:lnTo>
                                <a:lnTo>
                                  <a:pt x="1743" y="514"/>
                                </a:lnTo>
                                <a:lnTo>
                                  <a:pt x="1741" y="516"/>
                                </a:lnTo>
                                <a:lnTo>
                                  <a:pt x="1739" y="516"/>
                                </a:lnTo>
                                <a:close/>
                                <a:moveTo>
                                  <a:pt x="12" y="12"/>
                                </a:moveTo>
                                <a:lnTo>
                                  <a:pt x="6" y="12"/>
                                </a:lnTo>
                                <a:lnTo>
                                  <a:pt x="12" y="6"/>
                                </a:lnTo>
                                <a:lnTo>
                                  <a:pt x="12" y="12"/>
                                </a:lnTo>
                                <a:close/>
                                <a:moveTo>
                                  <a:pt x="1733" y="12"/>
                                </a:moveTo>
                                <a:lnTo>
                                  <a:pt x="12" y="12"/>
                                </a:lnTo>
                                <a:lnTo>
                                  <a:pt x="12" y="6"/>
                                </a:lnTo>
                                <a:lnTo>
                                  <a:pt x="1733" y="6"/>
                                </a:lnTo>
                                <a:lnTo>
                                  <a:pt x="1733" y="12"/>
                                </a:lnTo>
                                <a:close/>
                                <a:moveTo>
                                  <a:pt x="1733" y="510"/>
                                </a:moveTo>
                                <a:lnTo>
                                  <a:pt x="1733" y="6"/>
                                </a:lnTo>
                                <a:lnTo>
                                  <a:pt x="1739" y="12"/>
                                </a:lnTo>
                                <a:lnTo>
                                  <a:pt x="1745" y="12"/>
                                </a:lnTo>
                                <a:lnTo>
                                  <a:pt x="1745" y="504"/>
                                </a:lnTo>
                                <a:lnTo>
                                  <a:pt x="1739" y="504"/>
                                </a:lnTo>
                                <a:lnTo>
                                  <a:pt x="1733" y="510"/>
                                </a:lnTo>
                                <a:close/>
                                <a:moveTo>
                                  <a:pt x="1745" y="12"/>
                                </a:moveTo>
                                <a:lnTo>
                                  <a:pt x="1739" y="12"/>
                                </a:lnTo>
                                <a:lnTo>
                                  <a:pt x="1733" y="6"/>
                                </a:lnTo>
                                <a:lnTo>
                                  <a:pt x="1745" y="6"/>
                                </a:lnTo>
                                <a:lnTo>
                                  <a:pt x="1745" y="12"/>
                                </a:lnTo>
                                <a:close/>
                                <a:moveTo>
                                  <a:pt x="12" y="510"/>
                                </a:moveTo>
                                <a:lnTo>
                                  <a:pt x="6" y="504"/>
                                </a:lnTo>
                                <a:lnTo>
                                  <a:pt x="12" y="504"/>
                                </a:lnTo>
                                <a:lnTo>
                                  <a:pt x="12" y="510"/>
                                </a:lnTo>
                                <a:close/>
                                <a:moveTo>
                                  <a:pt x="1733" y="510"/>
                                </a:moveTo>
                                <a:lnTo>
                                  <a:pt x="12" y="510"/>
                                </a:lnTo>
                                <a:lnTo>
                                  <a:pt x="12" y="504"/>
                                </a:lnTo>
                                <a:lnTo>
                                  <a:pt x="1733" y="504"/>
                                </a:lnTo>
                                <a:lnTo>
                                  <a:pt x="1733" y="510"/>
                                </a:lnTo>
                                <a:close/>
                                <a:moveTo>
                                  <a:pt x="1745" y="510"/>
                                </a:moveTo>
                                <a:lnTo>
                                  <a:pt x="1733" y="510"/>
                                </a:lnTo>
                                <a:lnTo>
                                  <a:pt x="1739" y="504"/>
                                </a:lnTo>
                                <a:lnTo>
                                  <a:pt x="1745" y="504"/>
                                </a:lnTo>
                                <a:lnTo>
                                  <a:pt x="1745" y="510"/>
                                </a:lnTo>
                                <a:close/>
                              </a:path>
                            </a:pathLst>
                          </a:custGeom>
                          <a:solidFill>
                            <a:srgbClr val="000000"/>
                          </a:solidFill>
                          <a:ln>
                            <a:noFill/>
                          </a:ln>
                        </wps:spPr>
                        <wps:bodyPr upright="1"/>
                      </wps:wsp>
                      <wps:wsp>
                        <wps:cNvPr id="68" name="任意多边形 66"/>
                        <wps:cNvSpPr/>
                        <wps:spPr>
                          <a:xfrm>
                            <a:off x="1964" y="2128"/>
                            <a:ext cx="1745" cy="783"/>
                          </a:xfrm>
                          <a:custGeom>
                            <a:avLst/>
                            <a:gdLst/>
                            <a:ahLst/>
                            <a:cxnLst/>
                            <a:pathLst>
                              <a:path w="1745" h="783">
                                <a:moveTo>
                                  <a:pt x="1739" y="783"/>
                                </a:moveTo>
                                <a:lnTo>
                                  <a:pt x="6" y="783"/>
                                </a:lnTo>
                                <a:lnTo>
                                  <a:pt x="4" y="783"/>
                                </a:lnTo>
                                <a:lnTo>
                                  <a:pt x="2" y="781"/>
                                </a:lnTo>
                                <a:lnTo>
                                  <a:pt x="0" y="779"/>
                                </a:lnTo>
                                <a:lnTo>
                                  <a:pt x="0" y="777"/>
                                </a:lnTo>
                                <a:lnTo>
                                  <a:pt x="0" y="6"/>
                                </a:lnTo>
                                <a:lnTo>
                                  <a:pt x="0" y="4"/>
                                </a:lnTo>
                                <a:lnTo>
                                  <a:pt x="2" y="2"/>
                                </a:lnTo>
                                <a:lnTo>
                                  <a:pt x="4" y="1"/>
                                </a:lnTo>
                                <a:lnTo>
                                  <a:pt x="6" y="0"/>
                                </a:lnTo>
                                <a:lnTo>
                                  <a:pt x="1739" y="0"/>
                                </a:lnTo>
                                <a:lnTo>
                                  <a:pt x="1741" y="1"/>
                                </a:lnTo>
                                <a:lnTo>
                                  <a:pt x="1743" y="2"/>
                                </a:lnTo>
                                <a:lnTo>
                                  <a:pt x="1745" y="4"/>
                                </a:lnTo>
                                <a:lnTo>
                                  <a:pt x="1745" y="6"/>
                                </a:lnTo>
                                <a:lnTo>
                                  <a:pt x="12" y="6"/>
                                </a:lnTo>
                                <a:lnTo>
                                  <a:pt x="6" y="12"/>
                                </a:lnTo>
                                <a:lnTo>
                                  <a:pt x="12" y="12"/>
                                </a:lnTo>
                                <a:lnTo>
                                  <a:pt x="12" y="771"/>
                                </a:lnTo>
                                <a:lnTo>
                                  <a:pt x="6" y="771"/>
                                </a:lnTo>
                                <a:lnTo>
                                  <a:pt x="12" y="777"/>
                                </a:lnTo>
                                <a:lnTo>
                                  <a:pt x="1745" y="777"/>
                                </a:lnTo>
                                <a:lnTo>
                                  <a:pt x="1745" y="779"/>
                                </a:lnTo>
                                <a:lnTo>
                                  <a:pt x="1743" y="781"/>
                                </a:lnTo>
                                <a:lnTo>
                                  <a:pt x="1741" y="783"/>
                                </a:lnTo>
                                <a:lnTo>
                                  <a:pt x="1739" y="783"/>
                                </a:lnTo>
                                <a:close/>
                                <a:moveTo>
                                  <a:pt x="12" y="12"/>
                                </a:moveTo>
                                <a:lnTo>
                                  <a:pt x="6" y="12"/>
                                </a:lnTo>
                                <a:lnTo>
                                  <a:pt x="12" y="6"/>
                                </a:lnTo>
                                <a:lnTo>
                                  <a:pt x="12" y="12"/>
                                </a:lnTo>
                                <a:close/>
                                <a:moveTo>
                                  <a:pt x="1733" y="12"/>
                                </a:moveTo>
                                <a:lnTo>
                                  <a:pt x="12" y="12"/>
                                </a:lnTo>
                                <a:lnTo>
                                  <a:pt x="12" y="6"/>
                                </a:lnTo>
                                <a:lnTo>
                                  <a:pt x="1733" y="6"/>
                                </a:lnTo>
                                <a:lnTo>
                                  <a:pt x="1733" y="12"/>
                                </a:lnTo>
                                <a:close/>
                                <a:moveTo>
                                  <a:pt x="1733" y="777"/>
                                </a:moveTo>
                                <a:lnTo>
                                  <a:pt x="1733" y="6"/>
                                </a:lnTo>
                                <a:lnTo>
                                  <a:pt x="1739" y="12"/>
                                </a:lnTo>
                                <a:lnTo>
                                  <a:pt x="1745" y="12"/>
                                </a:lnTo>
                                <a:lnTo>
                                  <a:pt x="1745" y="771"/>
                                </a:lnTo>
                                <a:lnTo>
                                  <a:pt x="1739" y="771"/>
                                </a:lnTo>
                                <a:lnTo>
                                  <a:pt x="1733" y="777"/>
                                </a:lnTo>
                                <a:close/>
                                <a:moveTo>
                                  <a:pt x="1745" y="12"/>
                                </a:moveTo>
                                <a:lnTo>
                                  <a:pt x="1739" y="12"/>
                                </a:lnTo>
                                <a:lnTo>
                                  <a:pt x="1733" y="6"/>
                                </a:lnTo>
                                <a:lnTo>
                                  <a:pt x="1745" y="6"/>
                                </a:lnTo>
                                <a:lnTo>
                                  <a:pt x="1745" y="12"/>
                                </a:lnTo>
                                <a:close/>
                                <a:moveTo>
                                  <a:pt x="12" y="777"/>
                                </a:moveTo>
                                <a:lnTo>
                                  <a:pt x="6" y="771"/>
                                </a:lnTo>
                                <a:lnTo>
                                  <a:pt x="12" y="771"/>
                                </a:lnTo>
                                <a:lnTo>
                                  <a:pt x="12" y="777"/>
                                </a:lnTo>
                                <a:close/>
                                <a:moveTo>
                                  <a:pt x="1733" y="777"/>
                                </a:moveTo>
                                <a:lnTo>
                                  <a:pt x="12" y="777"/>
                                </a:lnTo>
                                <a:lnTo>
                                  <a:pt x="12" y="771"/>
                                </a:lnTo>
                                <a:lnTo>
                                  <a:pt x="1733" y="771"/>
                                </a:lnTo>
                                <a:lnTo>
                                  <a:pt x="1733" y="777"/>
                                </a:lnTo>
                                <a:close/>
                                <a:moveTo>
                                  <a:pt x="1745" y="777"/>
                                </a:moveTo>
                                <a:lnTo>
                                  <a:pt x="1733" y="777"/>
                                </a:lnTo>
                                <a:lnTo>
                                  <a:pt x="1739" y="771"/>
                                </a:lnTo>
                                <a:lnTo>
                                  <a:pt x="1745" y="771"/>
                                </a:lnTo>
                                <a:lnTo>
                                  <a:pt x="1745" y="777"/>
                                </a:lnTo>
                                <a:close/>
                              </a:path>
                            </a:pathLst>
                          </a:custGeom>
                          <a:solidFill>
                            <a:srgbClr val="000000"/>
                          </a:solidFill>
                          <a:ln>
                            <a:noFill/>
                          </a:ln>
                        </wps:spPr>
                        <wps:bodyPr upright="1"/>
                      </wps:wsp>
                      <wps:wsp>
                        <wps:cNvPr id="69" name="任意多边形 67"/>
                        <wps:cNvSpPr/>
                        <wps:spPr>
                          <a:xfrm>
                            <a:off x="2774" y="1641"/>
                            <a:ext cx="120" cy="493"/>
                          </a:xfrm>
                          <a:custGeom>
                            <a:avLst/>
                            <a:gdLst/>
                            <a:ahLst/>
                            <a:cxnLst/>
                            <a:pathLst>
                              <a:path w="120" h="493">
                                <a:moveTo>
                                  <a:pt x="53" y="372"/>
                                </a:moveTo>
                                <a:lnTo>
                                  <a:pt x="45" y="0"/>
                                </a:lnTo>
                                <a:lnTo>
                                  <a:pt x="60" y="0"/>
                                </a:lnTo>
                                <a:lnTo>
                                  <a:pt x="68" y="372"/>
                                </a:lnTo>
                                <a:lnTo>
                                  <a:pt x="53" y="372"/>
                                </a:lnTo>
                                <a:close/>
                                <a:moveTo>
                                  <a:pt x="105" y="402"/>
                                </a:moveTo>
                                <a:lnTo>
                                  <a:pt x="54" y="402"/>
                                </a:lnTo>
                                <a:lnTo>
                                  <a:pt x="69" y="402"/>
                                </a:lnTo>
                                <a:lnTo>
                                  <a:pt x="68" y="372"/>
                                </a:lnTo>
                                <a:lnTo>
                                  <a:pt x="120" y="371"/>
                                </a:lnTo>
                                <a:lnTo>
                                  <a:pt x="105" y="402"/>
                                </a:lnTo>
                                <a:close/>
                                <a:moveTo>
                                  <a:pt x="54" y="402"/>
                                </a:moveTo>
                                <a:lnTo>
                                  <a:pt x="53" y="372"/>
                                </a:lnTo>
                                <a:lnTo>
                                  <a:pt x="68" y="372"/>
                                </a:lnTo>
                                <a:lnTo>
                                  <a:pt x="69" y="402"/>
                                </a:lnTo>
                                <a:lnTo>
                                  <a:pt x="54" y="402"/>
                                </a:lnTo>
                                <a:close/>
                                <a:moveTo>
                                  <a:pt x="63" y="492"/>
                                </a:moveTo>
                                <a:lnTo>
                                  <a:pt x="0" y="373"/>
                                </a:lnTo>
                                <a:lnTo>
                                  <a:pt x="53" y="372"/>
                                </a:lnTo>
                                <a:lnTo>
                                  <a:pt x="54" y="402"/>
                                </a:lnTo>
                                <a:lnTo>
                                  <a:pt x="105" y="402"/>
                                </a:lnTo>
                                <a:lnTo>
                                  <a:pt x="63" y="492"/>
                                </a:lnTo>
                                <a:close/>
                              </a:path>
                            </a:pathLst>
                          </a:custGeom>
                          <a:solidFill>
                            <a:srgbClr val="000000"/>
                          </a:solidFill>
                          <a:ln>
                            <a:noFill/>
                          </a:ln>
                        </wps:spPr>
                        <wps:bodyPr upright="1"/>
                      </wps:wsp>
                      <wps:wsp>
                        <wps:cNvPr id="70" name="任意多边形 68"/>
                        <wps:cNvSpPr/>
                        <wps:spPr>
                          <a:xfrm>
                            <a:off x="2771" y="2904"/>
                            <a:ext cx="120" cy="430"/>
                          </a:xfrm>
                          <a:custGeom>
                            <a:avLst/>
                            <a:gdLst/>
                            <a:ahLst/>
                            <a:cxnLst/>
                            <a:pathLst>
                              <a:path w="120" h="430">
                                <a:moveTo>
                                  <a:pt x="68" y="309"/>
                                </a:moveTo>
                                <a:lnTo>
                                  <a:pt x="53" y="309"/>
                                </a:lnTo>
                                <a:lnTo>
                                  <a:pt x="59" y="0"/>
                                </a:lnTo>
                                <a:lnTo>
                                  <a:pt x="74" y="0"/>
                                </a:lnTo>
                                <a:lnTo>
                                  <a:pt x="68" y="309"/>
                                </a:lnTo>
                                <a:close/>
                                <a:moveTo>
                                  <a:pt x="58" y="429"/>
                                </a:moveTo>
                                <a:lnTo>
                                  <a:pt x="0" y="308"/>
                                </a:lnTo>
                                <a:lnTo>
                                  <a:pt x="53" y="309"/>
                                </a:lnTo>
                                <a:lnTo>
                                  <a:pt x="52" y="339"/>
                                </a:lnTo>
                                <a:lnTo>
                                  <a:pt x="67" y="339"/>
                                </a:lnTo>
                                <a:lnTo>
                                  <a:pt x="105" y="339"/>
                                </a:lnTo>
                                <a:lnTo>
                                  <a:pt x="58" y="429"/>
                                </a:lnTo>
                                <a:close/>
                                <a:moveTo>
                                  <a:pt x="67" y="339"/>
                                </a:moveTo>
                                <a:lnTo>
                                  <a:pt x="52" y="339"/>
                                </a:lnTo>
                                <a:lnTo>
                                  <a:pt x="53" y="309"/>
                                </a:lnTo>
                                <a:lnTo>
                                  <a:pt x="68" y="309"/>
                                </a:lnTo>
                                <a:lnTo>
                                  <a:pt x="67" y="339"/>
                                </a:lnTo>
                                <a:close/>
                                <a:moveTo>
                                  <a:pt x="105" y="339"/>
                                </a:moveTo>
                                <a:lnTo>
                                  <a:pt x="67" y="339"/>
                                </a:lnTo>
                                <a:lnTo>
                                  <a:pt x="68" y="309"/>
                                </a:lnTo>
                                <a:lnTo>
                                  <a:pt x="120" y="310"/>
                                </a:lnTo>
                                <a:lnTo>
                                  <a:pt x="105" y="339"/>
                                </a:lnTo>
                                <a:close/>
                              </a:path>
                            </a:pathLst>
                          </a:custGeom>
                          <a:solidFill>
                            <a:srgbClr val="000000"/>
                          </a:solidFill>
                          <a:ln>
                            <a:noFill/>
                          </a:ln>
                        </wps:spPr>
                        <wps:bodyPr upright="1"/>
                      </wps:wsp>
                      <wps:wsp>
                        <wps:cNvPr id="71" name="任意多边形 69"/>
                        <wps:cNvSpPr/>
                        <wps:spPr>
                          <a:xfrm>
                            <a:off x="1956" y="3328"/>
                            <a:ext cx="1745" cy="839"/>
                          </a:xfrm>
                          <a:custGeom>
                            <a:avLst/>
                            <a:gdLst/>
                            <a:ahLst/>
                            <a:cxnLst/>
                            <a:pathLst>
                              <a:path w="1745" h="839">
                                <a:moveTo>
                                  <a:pt x="1739" y="839"/>
                                </a:moveTo>
                                <a:lnTo>
                                  <a:pt x="6" y="839"/>
                                </a:lnTo>
                                <a:lnTo>
                                  <a:pt x="4" y="839"/>
                                </a:lnTo>
                                <a:lnTo>
                                  <a:pt x="2" y="837"/>
                                </a:lnTo>
                                <a:lnTo>
                                  <a:pt x="0" y="835"/>
                                </a:lnTo>
                                <a:lnTo>
                                  <a:pt x="0" y="833"/>
                                </a:lnTo>
                                <a:lnTo>
                                  <a:pt x="0" y="6"/>
                                </a:lnTo>
                                <a:lnTo>
                                  <a:pt x="0" y="4"/>
                                </a:lnTo>
                                <a:lnTo>
                                  <a:pt x="2" y="2"/>
                                </a:lnTo>
                                <a:lnTo>
                                  <a:pt x="4" y="0"/>
                                </a:lnTo>
                                <a:lnTo>
                                  <a:pt x="6" y="0"/>
                                </a:lnTo>
                                <a:lnTo>
                                  <a:pt x="1739" y="0"/>
                                </a:lnTo>
                                <a:lnTo>
                                  <a:pt x="1741" y="0"/>
                                </a:lnTo>
                                <a:lnTo>
                                  <a:pt x="1743" y="2"/>
                                </a:lnTo>
                                <a:lnTo>
                                  <a:pt x="1745" y="4"/>
                                </a:lnTo>
                                <a:lnTo>
                                  <a:pt x="1745" y="6"/>
                                </a:lnTo>
                                <a:lnTo>
                                  <a:pt x="12" y="6"/>
                                </a:lnTo>
                                <a:lnTo>
                                  <a:pt x="6" y="12"/>
                                </a:lnTo>
                                <a:lnTo>
                                  <a:pt x="12" y="12"/>
                                </a:lnTo>
                                <a:lnTo>
                                  <a:pt x="12" y="827"/>
                                </a:lnTo>
                                <a:lnTo>
                                  <a:pt x="6" y="827"/>
                                </a:lnTo>
                                <a:lnTo>
                                  <a:pt x="12" y="833"/>
                                </a:lnTo>
                                <a:lnTo>
                                  <a:pt x="1745" y="833"/>
                                </a:lnTo>
                                <a:lnTo>
                                  <a:pt x="1745" y="835"/>
                                </a:lnTo>
                                <a:lnTo>
                                  <a:pt x="1743" y="837"/>
                                </a:lnTo>
                                <a:lnTo>
                                  <a:pt x="1741" y="839"/>
                                </a:lnTo>
                                <a:lnTo>
                                  <a:pt x="1739" y="839"/>
                                </a:lnTo>
                                <a:close/>
                                <a:moveTo>
                                  <a:pt x="12" y="12"/>
                                </a:moveTo>
                                <a:lnTo>
                                  <a:pt x="6" y="12"/>
                                </a:lnTo>
                                <a:lnTo>
                                  <a:pt x="12" y="6"/>
                                </a:lnTo>
                                <a:lnTo>
                                  <a:pt x="12" y="12"/>
                                </a:lnTo>
                                <a:close/>
                                <a:moveTo>
                                  <a:pt x="1733" y="12"/>
                                </a:moveTo>
                                <a:lnTo>
                                  <a:pt x="12" y="12"/>
                                </a:lnTo>
                                <a:lnTo>
                                  <a:pt x="12" y="6"/>
                                </a:lnTo>
                                <a:lnTo>
                                  <a:pt x="1733" y="6"/>
                                </a:lnTo>
                                <a:lnTo>
                                  <a:pt x="1733" y="12"/>
                                </a:lnTo>
                                <a:close/>
                                <a:moveTo>
                                  <a:pt x="1733" y="833"/>
                                </a:moveTo>
                                <a:lnTo>
                                  <a:pt x="1733" y="6"/>
                                </a:lnTo>
                                <a:lnTo>
                                  <a:pt x="1739" y="12"/>
                                </a:lnTo>
                                <a:lnTo>
                                  <a:pt x="1745" y="12"/>
                                </a:lnTo>
                                <a:lnTo>
                                  <a:pt x="1745" y="827"/>
                                </a:lnTo>
                                <a:lnTo>
                                  <a:pt x="1739" y="827"/>
                                </a:lnTo>
                                <a:lnTo>
                                  <a:pt x="1733" y="833"/>
                                </a:lnTo>
                                <a:close/>
                                <a:moveTo>
                                  <a:pt x="1745" y="12"/>
                                </a:moveTo>
                                <a:lnTo>
                                  <a:pt x="1739" y="12"/>
                                </a:lnTo>
                                <a:lnTo>
                                  <a:pt x="1733" y="6"/>
                                </a:lnTo>
                                <a:lnTo>
                                  <a:pt x="1745" y="6"/>
                                </a:lnTo>
                                <a:lnTo>
                                  <a:pt x="1745" y="12"/>
                                </a:lnTo>
                                <a:close/>
                                <a:moveTo>
                                  <a:pt x="12" y="833"/>
                                </a:moveTo>
                                <a:lnTo>
                                  <a:pt x="6" y="827"/>
                                </a:lnTo>
                                <a:lnTo>
                                  <a:pt x="12" y="827"/>
                                </a:lnTo>
                                <a:lnTo>
                                  <a:pt x="12" y="833"/>
                                </a:lnTo>
                                <a:close/>
                                <a:moveTo>
                                  <a:pt x="1733" y="833"/>
                                </a:moveTo>
                                <a:lnTo>
                                  <a:pt x="12" y="833"/>
                                </a:lnTo>
                                <a:lnTo>
                                  <a:pt x="12" y="827"/>
                                </a:lnTo>
                                <a:lnTo>
                                  <a:pt x="1733" y="827"/>
                                </a:lnTo>
                                <a:lnTo>
                                  <a:pt x="1733" y="833"/>
                                </a:lnTo>
                                <a:close/>
                                <a:moveTo>
                                  <a:pt x="1745" y="833"/>
                                </a:moveTo>
                                <a:lnTo>
                                  <a:pt x="1733" y="833"/>
                                </a:lnTo>
                                <a:lnTo>
                                  <a:pt x="1739" y="827"/>
                                </a:lnTo>
                                <a:lnTo>
                                  <a:pt x="1745" y="827"/>
                                </a:lnTo>
                                <a:lnTo>
                                  <a:pt x="1745" y="833"/>
                                </a:lnTo>
                                <a:close/>
                              </a:path>
                            </a:pathLst>
                          </a:custGeom>
                          <a:solidFill>
                            <a:srgbClr val="000000"/>
                          </a:solidFill>
                          <a:ln>
                            <a:noFill/>
                          </a:ln>
                        </wps:spPr>
                        <wps:bodyPr upright="1"/>
                      </wps:wsp>
                      <wps:wsp>
                        <wps:cNvPr id="72" name="任意多边形 70"/>
                        <wps:cNvSpPr/>
                        <wps:spPr>
                          <a:xfrm>
                            <a:off x="2777" y="4160"/>
                            <a:ext cx="120" cy="599"/>
                          </a:xfrm>
                          <a:custGeom>
                            <a:avLst/>
                            <a:gdLst/>
                            <a:ahLst/>
                            <a:cxnLst/>
                            <a:pathLst>
                              <a:path w="120" h="599">
                                <a:moveTo>
                                  <a:pt x="52" y="478"/>
                                </a:moveTo>
                                <a:lnTo>
                                  <a:pt x="44" y="0"/>
                                </a:lnTo>
                                <a:lnTo>
                                  <a:pt x="59" y="0"/>
                                </a:lnTo>
                                <a:lnTo>
                                  <a:pt x="67" y="478"/>
                                </a:lnTo>
                                <a:lnTo>
                                  <a:pt x="52" y="478"/>
                                </a:lnTo>
                                <a:close/>
                                <a:moveTo>
                                  <a:pt x="105" y="508"/>
                                </a:moveTo>
                                <a:lnTo>
                                  <a:pt x="53" y="508"/>
                                </a:lnTo>
                                <a:lnTo>
                                  <a:pt x="68" y="508"/>
                                </a:lnTo>
                                <a:lnTo>
                                  <a:pt x="67" y="478"/>
                                </a:lnTo>
                                <a:lnTo>
                                  <a:pt x="120" y="477"/>
                                </a:lnTo>
                                <a:lnTo>
                                  <a:pt x="105" y="508"/>
                                </a:lnTo>
                                <a:close/>
                                <a:moveTo>
                                  <a:pt x="53" y="508"/>
                                </a:moveTo>
                                <a:lnTo>
                                  <a:pt x="52" y="478"/>
                                </a:lnTo>
                                <a:lnTo>
                                  <a:pt x="67" y="478"/>
                                </a:lnTo>
                                <a:lnTo>
                                  <a:pt x="68" y="508"/>
                                </a:lnTo>
                                <a:lnTo>
                                  <a:pt x="53" y="508"/>
                                </a:lnTo>
                                <a:close/>
                                <a:moveTo>
                                  <a:pt x="62" y="598"/>
                                </a:moveTo>
                                <a:lnTo>
                                  <a:pt x="0" y="479"/>
                                </a:lnTo>
                                <a:lnTo>
                                  <a:pt x="52" y="478"/>
                                </a:lnTo>
                                <a:lnTo>
                                  <a:pt x="53" y="508"/>
                                </a:lnTo>
                                <a:lnTo>
                                  <a:pt x="105" y="508"/>
                                </a:lnTo>
                                <a:lnTo>
                                  <a:pt x="62" y="598"/>
                                </a:lnTo>
                                <a:close/>
                              </a:path>
                            </a:pathLst>
                          </a:custGeom>
                          <a:solidFill>
                            <a:srgbClr val="000000"/>
                          </a:solidFill>
                          <a:ln>
                            <a:noFill/>
                          </a:ln>
                        </wps:spPr>
                        <wps:bodyPr upright="1"/>
                      </wps:wsp>
                      <wps:wsp>
                        <wps:cNvPr id="73" name="任意多边形 71"/>
                        <wps:cNvSpPr/>
                        <wps:spPr>
                          <a:xfrm>
                            <a:off x="1967" y="4753"/>
                            <a:ext cx="1745" cy="516"/>
                          </a:xfrm>
                          <a:custGeom>
                            <a:avLst/>
                            <a:gdLst/>
                            <a:ahLst/>
                            <a:cxnLst/>
                            <a:pathLst>
                              <a:path w="1745" h="516">
                                <a:moveTo>
                                  <a:pt x="1739" y="516"/>
                                </a:moveTo>
                                <a:lnTo>
                                  <a:pt x="6" y="516"/>
                                </a:lnTo>
                                <a:lnTo>
                                  <a:pt x="4" y="516"/>
                                </a:lnTo>
                                <a:lnTo>
                                  <a:pt x="2" y="514"/>
                                </a:lnTo>
                                <a:lnTo>
                                  <a:pt x="0" y="512"/>
                                </a:lnTo>
                                <a:lnTo>
                                  <a:pt x="0" y="510"/>
                                </a:lnTo>
                                <a:lnTo>
                                  <a:pt x="0" y="6"/>
                                </a:lnTo>
                                <a:lnTo>
                                  <a:pt x="0" y="4"/>
                                </a:lnTo>
                                <a:lnTo>
                                  <a:pt x="2" y="2"/>
                                </a:lnTo>
                                <a:lnTo>
                                  <a:pt x="4" y="0"/>
                                </a:lnTo>
                                <a:lnTo>
                                  <a:pt x="6" y="0"/>
                                </a:lnTo>
                                <a:lnTo>
                                  <a:pt x="1739" y="0"/>
                                </a:lnTo>
                                <a:lnTo>
                                  <a:pt x="1741" y="0"/>
                                </a:lnTo>
                                <a:lnTo>
                                  <a:pt x="1743" y="2"/>
                                </a:lnTo>
                                <a:lnTo>
                                  <a:pt x="1745" y="4"/>
                                </a:lnTo>
                                <a:lnTo>
                                  <a:pt x="1745" y="6"/>
                                </a:lnTo>
                                <a:lnTo>
                                  <a:pt x="12" y="6"/>
                                </a:lnTo>
                                <a:lnTo>
                                  <a:pt x="6" y="12"/>
                                </a:lnTo>
                                <a:lnTo>
                                  <a:pt x="12" y="12"/>
                                </a:lnTo>
                                <a:lnTo>
                                  <a:pt x="12" y="504"/>
                                </a:lnTo>
                                <a:lnTo>
                                  <a:pt x="6" y="504"/>
                                </a:lnTo>
                                <a:lnTo>
                                  <a:pt x="12" y="510"/>
                                </a:lnTo>
                                <a:lnTo>
                                  <a:pt x="1745" y="510"/>
                                </a:lnTo>
                                <a:lnTo>
                                  <a:pt x="1745" y="512"/>
                                </a:lnTo>
                                <a:lnTo>
                                  <a:pt x="1743" y="514"/>
                                </a:lnTo>
                                <a:lnTo>
                                  <a:pt x="1741" y="516"/>
                                </a:lnTo>
                                <a:lnTo>
                                  <a:pt x="1739" y="516"/>
                                </a:lnTo>
                                <a:close/>
                                <a:moveTo>
                                  <a:pt x="12" y="12"/>
                                </a:moveTo>
                                <a:lnTo>
                                  <a:pt x="6" y="12"/>
                                </a:lnTo>
                                <a:lnTo>
                                  <a:pt x="12" y="6"/>
                                </a:lnTo>
                                <a:lnTo>
                                  <a:pt x="12" y="12"/>
                                </a:lnTo>
                                <a:close/>
                                <a:moveTo>
                                  <a:pt x="1733" y="12"/>
                                </a:moveTo>
                                <a:lnTo>
                                  <a:pt x="12" y="12"/>
                                </a:lnTo>
                                <a:lnTo>
                                  <a:pt x="12" y="6"/>
                                </a:lnTo>
                                <a:lnTo>
                                  <a:pt x="1733" y="6"/>
                                </a:lnTo>
                                <a:lnTo>
                                  <a:pt x="1733" y="12"/>
                                </a:lnTo>
                                <a:close/>
                                <a:moveTo>
                                  <a:pt x="1733" y="510"/>
                                </a:moveTo>
                                <a:lnTo>
                                  <a:pt x="1733" y="6"/>
                                </a:lnTo>
                                <a:lnTo>
                                  <a:pt x="1739" y="12"/>
                                </a:lnTo>
                                <a:lnTo>
                                  <a:pt x="1745" y="12"/>
                                </a:lnTo>
                                <a:lnTo>
                                  <a:pt x="1745" y="504"/>
                                </a:lnTo>
                                <a:lnTo>
                                  <a:pt x="1739" y="504"/>
                                </a:lnTo>
                                <a:lnTo>
                                  <a:pt x="1733" y="510"/>
                                </a:lnTo>
                                <a:close/>
                                <a:moveTo>
                                  <a:pt x="1745" y="12"/>
                                </a:moveTo>
                                <a:lnTo>
                                  <a:pt x="1739" y="12"/>
                                </a:lnTo>
                                <a:lnTo>
                                  <a:pt x="1733" y="6"/>
                                </a:lnTo>
                                <a:lnTo>
                                  <a:pt x="1745" y="6"/>
                                </a:lnTo>
                                <a:lnTo>
                                  <a:pt x="1745" y="12"/>
                                </a:lnTo>
                                <a:close/>
                                <a:moveTo>
                                  <a:pt x="12" y="510"/>
                                </a:moveTo>
                                <a:lnTo>
                                  <a:pt x="6" y="504"/>
                                </a:lnTo>
                                <a:lnTo>
                                  <a:pt x="12" y="504"/>
                                </a:lnTo>
                                <a:lnTo>
                                  <a:pt x="12" y="510"/>
                                </a:lnTo>
                                <a:close/>
                                <a:moveTo>
                                  <a:pt x="1733" y="510"/>
                                </a:moveTo>
                                <a:lnTo>
                                  <a:pt x="12" y="510"/>
                                </a:lnTo>
                                <a:lnTo>
                                  <a:pt x="12" y="504"/>
                                </a:lnTo>
                                <a:lnTo>
                                  <a:pt x="1733" y="504"/>
                                </a:lnTo>
                                <a:lnTo>
                                  <a:pt x="1733" y="510"/>
                                </a:lnTo>
                                <a:close/>
                                <a:moveTo>
                                  <a:pt x="1745" y="510"/>
                                </a:moveTo>
                                <a:lnTo>
                                  <a:pt x="1733" y="510"/>
                                </a:lnTo>
                                <a:lnTo>
                                  <a:pt x="1739" y="504"/>
                                </a:lnTo>
                                <a:lnTo>
                                  <a:pt x="1745" y="504"/>
                                </a:lnTo>
                                <a:lnTo>
                                  <a:pt x="1745" y="510"/>
                                </a:lnTo>
                                <a:close/>
                              </a:path>
                            </a:pathLst>
                          </a:custGeom>
                          <a:solidFill>
                            <a:srgbClr val="000000"/>
                          </a:solidFill>
                          <a:ln>
                            <a:noFill/>
                          </a:ln>
                        </wps:spPr>
                        <wps:bodyPr upright="1"/>
                      </wps:wsp>
                      <wps:wsp>
                        <wps:cNvPr id="74" name="任意多边形 72"/>
                        <wps:cNvSpPr/>
                        <wps:spPr>
                          <a:xfrm>
                            <a:off x="2787" y="5262"/>
                            <a:ext cx="120" cy="455"/>
                          </a:xfrm>
                          <a:custGeom>
                            <a:avLst/>
                            <a:gdLst/>
                            <a:ahLst/>
                            <a:cxnLst/>
                            <a:pathLst>
                              <a:path w="120" h="455">
                                <a:moveTo>
                                  <a:pt x="53" y="334"/>
                                </a:moveTo>
                                <a:lnTo>
                                  <a:pt x="46" y="0"/>
                                </a:lnTo>
                                <a:lnTo>
                                  <a:pt x="61" y="0"/>
                                </a:lnTo>
                                <a:lnTo>
                                  <a:pt x="68" y="334"/>
                                </a:lnTo>
                                <a:lnTo>
                                  <a:pt x="53" y="334"/>
                                </a:lnTo>
                                <a:close/>
                                <a:moveTo>
                                  <a:pt x="105" y="364"/>
                                </a:moveTo>
                                <a:lnTo>
                                  <a:pt x="54" y="364"/>
                                </a:lnTo>
                                <a:lnTo>
                                  <a:pt x="69" y="364"/>
                                </a:lnTo>
                                <a:lnTo>
                                  <a:pt x="68" y="334"/>
                                </a:lnTo>
                                <a:lnTo>
                                  <a:pt x="120" y="333"/>
                                </a:lnTo>
                                <a:lnTo>
                                  <a:pt x="105" y="364"/>
                                </a:lnTo>
                                <a:close/>
                                <a:moveTo>
                                  <a:pt x="54" y="364"/>
                                </a:moveTo>
                                <a:lnTo>
                                  <a:pt x="53" y="334"/>
                                </a:lnTo>
                                <a:lnTo>
                                  <a:pt x="68" y="334"/>
                                </a:lnTo>
                                <a:lnTo>
                                  <a:pt x="69" y="364"/>
                                </a:lnTo>
                                <a:lnTo>
                                  <a:pt x="54" y="364"/>
                                </a:lnTo>
                                <a:close/>
                                <a:moveTo>
                                  <a:pt x="63" y="454"/>
                                </a:moveTo>
                                <a:lnTo>
                                  <a:pt x="0" y="335"/>
                                </a:lnTo>
                                <a:lnTo>
                                  <a:pt x="53" y="334"/>
                                </a:lnTo>
                                <a:lnTo>
                                  <a:pt x="54" y="364"/>
                                </a:lnTo>
                                <a:lnTo>
                                  <a:pt x="105" y="364"/>
                                </a:lnTo>
                                <a:lnTo>
                                  <a:pt x="63" y="454"/>
                                </a:lnTo>
                                <a:close/>
                              </a:path>
                            </a:pathLst>
                          </a:custGeom>
                          <a:solidFill>
                            <a:srgbClr val="000000"/>
                          </a:solidFill>
                          <a:ln>
                            <a:noFill/>
                          </a:ln>
                        </wps:spPr>
                        <wps:bodyPr upright="1"/>
                      </wps:wsp>
                      <wps:wsp>
                        <wps:cNvPr id="75" name="任意多边形 73"/>
                        <wps:cNvSpPr/>
                        <wps:spPr>
                          <a:xfrm>
                            <a:off x="1977" y="5711"/>
                            <a:ext cx="1745" cy="516"/>
                          </a:xfrm>
                          <a:custGeom>
                            <a:avLst/>
                            <a:gdLst/>
                            <a:ahLst/>
                            <a:cxnLst/>
                            <a:pathLst>
                              <a:path w="1745" h="516">
                                <a:moveTo>
                                  <a:pt x="1739" y="516"/>
                                </a:moveTo>
                                <a:lnTo>
                                  <a:pt x="6" y="516"/>
                                </a:lnTo>
                                <a:lnTo>
                                  <a:pt x="4" y="516"/>
                                </a:lnTo>
                                <a:lnTo>
                                  <a:pt x="2" y="514"/>
                                </a:lnTo>
                                <a:lnTo>
                                  <a:pt x="0" y="512"/>
                                </a:lnTo>
                                <a:lnTo>
                                  <a:pt x="0" y="510"/>
                                </a:lnTo>
                                <a:lnTo>
                                  <a:pt x="0" y="6"/>
                                </a:lnTo>
                                <a:lnTo>
                                  <a:pt x="0" y="4"/>
                                </a:lnTo>
                                <a:lnTo>
                                  <a:pt x="2" y="2"/>
                                </a:lnTo>
                                <a:lnTo>
                                  <a:pt x="4" y="1"/>
                                </a:lnTo>
                                <a:lnTo>
                                  <a:pt x="6" y="0"/>
                                </a:lnTo>
                                <a:lnTo>
                                  <a:pt x="1739" y="0"/>
                                </a:lnTo>
                                <a:lnTo>
                                  <a:pt x="1741" y="1"/>
                                </a:lnTo>
                                <a:lnTo>
                                  <a:pt x="1743" y="2"/>
                                </a:lnTo>
                                <a:lnTo>
                                  <a:pt x="1745" y="4"/>
                                </a:lnTo>
                                <a:lnTo>
                                  <a:pt x="1745" y="6"/>
                                </a:lnTo>
                                <a:lnTo>
                                  <a:pt x="12" y="6"/>
                                </a:lnTo>
                                <a:lnTo>
                                  <a:pt x="6" y="12"/>
                                </a:lnTo>
                                <a:lnTo>
                                  <a:pt x="12" y="12"/>
                                </a:lnTo>
                                <a:lnTo>
                                  <a:pt x="12" y="504"/>
                                </a:lnTo>
                                <a:lnTo>
                                  <a:pt x="6" y="504"/>
                                </a:lnTo>
                                <a:lnTo>
                                  <a:pt x="12" y="510"/>
                                </a:lnTo>
                                <a:lnTo>
                                  <a:pt x="1745" y="510"/>
                                </a:lnTo>
                                <a:lnTo>
                                  <a:pt x="1745" y="512"/>
                                </a:lnTo>
                                <a:lnTo>
                                  <a:pt x="1743" y="514"/>
                                </a:lnTo>
                                <a:lnTo>
                                  <a:pt x="1741" y="516"/>
                                </a:lnTo>
                                <a:lnTo>
                                  <a:pt x="1739" y="516"/>
                                </a:lnTo>
                                <a:close/>
                                <a:moveTo>
                                  <a:pt x="12" y="12"/>
                                </a:moveTo>
                                <a:lnTo>
                                  <a:pt x="6" y="12"/>
                                </a:lnTo>
                                <a:lnTo>
                                  <a:pt x="12" y="6"/>
                                </a:lnTo>
                                <a:lnTo>
                                  <a:pt x="12" y="12"/>
                                </a:lnTo>
                                <a:close/>
                                <a:moveTo>
                                  <a:pt x="1733" y="12"/>
                                </a:moveTo>
                                <a:lnTo>
                                  <a:pt x="12" y="12"/>
                                </a:lnTo>
                                <a:lnTo>
                                  <a:pt x="12" y="6"/>
                                </a:lnTo>
                                <a:lnTo>
                                  <a:pt x="1733" y="6"/>
                                </a:lnTo>
                                <a:lnTo>
                                  <a:pt x="1733" y="12"/>
                                </a:lnTo>
                                <a:close/>
                                <a:moveTo>
                                  <a:pt x="1733" y="510"/>
                                </a:moveTo>
                                <a:lnTo>
                                  <a:pt x="1733" y="6"/>
                                </a:lnTo>
                                <a:lnTo>
                                  <a:pt x="1739" y="12"/>
                                </a:lnTo>
                                <a:lnTo>
                                  <a:pt x="1745" y="12"/>
                                </a:lnTo>
                                <a:lnTo>
                                  <a:pt x="1745" y="504"/>
                                </a:lnTo>
                                <a:lnTo>
                                  <a:pt x="1739" y="504"/>
                                </a:lnTo>
                                <a:lnTo>
                                  <a:pt x="1733" y="510"/>
                                </a:lnTo>
                                <a:close/>
                                <a:moveTo>
                                  <a:pt x="1745" y="12"/>
                                </a:moveTo>
                                <a:lnTo>
                                  <a:pt x="1739" y="12"/>
                                </a:lnTo>
                                <a:lnTo>
                                  <a:pt x="1733" y="6"/>
                                </a:lnTo>
                                <a:lnTo>
                                  <a:pt x="1745" y="6"/>
                                </a:lnTo>
                                <a:lnTo>
                                  <a:pt x="1745" y="12"/>
                                </a:lnTo>
                                <a:close/>
                                <a:moveTo>
                                  <a:pt x="12" y="510"/>
                                </a:moveTo>
                                <a:lnTo>
                                  <a:pt x="6" y="504"/>
                                </a:lnTo>
                                <a:lnTo>
                                  <a:pt x="12" y="504"/>
                                </a:lnTo>
                                <a:lnTo>
                                  <a:pt x="12" y="510"/>
                                </a:lnTo>
                                <a:close/>
                                <a:moveTo>
                                  <a:pt x="1733" y="510"/>
                                </a:moveTo>
                                <a:lnTo>
                                  <a:pt x="12" y="510"/>
                                </a:lnTo>
                                <a:lnTo>
                                  <a:pt x="12" y="504"/>
                                </a:lnTo>
                                <a:lnTo>
                                  <a:pt x="1733" y="504"/>
                                </a:lnTo>
                                <a:lnTo>
                                  <a:pt x="1733" y="510"/>
                                </a:lnTo>
                                <a:close/>
                                <a:moveTo>
                                  <a:pt x="1745" y="510"/>
                                </a:moveTo>
                                <a:lnTo>
                                  <a:pt x="1733" y="510"/>
                                </a:lnTo>
                                <a:lnTo>
                                  <a:pt x="1739" y="504"/>
                                </a:lnTo>
                                <a:lnTo>
                                  <a:pt x="1745" y="504"/>
                                </a:lnTo>
                                <a:lnTo>
                                  <a:pt x="1745" y="510"/>
                                </a:lnTo>
                                <a:close/>
                              </a:path>
                            </a:pathLst>
                          </a:custGeom>
                          <a:solidFill>
                            <a:srgbClr val="000000"/>
                          </a:solidFill>
                          <a:ln>
                            <a:noFill/>
                          </a:ln>
                        </wps:spPr>
                        <wps:bodyPr upright="1"/>
                      </wps:wsp>
                      <wps:wsp>
                        <wps:cNvPr id="76" name="任意多边形 74"/>
                        <wps:cNvSpPr/>
                        <wps:spPr>
                          <a:xfrm>
                            <a:off x="3716" y="5909"/>
                            <a:ext cx="2312" cy="120"/>
                          </a:xfrm>
                          <a:custGeom>
                            <a:avLst/>
                            <a:gdLst/>
                            <a:ahLst/>
                            <a:cxnLst/>
                            <a:pathLst>
                              <a:path w="2312" h="120">
                                <a:moveTo>
                                  <a:pt x="2192" y="120"/>
                                </a:moveTo>
                                <a:lnTo>
                                  <a:pt x="2192" y="0"/>
                                </a:lnTo>
                                <a:lnTo>
                                  <a:pt x="2300" y="54"/>
                                </a:lnTo>
                                <a:lnTo>
                                  <a:pt x="2222" y="54"/>
                                </a:lnTo>
                                <a:lnTo>
                                  <a:pt x="2222" y="66"/>
                                </a:lnTo>
                                <a:lnTo>
                                  <a:pt x="2300" y="66"/>
                                </a:lnTo>
                                <a:lnTo>
                                  <a:pt x="2192" y="120"/>
                                </a:lnTo>
                                <a:close/>
                                <a:moveTo>
                                  <a:pt x="2192" y="66"/>
                                </a:moveTo>
                                <a:lnTo>
                                  <a:pt x="2184" y="66"/>
                                </a:lnTo>
                                <a:lnTo>
                                  <a:pt x="2184" y="54"/>
                                </a:lnTo>
                                <a:lnTo>
                                  <a:pt x="2192" y="54"/>
                                </a:lnTo>
                                <a:lnTo>
                                  <a:pt x="2192" y="66"/>
                                </a:lnTo>
                                <a:close/>
                                <a:moveTo>
                                  <a:pt x="2300" y="66"/>
                                </a:moveTo>
                                <a:lnTo>
                                  <a:pt x="2222" y="66"/>
                                </a:lnTo>
                                <a:lnTo>
                                  <a:pt x="2222" y="54"/>
                                </a:lnTo>
                                <a:lnTo>
                                  <a:pt x="2300" y="54"/>
                                </a:lnTo>
                                <a:lnTo>
                                  <a:pt x="2312" y="60"/>
                                </a:lnTo>
                                <a:lnTo>
                                  <a:pt x="2300" y="66"/>
                                </a:lnTo>
                                <a:close/>
                                <a:moveTo>
                                  <a:pt x="48" y="66"/>
                                </a:moveTo>
                                <a:lnTo>
                                  <a:pt x="0" y="66"/>
                                </a:lnTo>
                                <a:lnTo>
                                  <a:pt x="0" y="54"/>
                                </a:lnTo>
                                <a:lnTo>
                                  <a:pt x="48" y="54"/>
                                </a:lnTo>
                                <a:lnTo>
                                  <a:pt x="48" y="66"/>
                                </a:lnTo>
                                <a:close/>
                                <a:moveTo>
                                  <a:pt x="132" y="66"/>
                                </a:moveTo>
                                <a:lnTo>
                                  <a:pt x="84" y="66"/>
                                </a:lnTo>
                                <a:lnTo>
                                  <a:pt x="84" y="54"/>
                                </a:lnTo>
                                <a:lnTo>
                                  <a:pt x="132" y="54"/>
                                </a:lnTo>
                                <a:lnTo>
                                  <a:pt x="132" y="66"/>
                                </a:lnTo>
                                <a:close/>
                                <a:moveTo>
                                  <a:pt x="216" y="66"/>
                                </a:moveTo>
                                <a:lnTo>
                                  <a:pt x="168" y="66"/>
                                </a:lnTo>
                                <a:lnTo>
                                  <a:pt x="168" y="54"/>
                                </a:lnTo>
                                <a:lnTo>
                                  <a:pt x="216" y="54"/>
                                </a:lnTo>
                                <a:lnTo>
                                  <a:pt x="216" y="66"/>
                                </a:lnTo>
                                <a:close/>
                                <a:moveTo>
                                  <a:pt x="300" y="66"/>
                                </a:moveTo>
                                <a:lnTo>
                                  <a:pt x="252" y="66"/>
                                </a:lnTo>
                                <a:lnTo>
                                  <a:pt x="252" y="54"/>
                                </a:lnTo>
                                <a:lnTo>
                                  <a:pt x="300" y="54"/>
                                </a:lnTo>
                                <a:lnTo>
                                  <a:pt x="300" y="66"/>
                                </a:lnTo>
                                <a:close/>
                                <a:moveTo>
                                  <a:pt x="384" y="66"/>
                                </a:moveTo>
                                <a:lnTo>
                                  <a:pt x="336" y="66"/>
                                </a:lnTo>
                                <a:lnTo>
                                  <a:pt x="336" y="54"/>
                                </a:lnTo>
                                <a:lnTo>
                                  <a:pt x="384" y="54"/>
                                </a:lnTo>
                                <a:lnTo>
                                  <a:pt x="384" y="66"/>
                                </a:lnTo>
                                <a:close/>
                                <a:moveTo>
                                  <a:pt x="468" y="66"/>
                                </a:moveTo>
                                <a:lnTo>
                                  <a:pt x="420" y="66"/>
                                </a:lnTo>
                                <a:lnTo>
                                  <a:pt x="420" y="54"/>
                                </a:lnTo>
                                <a:lnTo>
                                  <a:pt x="468" y="54"/>
                                </a:lnTo>
                                <a:lnTo>
                                  <a:pt x="468" y="66"/>
                                </a:lnTo>
                                <a:close/>
                                <a:moveTo>
                                  <a:pt x="552" y="66"/>
                                </a:moveTo>
                                <a:lnTo>
                                  <a:pt x="504" y="66"/>
                                </a:lnTo>
                                <a:lnTo>
                                  <a:pt x="504" y="54"/>
                                </a:lnTo>
                                <a:lnTo>
                                  <a:pt x="552" y="54"/>
                                </a:lnTo>
                                <a:lnTo>
                                  <a:pt x="552" y="66"/>
                                </a:lnTo>
                                <a:close/>
                                <a:moveTo>
                                  <a:pt x="636" y="66"/>
                                </a:moveTo>
                                <a:lnTo>
                                  <a:pt x="588" y="66"/>
                                </a:lnTo>
                                <a:lnTo>
                                  <a:pt x="588" y="54"/>
                                </a:lnTo>
                                <a:lnTo>
                                  <a:pt x="636" y="54"/>
                                </a:lnTo>
                                <a:lnTo>
                                  <a:pt x="636" y="66"/>
                                </a:lnTo>
                                <a:close/>
                                <a:moveTo>
                                  <a:pt x="720" y="66"/>
                                </a:moveTo>
                                <a:lnTo>
                                  <a:pt x="672" y="66"/>
                                </a:lnTo>
                                <a:lnTo>
                                  <a:pt x="672" y="54"/>
                                </a:lnTo>
                                <a:lnTo>
                                  <a:pt x="720" y="54"/>
                                </a:lnTo>
                                <a:lnTo>
                                  <a:pt x="720" y="66"/>
                                </a:lnTo>
                                <a:close/>
                                <a:moveTo>
                                  <a:pt x="804" y="66"/>
                                </a:moveTo>
                                <a:lnTo>
                                  <a:pt x="756" y="66"/>
                                </a:lnTo>
                                <a:lnTo>
                                  <a:pt x="756" y="54"/>
                                </a:lnTo>
                                <a:lnTo>
                                  <a:pt x="804" y="54"/>
                                </a:lnTo>
                                <a:lnTo>
                                  <a:pt x="804" y="66"/>
                                </a:lnTo>
                                <a:close/>
                                <a:moveTo>
                                  <a:pt x="888" y="66"/>
                                </a:moveTo>
                                <a:lnTo>
                                  <a:pt x="840" y="66"/>
                                </a:lnTo>
                                <a:lnTo>
                                  <a:pt x="840" y="54"/>
                                </a:lnTo>
                                <a:lnTo>
                                  <a:pt x="888" y="54"/>
                                </a:lnTo>
                                <a:lnTo>
                                  <a:pt x="888" y="66"/>
                                </a:lnTo>
                                <a:close/>
                                <a:moveTo>
                                  <a:pt x="972" y="66"/>
                                </a:moveTo>
                                <a:lnTo>
                                  <a:pt x="924" y="66"/>
                                </a:lnTo>
                                <a:lnTo>
                                  <a:pt x="924" y="54"/>
                                </a:lnTo>
                                <a:lnTo>
                                  <a:pt x="972" y="54"/>
                                </a:lnTo>
                                <a:lnTo>
                                  <a:pt x="972" y="66"/>
                                </a:lnTo>
                                <a:close/>
                                <a:moveTo>
                                  <a:pt x="1056" y="66"/>
                                </a:moveTo>
                                <a:lnTo>
                                  <a:pt x="1008" y="66"/>
                                </a:lnTo>
                                <a:lnTo>
                                  <a:pt x="1008" y="54"/>
                                </a:lnTo>
                                <a:lnTo>
                                  <a:pt x="1056" y="54"/>
                                </a:lnTo>
                                <a:lnTo>
                                  <a:pt x="1056" y="66"/>
                                </a:lnTo>
                                <a:close/>
                                <a:moveTo>
                                  <a:pt x="1140" y="66"/>
                                </a:moveTo>
                                <a:lnTo>
                                  <a:pt x="1092" y="66"/>
                                </a:lnTo>
                                <a:lnTo>
                                  <a:pt x="1092" y="54"/>
                                </a:lnTo>
                                <a:lnTo>
                                  <a:pt x="1140" y="54"/>
                                </a:lnTo>
                                <a:lnTo>
                                  <a:pt x="1140" y="66"/>
                                </a:lnTo>
                                <a:close/>
                                <a:moveTo>
                                  <a:pt x="1224" y="66"/>
                                </a:moveTo>
                                <a:lnTo>
                                  <a:pt x="1176" y="66"/>
                                </a:lnTo>
                                <a:lnTo>
                                  <a:pt x="1176" y="54"/>
                                </a:lnTo>
                                <a:lnTo>
                                  <a:pt x="1224" y="54"/>
                                </a:lnTo>
                                <a:lnTo>
                                  <a:pt x="1224" y="66"/>
                                </a:lnTo>
                                <a:close/>
                                <a:moveTo>
                                  <a:pt x="1308" y="66"/>
                                </a:moveTo>
                                <a:lnTo>
                                  <a:pt x="1260" y="66"/>
                                </a:lnTo>
                                <a:lnTo>
                                  <a:pt x="1260" y="54"/>
                                </a:lnTo>
                                <a:lnTo>
                                  <a:pt x="1308" y="54"/>
                                </a:lnTo>
                                <a:lnTo>
                                  <a:pt x="1308" y="66"/>
                                </a:lnTo>
                                <a:close/>
                                <a:moveTo>
                                  <a:pt x="1392" y="66"/>
                                </a:moveTo>
                                <a:lnTo>
                                  <a:pt x="1344" y="66"/>
                                </a:lnTo>
                                <a:lnTo>
                                  <a:pt x="1344" y="54"/>
                                </a:lnTo>
                                <a:lnTo>
                                  <a:pt x="1392" y="54"/>
                                </a:lnTo>
                                <a:lnTo>
                                  <a:pt x="1392" y="66"/>
                                </a:lnTo>
                                <a:close/>
                                <a:moveTo>
                                  <a:pt x="1476" y="66"/>
                                </a:moveTo>
                                <a:lnTo>
                                  <a:pt x="1428" y="66"/>
                                </a:lnTo>
                                <a:lnTo>
                                  <a:pt x="1428" y="54"/>
                                </a:lnTo>
                                <a:lnTo>
                                  <a:pt x="1476" y="54"/>
                                </a:lnTo>
                                <a:lnTo>
                                  <a:pt x="1476" y="66"/>
                                </a:lnTo>
                                <a:close/>
                                <a:moveTo>
                                  <a:pt x="1560" y="66"/>
                                </a:moveTo>
                                <a:lnTo>
                                  <a:pt x="1512" y="66"/>
                                </a:lnTo>
                                <a:lnTo>
                                  <a:pt x="1512" y="54"/>
                                </a:lnTo>
                                <a:lnTo>
                                  <a:pt x="1560" y="54"/>
                                </a:lnTo>
                                <a:lnTo>
                                  <a:pt x="1560" y="66"/>
                                </a:lnTo>
                                <a:close/>
                                <a:moveTo>
                                  <a:pt x="1644" y="66"/>
                                </a:moveTo>
                                <a:lnTo>
                                  <a:pt x="1596" y="66"/>
                                </a:lnTo>
                                <a:lnTo>
                                  <a:pt x="1596" y="54"/>
                                </a:lnTo>
                                <a:lnTo>
                                  <a:pt x="1644" y="54"/>
                                </a:lnTo>
                                <a:lnTo>
                                  <a:pt x="1644" y="66"/>
                                </a:lnTo>
                                <a:close/>
                                <a:moveTo>
                                  <a:pt x="1728" y="66"/>
                                </a:moveTo>
                                <a:lnTo>
                                  <a:pt x="1680" y="66"/>
                                </a:lnTo>
                                <a:lnTo>
                                  <a:pt x="1680" y="54"/>
                                </a:lnTo>
                                <a:lnTo>
                                  <a:pt x="1728" y="54"/>
                                </a:lnTo>
                                <a:lnTo>
                                  <a:pt x="1728" y="66"/>
                                </a:lnTo>
                                <a:close/>
                                <a:moveTo>
                                  <a:pt x="1812" y="66"/>
                                </a:moveTo>
                                <a:lnTo>
                                  <a:pt x="1764" y="66"/>
                                </a:lnTo>
                                <a:lnTo>
                                  <a:pt x="1764" y="54"/>
                                </a:lnTo>
                                <a:lnTo>
                                  <a:pt x="1812" y="54"/>
                                </a:lnTo>
                                <a:lnTo>
                                  <a:pt x="1812" y="66"/>
                                </a:lnTo>
                                <a:close/>
                                <a:moveTo>
                                  <a:pt x="1896" y="66"/>
                                </a:moveTo>
                                <a:lnTo>
                                  <a:pt x="1848" y="66"/>
                                </a:lnTo>
                                <a:lnTo>
                                  <a:pt x="1848" y="54"/>
                                </a:lnTo>
                                <a:lnTo>
                                  <a:pt x="1896" y="54"/>
                                </a:lnTo>
                                <a:lnTo>
                                  <a:pt x="1896" y="66"/>
                                </a:lnTo>
                                <a:close/>
                                <a:moveTo>
                                  <a:pt x="1980" y="66"/>
                                </a:moveTo>
                                <a:lnTo>
                                  <a:pt x="1932" y="66"/>
                                </a:lnTo>
                                <a:lnTo>
                                  <a:pt x="1932" y="54"/>
                                </a:lnTo>
                                <a:lnTo>
                                  <a:pt x="1980" y="54"/>
                                </a:lnTo>
                                <a:lnTo>
                                  <a:pt x="1980" y="66"/>
                                </a:lnTo>
                                <a:close/>
                                <a:moveTo>
                                  <a:pt x="2064" y="66"/>
                                </a:moveTo>
                                <a:lnTo>
                                  <a:pt x="2016" y="66"/>
                                </a:lnTo>
                                <a:lnTo>
                                  <a:pt x="2016" y="54"/>
                                </a:lnTo>
                                <a:lnTo>
                                  <a:pt x="2064" y="54"/>
                                </a:lnTo>
                                <a:lnTo>
                                  <a:pt x="2064" y="66"/>
                                </a:lnTo>
                                <a:close/>
                                <a:moveTo>
                                  <a:pt x="2148" y="66"/>
                                </a:moveTo>
                                <a:lnTo>
                                  <a:pt x="2100" y="66"/>
                                </a:lnTo>
                                <a:lnTo>
                                  <a:pt x="2100" y="54"/>
                                </a:lnTo>
                                <a:lnTo>
                                  <a:pt x="2148" y="54"/>
                                </a:lnTo>
                                <a:lnTo>
                                  <a:pt x="2148" y="66"/>
                                </a:lnTo>
                                <a:close/>
                              </a:path>
                            </a:pathLst>
                          </a:custGeom>
                          <a:solidFill>
                            <a:srgbClr val="000000"/>
                          </a:solidFill>
                          <a:ln>
                            <a:noFill/>
                          </a:ln>
                        </wps:spPr>
                        <wps:bodyPr upright="1"/>
                      </wps:wsp>
                      <pic:pic xmlns:pic="http://schemas.openxmlformats.org/drawingml/2006/picture">
                        <pic:nvPicPr>
                          <pic:cNvPr id="77" name="图片 75"/>
                          <pic:cNvPicPr>
                            <a:picLocks noChangeAspect="1"/>
                          </pic:cNvPicPr>
                        </pic:nvPicPr>
                        <pic:blipFill>
                          <a:blip r:embed="rId33"/>
                          <a:stretch>
                            <a:fillRect/>
                          </a:stretch>
                        </pic:blipFill>
                        <pic:spPr>
                          <a:xfrm>
                            <a:off x="2783" y="6220"/>
                            <a:ext cx="120" cy="304"/>
                          </a:xfrm>
                          <a:prstGeom prst="rect">
                            <a:avLst/>
                          </a:prstGeom>
                          <a:noFill/>
                          <a:ln>
                            <a:noFill/>
                          </a:ln>
                        </pic:spPr>
                      </pic:pic>
                      <wps:wsp>
                        <wps:cNvPr id="78" name="任意多边形 76"/>
                        <wps:cNvSpPr/>
                        <wps:spPr>
                          <a:xfrm>
                            <a:off x="354" y="5907"/>
                            <a:ext cx="1629" cy="120"/>
                          </a:xfrm>
                          <a:custGeom>
                            <a:avLst/>
                            <a:gdLst/>
                            <a:ahLst/>
                            <a:cxnLst/>
                            <a:pathLst>
                              <a:path w="1629" h="120">
                                <a:moveTo>
                                  <a:pt x="1614" y="68"/>
                                </a:moveTo>
                                <a:lnTo>
                                  <a:pt x="1538" y="68"/>
                                </a:lnTo>
                                <a:lnTo>
                                  <a:pt x="1538" y="53"/>
                                </a:lnTo>
                                <a:lnTo>
                                  <a:pt x="1508" y="52"/>
                                </a:lnTo>
                                <a:lnTo>
                                  <a:pt x="1509" y="0"/>
                                </a:lnTo>
                                <a:lnTo>
                                  <a:pt x="1628" y="61"/>
                                </a:lnTo>
                                <a:lnTo>
                                  <a:pt x="1614" y="68"/>
                                </a:lnTo>
                                <a:close/>
                                <a:moveTo>
                                  <a:pt x="1508" y="67"/>
                                </a:moveTo>
                                <a:lnTo>
                                  <a:pt x="0" y="53"/>
                                </a:lnTo>
                                <a:lnTo>
                                  <a:pt x="0" y="38"/>
                                </a:lnTo>
                                <a:lnTo>
                                  <a:pt x="1508" y="52"/>
                                </a:lnTo>
                                <a:lnTo>
                                  <a:pt x="1508" y="67"/>
                                </a:lnTo>
                                <a:close/>
                                <a:moveTo>
                                  <a:pt x="1538" y="68"/>
                                </a:moveTo>
                                <a:lnTo>
                                  <a:pt x="1508" y="67"/>
                                </a:lnTo>
                                <a:lnTo>
                                  <a:pt x="1508" y="52"/>
                                </a:lnTo>
                                <a:lnTo>
                                  <a:pt x="1538" y="53"/>
                                </a:lnTo>
                                <a:lnTo>
                                  <a:pt x="1538" y="68"/>
                                </a:lnTo>
                                <a:close/>
                                <a:moveTo>
                                  <a:pt x="1507" y="120"/>
                                </a:moveTo>
                                <a:lnTo>
                                  <a:pt x="1508" y="67"/>
                                </a:lnTo>
                                <a:lnTo>
                                  <a:pt x="1614" y="68"/>
                                </a:lnTo>
                                <a:lnTo>
                                  <a:pt x="1507" y="120"/>
                                </a:lnTo>
                                <a:close/>
                              </a:path>
                            </a:pathLst>
                          </a:custGeom>
                          <a:solidFill>
                            <a:srgbClr val="000000"/>
                          </a:solidFill>
                          <a:ln>
                            <a:noFill/>
                          </a:ln>
                        </wps:spPr>
                        <wps:bodyPr upright="1"/>
                      </wps:wsp>
                      <wps:wsp>
                        <wps:cNvPr id="79" name="任意多边形 77"/>
                        <wps:cNvSpPr/>
                        <wps:spPr>
                          <a:xfrm>
                            <a:off x="5978" y="2816"/>
                            <a:ext cx="120" cy="3097"/>
                          </a:xfrm>
                          <a:custGeom>
                            <a:avLst/>
                            <a:gdLst/>
                            <a:ahLst/>
                            <a:cxnLst/>
                            <a:pathLst>
                              <a:path w="120" h="3097">
                                <a:moveTo>
                                  <a:pt x="54" y="120"/>
                                </a:moveTo>
                                <a:lnTo>
                                  <a:pt x="0" y="120"/>
                                </a:lnTo>
                                <a:lnTo>
                                  <a:pt x="60" y="0"/>
                                </a:lnTo>
                                <a:lnTo>
                                  <a:pt x="114" y="108"/>
                                </a:lnTo>
                                <a:lnTo>
                                  <a:pt x="54" y="108"/>
                                </a:lnTo>
                                <a:lnTo>
                                  <a:pt x="54" y="120"/>
                                </a:lnTo>
                                <a:close/>
                                <a:moveTo>
                                  <a:pt x="66" y="120"/>
                                </a:moveTo>
                                <a:lnTo>
                                  <a:pt x="54" y="120"/>
                                </a:lnTo>
                                <a:lnTo>
                                  <a:pt x="54" y="108"/>
                                </a:lnTo>
                                <a:lnTo>
                                  <a:pt x="66" y="108"/>
                                </a:lnTo>
                                <a:lnTo>
                                  <a:pt x="66" y="120"/>
                                </a:lnTo>
                                <a:close/>
                                <a:moveTo>
                                  <a:pt x="120" y="120"/>
                                </a:moveTo>
                                <a:lnTo>
                                  <a:pt x="66" y="120"/>
                                </a:lnTo>
                                <a:lnTo>
                                  <a:pt x="66" y="108"/>
                                </a:lnTo>
                                <a:lnTo>
                                  <a:pt x="54" y="108"/>
                                </a:lnTo>
                                <a:lnTo>
                                  <a:pt x="114" y="108"/>
                                </a:lnTo>
                                <a:lnTo>
                                  <a:pt x="120" y="120"/>
                                </a:lnTo>
                                <a:close/>
                                <a:moveTo>
                                  <a:pt x="65" y="156"/>
                                </a:moveTo>
                                <a:lnTo>
                                  <a:pt x="53" y="156"/>
                                </a:lnTo>
                                <a:lnTo>
                                  <a:pt x="54" y="120"/>
                                </a:lnTo>
                                <a:lnTo>
                                  <a:pt x="66" y="120"/>
                                </a:lnTo>
                                <a:lnTo>
                                  <a:pt x="65" y="156"/>
                                </a:lnTo>
                                <a:close/>
                                <a:moveTo>
                                  <a:pt x="55" y="3096"/>
                                </a:moveTo>
                                <a:lnTo>
                                  <a:pt x="43" y="3096"/>
                                </a:lnTo>
                                <a:lnTo>
                                  <a:pt x="43" y="3048"/>
                                </a:lnTo>
                                <a:lnTo>
                                  <a:pt x="55" y="3048"/>
                                </a:lnTo>
                                <a:lnTo>
                                  <a:pt x="55" y="3096"/>
                                </a:lnTo>
                                <a:close/>
                                <a:moveTo>
                                  <a:pt x="55" y="3012"/>
                                </a:moveTo>
                                <a:lnTo>
                                  <a:pt x="43" y="3012"/>
                                </a:lnTo>
                                <a:lnTo>
                                  <a:pt x="43" y="2964"/>
                                </a:lnTo>
                                <a:lnTo>
                                  <a:pt x="55" y="2964"/>
                                </a:lnTo>
                                <a:lnTo>
                                  <a:pt x="55" y="3012"/>
                                </a:lnTo>
                                <a:close/>
                                <a:moveTo>
                                  <a:pt x="56" y="2928"/>
                                </a:moveTo>
                                <a:lnTo>
                                  <a:pt x="44" y="2928"/>
                                </a:lnTo>
                                <a:lnTo>
                                  <a:pt x="44" y="2880"/>
                                </a:lnTo>
                                <a:lnTo>
                                  <a:pt x="56" y="2880"/>
                                </a:lnTo>
                                <a:lnTo>
                                  <a:pt x="56" y="2928"/>
                                </a:lnTo>
                                <a:close/>
                                <a:moveTo>
                                  <a:pt x="56" y="2844"/>
                                </a:moveTo>
                                <a:lnTo>
                                  <a:pt x="44" y="2844"/>
                                </a:lnTo>
                                <a:lnTo>
                                  <a:pt x="44" y="2796"/>
                                </a:lnTo>
                                <a:lnTo>
                                  <a:pt x="56" y="2796"/>
                                </a:lnTo>
                                <a:lnTo>
                                  <a:pt x="56" y="2844"/>
                                </a:lnTo>
                                <a:close/>
                                <a:moveTo>
                                  <a:pt x="56" y="2760"/>
                                </a:moveTo>
                                <a:lnTo>
                                  <a:pt x="44" y="2760"/>
                                </a:lnTo>
                                <a:lnTo>
                                  <a:pt x="44" y="2712"/>
                                </a:lnTo>
                                <a:lnTo>
                                  <a:pt x="56" y="2712"/>
                                </a:lnTo>
                                <a:lnTo>
                                  <a:pt x="56" y="2760"/>
                                </a:lnTo>
                                <a:close/>
                                <a:moveTo>
                                  <a:pt x="57" y="2676"/>
                                </a:moveTo>
                                <a:lnTo>
                                  <a:pt x="45" y="2676"/>
                                </a:lnTo>
                                <a:lnTo>
                                  <a:pt x="45" y="2628"/>
                                </a:lnTo>
                                <a:lnTo>
                                  <a:pt x="57" y="2628"/>
                                </a:lnTo>
                                <a:lnTo>
                                  <a:pt x="57" y="2676"/>
                                </a:lnTo>
                                <a:close/>
                                <a:moveTo>
                                  <a:pt x="57" y="2592"/>
                                </a:moveTo>
                                <a:lnTo>
                                  <a:pt x="45" y="2592"/>
                                </a:lnTo>
                                <a:lnTo>
                                  <a:pt x="45" y="2544"/>
                                </a:lnTo>
                                <a:lnTo>
                                  <a:pt x="57" y="2544"/>
                                </a:lnTo>
                                <a:lnTo>
                                  <a:pt x="57" y="2592"/>
                                </a:lnTo>
                                <a:close/>
                                <a:moveTo>
                                  <a:pt x="57" y="2508"/>
                                </a:moveTo>
                                <a:lnTo>
                                  <a:pt x="45" y="2508"/>
                                </a:lnTo>
                                <a:lnTo>
                                  <a:pt x="45" y="2460"/>
                                </a:lnTo>
                                <a:lnTo>
                                  <a:pt x="57" y="2460"/>
                                </a:lnTo>
                                <a:lnTo>
                                  <a:pt x="57" y="2508"/>
                                </a:lnTo>
                                <a:close/>
                                <a:moveTo>
                                  <a:pt x="57" y="2424"/>
                                </a:moveTo>
                                <a:lnTo>
                                  <a:pt x="45" y="2424"/>
                                </a:lnTo>
                                <a:lnTo>
                                  <a:pt x="46" y="2376"/>
                                </a:lnTo>
                                <a:lnTo>
                                  <a:pt x="58" y="2376"/>
                                </a:lnTo>
                                <a:lnTo>
                                  <a:pt x="57" y="2424"/>
                                </a:lnTo>
                                <a:close/>
                                <a:moveTo>
                                  <a:pt x="58" y="2340"/>
                                </a:moveTo>
                                <a:lnTo>
                                  <a:pt x="46" y="2340"/>
                                </a:lnTo>
                                <a:lnTo>
                                  <a:pt x="46" y="2292"/>
                                </a:lnTo>
                                <a:lnTo>
                                  <a:pt x="58" y="2292"/>
                                </a:lnTo>
                                <a:lnTo>
                                  <a:pt x="58" y="2340"/>
                                </a:lnTo>
                                <a:close/>
                                <a:moveTo>
                                  <a:pt x="58" y="2256"/>
                                </a:moveTo>
                                <a:lnTo>
                                  <a:pt x="46" y="2256"/>
                                </a:lnTo>
                                <a:lnTo>
                                  <a:pt x="46" y="2208"/>
                                </a:lnTo>
                                <a:lnTo>
                                  <a:pt x="58" y="2208"/>
                                </a:lnTo>
                                <a:lnTo>
                                  <a:pt x="58" y="2256"/>
                                </a:lnTo>
                                <a:close/>
                                <a:moveTo>
                                  <a:pt x="58" y="2172"/>
                                </a:moveTo>
                                <a:lnTo>
                                  <a:pt x="46" y="2172"/>
                                </a:lnTo>
                                <a:lnTo>
                                  <a:pt x="46" y="2124"/>
                                </a:lnTo>
                                <a:lnTo>
                                  <a:pt x="58" y="2124"/>
                                </a:lnTo>
                                <a:lnTo>
                                  <a:pt x="58" y="2172"/>
                                </a:lnTo>
                                <a:close/>
                                <a:moveTo>
                                  <a:pt x="59" y="2088"/>
                                </a:moveTo>
                                <a:lnTo>
                                  <a:pt x="47" y="2088"/>
                                </a:lnTo>
                                <a:lnTo>
                                  <a:pt x="47" y="2040"/>
                                </a:lnTo>
                                <a:lnTo>
                                  <a:pt x="59" y="2040"/>
                                </a:lnTo>
                                <a:lnTo>
                                  <a:pt x="59" y="2088"/>
                                </a:lnTo>
                                <a:close/>
                                <a:moveTo>
                                  <a:pt x="59" y="2004"/>
                                </a:moveTo>
                                <a:lnTo>
                                  <a:pt x="47" y="2004"/>
                                </a:lnTo>
                                <a:lnTo>
                                  <a:pt x="47" y="1956"/>
                                </a:lnTo>
                                <a:lnTo>
                                  <a:pt x="59" y="1956"/>
                                </a:lnTo>
                                <a:lnTo>
                                  <a:pt x="59" y="2004"/>
                                </a:lnTo>
                                <a:close/>
                                <a:moveTo>
                                  <a:pt x="59" y="1920"/>
                                </a:moveTo>
                                <a:lnTo>
                                  <a:pt x="47" y="1920"/>
                                </a:lnTo>
                                <a:lnTo>
                                  <a:pt x="47" y="1872"/>
                                </a:lnTo>
                                <a:lnTo>
                                  <a:pt x="59" y="1872"/>
                                </a:lnTo>
                                <a:lnTo>
                                  <a:pt x="59" y="1920"/>
                                </a:lnTo>
                                <a:close/>
                                <a:moveTo>
                                  <a:pt x="59" y="1836"/>
                                </a:moveTo>
                                <a:lnTo>
                                  <a:pt x="47" y="1836"/>
                                </a:lnTo>
                                <a:lnTo>
                                  <a:pt x="48" y="1788"/>
                                </a:lnTo>
                                <a:lnTo>
                                  <a:pt x="60" y="1788"/>
                                </a:lnTo>
                                <a:lnTo>
                                  <a:pt x="59" y="1836"/>
                                </a:lnTo>
                                <a:close/>
                                <a:moveTo>
                                  <a:pt x="60" y="1752"/>
                                </a:moveTo>
                                <a:lnTo>
                                  <a:pt x="48" y="1752"/>
                                </a:lnTo>
                                <a:lnTo>
                                  <a:pt x="48" y="1704"/>
                                </a:lnTo>
                                <a:lnTo>
                                  <a:pt x="60" y="1704"/>
                                </a:lnTo>
                                <a:lnTo>
                                  <a:pt x="60" y="1752"/>
                                </a:lnTo>
                                <a:close/>
                                <a:moveTo>
                                  <a:pt x="60" y="1668"/>
                                </a:moveTo>
                                <a:lnTo>
                                  <a:pt x="48" y="1668"/>
                                </a:lnTo>
                                <a:lnTo>
                                  <a:pt x="48" y="1620"/>
                                </a:lnTo>
                                <a:lnTo>
                                  <a:pt x="60" y="1620"/>
                                </a:lnTo>
                                <a:lnTo>
                                  <a:pt x="60" y="1668"/>
                                </a:lnTo>
                                <a:close/>
                                <a:moveTo>
                                  <a:pt x="60" y="1584"/>
                                </a:moveTo>
                                <a:lnTo>
                                  <a:pt x="48" y="1584"/>
                                </a:lnTo>
                                <a:lnTo>
                                  <a:pt x="49" y="1536"/>
                                </a:lnTo>
                                <a:lnTo>
                                  <a:pt x="61" y="1536"/>
                                </a:lnTo>
                                <a:lnTo>
                                  <a:pt x="60" y="1584"/>
                                </a:lnTo>
                                <a:close/>
                                <a:moveTo>
                                  <a:pt x="61" y="1500"/>
                                </a:moveTo>
                                <a:lnTo>
                                  <a:pt x="49" y="1500"/>
                                </a:lnTo>
                                <a:lnTo>
                                  <a:pt x="49" y="1452"/>
                                </a:lnTo>
                                <a:lnTo>
                                  <a:pt x="61" y="1452"/>
                                </a:lnTo>
                                <a:lnTo>
                                  <a:pt x="61" y="1500"/>
                                </a:lnTo>
                                <a:close/>
                                <a:moveTo>
                                  <a:pt x="61" y="1416"/>
                                </a:moveTo>
                                <a:lnTo>
                                  <a:pt x="49" y="1416"/>
                                </a:lnTo>
                                <a:lnTo>
                                  <a:pt x="49" y="1368"/>
                                </a:lnTo>
                                <a:lnTo>
                                  <a:pt x="61" y="1368"/>
                                </a:lnTo>
                                <a:lnTo>
                                  <a:pt x="61" y="1416"/>
                                </a:lnTo>
                                <a:close/>
                                <a:moveTo>
                                  <a:pt x="61" y="1332"/>
                                </a:moveTo>
                                <a:lnTo>
                                  <a:pt x="49" y="1332"/>
                                </a:lnTo>
                                <a:lnTo>
                                  <a:pt x="49" y="1284"/>
                                </a:lnTo>
                                <a:lnTo>
                                  <a:pt x="61" y="1284"/>
                                </a:lnTo>
                                <a:lnTo>
                                  <a:pt x="61" y="1332"/>
                                </a:lnTo>
                                <a:close/>
                                <a:moveTo>
                                  <a:pt x="62" y="1248"/>
                                </a:moveTo>
                                <a:lnTo>
                                  <a:pt x="50" y="1248"/>
                                </a:lnTo>
                                <a:lnTo>
                                  <a:pt x="50" y="1200"/>
                                </a:lnTo>
                                <a:lnTo>
                                  <a:pt x="62" y="1200"/>
                                </a:lnTo>
                                <a:lnTo>
                                  <a:pt x="62" y="1248"/>
                                </a:lnTo>
                                <a:close/>
                                <a:moveTo>
                                  <a:pt x="62" y="1164"/>
                                </a:moveTo>
                                <a:lnTo>
                                  <a:pt x="50" y="1164"/>
                                </a:lnTo>
                                <a:lnTo>
                                  <a:pt x="50" y="1116"/>
                                </a:lnTo>
                                <a:lnTo>
                                  <a:pt x="62" y="1116"/>
                                </a:lnTo>
                                <a:lnTo>
                                  <a:pt x="62" y="1164"/>
                                </a:lnTo>
                                <a:close/>
                                <a:moveTo>
                                  <a:pt x="62" y="1080"/>
                                </a:moveTo>
                                <a:lnTo>
                                  <a:pt x="50" y="1080"/>
                                </a:lnTo>
                                <a:lnTo>
                                  <a:pt x="50" y="1032"/>
                                </a:lnTo>
                                <a:lnTo>
                                  <a:pt x="62" y="1032"/>
                                </a:lnTo>
                                <a:lnTo>
                                  <a:pt x="62" y="1080"/>
                                </a:lnTo>
                                <a:close/>
                                <a:moveTo>
                                  <a:pt x="62" y="996"/>
                                </a:moveTo>
                                <a:lnTo>
                                  <a:pt x="50" y="996"/>
                                </a:lnTo>
                                <a:lnTo>
                                  <a:pt x="51" y="948"/>
                                </a:lnTo>
                                <a:lnTo>
                                  <a:pt x="63" y="948"/>
                                </a:lnTo>
                                <a:lnTo>
                                  <a:pt x="62" y="996"/>
                                </a:lnTo>
                                <a:close/>
                                <a:moveTo>
                                  <a:pt x="63" y="912"/>
                                </a:moveTo>
                                <a:lnTo>
                                  <a:pt x="51" y="912"/>
                                </a:lnTo>
                                <a:lnTo>
                                  <a:pt x="51" y="864"/>
                                </a:lnTo>
                                <a:lnTo>
                                  <a:pt x="63" y="864"/>
                                </a:lnTo>
                                <a:lnTo>
                                  <a:pt x="63" y="912"/>
                                </a:lnTo>
                                <a:close/>
                                <a:moveTo>
                                  <a:pt x="63" y="828"/>
                                </a:moveTo>
                                <a:lnTo>
                                  <a:pt x="51" y="828"/>
                                </a:lnTo>
                                <a:lnTo>
                                  <a:pt x="51" y="780"/>
                                </a:lnTo>
                                <a:lnTo>
                                  <a:pt x="63" y="780"/>
                                </a:lnTo>
                                <a:lnTo>
                                  <a:pt x="63" y="828"/>
                                </a:lnTo>
                                <a:close/>
                                <a:moveTo>
                                  <a:pt x="63" y="744"/>
                                </a:moveTo>
                                <a:lnTo>
                                  <a:pt x="51" y="744"/>
                                </a:lnTo>
                                <a:lnTo>
                                  <a:pt x="52" y="696"/>
                                </a:lnTo>
                                <a:lnTo>
                                  <a:pt x="64" y="696"/>
                                </a:lnTo>
                                <a:lnTo>
                                  <a:pt x="63" y="744"/>
                                </a:lnTo>
                                <a:close/>
                                <a:moveTo>
                                  <a:pt x="64" y="660"/>
                                </a:moveTo>
                                <a:lnTo>
                                  <a:pt x="52" y="660"/>
                                </a:lnTo>
                                <a:lnTo>
                                  <a:pt x="52" y="612"/>
                                </a:lnTo>
                                <a:lnTo>
                                  <a:pt x="64" y="612"/>
                                </a:lnTo>
                                <a:lnTo>
                                  <a:pt x="64" y="660"/>
                                </a:lnTo>
                                <a:close/>
                                <a:moveTo>
                                  <a:pt x="64" y="576"/>
                                </a:moveTo>
                                <a:lnTo>
                                  <a:pt x="52" y="576"/>
                                </a:lnTo>
                                <a:lnTo>
                                  <a:pt x="52" y="528"/>
                                </a:lnTo>
                                <a:lnTo>
                                  <a:pt x="64" y="528"/>
                                </a:lnTo>
                                <a:lnTo>
                                  <a:pt x="64" y="576"/>
                                </a:lnTo>
                                <a:close/>
                                <a:moveTo>
                                  <a:pt x="64" y="492"/>
                                </a:moveTo>
                                <a:lnTo>
                                  <a:pt x="52" y="492"/>
                                </a:lnTo>
                                <a:lnTo>
                                  <a:pt x="52" y="444"/>
                                </a:lnTo>
                                <a:lnTo>
                                  <a:pt x="64" y="444"/>
                                </a:lnTo>
                                <a:lnTo>
                                  <a:pt x="64" y="492"/>
                                </a:lnTo>
                                <a:close/>
                                <a:moveTo>
                                  <a:pt x="65" y="408"/>
                                </a:moveTo>
                                <a:lnTo>
                                  <a:pt x="53" y="408"/>
                                </a:lnTo>
                                <a:lnTo>
                                  <a:pt x="53" y="360"/>
                                </a:lnTo>
                                <a:lnTo>
                                  <a:pt x="65" y="360"/>
                                </a:lnTo>
                                <a:lnTo>
                                  <a:pt x="65" y="408"/>
                                </a:lnTo>
                                <a:close/>
                                <a:moveTo>
                                  <a:pt x="65" y="324"/>
                                </a:moveTo>
                                <a:lnTo>
                                  <a:pt x="53" y="324"/>
                                </a:lnTo>
                                <a:lnTo>
                                  <a:pt x="53" y="276"/>
                                </a:lnTo>
                                <a:lnTo>
                                  <a:pt x="65" y="276"/>
                                </a:lnTo>
                                <a:lnTo>
                                  <a:pt x="65" y="324"/>
                                </a:lnTo>
                                <a:close/>
                                <a:moveTo>
                                  <a:pt x="65" y="240"/>
                                </a:moveTo>
                                <a:lnTo>
                                  <a:pt x="53" y="240"/>
                                </a:lnTo>
                                <a:lnTo>
                                  <a:pt x="53" y="192"/>
                                </a:lnTo>
                                <a:lnTo>
                                  <a:pt x="65" y="192"/>
                                </a:lnTo>
                                <a:lnTo>
                                  <a:pt x="65" y="240"/>
                                </a:lnTo>
                                <a:close/>
                              </a:path>
                            </a:pathLst>
                          </a:custGeom>
                          <a:solidFill>
                            <a:srgbClr val="000000"/>
                          </a:solidFill>
                          <a:ln>
                            <a:noFill/>
                          </a:ln>
                        </wps:spPr>
                        <wps:bodyPr upright="1"/>
                      </wps:wsp>
                      <wps:wsp>
                        <wps:cNvPr id="80" name="文本框 78"/>
                        <wps:cNvSpPr txBox="1"/>
                        <wps:spPr>
                          <a:xfrm>
                            <a:off x="1304" y="521"/>
                            <a:ext cx="500" cy="240"/>
                          </a:xfrm>
                          <a:prstGeom prst="rect">
                            <a:avLst/>
                          </a:prstGeom>
                          <a:noFill/>
                          <a:ln>
                            <a:noFill/>
                          </a:ln>
                        </wps:spPr>
                        <wps:txbx>
                          <w:txbxContent>
                            <w:p>
                              <w:pPr>
                                <w:spacing w:before="0" w:line="240" w:lineRule="exact"/>
                                <w:ind w:left="0" w:right="0" w:firstLine="0"/>
                                <w:jc w:val="left"/>
                                <w:rPr>
                                  <w:sz w:val="24"/>
                                </w:rPr>
                              </w:pPr>
                              <w:r>
                                <w:rPr>
                                  <w:sz w:val="24"/>
                                </w:rPr>
                                <w:t>羊舍</w:t>
                              </w:r>
                            </w:p>
                          </w:txbxContent>
                        </wps:txbx>
                        <wps:bodyPr lIns="0" tIns="0" rIns="0" bIns="0" upright="1"/>
                      </wps:wsp>
                      <wps:wsp>
                        <wps:cNvPr id="81" name="文本框 79"/>
                        <wps:cNvSpPr txBox="1"/>
                        <wps:spPr>
                          <a:xfrm>
                            <a:off x="2113" y="699"/>
                            <a:ext cx="1808" cy="243"/>
                          </a:xfrm>
                          <a:prstGeom prst="rect">
                            <a:avLst/>
                          </a:prstGeom>
                          <a:noFill/>
                          <a:ln>
                            <a:noFill/>
                          </a:ln>
                        </wps:spPr>
                        <wps:txbx>
                          <w:txbxContent>
                            <w:p>
                              <w:pPr>
                                <w:tabs>
                                  <w:tab w:val="left" w:pos="827"/>
                                </w:tabs>
                                <w:spacing w:before="0" w:line="242" w:lineRule="exact"/>
                                <w:ind w:left="0" w:right="0" w:firstLine="0"/>
                                <w:jc w:val="left"/>
                                <w:rPr>
                                  <w:sz w:val="24"/>
                                </w:rPr>
                              </w:pPr>
                              <w:r>
                                <w:rPr>
                                  <w:sz w:val="24"/>
                                </w:rPr>
                                <w:t>配种</w:t>
                              </w:r>
                              <w:r>
                                <w:rPr>
                                  <w:sz w:val="24"/>
                                </w:rPr>
                                <w:tab/>
                              </w:r>
                              <w:r>
                                <w:rPr>
                                  <w:sz w:val="24"/>
                                </w:rPr>
                                <w:t>人工授精</w:t>
                              </w:r>
                            </w:p>
                          </w:txbxContent>
                        </wps:txbx>
                        <wps:bodyPr lIns="0" tIns="0" rIns="0" bIns="0" upright="1"/>
                      </wps:wsp>
                      <wps:wsp>
                        <wps:cNvPr id="82" name="文本框 80"/>
                        <wps:cNvSpPr txBox="1"/>
                        <wps:spPr>
                          <a:xfrm>
                            <a:off x="5478" y="838"/>
                            <a:ext cx="500" cy="240"/>
                          </a:xfrm>
                          <a:prstGeom prst="rect">
                            <a:avLst/>
                          </a:prstGeom>
                          <a:noFill/>
                          <a:ln>
                            <a:noFill/>
                          </a:ln>
                        </wps:spPr>
                        <wps:txbx>
                          <w:txbxContent>
                            <w:p>
                              <w:pPr>
                                <w:spacing w:before="0" w:line="240" w:lineRule="exact"/>
                                <w:ind w:left="0" w:right="0" w:firstLine="0"/>
                                <w:jc w:val="left"/>
                                <w:rPr>
                                  <w:sz w:val="24"/>
                                </w:rPr>
                              </w:pPr>
                              <w:r>
                                <w:rPr>
                                  <w:sz w:val="24"/>
                                </w:rPr>
                                <w:t>恶臭</w:t>
                              </w:r>
                            </w:p>
                          </w:txbxContent>
                        </wps:txbx>
                        <wps:bodyPr lIns="0" tIns="0" rIns="0" bIns="0" upright="1"/>
                      </wps:wsp>
                      <wps:wsp>
                        <wps:cNvPr id="83" name="文本框 81"/>
                        <wps:cNvSpPr txBox="1"/>
                        <wps:spPr>
                          <a:xfrm>
                            <a:off x="44" y="1275"/>
                            <a:ext cx="980" cy="240"/>
                          </a:xfrm>
                          <a:prstGeom prst="rect">
                            <a:avLst/>
                          </a:prstGeom>
                          <a:noFill/>
                          <a:ln>
                            <a:noFill/>
                          </a:ln>
                        </wps:spPr>
                        <wps:txbx>
                          <w:txbxContent>
                            <w:p>
                              <w:pPr>
                                <w:spacing w:before="0" w:line="240" w:lineRule="exact"/>
                                <w:ind w:left="0" w:right="0" w:firstLine="0"/>
                                <w:jc w:val="left"/>
                                <w:rPr>
                                  <w:sz w:val="24"/>
                                </w:rPr>
                              </w:pPr>
                              <w:r>
                                <w:rPr>
                                  <w:sz w:val="24"/>
                                </w:rPr>
                                <w:t>外购饲料</w:t>
                              </w:r>
                            </w:p>
                          </w:txbxContent>
                        </wps:txbx>
                        <wps:bodyPr lIns="0" tIns="0" rIns="0" bIns="0" upright="1"/>
                      </wps:wsp>
                      <wps:wsp>
                        <wps:cNvPr id="84" name="文本框 82"/>
                        <wps:cNvSpPr txBox="1"/>
                        <wps:spPr>
                          <a:xfrm>
                            <a:off x="2226" y="1251"/>
                            <a:ext cx="1220" cy="240"/>
                          </a:xfrm>
                          <a:prstGeom prst="rect">
                            <a:avLst/>
                          </a:prstGeom>
                          <a:noFill/>
                          <a:ln>
                            <a:noFill/>
                          </a:ln>
                        </wps:spPr>
                        <wps:txbx>
                          <w:txbxContent>
                            <w:p>
                              <w:pPr>
                                <w:spacing w:before="0" w:line="240" w:lineRule="exact"/>
                                <w:ind w:left="0" w:right="0" w:firstLine="0"/>
                                <w:jc w:val="left"/>
                                <w:rPr>
                                  <w:sz w:val="24"/>
                                </w:rPr>
                              </w:pPr>
                              <w:r>
                                <w:rPr>
                                  <w:sz w:val="24"/>
                                </w:rPr>
                                <w:t>商品羊繁育</w:t>
                              </w:r>
                            </w:p>
                          </w:txbxContent>
                        </wps:txbx>
                        <wps:bodyPr lIns="0" tIns="0" rIns="0" bIns="0" upright="1"/>
                      </wps:wsp>
                      <wps:wsp>
                        <wps:cNvPr id="85" name="文本框 83"/>
                        <wps:cNvSpPr txBox="1"/>
                        <wps:spPr>
                          <a:xfrm>
                            <a:off x="4443" y="1421"/>
                            <a:ext cx="740" cy="240"/>
                          </a:xfrm>
                          <a:prstGeom prst="rect">
                            <a:avLst/>
                          </a:prstGeom>
                          <a:noFill/>
                          <a:ln>
                            <a:noFill/>
                          </a:ln>
                        </wps:spPr>
                        <wps:txbx>
                          <w:txbxContent>
                            <w:p>
                              <w:pPr>
                                <w:spacing w:before="0" w:line="240" w:lineRule="exact"/>
                                <w:ind w:left="0" w:right="0" w:firstLine="0"/>
                                <w:jc w:val="left"/>
                                <w:rPr>
                                  <w:sz w:val="24"/>
                                </w:rPr>
                              </w:pPr>
                              <w:r>
                                <w:rPr>
                                  <w:sz w:val="24"/>
                                </w:rPr>
                                <w:t>病死羊</w:t>
                              </w:r>
                            </w:p>
                          </w:txbxContent>
                        </wps:txbx>
                        <wps:bodyPr lIns="0" tIns="0" rIns="0" bIns="0" upright="1"/>
                      </wps:wsp>
                      <wps:wsp>
                        <wps:cNvPr id="86" name="文本框 84"/>
                        <wps:cNvSpPr txBox="1"/>
                        <wps:spPr>
                          <a:xfrm>
                            <a:off x="5482" y="1623"/>
                            <a:ext cx="1700" cy="240"/>
                          </a:xfrm>
                          <a:prstGeom prst="rect">
                            <a:avLst/>
                          </a:prstGeom>
                          <a:noFill/>
                          <a:ln>
                            <a:noFill/>
                          </a:ln>
                        </wps:spPr>
                        <wps:txbx>
                          <w:txbxContent>
                            <w:p>
                              <w:pPr>
                                <w:spacing w:before="0" w:line="240" w:lineRule="exact"/>
                                <w:ind w:left="0" w:right="0" w:firstLine="0"/>
                                <w:jc w:val="left"/>
                                <w:rPr>
                                  <w:sz w:val="24"/>
                                </w:rPr>
                              </w:pPr>
                              <w:r>
                                <w:rPr>
                                  <w:sz w:val="24"/>
                                </w:rPr>
                                <w:t>无害化处理车间</w:t>
                              </w:r>
                            </w:p>
                          </w:txbxContent>
                        </wps:txbx>
                        <wps:bodyPr lIns="0" tIns="0" rIns="0" bIns="0" upright="1"/>
                      </wps:wsp>
                      <wps:wsp>
                        <wps:cNvPr id="87" name="文本框 85"/>
                        <wps:cNvSpPr txBox="1"/>
                        <wps:spPr>
                          <a:xfrm>
                            <a:off x="318" y="1997"/>
                            <a:ext cx="500" cy="240"/>
                          </a:xfrm>
                          <a:prstGeom prst="rect">
                            <a:avLst/>
                          </a:prstGeom>
                          <a:noFill/>
                          <a:ln>
                            <a:noFill/>
                          </a:ln>
                        </wps:spPr>
                        <wps:txbx>
                          <w:txbxContent>
                            <w:p>
                              <w:pPr>
                                <w:spacing w:before="0" w:line="240" w:lineRule="exact"/>
                                <w:ind w:left="0" w:right="0" w:firstLine="0"/>
                                <w:jc w:val="left"/>
                                <w:rPr>
                                  <w:sz w:val="24"/>
                                </w:rPr>
                              </w:pPr>
                              <w:r>
                                <w:rPr>
                                  <w:sz w:val="24"/>
                                </w:rPr>
                                <w:t>饮水</w:t>
                              </w:r>
                            </w:p>
                          </w:txbxContent>
                        </wps:txbx>
                        <wps:bodyPr lIns="0" tIns="0" rIns="0" bIns="0" upright="1"/>
                      </wps:wsp>
                      <wps:wsp>
                        <wps:cNvPr id="88" name="文本框 86"/>
                        <wps:cNvSpPr txBox="1"/>
                        <wps:spPr>
                          <a:xfrm>
                            <a:off x="2235" y="2247"/>
                            <a:ext cx="1220" cy="552"/>
                          </a:xfrm>
                          <a:prstGeom prst="rect">
                            <a:avLst/>
                          </a:prstGeom>
                          <a:noFill/>
                          <a:ln>
                            <a:noFill/>
                          </a:ln>
                        </wps:spPr>
                        <wps:txbx>
                          <w:txbxContent>
                            <w:p>
                              <w:pPr>
                                <w:spacing w:before="0" w:line="274" w:lineRule="exact"/>
                                <w:ind w:left="-1" w:right="18" w:firstLine="0"/>
                                <w:jc w:val="center"/>
                                <w:rPr>
                                  <w:sz w:val="24"/>
                                </w:rPr>
                              </w:pPr>
                              <w:r>
                                <w:rPr>
                                  <w:spacing w:val="-4"/>
                                  <w:sz w:val="24"/>
                                </w:rPr>
                                <w:t>羔羊工厂化</w:t>
                              </w:r>
                            </w:p>
                            <w:p>
                              <w:pPr>
                                <w:spacing w:before="4" w:line="274" w:lineRule="exact"/>
                                <w:ind w:left="220" w:right="239" w:firstLine="0"/>
                                <w:jc w:val="center"/>
                                <w:rPr>
                                  <w:sz w:val="24"/>
                                </w:rPr>
                              </w:pPr>
                              <w:r>
                                <w:rPr>
                                  <w:sz w:val="24"/>
                                </w:rPr>
                                <w:t>饲养</w:t>
                              </w:r>
                            </w:p>
                          </w:txbxContent>
                        </wps:txbx>
                        <wps:bodyPr lIns="0" tIns="0" rIns="0" bIns="0" upright="1"/>
                      </wps:wsp>
                      <wps:wsp>
                        <wps:cNvPr id="89" name="文本框 87"/>
                        <wps:cNvSpPr txBox="1"/>
                        <wps:spPr>
                          <a:xfrm>
                            <a:off x="4556" y="2201"/>
                            <a:ext cx="500" cy="240"/>
                          </a:xfrm>
                          <a:prstGeom prst="rect">
                            <a:avLst/>
                          </a:prstGeom>
                          <a:noFill/>
                          <a:ln>
                            <a:noFill/>
                          </a:ln>
                        </wps:spPr>
                        <wps:txbx>
                          <w:txbxContent>
                            <w:p>
                              <w:pPr>
                                <w:spacing w:before="0" w:line="240" w:lineRule="exact"/>
                                <w:ind w:left="0" w:right="0" w:firstLine="0"/>
                                <w:jc w:val="left"/>
                                <w:rPr>
                                  <w:sz w:val="24"/>
                                </w:rPr>
                              </w:pPr>
                              <w:r>
                                <w:rPr>
                                  <w:sz w:val="24"/>
                                </w:rPr>
                                <w:t>羊粪</w:t>
                              </w:r>
                            </w:p>
                          </w:txbxContent>
                        </wps:txbx>
                        <wps:bodyPr lIns="0" tIns="0" rIns="0" bIns="0" upright="1"/>
                      </wps:wsp>
                      <wps:wsp>
                        <wps:cNvPr id="90" name="文本框 88"/>
                        <wps:cNvSpPr txBox="1"/>
                        <wps:spPr>
                          <a:xfrm>
                            <a:off x="5679" y="2424"/>
                            <a:ext cx="740" cy="240"/>
                          </a:xfrm>
                          <a:prstGeom prst="rect">
                            <a:avLst/>
                          </a:prstGeom>
                          <a:noFill/>
                          <a:ln>
                            <a:noFill/>
                          </a:ln>
                        </wps:spPr>
                        <wps:txbx>
                          <w:txbxContent>
                            <w:p>
                              <w:pPr>
                                <w:spacing w:before="0" w:line="240" w:lineRule="exact"/>
                                <w:ind w:left="0" w:right="0" w:firstLine="0"/>
                                <w:jc w:val="left"/>
                                <w:rPr>
                                  <w:sz w:val="24"/>
                                </w:rPr>
                              </w:pPr>
                              <w:r>
                                <w:rPr>
                                  <w:sz w:val="24"/>
                                </w:rPr>
                                <w:t>堆肥厂</w:t>
                              </w:r>
                            </w:p>
                          </w:txbxContent>
                        </wps:txbx>
                        <wps:bodyPr lIns="0" tIns="0" rIns="0" bIns="0" upright="1"/>
                      </wps:wsp>
                      <wps:wsp>
                        <wps:cNvPr id="91" name="文本框 89"/>
                        <wps:cNvSpPr txBox="1"/>
                        <wps:spPr>
                          <a:xfrm>
                            <a:off x="7189" y="2501"/>
                            <a:ext cx="500" cy="240"/>
                          </a:xfrm>
                          <a:prstGeom prst="rect">
                            <a:avLst/>
                          </a:prstGeom>
                          <a:noFill/>
                          <a:ln>
                            <a:noFill/>
                          </a:ln>
                        </wps:spPr>
                        <wps:txbx>
                          <w:txbxContent>
                            <w:p>
                              <w:pPr>
                                <w:spacing w:before="0" w:line="240" w:lineRule="exact"/>
                                <w:ind w:left="0" w:right="0" w:firstLine="0"/>
                                <w:jc w:val="left"/>
                                <w:rPr>
                                  <w:sz w:val="24"/>
                                </w:rPr>
                              </w:pPr>
                              <w:r>
                                <w:rPr>
                                  <w:sz w:val="24"/>
                                </w:rPr>
                                <w:t>恶臭</w:t>
                              </w:r>
                            </w:p>
                          </w:txbxContent>
                        </wps:txbx>
                        <wps:bodyPr lIns="0" tIns="0" rIns="0" bIns="0" upright="1"/>
                      </wps:wsp>
                      <wps:wsp>
                        <wps:cNvPr id="92" name="文本框 90"/>
                        <wps:cNvSpPr txBox="1"/>
                        <wps:spPr>
                          <a:xfrm>
                            <a:off x="2228" y="3447"/>
                            <a:ext cx="1220" cy="552"/>
                          </a:xfrm>
                          <a:prstGeom prst="rect">
                            <a:avLst/>
                          </a:prstGeom>
                          <a:noFill/>
                          <a:ln>
                            <a:noFill/>
                          </a:ln>
                        </wps:spPr>
                        <wps:txbx>
                          <w:txbxContent>
                            <w:p>
                              <w:pPr>
                                <w:spacing w:before="0" w:line="274" w:lineRule="exact"/>
                                <w:ind w:left="-1" w:right="18" w:firstLine="0"/>
                                <w:jc w:val="center"/>
                                <w:rPr>
                                  <w:sz w:val="24"/>
                                </w:rPr>
                              </w:pPr>
                              <w:r>
                                <w:rPr>
                                  <w:spacing w:val="-4"/>
                                  <w:sz w:val="24"/>
                                </w:rPr>
                                <w:t>商品羊工厂</w:t>
                              </w:r>
                            </w:p>
                            <w:p>
                              <w:pPr>
                                <w:spacing w:before="4" w:line="274" w:lineRule="exact"/>
                                <w:ind w:left="220" w:right="239" w:firstLine="0"/>
                                <w:jc w:val="center"/>
                                <w:rPr>
                                  <w:sz w:val="24"/>
                                </w:rPr>
                              </w:pPr>
                              <w:r>
                                <w:rPr>
                                  <w:sz w:val="24"/>
                                </w:rPr>
                                <w:t>化饲养</w:t>
                              </w:r>
                            </w:p>
                          </w:txbxContent>
                        </wps:txbx>
                        <wps:bodyPr lIns="0" tIns="0" rIns="0" bIns="0" upright="1"/>
                      </wps:wsp>
                      <wps:wsp>
                        <wps:cNvPr id="93" name="文本框 91"/>
                        <wps:cNvSpPr txBox="1"/>
                        <wps:spPr>
                          <a:xfrm>
                            <a:off x="2598" y="4872"/>
                            <a:ext cx="500" cy="240"/>
                          </a:xfrm>
                          <a:prstGeom prst="rect">
                            <a:avLst/>
                          </a:prstGeom>
                          <a:noFill/>
                          <a:ln>
                            <a:noFill/>
                          </a:ln>
                        </wps:spPr>
                        <wps:txbx>
                          <w:txbxContent>
                            <w:p>
                              <w:pPr>
                                <w:spacing w:before="0" w:line="240" w:lineRule="exact"/>
                                <w:ind w:left="0" w:right="0" w:firstLine="0"/>
                                <w:jc w:val="left"/>
                                <w:rPr>
                                  <w:sz w:val="24"/>
                                </w:rPr>
                              </w:pPr>
                              <w:r>
                                <w:rPr>
                                  <w:sz w:val="24"/>
                                </w:rPr>
                                <w:t>出栏</w:t>
                              </w:r>
                            </w:p>
                          </w:txbxContent>
                        </wps:txbx>
                        <wps:bodyPr lIns="0" tIns="0" rIns="0" bIns="0" upright="1"/>
                      </wps:wsp>
                      <wps:wsp>
                        <wps:cNvPr id="94" name="文本框 92"/>
                        <wps:cNvSpPr txBox="1"/>
                        <wps:spPr>
                          <a:xfrm>
                            <a:off x="562" y="5585"/>
                            <a:ext cx="980" cy="240"/>
                          </a:xfrm>
                          <a:prstGeom prst="rect">
                            <a:avLst/>
                          </a:prstGeom>
                          <a:noFill/>
                          <a:ln>
                            <a:noFill/>
                          </a:ln>
                        </wps:spPr>
                        <wps:txbx>
                          <w:txbxContent>
                            <w:p>
                              <w:pPr>
                                <w:spacing w:before="0" w:line="240" w:lineRule="exact"/>
                                <w:ind w:left="0" w:right="0" w:firstLine="0"/>
                                <w:jc w:val="left"/>
                                <w:rPr>
                                  <w:sz w:val="24"/>
                                </w:rPr>
                              </w:pPr>
                              <w:r>
                                <w:rPr>
                                  <w:sz w:val="24"/>
                                </w:rPr>
                                <w:t>人工清理</w:t>
                              </w:r>
                            </w:p>
                          </w:txbxContent>
                        </wps:txbx>
                        <wps:bodyPr lIns="0" tIns="0" rIns="0" bIns="0" upright="1"/>
                      </wps:wsp>
                      <wps:wsp>
                        <wps:cNvPr id="95" name="文本框 93"/>
                        <wps:cNvSpPr txBox="1"/>
                        <wps:spPr>
                          <a:xfrm>
                            <a:off x="4093" y="5592"/>
                            <a:ext cx="980" cy="240"/>
                          </a:xfrm>
                          <a:prstGeom prst="rect">
                            <a:avLst/>
                          </a:prstGeom>
                          <a:noFill/>
                          <a:ln>
                            <a:noFill/>
                          </a:ln>
                        </wps:spPr>
                        <wps:txbx>
                          <w:txbxContent>
                            <w:p>
                              <w:pPr>
                                <w:spacing w:before="0" w:line="240" w:lineRule="exact"/>
                                <w:ind w:left="0" w:right="0" w:firstLine="0"/>
                                <w:jc w:val="left"/>
                                <w:rPr>
                                  <w:sz w:val="24"/>
                                </w:rPr>
                              </w:pPr>
                              <w:r>
                                <w:rPr>
                                  <w:sz w:val="24"/>
                                </w:rPr>
                                <w:t>废弃垫料</w:t>
                              </w:r>
                            </w:p>
                          </w:txbxContent>
                        </wps:txbx>
                        <wps:bodyPr lIns="0" tIns="0" rIns="0" bIns="0" upright="1"/>
                      </wps:wsp>
                      <wps:wsp>
                        <wps:cNvPr id="96" name="文本框 94"/>
                        <wps:cNvSpPr txBox="1"/>
                        <wps:spPr>
                          <a:xfrm>
                            <a:off x="2370" y="5830"/>
                            <a:ext cx="980" cy="240"/>
                          </a:xfrm>
                          <a:prstGeom prst="rect">
                            <a:avLst/>
                          </a:prstGeom>
                          <a:noFill/>
                          <a:ln>
                            <a:noFill/>
                          </a:ln>
                        </wps:spPr>
                        <wps:txbx>
                          <w:txbxContent>
                            <w:p>
                              <w:pPr>
                                <w:spacing w:before="0" w:line="240" w:lineRule="exact"/>
                                <w:ind w:left="0" w:right="0" w:firstLine="0"/>
                                <w:jc w:val="left"/>
                                <w:rPr>
                                  <w:sz w:val="24"/>
                                </w:rPr>
                              </w:pPr>
                              <w:r>
                                <w:rPr>
                                  <w:sz w:val="24"/>
                                </w:rPr>
                                <w:t>清栏消毒</w:t>
                              </w:r>
                            </w:p>
                          </w:txbxContent>
                        </wps:txbx>
                        <wps:bodyPr lIns="0" tIns="0" rIns="0" bIns="0" upright="1"/>
                      </wps:wsp>
                    </wpg:wgp>
                  </a:graphicData>
                </a:graphic>
              </wp:inline>
            </w:drawing>
          </mc:Choice>
          <mc:Fallback>
            <w:pict>
              <v:group id="组合 54" o:spid="_x0000_s1026" o:spt="203" style="height:333.7pt;width:388.6pt;" coordsize="7690,6525" o:gfxdata="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">
                <o:lock v:ext="edit" aspectratio="f"/>
                <v:shape id="任意多边形 55" o:spid="_x0000_s1026" o:spt="100" style="position:absolute;left:6674;top:2495;height:120;width:405;" fillcolor="#000000" filled="t" stroked="f" coordsize="405,120" o:gfxdata="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RMnr4A&#10;AADbAAAADwAAAAAAAAABACAAAAAiAAAAZHJzL2Rvd25yZXYueG1sUEsBAhQAFAAAAAgAh07iQDMv&#10;BZ47AAAAOQAAABAAAAAAAAAAAQAgAAAADQEAAGRycy9zaGFwZXhtbC54bWxQSwUGAAAAAAYABgBb&#10;AQAAtwMAAAAA&#10;" path="m286,120l282,0,404,56,286,120xm0,76l0,61,60,59,60,74,0,76xm105,72l105,57,165,56,165,71,105,72xm210,69l210,54,270,53,270,68,210,69xe">
                  <v:fill on="t" focussize="0,0"/>
                  <v:stroke on="f"/>
                  <v:imagedata o:title=""/>
                  <o:lock v:ext="edit" aspectratio="f"/>
                </v:shape>
                <v:shape id="任意多边形 56" o:spid="_x0000_s1026" o:spt="100" style="position:absolute;left:1099;top:410;height:4013;width:3151;" fillcolor="#000000" filled="t" stroked="f" coordsize="3151,4013" o:gfxdata="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RjRtwAAANsAAAAP&#10;AAAAAAAAAAEAIAAAACIAAABkcnMvZG93bnJldi54bWxQSwECFAAUAAAACACHTuJAMy8FnjsAAAA5&#10;AAAAEAAAAAAAAAABACAAAAAGAQAAZHJzL3NoYXBleG1sLnhtbFBLBQYAAAAABgAGAFsBAACwAwAA&#10;AAA=&#10;" path="m3141,20l3061,20,3061,0,3141,0,3141,20xm3001,20l2921,20,2921,0,3001,0,3001,20xm2861,20l2781,20,2781,0,2861,0,2861,20xm2721,20l2641,20,2641,0,2721,0,2721,20xm2581,20l2501,20,2501,0,2581,0,2581,20xm2441,20l2361,20,2361,0,2441,0,2441,20xm2301,20l2221,20,2221,0,2301,0,2301,20xm2161,20l2081,20,2081,0,2161,0,2161,20xm2021,20l1941,20,1941,0,2021,0,2021,20xm1881,20l1801,20,1801,0,1881,0,1881,20xm1741,20l1661,20,1661,0,1741,0,1741,20xm1601,20l1521,20,1521,0,1601,0,1601,20xm1461,20l1381,20,1381,0,1461,0,1461,20xm1321,20l1241,20,1241,0,1321,0,1321,20xm1181,20l1101,20,1101,0,1181,0,1181,20xm1041,20l961,20,961,0,1041,0,1041,20xm901,20l821,20,821,0,901,0,901,20xm761,20l681,20,681,0,761,0,761,20xm621,20l541,20,541,0,621,0,621,20xm481,20l401,20,401,0,481,0,481,20xm341,20l261,20,261,0,341,0,341,20xm201,20l121,20,121,0,201,0,201,20xm20,39l0,39,0,0,61,0,61,10,20,10,10,20,20,20,20,39xm20,20l10,20,20,10,20,20xm61,20l20,20,20,10,61,10,61,20xm20,179l0,179,0,99,20,99,20,179xm20,319l0,319,0,239,20,239,20,319xm20,459l0,459,0,379,20,379,20,459xm20,599l0,599,0,519,20,519,20,599xm20,739l0,739,0,659,20,659,20,739xm20,879l0,879,0,799,20,799,20,879xm20,1019l0,1019,0,939,20,939,20,1019xm20,1159l0,1159,0,1079,20,1079,20,1159xm20,1299l0,1299,0,1219,20,1219,20,1299xm20,1439l0,1439,0,1359,20,1359,20,1439xm20,1579l0,1579,0,1499,20,1499,20,1579xm20,1719l0,1719,0,1639,20,1639,20,1719xm20,1859l0,1859,0,1779,20,1779,20,1859xm20,1999l0,1999,0,1919,20,1919,20,1999xm20,2139l0,2139,0,2059,20,2059,20,2139xm20,2279l0,2279,0,2199,20,2199,20,2279xm20,2419l0,2419,0,2339,20,2339,20,2419xm20,2559l0,2559,0,2479,20,2479,20,2559xm20,2699l0,2699,0,2619,20,2619,20,2699xm20,2839l0,2839,0,2759,20,2759,20,2839xm20,2979l0,2979,0,2899,20,2899,20,2979xm20,3119l0,3119,0,3039,20,3039,20,3119xm20,3259l0,3259,0,3179,20,3179,20,3259xm20,3399l0,3399,0,3319,20,3319,20,3399xm20,3539l0,3539,0,3459,20,3459,20,3539xm20,3679l0,3679,0,3599,20,3599,20,3679xm20,3819l0,3819,0,3739,20,3739,20,3819xm20,3959l0,3959,0,3879,20,3879,20,3959xm106,4013l26,4013,26,3993,106,3993,106,4013xm246,4013l166,4013,166,3993,246,3993,246,4013xm386,4013l306,4013,306,3993,386,3993,386,4013xm526,4013l446,4013,446,3993,526,3993,526,4013xm666,4013l586,4013,586,3993,666,3993,666,4013xm806,4013l726,4013,726,3993,806,3993,806,4013xm946,4013l866,4013,866,3993,946,3993,946,4013xm1086,4013l1006,4013,1006,3993,1086,3993,1086,4013xm1226,4013l1146,4013,1146,3993,1226,3993,1226,4013xm1366,4013l1286,4013,1286,3993,1366,3993,1366,4013xm1506,4013l1426,4013,1426,3993,1506,3993,1506,4013xm1646,4013l1566,4013,1566,3993,1646,3993,1646,4013xm1786,4013l1706,4013,1706,3993,1786,3993,1786,4013xm1926,4013l1846,4013,1846,3993,1926,3993,1926,4013xm2066,4013l1986,4013,1986,3993,2066,3993,2066,4013xm2206,4013l2126,4013,2126,3993,2206,3993,2206,4013xm2346,4013l2266,4013,2266,3993,2346,3993,2346,4013xm2486,4013l2406,4013,2406,3993,2486,3993,2486,4013xm2626,4013l2546,4013,2546,3993,2626,3993,2626,4013xm2766,4013l2686,4013,2686,3993,2766,3993,2766,4013xm2906,4013l2826,4013,2826,3993,2906,3993,2906,4013xm3046,4013l2966,4013,2966,3993,3046,3993,3046,4013xm3131,4003l3131,3958,3151,3958,3151,3993,3141,3993,3131,4003xm3151,4013l3106,4013,3106,3993,3131,3993,3131,4003,3151,4003,3151,4013xm3151,4003l3131,4003,3141,3993,3151,3993,3151,4003xm3151,3898l3131,3898,3131,3818,3151,3818,3151,3898xm3151,3758l3131,3758,3131,3678,3151,3678,3151,3758xm3151,3618l3131,3618,3131,3538,3151,3538,3151,3618xm3151,3478l3131,3478,3131,3398,3151,3398,3151,3478xm3151,3338l3131,3338,3131,3258,3151,3258,3151,3338xm3151,3198l3131,3198,3131,3118,3151,3118,3151,3198xm3151,3058l3131,3058,3131,2978,3151,2978,3151,3058xm3151,2918l3131,2918,3131,2838,3151,2838,3151,2918xm3151,2778l3131,2778,3131,2698,3151,2698,3151,2778xm3151,2638l3131,2638,3131,2558,3151,2558,3151,2638xm3151,2498l3131,2498,3131,2418,3151,2418,3151,2498xm3151,2358l3131,2358,3131,2278,3151,2278,3151,2358xm3151,2218l3131,2218,3131,2138,3151,2138,3151,2218xm3151,2078l3131,2078,3131,1998,3151,1998,3151,2078xm3151,1938l3131,1938,3131,1858,3151,1858,3151,1938xm3151,1798l3131,1798,3131,1718,3151,1718,3151,1798xm3151,1658l3131,1658,3131,1578,3151,1578,3151,1658xm3151,1518l3131,1518,3131,1438,3151,1438,3151,1518xm3151,1378l3131,1378,3131,1298,3151,1298,3151,1378xm3151,1238l3131,1238,3131,1158,3151,1158,3151,1238xm3151,1098l3131,1098,3131,1018,3151,1018,3151,1098xm3151,958l3131,958,3131,878,3151,878,3151,958xm3151,818l3131,818,3131,738,3151,738,3151,818xm3151,678l3131,678,3131,598,3151,598,3151,678xm3151,538l3131,538,3131,458,3151,458,3151,538xm3151,398l3131,398,3131,318,3151,318,3151,398xm3151,258l3131,258,3131,178,3151,178,3151,258xm3151,118l3131,118,3131,38,3151,38,3151,118xe">
                  <v:fill on="t" focussize="0,0"/>
                  <v:stroke on="f"/>
                  <v:imagedata o:title=""/>
                  <o:lock v:ext="edit" aspectratio="f"/>
                </v:shape>
                <v:shape id="任意多边形 57" o:spid="_x0000_s1026" o:spt="100" style="position:absolute;left:4274;top:913;height:120;width:1058;" fillcolor="#000000" filled="t" stroked="f" coordsize="1058,120" o:gfxdata="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vb7L4A&#10;AADbAAAADwAAAAAAAAABACAAAAAiAAAAZHJzL2Rvd25yZXYueG1sUEsBAhQAFAAAAAgAh07iQDMv&#10;BZ47AAAAOQAAABAAAAAAAAAAAQAgAAAADQEAAGRycy9zaGFwZXhtbC54bWxQSwUGAAAAAAYABgBb&#10;AQAAtwMAAAAA&#10;" path="m937,120l937,0,1043,53,967,53,945,53,945,68,1041,68,937,120xm945,68l945,53,967,53,967,68,945,68xm1041,68l945,68,967,68,967,53,1043,53,1057,60,1041,68xm0,72l0,57,60,56,60,71,0,72xm105,71l105,56,165,56,165,71,105,71xm210,71l210,56,270,56,270,71,210,71xm315,70l315,55,375,55,375,70,315,70xm420,70l420,55,480,55,480,70,420,70xm525,70l525,55,585,54,585,69,525,70xm630,69l630,54,690,54,690,69,630,69xm735,69l735,54,795,54,795,69,735,69xm840,68l840,53,900,53,900,68,840,68xe">
                  <v:fill on="t" focussize="0,0"/>
                  <v:stroke on="f"/>
                  <v:imagedata o:title=""/>
                  <o:lock v:ext="edit" aspectratio="f"/>
                </v:shape>
                <v:shape id="任意多边形 58" o:spid="_x0000_s1026" o:spt="100" style="position:absolute;left:5302;top:1504;height:516;width:2040;" fillcolor="#000000" filled="t" stroked="f" coordsize="2040,516" o:gfxdata="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L/LQ+KzAAAA2wAAAA8AAAAA&#10;AAAAAQAgAAAAIgAAAGRycy9kb3ducmV2LnhtbFBLAQIUABQAAAAIAIdO4kAzLwWeOwAAADkAAAAQ&#10;AAAAAAAAAAEAIAAAAAIBAABkcnMvc2hhcGV4bWwueG1sUEsFBgAAAAAGAAYAWwEAAKwDAAAAAA==&#10;" path="m2034,516l6,516,4,516,2,514,0,512,0,510,0,6,0,4,2,2,4,1,6,0,2034,0,2036,1,2038,2,2040,4,2040,6,12,6,6,12,12,12,12,504,6,504,12,510,2040,510,2040,512,2038,514,2036,516,2034,516xm12,12l6,12,12,6,12,12xm2028,12l12,12,12,6,2028,6,2028,12xm2028,510l2028,6,2034,12,2040,12,2040,504,2034,504,2028,510xm2040,12l2034,12,2028,6,2040,6,2040,12xm12,510l6,504,12,504,12,510xm2028,510l12,510,12,504,2028,504,2028,510xm2040,510l2028,510,2034,504,2040,504,2040,510xe">
                  <v:fill on="t" focussize="0,0"/>
                  <v:stroke on="f"/>
                  <v:imagedata o:title=""/>
                  <o:lock v:ext="edit" aspectratio="f"/>
                </v:shape>
                <v:shape id="任意多边形 59" o:spid="_x0000_s1026" o:spt="100" style="position:absolute;left:4261;top:1711;height:120;width:1058;" fillcolor="#000000" filled="t" stroked="f" coordsize="1058,120" o:gfxdata="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R1XvQAA&#10;ANsAAAAPAAAAAAAAAAEAIAAAACIAAABkcnMvZG93bnJldi54bWxQSwECFAAUAAAACACHTuJAMy8F&#10;njsAAAA5AAAAEAAAAAAAAAABACAAAAAMAQAAZHJzL3NoYXBleG1sLnhtbFBLBQYAAAAABgAGAFsB&#10;AAC2AwAAAAA=&#10;" path="m937,120l937,0,1043,53,967,53,945,53,945,68,1041,68,937,120xm945,68l945,53,967,53,967,68,945,68xm1041,68l945,68,967,68,967,53,1043,53,1057,60,1041,68xm0,72l0,57,60,56,60,71,0,72xm105,71l105,56,165,56,165,71,105,71xm210,71l210,56,270,56,270,71,210,71xm315,70l315,55,375,55,375,70,315,70xm420,70l420,55,480,55,480,70,420,70xm525,70l525,55,585,54,585,69,525,70xm630,69l630,54,690,54,690,69,630,69xm735,69l735,54,795,54,795,69,735,69xm840,68l840,53,900,53,900,68,840,68xe">
                  <v:fill on="t" focussize="0,0"/>
                  <v:stroke on="f"/>
                  <v:imagedata o:title=""/>
                  <o:lock v:ext="edit" aspectratio="f"/>
                </v:shape>
                <v:shape id="任意多边形 60" o:spid="_x0000_s1026" o:spt="100" style="position:absolute;left:0;top:1592;height:120;width:1126;" fillcolor="#000000" filled="t" stroked="f" coordsize="1126,120" o:gfxdata="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MKKO8AAAA&#10;2wAAAA8AAAAAAAAAAQAgAAAAIgAAAGRycy9kb3ducmV2LnhtbFBLAQIUABQAAAAIAIdO4kAzLwWe&#10;OwAAADkAAAAQAAAAAAAAAAEAIAAAAAsBAABkcnMvc2hhcGV4bWwueG1sUEsFBgAAAAAGAAYAWwEA&#10;ALUDAAAAAA==&#10;" path="m1111,67l1035,67,1035,52,1005,52,1005,0,1125,60,1111,67xm1005,67l0,64,0,49,1005,52,1005,67xm1035,67l1005,67,1005,52,1035,52,1035,67xm1005,120l1005,67,1111,67,1005,120xe">
                  <v:fill on="t" focussize="0,0"/>
                  <v:stroke on="f"/>
                  <v:imagedata o:title=""/>
                  <o:lock v:ext="edit" aspectratio="f"/>
                </v:shape>
                <v:shape id="任意多边形 61" o:spid="_x0000_s1026" o:spt="100" style="position:absolute;left:5397;top:2306;height:516;width:1284;" fillcolor="#000000" filled="t" stroked="f" coordsize="1284,516" o:gfxdata="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alOvQAA&#10;ANsAAAAPAAAAAAAAAAEAIAAAACIAAABkcnMvZG93bnJldi54bWxQSwECFAAUAAAACACHTuJAMy8F&#10;njsAAAA5AAAAEAAAAAAAAAABACAAAAAMAQAAZHJzL3NoYXBleG1sLnhtbFBLBQYAAAAABgAGAFsB&#10;AAC2AwAAAAA=&#10;" path="m1278,516l6,516,4,516,2,514,0,512,0,510,0,6,0,4,2,2,4,1,6,0,1278,0,1280,1,1282,2,1284,4,1284,6,12,6,6,12,12,12,12,504,6,504,12,510,1284,510,1284,512,1282,514,1280,516,1278,516xm12,12l6,12,12,6,12,12xm1272,12l12,12,12,6,1272,6,1272,12xm1272,510l1272,6,1278,12,1284,12,1284,504,1278,504,1272,510xm1284,12l1278,12,1272,6,1284,6,1284,12xm12,510l6,504,12,504,12,510xm1272,510l12,510,12,504,1272,504,1272,510xm1284,510l1272,510,1278,504,1284,504,1284,510xe">
                  <v:fill on="t" focussize="0,0"/>
                  <v:stroke on="f"/>
                  <v:imagedata o:title=""/>
                  <o:lock v:ext="edit" aspectratio="f"/>
                </v:shape>
                <v:shape id="任意多边形 62" o:spid="_x0000_s1026" o:spt="100" style="position:absolute;left:4300;top:2504;height:120;width:1103;" fillcolor="#000000" filled="t" stroked="f" coordsize="1103,120" o:gfxdata="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MEZ+/&#10;AAAA2wAAAA8AAAAAAAAAAQAgAAAAIgAAAGRycy9kb3ducmV2LnhtbFBLAQIUABQAAAAIAIdO4kAz&#10;LwWeOwAAADkAAAAQAAAAAAAAAAEAIAAAAA4BAABkcnMvc2hhcGV4bWwueG1sUEsFBgAAAAAGAAYA&#10;WwEAALgDAAAAAA==&#10;" path="m1088,68l1005,68,1005,53,982,53,982,0,1102,61,1088,68xm982,68l945,68,945,53,982,53,982,68xm1005,68l982,68,982,53,1005,53,1005,68xm982,120l982,68,1088,68,982,120xm60,64l0,64,0,49,60,49,60,64xm165,64l105,64,105,49,165,49,165,64xm270,65l210,64,210,49,270,50,270,65xm375,65l315,65,315,50,375,50,375,65xm480,66l420,65,420,50,480,51,480,66xm585,66l525,66,525,51,585,51,585,66xm690,67l630,66,630,51,690,52,690,67xm795,67l735,67,735,52,795,52,795,67xm900,68l840,67,840,52,900,53,900,68xe">
                  <v:fill on="t" focussize="0,0"/>
                  <v:stroke on="f"/>
                  <v:imagedata o:title=""/>
                  <o:lock v:ext="edit" aspectratio="f"/>
                </v:shape>
                <v:shape id="任意多边形 63" o:spid="_x0000_s1026" o:spt="100" style="position:absolute;left:147;top:2309;height:120;width:978;" fillcolor="#000000" filled="t" stroked="f" coordsize="978,120" o:gfxdata="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PvVe8AAAA&#10;2wAAAA8AAAAAAAAAAQAgAAAAIgAAAGRycy9kb3ducmV2LnhtbFBLAQIUABQAAAAIAIdO4kAzLwWe&#10;OwAAADkAAAAQAAAAAAAAAAEAIAAAAAsBAABkcnMvc2hhcGV4bWwueG1sUEsFBgAAAAAGAAYAWwEA&#10;ALUDAAAAAA==&#10;" path="m858,120l858,0,963,53,888,53,888,68,963,68,858,120xm858,68l0,68,0,53,858,53,858,68xm963,68l888,68,888,53,963,53,978,60,963,68xe">
                  <v:fill on="t" focussize="0,0"/>
                  <v:stroke on="f"/>
                  <v:imagedata o:title=""/>
                  <o:lock v:ext="edit" aspectratio="f"/>
                </v:shape>
                <v:shape id="任意多边形 64" o:spid="_x0000_s1026" o:spt="100" style="position:absolute;left:2765;top:0;height:1139;width:120;" fillcolor="#000000" filled="t" stroked="f" coordsize="120,1139" o:gfxdata="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5TmC8AAAA&#10;2wAAAA8AAAAAAAAAAQAgAAAAIgAAAGRycy9kb3ducmV2LnhtbFBLAQIUABQAAAAIAIdO4kAzLwWe&#10;OwAAADkAAAAQAAAAAAAAAAEAIAAAAAsBAABkcnMvc2hhcGV4bWwueG1sUEsFBgAAAAAGAAYAWwEA&#10;ALUDAAAAAA==&#10;" path="m53,1018l47,0,62,0,68,1018,53,1018xm105,1048l53,1048,68,1048,68,1018,120,1018,105,1048xm53,1048l53,1018,68,1018,68,1048,53,1048xm61,1138l0,1018,53,1018,53,1048,105,1048,61,1138xe">
                  <v:fill on="t" focussize="0,0"/>
                  <v:stroke on="f"/>
                  <v:imagedata o:title=""/>
                  <o:lock v:ext="edit" aspectratio="f"/>
                </v:shape>
                <v:shape id="任意多边形 65" o:spid="_x0000_s1026" o:spt="100" style="position:absolute;left:1953;top:1132;height:516;width:1745;" fillcolor="#000000" filled="t" stroked="f" coordsize="1745,516" o:gfxdata="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cnaq5AAAA2wAA&#10;AA8AAAAAAAAAAQAgAAAAIgAAAGRycy9kb3ducmV2LnhtbFBLAQIUABQAAAAIAIdO4kAzLwWeOwAA&#10;ADkAAAAQAAAAAAAAAAEAIAAAAAgBAABkcnMvc2hhcGV4bWwueG1sUEsFBgAAAAAGAAYAWwEAALID&#10;AAAAAA==&#10;" path="m1739,516l6,516,4,516,2,514,0,512,0,510,0,6,0,4,2,2,4,1,6,0,1739,0,1741,1,1743,2,1745,4,1745,6,12,6,6,12,12,12,12,504,6,504,12,510,1745,510,1745,512,1743,514,1741,516,1739,516xm12,12l6,12,12,6,12,12xm1733,12l12,12,12,6,1733,6,1733,12xm1733,510l1733,6,1739,12,1745,12,1745,504,1739,504,1733,510xm1745,12l1739,12,1733,6,1745,6,1745,12xm12,510l6,504,12,504,12,510xm1733,510l12,510,12,504,1733,504,1733,510xm1745,510l1733,510,1739,504,1745,504,1745,510xe">
                  <v:fill on="t" focussize="0,0"/>
                  <v:stroke on="f"/>
                  <v:imagedata o:title=""/>
                  <o:lock v:ext="edit" aspectratio="f"/>
                </v:shape>
                <v:shape id="任意多边形 66" o:spid="_x0000_s1026" o:spt="100" style="position:absolute;left:1964;top:2128;height:783;width:1745;" fillcolor="#000000" filled="t" stroked="f" coordsize="1745,783" o:gfxdata="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BmaLsAAADb&#10;AAAADwAAAAAAAAABACAAAAAiAAAAZHJzL2Rvd25yZXYueG1sUEsBAhQAFAAAAAgAh07iQDMvBZ47&#10;AAAAOQAAABAAAAAAAAAAAQAgAAAACgEAAGRycy9zaGFwZXhtbC54bWxQSwUGAAAAAAYABgBbAQAA&#10;tAMAAAAA&#10;" path="m1739,783l6,783,4,783,2,781,0,779,0,777,0,6,0,4,2,2,4,1,6,0,1739,0,1741,1,1743,2,1745,4,1745,6,12,6,6,12,12,12,12,771,6,771,12,777,1745,777,1745,779,1743,781,1741,783,1739,783xm12,12l6,12,12,6,12,12xm1733,12l12,12,12,6,1733,6,1733,12xm1733,777l1733,6,1739,12,1745,12,1745,771,1739,771,1733,777xm1745,12l1739,12,1733,6,1745,6,1745,12xm12,777l6,771,12,771,12,777xm1733,777l12,777,12,771,1733,771,1733,777xm1745,777l1733,777,1739,771,1745,771,1745,777xe">
                  <v:fill on="t" focussize="0,0"/>
                  <v:stroke on="f"/>
                  <v:imagedata o:title=""/>
                  <o:lock v:ext="edit" aspectratio="f"/>
                </v:shape>
                <v:shape id="任意多边形 67" o:spid="_x0000_s1026" o:spt="100" style="position:absolute;left:2774;top:1641;height:493;width:120;" fillcolor="#000000" filled="t" stroked="f" coordsize="120,493" o:gfxdata="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RsTugAAANsA&#10;AAAPAAAAAAAAAAEAIAAAACIAAABkcnMvZG93bnJldi54bWxQSwECFAAUAAAACACHTuJAMy8FnjsA&#10;AAA5AAAAEAAAAAAAAAABACAAAAAJAQAAZHJzL3NoYXBleG1sLnhtbFBLBQYAAAAABgAGAFsBAACz&#10;AwAAAAA=&#10;" path="m53,372l45,0,60,0,68,372,53,372xm105,402l54,402,69,402,68,372,120,371,105,402xm54,402l53,372,68,372,69,402,54,402xm63,492l0,373,53,372,54,402,105,402,63,492xe">
                  <v:fill on="t" focussize="0,0"/>
                  <v:stroke on="f"/>
                  <v:imagedata o:title=""/>
                  <o:lock v:ext="edit" aspectratio="f"/>
                </v:shape>
                <v:shape id="任意多边形 68" o:spid="_x0000_s1026" o:spt="100" style="position:absolute;left:2771;top:2904;height:430;width:120;" fillcolor="#000000" filled="t" stroked="f" coordsize="120,430" o:gfxdata="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9nvugAAANsA&#10;AAAPAAAAAAAAAAEAIAAAACIAAABkcnMvZG93bnJldi54bWxQSwECFAAUAAAACACHTuJAMy8FnjsA&#10;AAA5AAAAEAAAAAAAAAABACAAAAAJAQAAZHJzL3NoYXBleG1sLnhtbFBLBQYAAAAABgAGAFsBAACz&#10;AwAAAAA=&#10;" path="m68,309l53,309,59,0,74,0,68,309xm58,429l0,308,53,309,52,339,67,339,105,339,58,429xm67,339l52,339,53,309,68,309,67,339xm105,339l67,339,68,309,120,310,105,339xe">
                  <v:fill on="t" focussize="0,0"/>
                  <v:stroke on="f"/>
                  <v:imagedata o:title=""/>
                  <o:lock v:ext="edit" aspectratio="f"/>
                </v:shape>
                <v:shape id="任意多边形 69" o:spid="_x0000_s1026" o:spt="100" style="position:absolute;left:1956;top:3328;height:839;width:1745;" fillcolor="#000000" filled="t" stroked="f" coordsize="1745,839" o:gfxdata="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hlQW8AAAA&#10;2wAAAA8AAAAAAAAAAQAgAAAAIgAAAGRycy9kb3ducmV2LnhtbFBLAQIUABQAAAAIAIdO4kAzLwWe&#10;OwAAADkAAAAQAAAAAAAAAAEAIAAAAAsBAABkcnMvc2hhcGV4bWwueG1sUEsFBgAAAAAGAAYAWwEA&#10;ALUDAAAAAA==&#10;" path="m1739,839l6,839,4,839,2,837,0,835,0,833,0,6,0,4,2,2,4,0,6,0,1739,0,1741,0,1743,2,1745,4,1745,6,12,6,6,12,12,12,12,827,6,827,12,833,1745,833,1745,835,1743,837,1741,839,1739,839xm12,12l6,12,12,6,12,12xm1733,12l12,12,12,6,1733,6,1733,12xm1733,833l1733,6,1739,12,1745,12,1745,827,1739,827,1733,833xm1745,12l1739,12,1733,6,1745,6,1745,12xm12,833l6,827,12,827,12,833xm1733,833l12,833,12,827,1733,827,1733,833xm1745,833l1733,833,1739,827,1745,827,1745,833xe">
                  <v:fill on="t" focussize="0,0"/>
                  <v:stroke on="f"/>
                  <v:imagedata o:title=""/>
                  <o:lock v:ext="edit" aspectratio="f"/>
                </v:shape>
                <v:shape id="任意多边形 70" o:spid="_x0000_s1026" o:spt="100" style="position:absolute;left:2777;top:4160;height:599;width:120;" fillcolor="#000000" filled="t" stroked="f" coordsize="120,599" o:gfxdata="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KYHvQAA&#10;ANsAAAAPAAAAAAAAAAEAIAAAACIAAABkcnMvZG93bnJldi54bWxQSwECFAAUAAAACACHTuJAMy8F&#10;njsAAAA5AAAAEAAAAAAAAAABACAAAAAMAQAAZHJzL3NoYXBleG1sLnhtbFBLBQYAAAAABgAGAFsB&#10;AAC2AwAAAAA=&#10;" path="m52,478l44,0,59,0,67,478,52,478xm105,508l53,508,68,508,67,478,120,477,105,508xm53,508l52,478,67,478,68,508,53,508xm62,598l0,479,52,478,53,508,105,508,62,598xe">
                  <v:fill on="t" focussize="0,0"/>
                  <v:stroke on="f"/>
                  <v:imagedata o:title=""/>
                  <o:lock v:ext="edit" aspectratio="f"/>
                </v:shape>
                <v:shape id="任意多边形 71" o:spid="_x0000_s1026" o:spt="100" style="position:absolute;left:1967;top:4753;height:516;width:1745;" fillcolor="#000000" filled="t" stroked="f" coordsize="1745,516" o:gfxdata="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j4NdLgAAADbAAAA&#10;DwAAAAAAAAABACAAAAAiAAAAZHJzL2Rvd25yZXYueG1sUEsBAhQAFAAAAAgAh07iQDMvBZ47AAAA&#10;OQAAABAAAAAAAAAAAQAgAAAABwEAAGRycy9zaGFwZXhtbC54bWxQSwUGAAAAAAYABgBbAQAAsQMA&#10;AAAA&#10;" path="m1739,516l6,516,4,516,2,514,0,512,0,510,0,6,0,4,2,2,4,0,6,0,1739,0,1741,0,1743,2,1745,4,1745,6,12,6,6,12,12,12,12,504,6,504,12,510,1745,510,1745,512,1743,514,1741,516,1739,516xm12,12l6,12,12,6,12,12xm1733,12l12,12,12,6,1733,6,1733,12xm1733,510l1733,6,1739,12,1745,12,1745,504,1739,504,1733,510xm1745,12l1739,12,1733,6,1745,6,1745,12xm12,510l6,504,12,504,12,510xm1733,510l12,510,12,504,1733,504,1733,510xm1745,510l1733,510,1739,504,1745,504,1745,510xe">
                  <v:fill on="t" focussize="0,0"/>
                  <v:stroke on="f"/>
                  <v:imagedata o:title=""/>
                  <o:lock v:ext="edit" aspectratio="f"/>
                </v:shape>
                <v:shape id="任意多边形 72" o:spid="_x0000_s1026" o:spt="100" style="position:absolute;left:2787;top:5262;height:455;width:120;" fillcolor="#000000" filled="t" stroked="f" coordsize="120,455" o:gfxdata="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CEV0ugAAANsA&#10;AAAPAAAAAAAAAAEAIAAAACIAAABkcnMvZG93bnJldi54bWxQSwECFAAUAAAACACHTuJAMy8FnjsA&#10;AAA5AAAAEAAAAAAAAAABACAAAAAJAQAAZHJzL3NoYXBleG1sLnhtbFBLBQYAAAAABgAGAFsBAACz&#10;AwAAAAA=&#10;" path="m53,334l46,0,61,0,68,334,53,334xm105,364l54,364,69,364,68,334,120,333,105,364xm54,364l53,334,68,334,69,364,54,364xm63,454l0,335,53,334,54,364,105,364,63,454xe">
                  <v:fill on="t" focussize="0,0"/>
                  <v:stroke on="f"/>
                  <v:imagedata o:title=""/>
                  <o:lock v:ext="edit" aspectratio="f"/>
                </v:shape>
                <v:shape id="任意多边形 73" o:spid="_x0000_s1026" o:spt="100" style="position:absolute;left:1977;top:5711;height:516;width:1745;" fillcolor="#000000" filled="t" stroked="f" coordsize="1745,516" o:gfxdata="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bMJu5AAAA2wAA&#10;AA8AAAAAAAAAAQAgAAAAIgAAAGRycy9kb3ducmV2LnhtbFBLAQIUABQAAAAIAIdO4kAzLwWeOwAA&#10;ADkAAAAQAAAAAAAAAAEAIAAAAAgBAABkcnMvc2hhcGV4bWwueG1sUEsFBgAAAAAGAAYAWwEAALID&#10;AAAAAA==&#10;" path="m1739,516l6,516,4,516,2,514,0,512,0,510,0,6,0,4,2,2,4,1,6,0,1739,0,1741,1,1743,2,1745,4,1745,6,12,6,6,12,12,12,12,504,6,504,12,510,1745,510,1745,512,1743,514,1741,516,1739,516xm12,12l6,12,12,6,12,12xm1733,12l12,12,12,6,1733,6,1733,12xm1733,510l1733,6,1739,12,1745,12,1745,504,1739,504,1733,510xm1745,12l1739,12,1733,6,1745,6,1745,12xm12,510l6,504,12,504,12,510xm1733,510l12,510,12,504,1733,504,1733,510xm1745,510l1733,510,1739,504,1745,504,1745,510xe">
                  <v:fill on="t" focussize="0,0"/>
                  <v:stroke on="f"/>
                  <v:imagedata o:title=""/>
                  <o:lock v:ext="edit" aspectratio="f"/>
                </v:shape>
                <v:shape id="任意多边形 74" o:spid="_x0000_s1026" o:spt="100" style="position:absolute;left:3716;top:5909;height:120;width:2312;" fillcolor="#000000" filled="t" stroked="f" coordsize="2312,120" o:gfxdata="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Myde/&#10;AAAA2wAAAA8AAAAAAAAAAQAgAAAAIgAAAGRycy9kb3ducmV2LnhtbFBLAQIUABQAAAAIAIdO4kAz&#10;LwWeOwAAADkAAAAQAAAAAAAAAAEAIAAAAA4BAABkcnMvc2hhcGV4bWwueG1sUEsFBgAAAAAGAAYA&#10;WwEAALgDAAAAAA==&#10;" path="m2192,120l2192,0,2300,54,2222,54,2222,66,2300,66,2192,120xm2192,66l2184,66,2184,54,2192,54,2192,66xm2300,66l2222,66,2222,54,2300,54,2312,60,2300,66xm48,66l0,66,0,54,48,54,48,66xm132,66l84,66,84,54,132,54,132,66xm216,66l168,66,168,54,216,54,216,66xm300,66l252,66,252,54,300,54,300,66xm384,66l336,66,336,54,384,54,384,66xm468,66l420,66,420,54,468,54,468,66xm552,66l504,66,504,54,552,54,552,66xm636,66l588,66,588,54,636,54,636,66xm720,66l672,66,672,54,720,54,720,66xm804,66l756,66,756,54,804,54,804,66xm888,66l840,66,840,54,888,54,888,66xm972,66l924,66,924,54,972,54,972,66xm1056,66l1008,66,1008,54,1056,54,1056,66xm1140,66l1092,66,1092,54,1140,54,1140,66xm1224,66l1176,66,1176,54,1224,54,1224,66xm1308,66l1260,66,1260,54,1308,54,1308,66xm1392,66l1344,66,1344,54,1392,54,1392,66xm1476,66l1428,66,1428,54,1476,54,1476,66xm1560,66l1512,66,1512,54,1560,54,1560,66xm1644,66l1596,66,1596,54,1644,54,1644,66xm1728,66l1680,66,1680,54,1728,54,1728,66xm1812,66l1764,66,1764,54,1812,54,1812,66xm1896,66l1848,66,1848,54,1896,54,1896,66xm1980,66l1932,66,1932,54,1980,54,1980,66xm2064,66l2016,66,2016,54,2064,54,2064,66xm2148,66l2100,66,2100,54,2148,54,2148,66xe">
                  <v:fill on="t" focussize="0,0"/>
                  <v:stroke on="f"/>
                  <v:imagedata o:title=""/>
                  <o:lock v:ext="edit" aspectratio="f"/>
                </v:shape>
                <v:shape id="图片 75" o:spid="_x0000_s1026" o:spt="75" type="#_x0000_t75" style="position:absolute;left:2783;top:6220;height:304;width:120;" filled="f" o:preferrelative="t" stroked="f" coordsize="21600,21600" o:gfxdata="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kfsvQAA&#10;ANsAAAAPAAAAAAAAAAEAIAAAACIAAABkcnMvZG93bnJldi54bWxQSwECFAAUAAAACACHTuJAMy8F&#10;njsAAAA5AAAAEAAAAAAAAAABACAAAAAMAQAAZHJzL3NoYXBleG1sLnhtbFBLBQYAAAAABgAGAFsB&#10;AAC2AwAAAAA=&#10;">
                  <v:fill on="f" focussize="0,0"/>
                  <v:stroke on="f"/>
                  <v:imagedata r:id="rId33" o:title=""/>
                  <o:lock v:ext="edit" aspectratio="t"/>
                </v:shape>
                <v:shape id="任意多边形 76" o:spid="_x0000_s1026" o:spt="100" style="position:absolute;left:354;top:5907;height:120;width:1629;" fillcolor="#000000" filled="t" stroked="f" coordsize="1629,120" o:gfxdata="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TssLgAAADbAAAA&#10;DwAAAAAAAAABACAAAAAiAAAAZHJzL2Rvd25yZXYueG1sUEsBAhQAFAAAAAgAh07iQDMvBZ47AAAA&#10;OQAAABAAAAAAAAAAAQAgAAAABwEAAGRycy9zaGFwZXhtbC54bWxQSwUGAAAAAAYABgBbAQAAsQMA&#10;AAAA&#10;" path="m1614,68l1538,68,1538,53,1508,52,1509,0,1628,61,1614,68xm1508,67l0,53,0,38,1508,52,1508,67xm1538,68l1508,67,1508,52,1538,53,1538,68xm1507,120l1508,67,1614,68,1507,120xe">
                  <v:fill on="t" focussize="0,0"/>
                  <v:stroke on="f"/>
                  <v:imagedata o:title=""/>
                  <o:lock v:ext="edit" aspectratio="f"/>
                </v:shape>
                <v:shape id="任意多边形 77" o:spid="_x0000_s1026" o:spt="100" style="position:absolute;left:5978;top:2816;height:3097;width:120;" fillcolor="#000000" filled="t" stroked="f" coordsize="120,3097" o:gfxdata="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dBvQAA&#10;ANsAAAAPAAAAAAAAAAEAIAAAACIAAABkcnMvZG93bnJldi54bWxQSwECFAAUAAAACACHTuJAMy8F&#10;njsAAAA5AAAAEAAAAAAAAAABACAAAAAMAQAAZHJzL3NoYXBleG1sLnhtbFBLBQYAAAAABgAGAFsB&#10;AAC2AwAAAAA=&#10;" path="m54,120l0,120,60,0,114,108,54,108,54,120xm66,120l54,120,54,108,66,108,66,120xm120,120l66,120,66,108,54,108,114,108,120,120xm65,156l53,156,54,120,66,120,65,156xm55,3096l43,3096,43,3048,55,3048,55,3096xm55,3012l43,3012,43,2964,55,2964,55,3012xm56,2928l44,2928,44,2880,56,2880,56,2928xm56,2844l44,2844,44,2796,56,2796,56,2844xm56,2760l44,2760,44,2712,56,2712,56,2760xm57,2676l45,2676,45,2628,57,2628,57,2676xm57,2592l45,2592,45,2544,57,2544,57,2592xm57,2508l45,2508,45,2460,57,2460,57,2508xm57,2424l45,2424,46,2376,58,2376,57,2424xm58,2340l46,2340,46,2292,58,2292,58,2340xm58,2256l46,2256,46,2208,58,2208,58,2256xm58,2172l46,2172,46,2124,58,2124,58,2172xm59,2088l47,2088,47,2040,59,2040,59,2088xm59,2004l47,2004,47,1956,59,1956,59,2004xm59,1920l47,1920,47,1872,59,1872,59,1920xm59,1836l47,1836,48,1788,60,1788,59,1836xm60,1752l48,1752,48,1704,60,1704,60,1752xm60,1668l48,1668,48,1620,60,1620,60,1668xm60,1584l48,1584,49,1536,61,1536,60,1584xm61,1500l49,1500,49,1452,61,1452,61,1500xm61,1416l49,1416,49,1368,61,1368,61,1416xm61,1332l49,1332,49,1284,61,1284,61,1332xm62,1248l50,1248,50,1200,62,1200,62,1248xm62,1164l50,1164,50,1116,62,1116,62,1164xm62,1080l50,1080,50,1032,62,1032,62,1080xm62,996l50,996,51,948,63,948,62,996xm63,912l51,912,51,864,63,864,63,912xm63,828l51,828,51,780,63,780,63,828xm63,744l51,744,52,696,64,696,63,744xm64,660l52,660,52,612,64,612,64,660xm64,576l52,576,52,528,64,528,64,576xm64,492l52,492,52,444,64,444,64,492xm65,408l53,408,53,360,65,360,65,408xm65,324l53,324,53,276,65,276,65,324xm65,240l53,240,53,192,65,192,65,240xe">
                  <v:fill on="t" focussize="0,0"/>
                  <v:stroke on="f"/>
                  <v:imagedata o:title=""/>
                  <o:lock v:ext="edit" aspectratio="f"/>
                </v:shape>
                <v:shape id="文本框 78" o:spid="_x0000_s1026" o:spt="202" type="#_x0000_t202" style="position:absolute;left:1304;top:521;height:240;width:500;"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40" w:lineRule="exact"/>
                          <w:ind w:left="0" w:right="0" w:firstLine="0"/>
                          <w:jc w:val="left"/>
                          <w:rPr>
                            <w:sz w:val="24"/>
                          </w:rPr>
                        </w:pPr>
                        <w:r>
                          <w:rPr>
                            <w:sz w:val="24"/>
                          </w:rPr>
                          <w:t>羊舍</w:t>
                        </w:r>
                      </w:p>
                    </w:txbxContent>
                  </v:textbox>
                </v:shape>
                <v:shape id="文本框 79" o:spid="_x0000_s1026" o:spt="202" type="#_x0000_t202" style="position:absolute;left:2113;top:699;height:243;width:1808;"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827"/>
                          </w:tabs>
                          <w:spacing w:before="0" w:line="242" w:lineRule="exact"/>
                          <w:ind w:left="0" w:right="0" w:firstLine="0"/>
                          <w:jc w:val="left"/>
                          <w:rPr>
                            <w:sz w:val="24"/>
                          </w:rPr>
                        </w:pPr>
                        <w:r>
                          <w:rPr>
                            <w:sz w:val="24"/>
                          </w:rPr>
                          <w:t>配种</w:t>
                        </w:r>
                        <w:r>
                          <w:rPr>
                            <w:sz w:val="24"/>
                          </w:rPr>
                          <w:tab/>
                        </w:r>
                        <w:r>
                          <w:rPr>
                            <w:sz w:val="24"/>
                          </w:rPr>
                          <w:t>人工授精</w:t>
                        </w:r>
                      </w:p>
                    </w:txbxContent>
                  </v:textbox>
                </v:shape>
                <v:shape id="文本框 80" o:spid="_x0000_s1026" o:spt="202" type="#_x0000_t202" style="position:absolute;left:5478;top:838;height:240;width:50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恶臭</w:t>
                        </w:r>
                      </w:p>
                    </w:txbxContent>
                  </v:textbox>
                </v:shape>
                <v:shape id="文本框 81" o:spid="_x0000_s1026" o:spt="202" type="#_x0000_t202" style="position:absolute;left:44;top:1275;height:240;width: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外购饲料</w:t>
                        </w:r>
                      </w:p>
                    </w:txbxContent>
                  </v:textbox>
                </v:shape>
                <v:shape id="文本框 82" o:spid="_x0000_s1026" o:spt="202" type="#_x0000_t202" style="position:absolute;left:2226;top:1251;height:240;width:1220;"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商品羊繁育</w:t>
                        </w:r>
                      </w:p>
                    </w:txbxContent>
                  </v:textbox>
                </v:shape>
                <v:shape id="文本框 83" o:spid="_x0000_s1026" o:spt="202" type="#_x0000_t202" style="position:absolute;left:4443;top:1421;height:240;width:74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病死羊</w:t>
                        </w:r>
                      </w:p>
                    </w:txbxContent>
                  </v:textbox>
                </v:shape>
                <v:shape id="文本框 84" o:spid="_x0000_s1026" o:spt="202" type="#_x0000_t202" style="position:absolute;left:5482;top:1623;height:240;width:1700;"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无害化处理车间</w:t>
                        </w:r>
                      </w:p>
                    </w:txbxContent>
                  </v:textbox>
                </v:shape>
                <v:shape id="文本框 85" o:spid="_x0000_s1026" o:spt="202" type="#_x0000_t202" style="position:absolute;left:318;top:1997;height:240;width:500;"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饮水</w:t>
                        </w:r>
                      </w:p>
                    </w:txbxContent>
                  </v:textbox>
                </v:shape>
                <v:shape id="文本框 86" o:spid="_x0000_s1026" o:spt="202" type="#_x0000_t202" style="position:absolute;left:2235;top:2247;height:552;width:1220;"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74" w:lineRule="exact"/>
                          <w:ind w:left="-1" w:right="18" w:firstLine="0"/>
                          <w:jc w:val="center"/>
                          <w:rPr>
                            <w:sz w:val="24"/>
                          </w:rPr>
                        </w:pPr>
                        <w:r>
                          <w:rPr>
                            <w:spacing w:val="-4"/>
                            <w:sz w:val="24"/>
                          </w:rPr>
                          <w:t>羔羊工厂化</w:t>
                        </w:r>
                      </w:p>
                      <w:p>
                        <w:pPr>
                          <w:spacing w:before="4" w:line="274" w:lineRule="exact"/>
                          <w:ind w:left="220" w:right="239" w:firstLine="0"/>
                          <w:jc w:val="center"/>
                          <w:rPr>
                            <w:sz w:val="24"/>
                          </w:rPr>
                        </w:pPr>
                        <w:r>
                          <w:rPr>
                            <w:sz w:val="24"/>
                          </w:rPr>
                          <w:t>饲养</w:t>
                        </w:r>
                      </w:p>
                    </w:txbxContent>
                  </v:textbox>
                </v:shape>
                <v:shape id="文本框 87" o:spid="_x0000_s1026" o:spt="202" type="#_x0000_t202" style="position:absolute;left:4556;top:2201;height:240;width:50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羊粪</w:t>
                        </w:r>
                      </w:p>
                    </w:txbxContent>
                  </v:textbox>
                </v:shape>
                <v:shape id="文本框 88" o:spid="_x0000_s1026" o:spt="202" type="#_x0000_t202" style="position:absolute;left:5679;top:2424;height:240;width:74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40" w:lineRule="exact"/>
                          <w:ind w:left="0" w:right="0" w:firstLine="0"/>
                          <w:jc w:val="left"/>
                          <w:rPr>
                            <w:sz w:val="24"/>
                          </w:rPr>
                        </w:pPr>
                        <w:r>
                          <w:rPr>
                            <w:sz w:val="24"/>
                          </w:rPr>
                          <w:t>堆肥厂</w:t>
                        </w:r>
                      </w:p>
                    </w:txbxContent>
                  </v:textbox>
                </v:shape>
                <v:shape id="文本框 89" o:spid="_x0000_s1026" o:spt="202" type="#_x0000_t202" style="position:absolute;left:7189;top:2501;height:240;width:500;"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恶臭</w:t>
                        </w:r>
                      </w:p>
                    </w:txbxContent>
                  </v:textbox>
                </v:shape>
                <v:shape id="文本框 90" o:spid="_x0000_s1026" o:spt="202" type="#_x0000_t202" style="position:absolute;left:2228;top:3447;height:552;width:1220;"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74" w:lineRule="exact"/>
                          <w:ind w:left="-1" w:right="18" w:firstLine="0"/>
                          <w:jc w:val="center"/>
                          <w:rPr>
                            <w:sz w:val="24"/>
                          </w:rPr>
                        </w:pPr>
                        <w:r>
                          <w:rPr>
                            <w:spacing w:val="-4"/>
                            <w:sz w:val="24"/>
                          </w:rPr>
                          <w:t>商品羊工厂</w:t>
                        </w:r>
                      </w:p>
                      <w:p>
                        <w:pPr>
                          <w:spacing w:before="4" w:line="274" w:lineRule="exact"/>
                          <w:ind w:left="220" w:right="239" w:firstLine="0"/>
                          <w:jc w:val="center"/>
                          <w:rPr>
                            <w:sz w:val="24"/>
                          </w:rPr>
                        </w:pPr>
                        <w:r>
                          <w:rPr>
                            <w:sz w:val="24"/>
                          </w:rPr>
                          <w:t>化饲养</w:t>
                        </w:r>
                      </w:p>
                    </w:txbxContent>
                  </v:textbox>
                </v:shape>
                <v:shape id="文本框 91" o:spid="_x0000_s1026" o:spt="202" type="#_x0000_t202" style="position:absolute;left:2598;top:4872;height:240;width:500;"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出栏</w:t>
                        </w:r>
                      </w:p>
                    </w:txbxContent>
                  </v:textbox>
                </v:shape>
                <v:shape id="文本框 92" o:spid="_x0000_s1026" o:spt="202" type="#_x0000_t202" style="position:absolute;left:562;top:5585;height:240;width:980;"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人工清理</w:t>
                        </w:r>
                      </w:p>
                    </w:txbxContent>
                  </v:textbox>
                </v:shape>
                <v:shape id="文本框 93" o:spid="_x0000_s1026" o:spt="202" type="#_x0000_t202" style="position:absolute;left:4093;top:5592;height:240;width:980;"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废弃垫料</w:t>
                        </w:r>
                      </w:p>
                    </w:txbxContent>
                  </v:textbox>
                </v:shape>
                <v:shape id="文本框 94" o:spid="_x0000_s1026" o:spt="202" type="#_x0000_t202" style="position:absolute;left:2370;top:5830;height:240;width:980;"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清栏消毒</w:t>
                        </w:r>
                      </w:p>
                    </w:txbxContent>
                  </v:textbox>
                </v:shape>
                <w10:wrap type="none"/>
                <w10:anchorlock/>
              </v:group>
            </w:pict>
          </mc:Fallback>
        </mc:AlternateContent>
      </w:r>
    </w:p>
    <w:p>
      <w:pPr>
        <w:pStyle w:val="7"/>
        <w:spacing w:before="127"/>
        <w:ind w:left="0" w:right="2009"/>
        <w:jc w:val="center"/>
      </w:pPr>
      <w:r>
        <w:t>饲养下批</w:t>
      </w:r>
    </w:p>
    <w:p>
      <w:pPr>
        <w:pStyle w:val="7"/>
        <w:bidi w:val="0"/>
        <w:jc w:val="center"/>
      </w:pPr>
      <w:r>
        <w:t>图</w:t>
      </w:r>
      <w:r>
        <w:rPr>
          <w:rFonts w:ascii="Times New Roman" w:eastAsia="Times New Roman"/>
        </w:rPr>
        <w:t>3.1-4</w:t>
      </w:r>
      <w:r>
        <w:rPr>
          <w:rFonts w:ascii="Times New Roman" w:eastAsia="Times New Roman"/>
        </w:rPr>
        <w:tab/>
      </w:r>
      <w:r>
        <w:t>养殖工艺流程及产污节点图</w:t>
      </w:r>
    </w:p>
    <w:p>
      <w:pPr>
        <w:pStyle w:val="17"/>
        <w:numPr>
          <w:ilvl w:val="4"/>
          <w:numId w:val="18"/>
        </w:numPr>
        <w:tabs>
          <w:tab w:val="left" w:pos="1500"/>
        </w:tabs>
        <w:spacing w:before="161" w:after="0" w:line="240" w:lineRule="auto"/>
        <w:ind w:left="1500" w:right="0" w:hanging="960"/>
        <w:jc w:val="left"/>
        <w:rPr>
          <w:sz w:val="24"/>
        </w:rPr>
      </w:pPr>
      <w:r>
        <w:rPr>
          <w:sz w:val="24"/>
        </w:rPr>
        <w:t>繁育工艺技术路线</w:t>
      </w:r>
    </w:p>
    <w:p>
      <w:pPr>
        <w:pStyle w:val="17"/>
        <w:numPr>
          <w:ilvl w:val="5"/>
          <w:numId w:val="18"/>
        </w:numPr>
        <w:tabs>
          <w:tab w:val="left" w:pos="1621"/>
        </w:tabs>
        <w:spacing w:before="160" w:after="0" w:line="240" w:lineRule="auto"/>
        <w:ind w:left="1621" w:right="0" w:hanging="601"/>
        <w:jc w:val="left"/>
        <w:rPr>
          <w:sz w:val="24"/>
        </w:rPr>
      </w:pPr>
      <w:r>
        <w:rPr>
          <w:sz w:val="24"/>
        </w:rPr>
        <w:t>商品羊生产方案</w:t>
      </w:r>
    </w:p>
    <w:p>
      <w:pPr>
        <w:pStyle w:val="7"/>
        <w:spacing w:before="161"/>
        <w:ind w:left="1020"/>
      </w:pPr>
      <w:r>
        <w:t>依据</w:t>
      </w:r>
      <w:r>
        <w:rPr>
          <w:rFonts w:hint="eastAsia"/>
          <w:lang w:val="en-US" w:eastAsia="zh-CN"/>
        </w:rPr>
        <w:t>莎车</w:t>
      </w:r>
      <w:r>
        <w:t>县肉羊养殖环境及养殖习惯，本项目选用自繁自育的生产模式。</w:t>
      </w:r>
    </w:p>
    <w:p>
      <w:pPr>
        <w:pStyle w:val="17"/>
        <w:numPr>
          <w:ilvl w:val="5"/>
          <w:numId w:val="18"/>
        </w:numPr>
        <w:tabs>
          <w:tab w:val="left" w:pos="1621"/>
        </w:tabs>
        <w:spacing w:before="160" w:after="0" w:line="240" w:lineRule="auto"/>
        <w:ind w:left="1621" w:right="0" w:hanging="601"/>
        <w:jc w:val="left"/>
        <w:rPr>
          <w:sz w:val="24"/>
        </w:rPr>
      </w:pPr>
      <w:r>
        <mc:AlternateContent>
          <mc:Choice Requires="wpg">
            <w:drawing>
              <wp:anchor distT="0" distB="0" distL="114300" distR="114300" simplePos="0" relativeHeight="251716608" behindDoc="1" locked="0" layoutInCell="1" allowOverlap="1">
                <wp:simplePos x="0" y="0"/>
                <wp:positionH relativeFrom="page">
                  <wp:posOffset>1144905</wp:posOffset>
                </wp:positionH>
                <wp:positionV relativeFrom="paragraph">
                  <wp:posOffset>327025</wp:posOffset>
                </wp:positionV>
                <wp:extent cx="5179060" cy="2234565"/>
                <wp:effectExtent l="0" t="635" r="2540" b="12700"/>
                <wp:wrapTopAndBottom/>
                <wp:docPr id="130" name="组合 95"/>
                <wp:cNvGraphicFramePr/>
                <a:graphic xmlns:a="http://schemas.openxmlformats.org/drawingml/2006/main">
                  <a:graphicData uri="http://schemas.microsoft.com/office/word/2010/wordprocessingGroup">
                    <wpg:wgp>
                      <wpg:cNvGrpSpPr/>
                      <wpg:grpSpPr>
                        <a:xfrm>
                          <a:off x="0" y="0"/>
                          <a:ext cx="5179060" cy="2234565"/>
                          <a:chOff x="1804" y="516"/>
                          <a:chExt cx="8156" cy="3519"/>
                        </a:xfrm>
                      </wpg:grpSpPr>
                      <pic:pic xmlns:pic="http://schemas.openxmlformats.org/drawingml/2006/picture">
                        <pic:nvPicPr>
                          <pic:cNvPr id="119" name="图片 96"/>
                          <pic:cNvPicPr>
                            <a:picLocks noChangeAspect="1"/>
                          </pic:cNvPicPr>
                        </pic:nvPicPr>
                        <pic:blipFill>
                          <a:blip r:embed="rId34"/>
                          <a:stretch>
                            <a:fillRect/>
                          </a:stretch>
                        </pic:blipFill>
                        <pic:spPr>
                          <a:xfrm>
                            <a:off x="1804" y="515"/>
                            <a:ext cx="8156" cy="3519"/>
                          </a:xfrm>
                          <a:prstGeom prst="rect">
                            <a:avLst/>
                          </a:prstGeom>
                          <a:noFill/>
                          <a:ln>
                            <a:noFill/>
                          </a:ln>
                        </pic:spPr>
                      </pic:pic>
                      <wps:wsp>
                        <wps:cNvPr id="120" name="文本框 97"/>
                        <wps:cNvSpPr txBox="1"/>
                        <wps:spPr>
                          <a:xfrm>
                            <a:off x="2198" y="714"/>
                            <a:ext cx="740" cy="240"/>
                          </a:xfrm>
                          <a:prstGeom prst="rect">
                            <a:avLst/>
                          </a:prstGeom>
                          <a:noFill/>
                          <a:ln>
                            <a:noFill/>
                          </a:ln>
                        </wps:spPr>
                        <wps:txbx>
                          <w:txbxContent>
                            <w:p>
                              <w:pPr>
                                <w:spacing w:before="0" w:line="240" w:lineRule="exact"/>
                                <w:ind w:left="0" w:right="0" w:firstLine="0"/>
                                <w:jc w:val="left"/>
                                <w:rPr>
                                  <w:sz w:val="24"/>
                                </w:rPr>
                              </w:pPr>
                              <w:r>
                                <w:rPr>
                                  <w:sz w:val="24"/>
                                </w:rPr>
                                <w:t>种公羊</w:t>
                              </w:r>
                            </w:p>
                          </w:txbxContent>
                        </wps:txbx>
                        <wps:bodyPr lIns="0" tIns="0" rIns="0" bIns="0" upright="1"/>
                      </wps:wsp>
                      <wps:wsp>
                        <wps:cNvPr id="121" name="文本框 98"/>
                        <wps:cNvSpPr txBox="1"/>
                        <wps:spPr>
                          <a:xfrm>
                            <a:off x="5412" y="1326"/>
                            <a:ext cx="1040" cy="266"/>
                          </a:xfrm>
                          <a:prstGeom prst="rect">
                            <a:avLst/>
                          </a:prstGeom>
                          <a:noFill/>
                          <a:ln>
                            <a:noFill/>
                          </a:ln>
                        </wps:spPr>
                        <wps:txbx>
                          <w:txbxContent>
                            <w:p>
                              <w:pPr>
                                <w:spacing w:before="0" w:line="266" w:lineRule="exact"/>
                                <w:ind w:left="0" w:right="0" w:firstLine="0"/>
                                <w:jc w:val="left"/>
                                <w:rPr>
                                  <w:b/>
                                  <w:sz w:val="24"/>
                                </w:rPr>
                              </w:pPr>
                              <w:r>
                                <w:rPr>
                                  <w:rFonts w:ascii="Times New Roman" w:eastAsia="Times New Roman"/>
                                  <w:b/>
                                  <w:sz w:val="24"/>
                                </w:rPr>
                                <w:t>20</w:t>
                              </w:r>
                              <w:r>
                                <w:rPr>
                                  <w:b/>
                                  <w:sz w:val="24"/>
                                </w:rPr>
                                <w:t>～</w:t>
                              </w:r>
                              <w:r>
                                <w:rPr>
                                  <w:rFonts w:ascii="Times New Roman" w:eastAsia="Times New Roman"/>
                                  <w:b/>
                                  <w:sz w:val="24"/>
                                </w:rPr>
                                <w:t xml:space="preserve">24 </w:t>
                              </w:r>
                              <w:r>
                                <w:rPr>
                                  <w:b/>
                                  <w:sz w:val="24"/>
                                </w:rPr>
                                <w:t>周</w:t>
                              </w:r>
                            </w:p>
                          </w:txbxContent>
                        </wps:txbx>
                        <wps:bodyPr lIns="0" tIns="0" rIns="0" bIns="0" upright="1"/>
                      </wps:wsp>
                      <wps:wsp>
                        <wps:cNvPr id="122" name="文本框 99"/>
                        <wps:cNvSpPr txBox="1"/>
                        <wps:spPr>
                          <a:xfrm>
                            <a:off x="8736" y="1602"/>
                            <a:ext cx="980" cy="240"/>
                          </a:xfrm>
                          <a:prstGeom prst="rect">
                            <a:avLst/>
                          </a:prstGeom>
                          <a:noFill/>
                          <a:ln>
                            <a:noFill/>
                          </a:ln>
                        </wps:spPr>
                        <wps:txbx>
                          <w:txbxContent>
                            <w:p>
                              <w:pPr>
                                <w:spacing w:before="0" w:line="240" w:lineRule="exact"/>
                                <w:ind w:left="0" w:right="0" w:firstLine="0"/>
                                <w:jc w:val="left"/>
                                <w:rPr>
                                  <w:sz w:val="24"/>
                                </w:rPr>
                              </w:pPr>
                              <w:r>
                                <w:rPr>
                                  <w:sz w:val="24"/>
                                </w:rPr>
                                <w:t>后备母羊</w:t>
                              </w:r>
                            </w:p>
                          </w:txbxContent>
                        </wps:txbx>
                        <wps:bodyPr lIns="0" tIns="0" rIns="0" bIns="0" upright="1"/>
                      </wps:wsp>
                      <wps:wsp>
                        <wps:cNvPr id="123" name="文本框 100"/>
                        <wps:cNvSpPr txBox="1"/>
                        <wps:spPr>
                          <a:xfrm>
                            <a:off x="3316" y="2266"/>
                            <a:ext cx="440" cy="266"/>
                          </a:xfrm>
                          <a:prstGeom prst="rect">
                            <a:avLst/>
                          </a:prstGeom>
                          <a:noFill/>
                          <a:ln>
                            <a:noFill/>
                          </a:ln>
                        </wps:spPr>
                        <wps:txbx>
                          <w:txbxContent>
                            <w:p>
                              <w:pPr>
                                <w:spacing w:before="0" w:line="266" w:lineRule="exact"/>
                                <w:ind w:left="0" w:right="0" w:firstLine="0"/>
                                <w:jc w:val="left"/>
                                <w:rPr>
                                  <w:b/>
                                  <w:sz w:val="24"/>
                                </w:rPr>
                              </w:pPr>
                              <w:r>
                                <w:rPr>
                                  <w:rFonts w:ascii="Times New Roman" w:eastAsia="Times New Roman"/>
                                  <w:b/>
                                  <w:sz w:val="24"/>
                                </w:rPr>
                                <w:t xml:space="preserve">1 </w:t>
                              </w:r>
                              <w:r>
                                <w:rPr>
                                  <w:b/>
                                  <w:sz w:val="24"/>
                                </w:rPr>
                                <w:t>周</w:t>
                              </w:r>
                            </w:p>
                          </w:txbxContent>
                        </wps:txbx>
                        <wps:bodyPr lIns="0" tIns="0" rIns="0" bIns="0" upright="1"/>
                      </wps:wsp>
                      <wps:wsp>
                        <wps:cNvPr id="124" name="文本框 101"/>
                        <wps:cNvSpPr txBox="1"/>
                        <wps:spPr>
                          <a:xfrm>
                            <a:off x="5580" y="2281"/>
                            <a:ext cx="560" cy="266"/>
                          </a:xfrm>
                          <a:prstGeom prst="rect">
                            <a:avLst/>
                          </a:prstGeom>
                          <a:noFill/>
                          <a:ln>
                            <a:noFill/>
                          </a:ln>
                        </wps:spPr>
                        <wps:txbx>
                          <w:txbxContent>
                            <w:p>
                              <w:pPr>
                                <w:spacing w:before="0" w:line="266" w:lineRule="exact"/>
                                <w:ind w:left="0" w:right="0" w:firstLine="0"/>
                                <w:jc w:val="left"/>
                                <w:rPr>
                                  <w:b/>
                                  <w:sz w:val="24"/>
                                </w:rPr>
                              </w:pPr>
                              <w:r>
                                <w:rPr>
                                  <w:rFonts w:ascii="Times New Roman" w:eastAsia="Times New Roman"/>
                                  <w:b/>
                                  <w:sz w:val="24"/>
                                </w:rPr>
                                <w:t xml:space="preserve">20 </w:t>
                              </w:r>
                              <w:r>
                                <w:rPr>
                                  <w:b/>
                                  <w:sz w:val="24"/>
                                </w:rPr>
                                <w:t>周</w:t>
                              </w:r>
                            </w:p>
                          </w:txbxContent>
                        </wps:txbx>
                        <wps:bodyPr lIns="0" tIns="0" rIns="0" bIns="0" upright="1"/>
                      </wps:wsp>
                      <wps:wsp>
                        <wps:cNvPr id="125" name="文本框 102"/>
                        <wps:cNvSpPr txBox="1"/>
                        <wps:spPr>
                          <a:xfrm>
                            <a:off x="7807" y="2278"/>
                            <a:ext cx="440" cy="266"/>
                          </a:xfrm>
                          <a:prstGeom prst="rect">
                            <a:avLst/>
                          </a:prstGeom>
                          <a:noFill/>
                          <a:ln>
                            <a:noFill/>
                          </a:ln>
                        </wps:spPr>
                        <wps:txbx>
                          <w:txbxContent>
                            <w:p>
                              <w:pPr>
                                <w:spacing w:before="0" w:line="266" w:lineRule="exact"/>
                                <w:ind w:left="0" w:right="0" w:firstLine="0"/>
                                <w:jc w:val="left"/>
                                <w:rPr>
                                  <w:b/>
                                  <w:sz w:val="24"/>
                                </w:rPr>
                              </w:pPr>
                              <w:r>
                                <w:rPr>
                                  <w:rFonts w:ascii="Times New Roman" w:eastAsia="Times New Roman"/>
                                  <w:b/>
                                  <w:sz w:val="24"/>
                                </w:rPr>
                                <w:t xml:space="preserve">8 </w:t>
                              </w:r>
                              <w:r>
                                <w:rPr>
                                  <w:b/>
                                  <w:sz w:val="24"/>
                                </w:rPr>
                                <w:t>周</w:t>
                              </w:r>
                            </w:p>
                          </w:txbxContent>
                        </wps:txbx>
                        <wps:bodyPr lIns="0" tIns="0" rIns="0" bIns="0" upright="1"/>
                      </wps:wsp>
                      <wps:wsp>
                        <wps:cNvPr id="126" name="文本框 103"/>
                        <wps:cNvSpPr txBox="1"/>
                        <wps:spPr>
                          <a:xfrm>
                            <a:off x="1972" y="2581"/>
                            <a:ext cx="7746" cy="248"/>
                          </a:xfrm>
                          <a:prstGeom prst="rect">
                            <a:avLst/>
                          </a:prstGeom>
                          <a:noFill/>
                          <a:ln>
                            <a:noFill/>
                          </a:ln>
                        </wps:spPr>
                        <wps:txbx>
                          <w:txbxContent>
                            <w:p>
                              <w:pPr>
                                <w:tabs>
                                  <w:tab w:val="left" w:pos="2251"/>
                                  <w:tab w:val="left" w:pos="4504"/>
                                  <w:tab w:val="left" w:pos="6765"/>
                                </w:tabs>
                                <w:spacing w:before="0" w:line="247" w:lineRule="exact"/>
                                <w:ind w:left="0" w:right="0" w:firstLine="0"/>
                                <w:jc w:val="left"/>
                                <w:rPr>
                                  <w:sz w:val="24"/>
                                </w:rPr>
                              </w:pPr>
                              <w:r>
                                <w:rPr>
                                  <w:sz w:val="24"/>
                                </w:rPr>
                                <w:t>待配母羊</w:t>
                              </w:r>
                              <w:r>
                                <w:rPr>
                                  <w:sz w:val="24"/>
                                </w:rPr>
                                <w:tab/>
                              </w:r>
                              <w:r>
                                <w:rPr>
                                  <w:sz w:val="24"/>
                                </w:rPr>
                                <w:t>妊娠母羊</w:t>
                              </w:r>
                              <w:r>
                                <w:rPr>
                                  <w:sz w:val="24"/>
                                </w:rPr>
                                <w:tab/>
                              </w:r>
                              <w:r>
                                <w:rPr>
                                  <w:sz w:val="24"/>
                                </w:rPr>
                                <w:t>哺乳母羊</w:t>
                              </w:r>
                              <w:r>
                                <w:rPr>
                                  <w:sz w:val="24"/>
                                </w:rPr>
                                <w:tab/>
                              </w:r>
                              <w:r>
                                <w:rPr>
                                  <w:position w:val="1"/>
                                  <w:sz w:val="24"/>
                                </w:rPr>
                                <w:t>育成羔羊</w:t>
                              </w:r>
                            </w:p>
                          </w:txbxContent>
                        </wps:txbx>
                        <wps:bodyPr lIns="0" tIns="0" rIns="0" bIns="0" upright="1"/>
                      </wps:wsp>
                      <wps:wsp>
                        <wps:cNvPr id="127" name="文本框 104"/>
                        <wps:cNvSpPr txBox="1"/>
                        <wps:spPr>
                          <a:xfrm>
                            <a:off x="7428" y="3325"/>
                            <a:ext cx="1040" cy="266"/>
                          </a:xfrm>
                          <a:prstGeom prst="rect">
                            <a:avLst/>
                          </a:prstGeom>
                          <a:noFill/>
                          <a:ln>
                            <a:noFill/>
                          </a:ln>
                        </wps:spPr>
                        <wps:txbx>
                          <w:txbxContent>
                            <w:p>
                              <w:pPr>
                                <w:spacing w:before="0" w:line="266" w:lineRule="exact"/>
                                <w:ind w:left="0" w:right="0" w:firstLine="0"/>
                                <w:jc w:val="left"/>
                                <w:rPr>
                                  <w:b/>
                                  <w:sz w:val="24"/>
                                </w:rPr>
                              </w:pPr>
                              <w:r>
                                <w:rPr>
                                  <w:rFonts w:ascii="Times New Roman" w:eastAsia="Times New Roman"/>
                                  <w:b/>
                                  <w:sz w:val="24"/>
                                </w:rPr>
                                <w:t>10</w:t>
                              </w:r>
                              <w:r>
                                <w:rPr>
                                  <w:b/>
                                  <w:sz w:val="24"/>
                                </w:rPr>
                                <w:t>～</w:t>
                              </w:r>
                              <w:r>
                                <w:rPr>
                                  <w:rFonts w:ascii="Times New Roman" w:eastAsia="Times New Roman"/>
                                  <w:b/>
                                  <w:sz w:val="24"/>
                                </w:rPr>
                                <w:t xml:space="preserve">12 </w:t>
                              </w:r>
                              <w:r>
                                <w:rPr>
                                  <w:b/>
                                  <w:sz w:val="24"/>
                                </w:rPr>
                                <w:t>周</w:t>
                              </w:r>
                            </w:p>
                          </w:txbxContent>
                        </wps:txbx>
                        <wps:bodyPr lIns="0" tIns="0" rIns="0" bIns="0" upright="1"/>
                      </wps:wsp>
                      <wps:wsp>
                        <wps:cNvPr id="128" name="文本框 105"/>
                        <wps:cNvSpPr txBox="1"/>
                        <wps:spPr>
                          <a:xfrm>
                            <a:off x="6316" y="3594"/>
                            <a:ext cx="500" cy="240"/>
                          </a:xfrm>
                          <a:prstGeom prst="rect">
                            <a:avLst/>
                          </a:prstGeom>
                          <a:noFill/>
                          <a:ln>
                            <a:noFill/>
                          </a:ln>
                        </wps:spPr>
                        <wps:txbx>
                          <w:txbxContent>
                            <w:p>
                              <w:pPr>
                                <w:spacing w:before="0" w:line="240" w:lineRule="exact"/>
                                <w:ind w:left="0" w:right="0" w:firstLine="0"/>
                                <w:jc w:val="left"/>
                                <w:rPr>
                                  <w:sz w:val="24"/>
                                </w:rPr>
                              </w:pPr>
                              <w:r>
                                <w:rPr>
                                  <w:sz w:val="24"/>
                                </w:rPr>
                                <w:t>出栏</w:t>
                              </w:r>
                            </w:p>
                          </w:txbxContent>
                        </wps:txbx>
                        <wps:bodyPr lIns="0" tIns="0" rIns="0" bIns="0" upright="1"/>
                      </wps:wsp>
                      <wps:wsp>
                        <wps:cNvPr id="129" name="文本框 106"/>
                        <wps:cNvSpPr txBox="1"/>
                        <wps:spPr>
                          <a:xfrm>
                            <a:off x="8731" y="3414"/>
                            <a:ext cx="1086" cy="552"/>
                          </a:xfrm>
                          <a:prstGeom prst="rect">
                            <a:avLst/>
                          </a:prstGeom>
                          <a:noFill/>
                          <a:ln>
                            <a:noFill/>
                          </a:ln>
                        </wps:spPr>
                        <wps:txbx>
                          <w:txbxContent>
                            <w:p>
                              <w:pPr>
                                <w:spacing w:before="0" w:line="274" w:lineRule="exact"/>
                                <w:ind w:left="0" w:right="0" w:firstLine="0"/>
                                <w:jc w:val="left"/>
                                <w:rPr>
                                  <w:sz w:val="24"/>
                                </w:rPr>
                              </w:pPr>
                              <w:r>
                                <w:rPr>
                                  <w:sz w:val="24"/>
                                </w:rPr>
                                <w:t>母羔羊、</w:t>
                              </w:r>
                            </w:p>
                            <w:p>
                              <w:pPr>
                                <w:spacing w:before="4" w:line="274" w:lineRule="exact"/>
                                <w:ind w:left="0" w:right="0" w:firstLine="0"/>
                                <w:jc w:val="left"/>
                                <w:rPr>
                                  <w:sz w:val="24"/>
                                </w:rPr>
                              </w:pPr>
                              <w:r>
                                <w:rPr>
                                  <w:sz w:val="24"/>
                                </w:rPr>
                                <w:t>育肥羔羊</w:t>
                              </w:r>
                            </w:p>
                          </w:txbxContent>
                        </wps:txbx>
                        <wps:bodyPr lIns="0" tIns="0" rIns="0" bIns="0" upright="1"/>
                      </wps:wsp>
                    </wpg:wgp>
                  </a:graphicData>
                </a:graphic>
              </wp:anchor>
            </w:drawing>
          </mc:Choice>
          <mc:Fallback>
            <w:pict>
              <v:group id="组合 95" o:spid="_x0000_s1026" o:spt="203" style="position:absolute;left:0pt;margin-left:90.15pt;margin-top:25.75pt;height:175.95pt;width:407.8pt;mso-position-horizontal-relative:page;mso-wrap-distance-bottom:0pt;mso-wrap-distance-top:0pt;z-index:-251599872;mso-width-relative:page;mso-height-relative:page;" coordorigin="1804,516" coordsize="8156,3519" o:gfxdata="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">
                <o:lock v:ext="edit" aspectratio="f"/>
                <v:shape id="图片 96" o:spid="_x0000_s1026" o:spt="75" type="#_x0000_t75" style="position:absolute;left:1804;top:515;height:3519;width:8156;" filled="f" o:preferrelative="t" stroked="f" coordsize="21600,21600" o:gfxdata="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xqj68AAAA&#10;3AAAAA8AAAAAAAAAAQAgAAAAIgAAAGRycy9kb3ducmV2LnhtbFBLAQIUABQAAAAIAIdO4kAzLwWe&#10;OwAAADkAAAAQAAAAAAAAAAEAIAAAAAsBAABkcnMvc2hhcGV4bWwueG1sUEsFBgAAAAAGAAYAWwEA&#10;ALUDAAAAAA==&#10;">
                  <v:fill on="f" focussize="0,0"/>
                  <v:stroke on="f"/>
                  <v:imagedata r:id="rId34" o:title=""/>
                  <o:lock v:ext="edit" aspectratio="t"/>
                </v:shape>
                <v:shape id="文本框 97" o:spid="_x0000_s1026" o:spt="202" type="#_x0000_t202" style="position:absolute;left:2198;top:714;height:240;width:740;"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种公羊</w:t>
                        </w:r>
                      </w:p>
                    </w:txbxContent>
                  </v:textbox>
                </v:shape>
                <v:shape id="文本框 98" o:spid="_x0000_s1026" o:spt="202" type="#_x0000_t202" style="position:absolute;left:5412;top:1326;height:266;width:104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b/>
                            <w:sz w:val="24"/>
                          </w:rPr>
                        </w:pPr>
                        <w:r>
                          <w:rPr>
                            <w:rFonts w:ascii="Times New Roman" w:eastAsia="Times New Roman"/>
                            <w:b/>
                            <w:sz w:val="24"/>
                          </w:rPr>
                          <w:t>20</w:t>
                        </w:r>
                        <w:r>
                          <w:rPr>
                            <w:b/>
                            <w:sz w:val="24"/>
                          </w:rPr>
                          <w:t>～</w:t>
                        </w:r>
                        <w:r>
                          <w:rPr>
                            <w:rFonts w:ascii="Times New Roman" w:eastAsia="Times New Roman"/>
                            <w:b/>
                            <w:sz w:val="24"/>
                          </w:rPr>
                          <w:t xml:space="preserve">24 </w:t>
                        </w:r>
                        <w:r>
                          <w:rPr>
                            <w:b/>
                            <w:sz w:val="24"/>
                          </w:rPr>
                          <w:t>周</w:t>
                        </w:r>
                      </w:p>
                    </w:txbxContent>
                  </v:textbox>
                </v:shape>
                <v:shape id="文本框 99" o:spid="_x0000_s1026" o:spt="202" type="#_x0000_t202" style="position:absolute;left:8736;top:1602;height:240;width:980;"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后备母羊</w:t>
                        </w:r>
                      </w:p>
                    </w:txbxContent>
                  </v:textbox>
                </v:shape>
                <v:shape id="文本框 100" o:spid="_x0000_s1026" o:spt="202" type="#_x0000_t202" style="position:absolute;left:3316;top:2266;height:266;width:440;"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b/>
                            <w:sz w:val="24"/>
                          </w:rPr>
                        </w:pPr>
                        <w:r>
                          <w:rPr>
                            <w:rFonts w:ascii="Times New Roman" w:eastAsia="Times New Roman"/>
                            <w:b/>
                            <w:sz w:val="24"/>
                          </w:rPr>
                          <w:t xml:space="preserve">1 </w:t>
                        </w:r>
                        <w:r>
                          <w:rPr>
                            <w:b/>
                            <w:sz w:val="24"/>
                          </w:rPr>
                          <w:t>周</w:t>
                        </w:r>
                      </w:p>
                    </w:txbxContent>
                  </v:textbox>
                </v:shape>
                <v:shape id="文本框 101" o:spid="_x0000_s1026" o:spt="202" type="#_x0000_t202" style="position:absolute;left:5580;top:2281;height:266;width:560;"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b/>
                            <w:sz w:val="24"/>
                          </w:rPr>
                        </w:pPr>
                        <w:r>
                          <w:rPr>
                            <w:rFonts w:ascii="Times New Roman" w:eastAsia="Times New Roman"/>
                            <w:b/>
                            <w:sz w:val="24"/>
                          </w:rPr>
                          <w:t xml:space="preserve">20 </w:t>
                        </w:r>
                        <w:r>
                          <w:rPr>
                            <w:b/>
                            <w:sz w:val="24"/>
                          </w:rPr>
                          <w:t>周</w:t>
                        </w:r>
                      </w:p>
                    </w:txbxContent>
                  </v:textbox>
                </v:shape>
                <v:shape id="文本框 102" o:spid="_x0000_s1026" o:spt="202" type="#_x0000_t202" style="position:absolute;left:7807;top:2278;height:266;width:440;"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b/>
                            <w:sz w:val="24"/>
                          </w:rPr>
                        </w:pPr>
                        <w:r>
                          <w:rPr>
                            <w:rFonts w:ascii="Times New Roman" w:eastAsia="Times New Roman"/>
                            <w:b/>
                            <w:sz w:val="24"/>
                          </w:rPr>
                          <w:t xml:space="preserve">8 </w:t>
                        </w:r>
                        <w:r>
                          <w:rPr>
                            <w:b/>
                            <w:sz w:val="24"/>
                          </w:rPr>
                          <w:t>周</w:t>
                        </w:r>
                      </w:p>
                    </w:txbxContent>
                  </v:textbox>
                </v:shape>
                <v:shape id="文本框 103" o:spid="_x0000_s1026" o:spt="202" type="#_x0000_t202" style="position:absolute;left:1972;top:2581;height:248;width:7746;"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251"/>
                            <w:tab w:val="left" w:pos="4504"/>
                            <w:tab w:val="left" w:pos="6765"/>
                          </w:tabs>
                          <w:spacing w:before="0" w:line="247" w:lineRule="exact"/>
                          <w:ind w:left="0" w:right="0" w:firstLine="0"/>
                          <w:jc w:val="left"/>
                          <w:rPr>
                            <w:sz w:val="24"/>
                          </w:rPr>
                        </w:pPr>
                        <w:r>
                          <w:rPr>
                            <w:sz w:val="24"/>
                          </w:rPr>
                          <w:t>待配母羊</w:t>
                        </w:r>
                        <w:r>
                          <w:rPr>
                            <w:sz w:val="24"/>
                          </w:rPr>
                          <w:tab/>
                        </w:r>
                        <w:r>
                          <w:rPr>
                            <w:sz w:val="24"/>
                          </w:rPr>
                          <w:t>妊娠母羊</w:t>
                        </w:r>
                        <w:r>
                          <w:rPr>
                            <w:sz w:val="24"/>
                          </w:rPr>
                          <w:tab/>
                        </w:r>
                        <w:r>
                          <w:rPr>
                            <w:sz w:val="24"/>
                          </w:rPr>
                          <w:t>哺乳母羊</w:t>
                        </w:r>
                        <w:r>
                          <w:rPr>
                            <w:sz w:val="24"/>
                          </w:rPr>
                          <w:tab/>
                        </w:r>
                        <w:r>
                          <w:rPr>
                            <w:position w:val="1"/>
                            <w:sz w:val="24"/>
                          </w:rPr>
                          <w:t>育成羔羊</w:t>
                        </w:r>
                      </w:p>
                    </w:txbxContent>
                  </v:textbox>
                </v:shape>
                <v:shape id="文本框 104" o:spid="_x0000_s1026" o:spt="202" type="#_x0000_t202" style="position:absolute;left:7428;top:3325;height:266;width:1040;"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b/>
                            <w:sz w:val="24"/>
                          </w:rPr>
                        </w:pPr>
                        <w:r>
                          <w:rPr>
                            <w:rFonts w:ascii="Times New Roman" w:eastAsia="Times New Roman"/>
                            <w:b/>
                            <w:sz w:val="24"/>
                          </w:rPr>
                          <w:t>10</w:t>
                        </w:r>
                        <w:r>
                          <w:rPr>
                            <w:b/>
                            <w:sz w:val="24"/>
                          </w:rPr>
                          <w:t>～</w:t>
                        </w:r>
                        <w:r>
                          <w:rPr>
                            <w:rFonts w:ascii="Times New Roman" w:eastAsia="Times New Roman"/>
                            <w:b/>
                            <w:sz w:val="24"/>
                          </w:rPr>
                          <w:t xml:space="preserve">12 </w:t>
                        </w:r>
                        <w:r>
                          <w:rPr>
                            <w:b/>
                            <w:sz w:val="24"/>
                          </w:rPr>
                          <w:t>周</w:t>
                        </w:r>
                      </w:p>
                    </w:txbxContent>
                  </v:textbox>
                </v:shape>
                <v:shape id="文本框 105" o:spid="_x0000_s1026" o:spt="202" type="#_x0000_t202" style="position:absolute;left:6316;top:3594;height:240;width:500;"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出栏</w:t>
                        </w:r>
                      </w:p>
                    </w:txbxContent>
                  </v:textbox>
                </v:shape>
                <v:shape id="文本框 106" o:spid="_x0000_s1026" o:spt="202" type="#_x0000_t202" style="position:absolute;left:8731;top:3414;height:552;width:1086;"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74" w:lineRule="exact"/>
                          <w:ind w:left="0" w:right="0" w:firstLine="0"/>
                          <w:jc w:val="left"/>
                          <w:rPr>
                            <w:sz w:val="24"/>
                          </w:rPr>
                        </w:pPr>
                        <w:r>
                          <w:rPr>
                            <w:sz w:val="24"/>
                          </w:rPr>
                          <w:t>母羔羊、</w:t>
                        </w:r>
                      </w:p>
                      <w:p>
                        <w:pPr>
                          <w:spacing w:before="4" w:line="274" w:lineRule="exact"/>
                          <w:ind w:left="0" w:right="0" w:firstLine="0"/>
                          <w:jc w:val="left"/>
                          <w:rPr>
                            <w:sz w:val="24"/>
                          </w:rPr>
                        </w:pPr>
                        <w:r>
                          <w:rPr>
                            <w:sz w:val="24"/>
                          </w:rPr>
                          <w:t>育肥羔羊</w:t>
                        </w:r>
                      </w:p>
                    </w:txbxContent>
                  </v:textbox>
                </v:shape>
                <w10:wrap type="topAndBottom"/>
              </v:group>
            </w:pict>
          </mc:Fallback>
        </mc:AlternateContent>
      </w:r>
      <w:r>
        <w:rPr>
          <w:sz w:val="24"/>
        </w:rPr>
        <w:t>生产工艺流程</w:t>
      </w:r>
    </w:p>
    <w:p>
      <w:pPr>
        <w:pStyle w:val="7"/>
        <w:bidi w:val="0"/>
        <w:jc w:val="center"/>
      </w:pPr>
      <w:r>
        <w:t>图</w:t>
      </w:r>
      <w:r>
        <w:rPr>
          <w:rFonts w:ascii="Times New Roman" w:eastAsia="Times New Roman"/>
        </w:rPr>
        <w:t>3.1-5</w:t>
      </w:r>
      <w:r>
        <w:rPr>
          <w:rFonts w:ascii="Times New Roman" w:eastAsia="Times New Roman"/>
        </w:rPr>
        <w:tab/>
      </w:r>
      <w:r>
        <w:t>繁育工艺流程图</w:t>
      </w:r>
    </w:p>
    <w:p>
      <w:pPr>
        <w:pStyle w:val="7"/>
        <w:bidi w:val="0"/>
        <w:jc w:val="both"/>
        <w:rPr>
          <w:sz w:val="24"/>
        </w:rPr>
      </w:pPr>
      <w:r>
        <w:rPr>
          <w:rFonts w:hint="eastAsia"/>
          <w:lang w:eastAsia="zh-CN"/>
        </w:rPr>
        <w:t>（</w:t>
      </w:r>
      <w:r>
        <w:rPr>
          <w:rFonts w:hint="eastAsia"/>
          <w:lang w:val="en-US" w:eastAsia="zh-CN"/>
        </w:rPr>
        <w:t>3</w:t>
      </w:r>
      <w:r>
        <w:rPr>
          <w:rFonts w:hint="eastAsia"/>
          <w:lang w:eastAsia="zh-CN"/>
        </w:rPr>
        <w:t>）</w:t>
      </w:r>
      <w:r>
        <w:rPr>
          <w:sz w:val="24"/>
        </w:rPr>
        <w:t>主要生产工艺参数</w:t>
      </w:r>
    </w:p>
    <w:p>
      <w:pPr>
        <w:pStyle w:val="7"/>
        <w:spacing w:before="9"/>
        <w:ind w:left="0"/>
        <w:rPr>
          <w:sz w:val="18"/>
        </w:rPr>
      </w:pPr>
    </w:p>
    <w:p>
      <w:pPr>
        <w:pStyle w:val="7"/>
        <w:bidi w:val="0"/>
        <w:jc w:val="center"/>
      </w:pPr>
      <w:r>
        <w:t>表</w:t>
      </w:r>
      <w:r>
        <w:rPr>
          <w:rFonts w:ascii="Times New Roman" w:eastAsia="Times New Roman"/>
        </w:rPr>
        <w:t>3.1-7</w:t>
      </w:r>
      <w:r>
        <w:rPr>
          <w:rFonts w:ascii="Times New Roman" w:eastAsia="Times New Roman"/>
        </w:rPr>
        <w:tab/>
      </w:r>
      <w:r>
        <w:t>规模化肉羊养殖生产工艺参数指标表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1271"/>
        <w:gridCol w:w="1779"/>
        <w:gridCol w:w="879"/>
        <w:gridCol w:w="562"/>
        <w:gridCol w:w="1858"/>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1030" w:right="1023"/>
              <w:rPr>
                <w:b/>
                <w:color w:val="0000FF"/>
                <w:sz w:val="21"/>
              </w:rPr>
            </w:pPr>
            <w:r>
              <w:rPr>
                <w:b/>
                <w:color w:val="0000FF"/>
                <w:sz w:val="21"/>
              </w:rPr>
              <w:t>项目</w:t>
            </w:r>
          </w:p>
        </w:tc>
        <w:tc>
          <w:tcPr>
            <w:tcW w:w="1779" w:type="dxa"/>
          </w:tcPr>
          <w:p>
            <w:pPr>
              <w:pStyle w:val="18"/>
              <w:spacing w:before="30"/>
              <w:ind w:left="237" w:right="229"/>
              <w:rPr>
                <w:b/>
                <w:color w:val="0000FF"/>
                <w:sz w:val="21"/>
              </w:rPr>
            </w:pPr>
            <w:r>
              <w:rPr>
                <w:b/>
                <w:color w:val="0000FF"/>
                <w:sz w:val="21"/>
              </w:rPr>
              <w:t>参数</w:t>
            </w:r>
          </w:p>
        </w:tc>
        <w:tc>
          <w:tcPr>
            <w:tcW w:w="3299" w:type="dxa"/>
            <w:gridSpan w:val="3"/>
          </w:tcPr>
          <w:p>
            <w:pPr>
              <w:pStyle w:val="18"/>
              <w:spacing w:before="30"/>
              <w:ind w:left="1312" w:right="1303"/>
              <w:rPr>
                <w:b/>
                <w:color w:val="0000FF"/>
                <w:sz w:val="21"/>
              </w:rPr>
            </w:pPr>
            <w:r>
              <w:rPr>
                <w:b/>
                <w:color w:val="0000FF"/>
                <w:sz w:val="21"/>
              </w:rPr>
              <w:t>项目</w:t>
            </w:r>
          </w:p>
        </w:tc>
        <w:tc>
          <w:tcPr>
            <w:tcW w:w="919" w:type="dxa"/>
          </w:tcPr>
          <w:p>
            <w:pPr>
              <w:pStyle w:val="18"/>
              <w:spacing w:before="30"/>
              <w:ind w:left="192" w:right="182"/>
              <w:rPr>
                <w:b/>
                <w:color w:val="0000FF"/>
                <w:sz w:val="21"/>
              </w:rPr>
            </w:pPr>
            <w:r>
              <w:rPr>
                <w:b/>
                <w:color w:val="0000FF"/>
                <w:sz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254" w:type="dxa"/>
            <w:vMerge w:val="restart"/>
          </w:tcPr>
          <w:p>
            <w:pPr>
              <w:pStyle w:val="18"/>
              <w:spacing w:before="7"/>
              <w:jc w:val="left"/>
              <w:rPr>
                <w:b/>
                <w:color w:val="0000FF"/>
                <w:sz w:val="15"/>
              </w:rPr>
            </w:pPr>
          </w:p>
          <w:p>
            <w:pPr>
              <w:pStyle w:val="18"/>
              <w:ind w:left="206"/>
              <w:jc w:val="left"/>
              <w:rPr>
                <w:color w:val="0000FF"/>
                <w:sz w:val="21"/>
              </w:rPr>
            </w:pPr>
            <w:r>
              <w:rPr>
                <w:color w:val="0000FF"/>
                <w:sz w:val="21"/>
              </w:rPr>
              <w:t>配种年龄</w:t>
            </w:r>
          </w:p>
        </w:tc>
        <w:tc>
          <w:tcPr>
            <w:tcW w:w="1271" w:type="dxa"/>
          </w:tcPr>
          <w:p>
            <w:pPr>
              <w:pStyle w:val="18"/>
              <w:spacing w:before="29"/>
              <w:ind w:right="-15"/>
              <w:jc w:val="right"/>
              <w:rPr>
                <w:color w:val="0000FF"/>
                <w:sz w:val="21"/>
              </w:rPr>
            </w:pPr>
            <w:r>
              <w:rPr>
                <w:color w:val="0000FF"/>
                <w:w w:val="95"/>
                <w:sz w:val="21"/>
              </w:rPr>
              <w:t>公羊（月龄）</w:t>
            </w:r>
          </w:p>
        </w:tc>
        <w:tc>
          <w:tcPr>
            <w:tcW w:w="1779" w:type="dxa"/>
          </w:tcPr>
          <w:p>
            <w:pPr>
              <w:pStyle w:val="18"/>
              <w:spacing w:before="43"/>
              <w:ind w:left="237" w:right="228"/>
              <w:rPr>
                <w:rFonts w:ascii="Times New Roman"/>
                <w:color w:val="0000FF"/>
                <w:sz w:val="21"/>
              </w:rPr>
            </w:pPr>
            <w:r>
              <w:rPr>
                <w:rFonts w:ascii="Times New Roman"/>
                <w:color w:val="0000FF"/>
                <w:sz w:val="21"/>
              </w:rPr>
              <w:t>12</w:t>
            </w:r>
          </w:p>
        </w:tc>
        <w:tc>
          <w:tcPr>
            <w:tcW w:w="3299" w:type="dxa"/>
            <w:gridSpan w:val="3"/>
          </w:tcPr>
          <w:p>
            <w:pPr>
              <w:pStyle w:val="18"/>
              <w:spacing w:before="29"/>
              <w:ind w:left="1312" w:right="1306"/>
              <w:rPr>
                <w:color w:val="0000FF"/>
                <w:sz w:val="21"/>
              </w:rPr>
            </w:pPr>
            <w:r>
              <w:rPr>
                <w:color w:val="0000FF"/>
                <w:sz w:val="21"/>
              </w:rPr>
              <w:t>哺乳期</w:t>
            </w:r>
          </w:p>
        </w:tc>
        <w:tc>
          <w:tcPr>
            <w:tcW w:w="919" w:type="dxa"/>
          </w:tcPr>
          <w:p>
            <w:pPr>
              <w:pStyle w:val="18"/>
              <w:spacing w:before="43"/>
              <w:ind w:left="192" w:right="186"/>
              <w:rPr>
                <w:rFonts w:ascii="Times New Roman"/>
                <w:color w:val="0000FF"/>
                <w:sz w:val="21"/>
              </w:rPr>
            </w:pPr>
            <w:r>
              <w:rPr>
                <w:rFonts w:ascii="Times New Roman"/>
                <w:color w:val="0000FF"/>
                <w:sz w:val="21"/>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254" w:type="dxa"/>
            <w:vMerge w:val="continue"/>
            <w:tcBorders>
              <w:top w:val="nil"/>
            </w:tcBorders>
          </w:tcPr>
          <w:p>
            <w:pPr>
              <w:rPr>
                <w:color w:val="0000FF"/>
                <w:sz w:val="2"/>
                <w:szCs w:val="2"/>
              </w:rPr>
            </w:pPr>
          </w:p>
        </w:tc>
        <w:tc>
          <w:tcPr>
            <w:tcW w:w="1271" w:type="dxa"/>
          </w:tcPr>
          <w:p>
            <w:pPr>
              <w:pStyle w:val="18"/>
              <w:spacing w:before="30"/>
              <w:ind w:right="-15"/>
              <w:jc w:val="right"/>
              <w:rPr>
                <w:color w:val="0000FF"/>
                <w:sz w:val="21"/>
              </w:rPr>
            </w:pPr>
            <w:r>
              <w:rPr>
                <w:color w:val="0000FF"/>
                <w:w w:val="95"/>
                <w:sz w:val="21"/>
              </w:rPr>
              <w:t>母羊（月龄）</w:t>
            </w:r>
          </w:p>
        </w:tc>
        <w:tc>
          <w:tcPr>
            <w:tcW w:w="1779" w:type="dxa"/>
          </w:tcPr>
          <w:p>
            <w:pPr>
              <w:pStyle w:val="18"/>
              <w:spacing w:before="44"/>
              <w:ind w:left="237" w:right="228"/>
              <w:rPr>
                <w:rFonts w:ascii="Times New Roman"/>
                <w:color w:val="0000FF"/>
                <w:sz w:val="21"/>
              </w:rPr>
            </w:pPr>
            <w:r>
              <w:rPr>
                <w:rFonts w:ascii="Times New Roman"/>
                <w:color w:val="0000FF"/>
                <w:sz w:val="21"/>
              </w:rPr>
              <w:t>6-8</w:t>
            </w:r>
          </w:p>
        </w:tc>
        <w:tc>
          <w:tcPr>
            <w:tcW w:w="3299" w:type="dxa"/>
            <w:gridSpan w:val="3"/>
          </w:tcPr>
          <w:p>
            <w:pPr>
              <w:pStyle w:val="18"/>
              <w:spacing w:before="30"/>
              <w:ind w:left="1312" w:right="1306"/>
              <w:rPr>
                <w:color w:val="0000FF"/>
                <w:sz w:val="21"/>
              </w:rPr>
            </w:pPr>
            <w:r>
              <w:rPr>
                <w:color w:val="0000FF"/>
                <w:sz w:val="21"/>
              </w:rPr>
              <w:t>保育期</w:t>
            </w:r>
          </w:p>
        </w:tc>
        <w:tc>
          <w:tcPr>
            <w:tcW w:w="919" w:type="dxa"/>
          </w:tcPr>
          <w:p>
            <w:pPr>
              <w:pStyle w:val="18"/>
              <w:spacing w:before="44"/>
              <w:ind w:left="192" w:right="186"/>
              <w:rPr>
                <w:rFonts w:ascii="Times New Roman"/>
                <w:color w:val="0000FF"/>
                <w:sz w:val="21"/>
              </w:rPr>
            </w:pPr>
            <w:r>
              <w:rPr>
                <w:rFonts w:ascii="Times New Roman"/>
                <w:color w:val="0000FF"/>
                <w:sz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842"/>
              <w:jc w:val="left"/>
              <w:rPr>
                <w:color w:val="0000FF"/>
                <w:sz w:val="21"/>
              </w:rPr>
            </w:pPr>
            <w:r>
              <w:rPr>
                <w:color w:val="0000FF"/>
                <w:sz w:val="21"/>
              </w:rPr>
              <w:t>配种时间</w:t>
            </w:r>
          </w:p>
        </w:tc>
        <w:tc>
          <w:tcPr>
            <w:tcW w:w="1779" w:type="dxa"/>
          </w:tcPr>
          <w:p>
            <w:pPr>
              <w:pStyle w:val="18"/>
              <w:spacing w:before="30"/>
              <w:ind w:left="237" w:right="231"/>
              <w:rPr>
                <w:color w:val="0000FF"/>
                <w:sz w:val="21"/>
              </w:rPr>
            </w:pPr>
            <w:r>
              <w:rPr>
                <w:color w:val="0000FF"/>
                <w:sz w:val="21"/>
              </w:rPr>
              <w:t>一年四季均可</w:t>
            </w:r>
          </w:p>
        </w:tc>
        <w:tc>
          <w:tcPr>
            <w:tcW w:w="879" w:type="dxa"/>
            <w:vMerge w:val="restart"/>
          </w:tcPr>
          <w:p>
            <w:pPr>
              <w:pStyle w:val="18"/>
              <w:spacing w:before="8"/>
              <w:jc w:val="left"/>
              <w:rPr>
                <w:b/>
                <w:color w:val="0000FF"/>
                <w:sz w:val="16"/>
              </w:rPr>
            </w:pPr>
          </w:p>
          <w:p>
            <w:pPr>
              <w:pStyle w:val="18"/>
              <w:ind w:left="123"/>
              <w:jc w:val="left"/>
              <w:rPr>
                <w:color w:val="0000FF"/>
                <w:sz w:val="21"/>
              </w:rPr>
            </w:pPr>
            <w:r>
              <w:rPr>
                <w:color w:val="0000FF"/>
                <w:w w:val="95"/>
                <w:sz w:val="21"/>
              </w:rPr>
              <w:t>育肥期</w:t>
            </w:r>
          </w:p>
          <w:p>
            <w:pPr>
              <w:pStyle w:val="18"/>
              <w:spacing w:before="43"/>
              <w:ind w:left="123"/>
              <w:jc w:val="left"/>
              <w:rPr>
                <w:color w:val="0000FF"/>
                <w:sz w:val="21"/>
              </w:rPr>
            </w:pPr>
            <w:r>
              <w:rPr>
                <w:color w:val="0000FF"/>
                <w:w w:val="95"/>
                <w:sz w:val="21"/>
              </w:rPr>
              <w:t>（天）</w:t>
            </w:r>
          </w:p>
        </w:tc>
        <w:tc>
          <w:tcPr>
            <w:tcW w:w="562" w:type="dxa"/>
            <w:vMerge w:val="restart"/>
          </w:tcPr>
          <w:p>
            <w:pPr>
              <w:pStyle w:val="18"/>
              <w:spacing w:before="11"/>
              <w:jc w:val="left"/>
              <w:rPr>
                <w:b/>
                <w:color w:val="0000FF"/>
                <w:sz w:val="29"/>
              </w:rPr>
            </w:pPr>
          </w:p>
          <w:p>
            <w:pPr>
              <w:pStyle w:val="18"/>
              <w:ind w:left="175"/>
              <w:jc w:val="left"/>
              <w:rPr>
                <w:rFonts w:ascii="Times New Roman"/>
                <w:color w:val="0000FF"/>
                <w:sz w:val="21"/>
              </w:rPr>
            </w:pPr>
            <w:r>
              <w:rPr>
                <w:rFonts w:ascii="Times New Roman"/>
                <w:color w:val="0000FF"/>
                <w:sz w:val="21"/>
              </w:rPr>
              <w:t>99</w:t>
            </w:r>
          </w:p>
        </w:tc>
        <w:tc>
          <w:tcPr>
            <w:tcW w:w="1858" w:type="dxa"/>
          </w:tcPr>
          <w:p>
            <w:pPr>
              <w:pStyle w:val="18"/>
              <w:spacing w:before="30"/>
              <w:ind w:left="276" w:right="271"/>
              <w:rPr>
                <w:color w:val="0000FF"/>
                <w:sz w:val="21"/>
              </w:rPr>
            </w:pPr>
            <w:r>
              <w:rPr>
                <w:color w:val="0000FF"/>
                <w:sz w:val="21"/>
              </w:rPr>
              <w:t>适应期（天）</w:t>
            </w:r>
          </w:p>
        </w:tc>
        <w:tc>
          <w:tcPr>
            <w:tcW w:w="919" w:type="dxa"/>
          </w:tcPr>
          <w:p>
            <w:pPr>
              <w:pStyle w:val="18"/>
              <w:spacing w:before="44"/>
              <w:ind w:left="192" w:right="186"/>
              <w:rPr>
                <w:rFonts w:ascii="Times New Roman"/>
                <w:color w:val="0000FF"/>
                <w:sz w:val="21"/>
              </w:rPr>
            </w:pPr>
            <w:r>
              <w:rPr>
                <w:rFonts w:ascii="Times New Roman"/>
                <w:color w:val="0000FF"/>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29"/>
              <w:ind w:left="422"/>
              <w:jc w:val="left"/>
              <w:rPr>
                <w:color w:val="0000FF"/>
                <w:sz w:val="21"/>
              </w:rPr>
            </w:pPr>
            <w:r>
              <w:rPr>
                <w:color w:val="0000FF"/>
                <w:sz w:val="21"/>
              </w:rPr>
              <w:t>母羊发情期（天）</w:t>
            </w:r>
          </w:p>
        </w:tc>
        <w:tc>
          <w:tcPr>
            <w:tcW w:w="1779" w:type="dxa"/>
          </w:tcPr>
          <w:p>
            <w:pPr>
              <w:pStyle w:val="18"/>
              <w:spacing w:before="43"/>
              <w:ind w:left="237" w:right="228"/>
              <w:rPr>
                <w:rFonts w:ascii="Times New Roman"/>
                <w:color w:val="0000FF"/>
                <w:sz w:val="21"/>
              </w:rPr>
            </w:pPr>
            <w:r>
              <w:rPr>
                <w:rFonts w:ascii="Times New Roman"/>
                <w:color w:val="0000FF"/>
                <w:sz w:val="21"/>
              </w:rPr>
              <w:t>17</w:t>
            </w:r>
          </w:p>
        </w:tc>
        <w:tc>
          <w:tcPr>
            <w:tcW w:w="879" w:type="dxa"/>
            <w:vMerge w:val="continue"/>
            <w:tcBorders>
              <w:top w:val="nil"/>
            </w:tcBorders>
          </w:tcPr>
          <w:p>
            <w:pPr>
              <w:rPr>
                <w:color w:val="0000FF"/>
                <w:sz w:val="2"/>
                <w:szCs w:val="2"/>
              </w:rPr>
            </w:pPr>
          </w:p>
        </w:tc>
        <w:tc>
          <w:tcPr>
            <w:tcW w:w="562" w:type="dxa"/>
            <w:vMerge w:val="continue"/>
            <w:tcBorders>
              <w:top w:val="nil"/>
            </w:tcBorders>
          </w:tcPr>
          <w:p>
            <w:pPr>
              <w:rPr>
                <w:color w:val="0000FF"/>
                <w:sz w:val="2"/>
                <w:szCs w:val="2"/>
              </w:rPr>
            </w:pPr>
          </w:p>
        </w:tc>
        <w:tc>
          <w:tcPr>
            <w:tcW w:w="1858" w:type="dxa"/>
          </w:tcPr>
          <w:p>
            <w:pPr>
              <w:pStyle w:val="18"/>
              <w:spacing w:before="29"/>
              <w:ind w:left="276" w:right="271"/>
              <w:rPr>
                <w:color w:val="0000FF"/>
                <w:sz w:val="21"/>
              </w:rPr>
            </w:pPr>
            <w:r>
              <w:rPr>
                <w:color w:val="0000FF"/>
                <w:sz w:val="21"/>
              </w:rPr>
              <w:t>过渡期（天）</w:t>
            </w:r>
          </w:p>
        </w:tc>
        <w:tc>
          <w:tcPr>
            <w:tcW w:w="919" w:type="dxa"/>
          </w:tcPr>
          <w:p>
            <w:pPr>
              <w:pStyle w:val="18"/>
              <w:spacing w:before="43"/>
              <w:ind w:left="192" w:right="186"/>
              <w:rPr>
                <w:rFonts w:ascii="Times New Roman"/>
                <w:color w:val="0000FF"/>
                <w:sz w:val="21"/>
              </w:rPr>
            </w:pPr>
            <w:r>
              <w:rPr>
                <w:rFonts w:ascii="Times New Roman"/>
                <w:color w:val="0000FF"/>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316"/>
              <w:jc w:val="left"/>
              <w:rPr>
                <w:color w:val="0000FF"/>
                <w:sz w:val="21"/>
              </w:rPr>
            </w:pPr>
            <w:r>
              <w:rPr>
                <w:color w:val="0000FF"/>
                <w:sz w:val="21"/>
              </w:rPr>
              <w:t>母羊产羔周期（月）</w:t>
            </w:r>
          </w:p>
        </w:tc>
        <w:tc>
          <w:tcPr>
            <w:tcW w:w="1779" w:type="dxa"/>
          </w:tcPr>
          <w:p>
            <w:pPr>
              <w:pStyle w:val="18"/>
              <w:spacing w:before="44"/>
              <w:ind w:left="9"/>
              <w:rPr>
                <w:rFonts w:ascii="Times New Roman"/>
                <w:color w:val="0000FF"/>
                <w:sz w:val="21"/>
              </w:rPr>
            </w:pPr>
            <w:r>
              <w:rPr>
                <w:rFonts w:ascii="Times New Roman"/>
                <w:color w:val="0000FF"/>
                <w:w w:val="99"/>
                <w:sz w:val="21"/>
              </w:rPr>
              <w:t>8</w:t>
            </w:r>
          </w:p>
        </w:tc>
        <w:tc>
          <w:tcPr>
            <w:tcW w:w="879" w:type="dxa"/>
            <w:vMerge w:val="continue"/>
            <w:tcBorders>
              <w:top w:val="nil"/>
            </w:tcBorders>
          </w:tcPr>
          <w:p>
            <w:pPr>
              <w:rPr>
                <w:color w:val="0000FF"/>
                <w:sz w:val="2"/>
                <w:szCs w:val="2"/>
              </w:rPr>
            </w:pPr>
          </w:p>
        </w:tc>
        <w:tc>
          <w:tcPr>
            <w:tcW w:w="562" w:type="dxa"/>
            <w:vMerge w:val="continue"/>
            <w:tcBorders>
              <w:top w:val="nil"/>
            </w:tcBorders>
          </w:tcPr>
          <w:p>
            <w:pPr>
              <w:rPr>
                <w:color w:val="0000FF"/>
                <w:sz w:val="2"/>
                <w:szCs w:val="2"/>
              </w:rPr>
            </w:pPr>
          </w:p>
        </w:tc>
        <w:tc>
          <w:tcPr>
            <w:tcW w:w="1858" w:type="dxa"/>
          </w:tcPr>
          <w:p>
            <w:pPr>
              <w:pStyle w:val="18"/>
              <w:spacing w:before="30"/>
              <w:ind w:left="276" w:right="271"/>
              <w:rPr>
                <w:color w:val="0000FF"/>
                <w:sz w:val="21"/>
              </w:rPr>
            </w:pPr>
            <w:r>
              <w:rPr>
                <w:color w:val="0000FF"/>
                <w:sz w:val="21"/>
              </w:rPr>
              <w:t>催肥期（天）</w:t>
            </w:r>
          </w:p>
        </w:tc>
        <w:tc>
          <w:tcPr>
            <w:tcW w:w="919" w:type="dxa"/>
          </w:tcPr>
          <w:p>
            <w:pPr>
              <w:pStyle w:val="18"/>
              <w:spacing w:before="44"/>
              <w:ind w:left="192" w:right="186"/>
              <w:rPr>
                <w:rFonts w:ascii="Times New Roman"/>
                <w:color w:val="0000FF"/>
                <w:sz w:val="21"/>
              </w:rPr>
            </w:pPr>
            <w:r>
              <w:rPr>
                <w:rFonts w:ascii="Times New Roman"/>
                <w:color w:val="0000FF"/>
                <w:sz w:val="21"/>
              </w:rPr>
              <w:t>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630"/>
              <w:jc w:val="left"/>
              <w:rPr>
                <w:color w:val="0000FF"/>
                <w:sz w:val="21"/>
              </w:rPr>
            </w:pPr>
            <w:r>
              <w:rPr>
                <w:color w:val="0000FF"/>
                <w:sz w:val="21"/>
              </w:rPr>
              <w:t>妊娠期（天）</w:t>
            </w:r>
          </w:p>
        </w:tc>
        <w:tc>
          <w:tcPr>
            <w:tcW w:w="1779" w:type="dxa"/>
          </w:tcPr>
          <w:p>
            <w:pPr>
              <w:pStyle w:val="18"/>
              <w:spacing w:before="44"/>
              <w:ind w:left="237" w:right="228"/>
              <w:rPr>
                <w:rFonts w:ascii="Times New Roman"/>
                <w:color w:val="0000FF"/>
                <w:sz w:val="21"/>
              </w:rPr>
            </w:pPr>
            <w:r>
              <w:rPr>
                <w:rFonts w:ascii="Times New Roman"/>
                <w:color w:val="0000FF"/>
                <w:sz w:val="21"/>
              </w:rPr>
              <w:t>147-152</w:t>
            </w:r>
          </w:p>
        </w:tc>
        <w:tc>
          <w:tcPr>
            <w:tcW w:w="3299" w:type="dxa"/>
            <w:gridSpan w:val="3"/>
          </w:tcPr>
          <w:p>
            <w:pPr>
              <w:pStyle w:val="18"/>
              <w:spacing w:before="30"/>
              <w:ind w:left="704"/>
              <w:jc w:val="left"/>
              <w:rPr>
                <w:color w:val="0000FF"/>
                <w:sz w:val="21"/>
              </w:rPr>
            </w:pPr>
            <w:r>
              <w:rPr>
                <w:color w:val="0000FF"/>
                <w:sz w:val="21"/>
              </w:rPr>
              <w:t>羔羊初生重（公斤）</w:t>
            </w:r>
          </w:p>
        </w:tc>
        <w:tc>
          <w:tcPr>
            <w:tcW w:w="919" w:type="dxa"/>
          </w:tcPr>
          <w:p>
            <w:pPr>
              <w:pStyle w:val="18"/>
              <w:spacing w:before="44"/>
              <w:ind w:left="192" w:right="186"/>
              <w:rPr>
                <w:rFonts w:ascii="Times New Roman"/>
                <w:color w:val="0000FF"/>
                <w:sz w:val="21"/>
              </w:rPr>
            </w:pPr>
            <w:r>
              <w:rPr>
                <w:rFonts w:ascii="Times New Roman"/>
                <w:color w:val="0000FF"/>
                <w:sz w:val="21"/>
              </w:rPr>
              <w:t>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29"/>
              <w:ind w:left="630"/>
              <w:jc w:val="left"/>
              <w:rPr>
                <w:color w:val="0000FF"/>
                <w:sz w:val="21"/>
              </w:rPr>
            </w:pPr>
            <w:r>
              <w:rPr>
                <w:color w:val="0000FF"/>
                <w:sz w:val="21"/>
              </w:rPr>
              <w:t>哺乳期（天）</w:t>
            </w:r>
          </w:p>
        </w:tc>
        <w:tc>
          <w:tcPr>
            <w:tcW w:w="1779" w:type="dxa"/>
          </w:tcPr>
          <w:p>
            <w:pPr>
              <w:pStyle w:val="18"/>
              <w:spacing w:before="43"/>
              <w:ind w:left="237" w:right="228"/>
              <w:rPr>
                <w:rFonts w:ascii="Times New Roman"/>
                <w:color w:val="0000FF"/>
                <w:sz w:val="21"/>
              </w:rPr>
            </w:pPr>
            <w:r>
              <w:rPr>
                <w:rFonts w:ascii="Times New Roman"/>
                <w:color w:val="0000FF"/>
                <w:sz w:val="21"/>
              </w:rPr>
              <w:t>56</w:t>
            </w:r>
          </w:p>
        </w:tc>
        <w:tc>
          <w:tcPr>
            <w:tcW w:w="3299" w:type="dxa"/>
            <w:gridSpan w:val="3"/>
          </w:tcPr>
          <w:p>
            <w:pPr>
              <w:pStyle w:val="18"/>
              <w:spacing w:before="29"/>
              <w:ind w:left="704"/>
              <w:jc w:val="left"/>
              <w:rPr>
                <w:color w:val="0000FF"/>
                <w:sz w:val="21"/>
              </w:rPr>
            </w:pPr>
            <w:r>
              <w:rPr>
                <w:color w:val="0000FF"/>
                <w:sz w:val="21"/>
              </w:rPr>
              <w:t>羔羊断奶重（公斤）</w:t>
            </w:r>
          </w:p>
        </w:tc>
        <w:tc>
          <w:tcPr>
            <w:tcW w:w="919" w:type="dxa"/>
          </w:tcPr>
          <w:p>
            <w:pPr>
              <w:pStyle w:val="18"/>
              <w:spacing w:before="43"/>
              <w:ind w:left="192" w:right="186"/>
              <w:rPr>
                <w:rFonts w:ascii="Times New Roman"/>
                <w:color w:val="0000FF"/>
                <w:sz w:val="21"/>
              </w:rPr>
            </w:pPr>
            <w:r>
              <w:rPr>
                <w:rFonts w:ascii="Times New Roman"/>
                <w:color w:val="0000FF"/>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630"/>
              <w:jc w:val="left"/>
              <w:rPr>
                <w:color w:val="0000FF"/>
                <w:sz w:val="21"/>
              </w:rPr>
            </w:pPr>
            <w:r>
              <w:rPr>
                <w:color w:val="0000FF"/>
                <w:sz w:val="21"/>
              </w:rPr>
              <w:t>保育期（天）</w:t>
            </w:r>
          </w:p>
        </w:tc>
        <w:tc>
          <w:tcPr>
            <w:tcW w:w="1779" w:type="dxa"/>
          </w:tcPr>
          <w:p>
            <w:pPr>
              <w:pStyle w:val="18"/>
              <w:spacing w:before="44"/>
              <w:ind w:left="237" w:right="228"/>
              <w:rPr>
                <w:rFonts w:ascii="Times New Roman"/>
                <w:color w:val="0000FF"/>
                <w:sz w:val="21"/>
              </w:rPr>
            </w:pPr>
            <w:r>
              <w:rPr>
                <w:rFonts w:ascii="Times New Roman"/>
                <w:color w:val="0000FF"/>
                <w:sz w:val="21"/>
              </w:rPr>
              <w:t>60</w:t>
            </w:r>
          </w:p>
        </w:tc>
        <w:tc>
          <w:tcPr>
            <w:tcW w:w="3299" w:type="dxa"/>
            <w:gridSpan w:val="3"/>
          </w:tcPr>
          <w:p>
            <w:pPr>
              <w:pStyle w:val="18"/>
              <w:spacing w:before="30"/>
              <w:ind w:left="704"/>
              <w:jc w:val="left"/>
              <w:rPr>
                <w:color w:val="0000FF"/>
                <w:sz w:val="21"/>
              </w:rPr>
            </w:pPr>
            <w:r>
              <w:rPr>
                <w:color w:val="0000FF"/>
                <w:sz w:val="21"/>
              </w:rPr>
              <w:t>肉羊出栏重（公斤）</w:t>
            </w:r>
          </w:p>
        </w:tc>
        <w:tc>
          <w:tcPr>
            <w:tcW w:w="919" w:type="dxa"/>
          </w:tcPr>
          <w:p>
            <w:pPr>
              <w:pStyle w:val="18"/>
              <w:spacing w:before="44"/>
              <w:ind w:left="192" w:right="186"/>
              <w:rPr>
                <w:rFonts w:ascii="Times New Roman"/>
                <w:color w:val="0000FF"/>
                <w:sz w:val="21"/>
              </w:rPr>
            </w:pPr>
            <w:r>
              <w:rPr>
                <w:rFonts w:ascii="Times New Roman"/>
                <w:color w:val="0000FF"/>
                <w:sz w:val="21"/>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630"/>
              <w:jc w:val="left"/>
              <w:rPr>
                <w:color w:val="0000FF"/>
                <w:sz w:val="21"/>
              </w:rPr>
            </w:pPr>
            <w:r>
              <w:rPr>
                <w:color w:val="0000FF"/>
                <w:sz w:val="21"/>
              </w:rPr>
              <w:t>育肥期（天）</w:t>
            </w:r>
          </w:p>
        </w:tc>
        <w:tc>
          <w:tcPr>
            <w:tcW w:w="1779" w:type="dxa"/>
          </w:tcPr>
          <w:p>
            <w:pPr>
              <w:pStyle w:val="18"/>
              <w:spacing w:before="44"/>
              <w:ind w:left="237" w:right="228"/>
              <w:rPr>
                <w:rFonts w:ascii="Times New Roman"/>
                <w:color w:val="0000FF"/>
                <w:sz w:val="21"/>
              </w:rPr>
            </w:pPr>
            <w:r>
              <w:rPr>
                <w:rFonts w:ascii="Times New Roman"/>
                <w:color w:val="0000FF"/>
                <w:sz w:val="21"/>
              </w:rPr>
              <w:t>60</w:t>
            </w:r>
          </w:p>
        </w:tc>
        <w:tc>
          <w:tcPr>
            <w:tcW w:w="3299" w:type="dxa"/>
            <w:gridSpan w:val="3"/>
          </w:tcPr>
          <w:p>
            <w:pPr>
              <w:pStyle w:val="18"/>
              <w:spacing w:before="30"/>
              <w:ind w:left="387"/>
              <w:jc w:val="left"/>
              <w:rPr>
                <w:color w:val="0000FF"/>
                <w:sz w:val="21"/>
              </w:rPr>
            </w:pPr>
            <w:r>
              <w:rPr>
                <w:color w:val="0000FF"/>
                <w:sz w:val="21"/>
              </w:rPr>
              <w:t>公母比例（部分人工授精）</w:t>
            </w:r>
          </w:p>
        </w:tc>
        <w:tc>
          <w:tcPr>
            <w:tcW w:w="919" w:type="dxa"/>
          </w:tcPr>
          <w:p>
            <w:pPr>
              <w:pStyle w:val="18"/>
              <w:spacing w:before="44"/>
              <w:ind w:left="192" w:right="181"/>
              <w:rPr>
                <w:rFonts w:ascii="Times New Roman"/>
                <w:color w:val="0000FF"/>
                <w:sz w:val="21"/>
              </w:rPr>
            </w:pPr>
            <w:r>
              <w:rPr>
                <w:rFonts w:ascii="Times New Roman"/>
                <w:color w:val="0000FF"/>
                <w:sz w:val="21"/>
              </w:rPr>
              <w:t>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29"/>
              <w:ind w:left="422"/>
              <w:jc w:val="left"/>
              <w:rPr>
                <w:color w:val="0000FF"/>
                <w:sz w:val="21"/>
              </w:rPr>
            </w:pPr>
            <w:r>
              <w:rPr>
                <w:color w:val="0000FF"/>
                <w:sz w:val="21"/>
              </w:rPr>
              <w:t>断奶至受胎（天）</w:t>
            </w:r>
          </w:p>
        </w:tc>
        <w:tc>
          <w:tcPr>
            <w:tcW w:w="1779" w:type="dxa"/>
          </w:tcPr>
          <w:p>
            <w:pPr>
              <w:pStyle w:val="18"/>
              <w:spacing w:before="43"/>
              <w:ind w:left="237" w:right="228"/>
              <w:rPr>
                <w:rFonts w:ascii="Times New Roman"/>
                <w:color w:val="0000FF"/>
                <w:sz w:val="21"/>
              </w:rPr>
            </w:pPr>
            <w:r>
              <w:rPr>
                <w:rFonts w:ascii="Times New Roman"/>
                <w:color w:val="0000FF"/>
                <w:sz w:val="21"/>
              </w:rPr>
              <w:t>17-34</w:t>
            </w:r>
          </w:p>
        </w:tc>
        <w:tc>
          <w:tcPr>
            <w:tcW w:w="3299" w:type="dxa"/>
            <w:gridSpan w:val="3"/>
          </w:tcPr>
          <w:p>
            <w:pPr>
              <w:pStyle w:val="18"/>
              <w:spacing w:before="29"/>
              <w:ind w:left="704"/>
              <w:jc w:val="left"/>
              <w:rPr>
                <w:color w:val="0000FF"/>
                <w:sz w:val="21"/>
              </w:rPr>
            </w:pPr>
            <w:r>
              <w:rPr>
                <w:color w:val="0000FF"/>
                <w:sz w:val="21"/>
              </w:rPr>
              <w:t>母羊年更新率（﹪）</w:t>
            </w:r>
          </w:p>
        </w:tc>
        <w:tc>
          <w:tcPr>
            <w:tcW w:w="919" w:type="dxa"/>
          </w:tcPr>
          <w:p>
            <w:pPr>
              <w:pStyle w:val="18"/>
              <w:spacing w:before="43"/>
              <w:ind w:left="192" w:right="183"/>
              <w:rPr>
                <w:rFonts w:ascii="Times New Roman"/>
                <w:color w:val="0000FF"/>
                <w:sz w:val="21"/>
              </w:rPr>
            </w:pPr>
            <w:r>
              <w:rPr>
                <w:rFonts w:ascii="Times New Roman"/>
                <w:color w:val="0000FF"/>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842"/>
              <w:jc w:val="left"/>
              <w:rPr>
                <w:color w:val="0000FF"/>
                <w:sz w:val="21"/>
              </w:rPr>
            </w:pPr>
            <w:r>
              <w:rPr>
                <w:color w:val="0000FF"/>
                <w:sz w:val="21"/>
              </w:rPr>
              <w:t>年产胎次</w:t>
            </w:r>
          </w:p>
        </w:tc>
        <w:tc>
          <w:tcPr>
            <w:tcW w:w="1779" w:type="dxa"/>
          </w:tcPr>
          <w:p>
            <w:pPr>
              <w:pStyle w:val="18"/>
              <w:spacing w:before="44"/>
              <w:ind w:left="237" w:right="228"/>
              <w:rPr>
                <w:rFonts w:ascii="Times New Roman"/>
                <w:color w:val="0000FF"/>
                <w:sz w:val="21"/>
              </w:rPr>
            </w:pPr>
            <w:r>
              <w:rPr>
                <w:rFonts w:ascii="Times New Roman"/>
                <w:color w:val="0000FF"/>
                <w:sz w:val="21"/>
              </w:rPr>
              <w:t>1.5</w:t>
            </w:r>
          </w:p>
        </w:tc>
        <w:tc>
          <w:tcPr>
            <w:tcW w:w="3299" w:type="dxa"/>
            <w:gridSpan w:val="3"/>
          </w:tcPr>
          <w:p>
            <w:pPr>
              <w:pStyle w:val="18"/>
              <w:spacing w:before="30"/>
              <w:ind w:left="807"/>
              <w:jc w:val="left"/>
              <w:rPr>
                <w:color w:val="0000FF"/>
                <w:sz w:val="21"/>
              </w:rPr>
            </w:pPr>
            <w:r>
              <w:rPr>
                <w:color w:val="0000FF"/>
                <w:sz w:val="21"/>
              </w:rPr>
              <w:t>情期受胎率（﹪）</w:t>
            </w:r>
          </w:p>
        </w:tc>
        <w:tc>
          <w:tcPr>
            <w:tcW w:w="919" w:type="dxa"/>
          </w:tcPr>
          <w:p>
            <w:pPr>
              <w:pStyle w:val="18"/>
              <w:spacing w:before="44"/>
              <w:ind w:left="192" w:right="186"/>
              <w:rPr>
                <w:rFonts w:ascii="Times New Roman"/>
                <w:color w:val="0000FF"/>
                <w:sz w:val="21"/>
              </w:rPr>
            </w:pPr>
            <w:r>
              <w:rPr>
                <w:rFonts w:ascii="Times New Roman"/>
                <w:color w:val="0000FF"/>
                <w:sz w:val="21"/>
              </w:rPr>
              <w:t>90-95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525" w:type="dxa"/>
            <w:gridSpan w:val="2"/>
          </w:tcPr>
          <w:p>
            <w:pPr>
              <w:pStyle w:val="18"/>
              <w:spacing w:before="30"/>
              <w:ind w:left="650"/>
              <w:jc w:val="left"/>
              <w:rPr>
                <w:color w:val="0000FF"/>
                <w:sz w:val="21"/>
              </w:rPr>
            </w:pPr>
            <w:r>
              <w:rPr>
                <w:color w:val="0000FF"/>
                <w:sz w:val="21"/>
              </w:rPr>
              <w:t>双羔率（</w:t>
            </w:r>
            <w:r>
              <w:rPr>
                <w:rFonts w:ascii="Times New Roman" w:eastAsia="Times New Roman"/>
                <w:color w:val="0000FF"/>
                <w:sz w:val="21"/>
              </w:rPr>
              <w:t>%</w:t>
            </w:r>
            <w:r>
              <w:rPr>
                <w:color w:val="0000FF"/>
                <w:sz w:val="21"/>
              </w:rPr>
              <w:t>）</w:t>
            </w:r>
          </w:p>
        </w:tc>
        <w:tc>
          <w:tcPr>
            <w:tcW w:w="1779" w:type="dxa"/>
          </w:tcPr>
          <w:p>
            <w:pPr>
              <w:pStyle w:val="18"/>
              <w:spacing w:before="44"/>
              <w:ind w:left="237" w:right="228"/>
              <w:rPr>
                <w:rFonts w:ascii="Times New Roman"/>
                <w:color w:val="0000FF"/>
                <w:sz w:val="21"/>
              </w:rPr>
            </w:pPr>
            <w:r>
              <w:rPr>
                <w:rFonts w:ascii="Times New Roman"/>
                <w:color w:val="0000FF"/>
                <w:sz w:val="21"/>
              </w:rPr>
              <w:t>260</w:t>
            </w:r>
          </w:p>
        </w:tc>
        <w:tc>
          <w:tcPr>
            <w:tcW w:w="1441" w:type="dxa"/>
            <w:gridSpan w:val="2"/>
            <w:vMerge w:val="restart"/>
          </w:tcPr>
          <w:p>
            <w:pPr>
              <w:pStyle w:val="18"/>
              <w:spacing w:before="4" w:line="310" w:lineRule="atLeast"/>
              <w:ind w:left="510" w:right="184" w:hanging="315"/>
              <w:jc w:val="left"/>
              <w:rPr>
                <w:color w:val="0000FF"/>
                <w:sz w:val="21"/>
              </w:rPr>
            </w:pPr>
            <w:r>
              <w:rPr>
                <w:color w:val="0000FF"/>
                <w:sz w:val="21"/>
              </w:rPr>
              <w:t>成年羊利用年限</w:t>
            </w:r>
          </w:p>
        </w:tc>
        <w:tc>
          <w:tcPr>
            <w:tcW w:w="1858" w:type="dxa"/>
          </w:tcPr>
          <w:p>
            <w:pPr>
              <w:pStyle w:val="18"/>
              <w:spacing w:before="30"/>
              <w:ind w:left="276" w:right="271"/>
              <w:rPr>
                <w:color w:val="0000FF"/>
                <w:sz w:val="21"/>
              </w:rPr>
            </w:pPr>
            <w:r>
              <w:rPr>
                <w:color w:val="0000FF"/>
                <w:sz w:val="21"/>
              </w:rPr>
              <w:t>公羊</w:t>
            </w:r>
          </w:p>
        </w:tc>
        <w:tc>
          <w:tcPr>
            <w:tcW w:w="919" w:type="dxa"/>
          </w:tcPr>
          <w:p>
            <w:pPr>
              <w:pStyle w:val="18"/>
              <w:spacing w:before="44"/>
              <w:ind w:left="6"/>
              <w:rPr>
                <w:rFonts w:ascii="Times New Roman"/>
                <w:color w:val="0000FF"/>
                <w:sz w:val="21"/>
              </w:rPr>
            </w:pPr>
            <w:r>
              <w:rPr>
                <w:rFonts w:ascii="Times New Roman"/>
                <w:color w:val="0000FF"/>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29"/>
              <w:ind w:left="527"/>
              <w:jc w:val="left"/>
              <w:rPr>
                <w:color w:val="0000FF"/>
                <w:sz w:val="21"/>
              </w:rPr>
            </w:pPr>
            <w:r>
              <w:rPr>
                <w:color w:val="0000FF"/>
                <w:sz w:val="21"/>
              </w:rPr>
              <w:t>年均产羔（只）</w:t>
            </w:r>
          </w:p>
        </w:tc>
        <w:tc>
          <w:tcPr>
            <w:tcW w:w="1779" w:type="dxa"/>
          </w:tcPr>
          <w:p>
            <w:pPr>
              <w:pStyle w:val="18"/>
              <w:spacing w:before="43"/>
              <w:ind w:left="237" w:right="228"/>
              <w:rPr>
                <w:rFonts w:ascii="Times New Roman"/>
                <w:color w:val="0000FF"/>
                <w:sz w:val="21"/>
              </w:rPr>
            </w:pPr>
            <w:r>
              <w:rPr>
                <w:rFonts w:ascii="Times New Roman"/>
                <w:color w:val="0000FF"/>
                <w:sz w:val="21"/>
              </w:rPr>
              <w:t>1.6</w:t>
            </w:r>
          </w:p>
        </w:tc>
        <w:tc>
          <w:tcPr>
            <w:tcW w:w="1441" w:type="dxa"/>
            <w:gridSpan w:val="2"/>
            <w:vMerge w:val="continue"/>
            <w:tcBorders>
              <w:top w:val="nil"/>
            </w:tcBorders>
          </w:tcPr>
          <w:p>
            <w:pPr>
              <w:rPr>
                <w:color w:val="0000FF"/>
                <w:sz w:val="2"/>
                <w:szCs w:val="2"/>
              </w:rPr>
            </w:pPr>
          </w:p>
        </w:tc>
        <w:tc>
          <w:tcPr>
            <w:tcW w:w="1858" w:type="dxa"/>
          </w:tcPr>
          <w:p>
            <w:pPr>
              <w:pStyle w:val="18"/>
              <w:spacing w:before="29"/>
              <w:ind w:left="276" w:right="271"/>
              <w:rPr>
                <w:color w:val="0000FF"/>
                <w:sz w:val="21"/>
              </w:rPr>
            </w:pPr>
            <w:r>
              <w:rPr>
                <w:color w:val="0000FF"/>
                <w:sz w:val="21"/>
              </w:rPr>
              <w:t>母羊</w:t>
            </w:r>
          </w:p>
        </w:tc>
        <w:tc>
          <w:tcPr>
            <w:tcW w:w="919" w:type="dxa"/>
          </w:tcPr>
          <w:p>
            <w:pPr>
              <w:pStyle w:val="18"/>
              <w:spacing w:before="43"/>
              <w:ind w:left="6"/>
              <w:rPr>
                <w:rFonts w:ascii="Times New Roman"/>
                <w:color w:val="0000FF"/>
                <w:sz w:val="21"/>
              </w:rPr>
            </w:pPr>
            <w:r>
              <w:rPr>
                <w:rFonts w:ascii="Times New Roman"/>
                <w:color w:val="0000FF"/>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8"/>
              <w:spacing w:before="30"/>
              <w:ind w:left="630"/>
              <w:jc w:val="left"/>
              <w:rPr>
                <w:color w:val="0000FF"/>
                <w:sz w:val="21"/>
              </w:rPr>
            </w:pPr>
            <w:r>
              <w:rPr>
                <w:color w:val="0000FF"/>
                <w:sz w:val="21"/>
              </w:rPr>
              <w:t>成活率（﹪）</w:t>
            </w:r>
          </w:p>
        </w:tc>
        <w:tc>
          <w:tcPr>
            <w:tcW w:w="1779" w:type="dxa"/>
          </w:tcPr>
          <w:p>
            <w:pPr>
              <w:pStyle w:val="18"/>
              <w:spacing w:before="44"/>
              <w:ind w:left="237" w:right="228"/>
              <w:rPr>
                <w:rFonts w:ascii="Times New Roman"/>
                <w:color w:val="0000FF"/>
                <w:sz w:val="21"/>
              </w:rPr>
            </w:pPr>
            <w:r>
              <w:rPr>
                <w:rFonts w:ascii="Times New Roman"/>
                <w:color w:val="0000FF"/>
                <w:sz w:val="21"/>
              </w:rPr>
              <w:t>0.95</w:t>
            </w:r>
          </w:p>
        </w:tc>
        <w:tc>
          <w:tcPr>
            <w:tcW w:w="1441" w:type="dxa"/>
            <w:gridSpan w:val="2"/>
          </w:tcPr>
          <w:p>
            <w:pPr>
              <w:pStyle w:val="18"/>
              <w:jc w:val="left"/>
              <w:rPr>
                <w:rFonts w:ascii="Times New Roman"/>
                <w:color w:val="0000FF"/>
                <w:sz w:val="22"/>
              </w:rPr>
            </w:pPr>
          </w:p>
        </w:tc>
        <w:tc>
          <w:tcPr>
            <w:tcW w:w="1858" w:type="dxa"/>
          </w:tcPr>
          <w:p>
            <w:pPr>
              <w:pStyle w:val="18"/>
              <w:jc w:val="left"/>
              <w:rPr>
                <w:rFonts w:ascii="Times New Roman"/>
                <w:color w:val="0000FF"/>
                <w:sz w:val="22"/>
              </w:rPr>
            </w:pPr>
          </w:p>
        </w:tc>
        <w:tc>
          <w:tcPr>
            <w:tcW w:w="919" w:type="dxa"/>
          </w:tcPr>
          <w:p>
            <w:pPr>
              <w:pStyle w:val="18"/>
              <w:jc w:val="left"/>
              <w:rPr>
                <w:rFonts w:ascii="Times New Roman"/>
                <w:color w:val="0000FF"/>
                <w:sz w:val="22"/>
              </w:rPr>
            </w:pPr>
          </w:p>
        </w:tc>
      </w:tr>
    </w:tbl>
    <w:p>
      <w:pPr>
        <w:pStyle w:val="7"/>
        <w:spacing w:before="5"/>
        <w:ind w:left="0"/>
        <w:rPr>
          <w:b/>
          <w:sz w:val="18"/>
        </w:rPr>
      </w:pPr>
    </w:p>
    <w:p>
      <w:pPr>
        <w:pStyle w:val="17"/>
        <w:numPr>
          <w:ilvl w:val="5"/>
          <w:numId w:val="18"/>
        </w:numPr>
        <w:tabs>
          <w:tab w:val="left" w:pos="1621"/>
        </w:tabs>
        <w:spacing w:before="0" w:after="0" w:line="240" w:lineRule="auto"/>
        <w:ind w:left="1621" w:right="0" w:hanging="601"/>
        <w:jc w:val="left"/>
        <w:rPr>
          <w:sz w:val="24"/>
        </w:rPr>
      </w:pPr>
      <w:r>
        <w:rPr>
          <w:sz w:val="24"/>
        </w:rPr>
        <w:t>良种繁育技术措施、繁育方式</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1.繁殖母羊：母羊应按等级、年龄组群，常年给予良好的饲养管理，使之保持良好的状况。</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2.配种期：配种前 1-1.5 个月尤应加强补饲，实行短期优饲，保证满膘配种，每天每只补饲混合精料 0.3kg 以上。</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3.怀孕期：管理上重点突出保胎工作，饲养上保持较高的营养水平。怀孕期母羊增重标准：单羔母羊至少增重 15-18kg，双羔母羊至少增重 18-22kg。母羊怀孕后期的 45 天，日增重平均在 0.3kg 以上。实行全舍饲的怀孕母羊，每天定时赶出运动 2-3h。</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4.产羔期：产前半个月做好接羔准备，搞好产房的消毒隆及产前的室内升温工作，产房温度保持 5-15℃，母仔栏温度不低于 2-5 oC。临产母羊要进入产房，剪去乳房羊毛，做好助产、消毒和哺乳工作。母羊分娩后，逐渐增加精料喂量。乳汁不足的母羊，可适当增喂多汁饲料或豆浆。多胎羔羊可找保姆羊代养。</w:t>
      </w:r>
    </w:p>
    <w:p>
      <w:pPr>
        <w:pStyle w:val="7"/>
        <w:keepNext w:val="0"/>
        <w:keepLines w:val="0"/>
        <w:pageBreakBefore w:val="0"/>
        <w:widowControl w:val="0"/>
        <w:kinsoku/>
        <w:wordWrap/>
        <w:overflowPunct/>
        <w:topLinePunct w:val="0"/>
        <w:autoSpaceDE w:val="0"/>
        <w:autoSpaceDN w:val="0"/>
        <w:bidi w:val="0"/>
        <w:adjustRightInd/>
        <w:snapToGrid/>
        <w:spacing w:before="161" w:line="240" w:lineRule="auto"/>
        <w:ind w:left="539" w:right="578" w:firstLine="482"/>
        <w:jc w:val="both"/>
        <w:textAlignment w:val="auto"/>
        <w:rPr>
          <w:rFonts w:hint="eastAsia"/>
          <w:color w:val="0000FF"/>
          <w:lang w:val="en-US" w:eastAsia="zh-CN"/>
        </w:rPr>
      </w:pPr>
      <w:r>
        <w:rPr>
          <w:rFonts w:hint="eastAsia"/>
          <w:color w:val="0000FF"/>
          <w:lang w:val="en-US" w:eastAsia="zh-CN"/>
        </w:rPr>
        <w:t>5.羔羊培育：要坚持做好“六早” 工作。即早哺乳、早补饲、早断尾、早去势、早分群、早断奶。</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6.育成羊：断奶至第 1 次配种为羊的育成阶段，是羊只生长发育的关键时期，培育的好坏关系到它的生产性能。要强化饲养管理，要按标准饲喂。经常检查，逐月称重，及时调整日粮，保证正常生长发育，稳步增膘，一岁半配种时体重不低于 45kg。创造条件养好母羔，体重达到 38kg 以上的当年母羔可参加当年配种。</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7.种公羊：单独组群，小群饲养，保持良好膘度和健壮的体魄。指派责任心强、技术素质好的饲养员专门管理。圈舍及放牧地应远离其它羊群。</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1.母羊受配率 100%；</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2.母羊受胎率 95%以上；</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3.产仔成活率 98%；</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4.经产母羊产羔率≧115%；</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5.初生羔公羔≧4.3kg，母羔≧4.0kg；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6.胴体重：平均 16.5kg；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7.年产毛量≧1kg；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8.一级成年公羊体重≧83kg，母羊体重≧60kg。</w:t>
      </w:r>
    </w:p>
    <w:p>
      <w:pPr>
        <w:pStyle w:val="17"/>
        <w:numPr>
          <w:ilvl w:val="4"/>
          <w:numId w:val="18"/>
        </w:numPr>
        <w:tabs>
          <w:tab w:val="left" w:pos="1500"/>
        </w:tabs>
        <w:spacing w:before="2" w:after="0" w:line="240" w:lineRule="auto"/>
        <w:ind w:left="1500" w:right="0" w:hanging="960"/>
        <w:jc w:val="left"/>
        <w:rPr>
          <w:sz w:val="24"/>
        </w:rPr>
      </w:pPr>
      <w:r>
        <w:rPr>
          <w:sz w:val="24"/>
        </w:rPr>
        <w:t>育肥工艺技术路线</w:t>
      </w:r>
    </w:p>
    <w:p>
      <w:pPr>
        <w:pStyle w:val="7"/>
        <w:spacing w:before="160"/>
        <w:ind w:left="1020"/>
        <w:rPr>
          <w:rFonts w:ascii="Times New Roman" w:eastAsia="Times New Roman"/>
          <w:color w:val="0000FF"/>
        </w:rPr>
      </w:pPr>
      <w:r>
        <w:rPr>
          <w:color w:val="0000FF"/>
        </w:rPr>
        <w:t>本项目产品以活畜为主，主要供应给活畜市场，标准肉羊每只活重约</w:t>
      </w:r>
      <w:r>
        <w:rPr>
          <w:rFonts w:ascii="Times New Roman" w:eastAsia="Times New Roman"/>
          <w:color w:val="0000FF"/>
        </w:rPr>
        <w:t>40-50</w:t>
      </w:r>
    </w:p>
    <w:p>
      <w:pPr>
        <w:pStyle w:val="7"/>
        <w:spacing w:before="161" w:line="364" w:lineRule="auto"/>
        <w:ind w:left="1020" w:right="5237" w:hanging="480"/>
        <w:jc w:val="center"/>
        <w:rPr>
          <w:color w:val="0000FF"/>
        </w:rPr>
      </w:pPr>
      <w:r>
        <w:rPr>
          <w:color w:val="0000FF"/>
        </w:rPr>
        <w:t>公斤。育肥时间为羊</w:t>
      </w:r>
      <w:r>
        <w:rPr>
          <w:rFonts w:ascii="Times New Roman" w:eastAsia="Times New Roman"/>
          <w:color w:val="0000FF"/>
        </w:rPr>
        <w:t>3-4</w:t>
      </w:r>
      <w:r>
        <w:rPr>
          <w:color w:val="0000FF"/>
        </w:rPr>
        <w:t>个月。</w:t>
      </w:r>
    </w:p>
    <w:p>
      <w:pPr>
        <w:pStyle w:val="7"/>
        <w:spacing w:before="161" w:line="364" w:lineRule="auto"/>
        <w:ind w:left="1020" w:right="5237" w:hanging="480"/>
        <w:jc w:val="center"/>
        <w:rPr>
          <w:rFonts w:ascii="Times New Roman" w:eastAsia="Times New Roman"/>
          <w:i w:val="0"/>
          <w:iCs w:val="0"/>
          <w:color w:val="0000FF"/>
        </w:rPr>
      </w:pPr>
      <w:r>
        <w:rPr>
          <w:color w:val="0000FF"/>
        </w:rPr>
        <w:t>羊育肥工艺流程如下图所示图</w:t>
      </w:r>
      <w:r>
        <w:rPr>
          <w:rFonts w:ascii="Times New Roman" w:eastAsia="Times New Roman"/>
          <w:i w:val="0"/>
          <w:iCs w:val="0"/>
          <w:color w:val="0000FF"/>
        </w:rPr>
        <w:t>3.1-6</w:t>
      </w:r>
      <w:r>
        <w:rPr>
          <w:rFonts w:ascii="Times New Roman" w:eastAsia="Times New Roman"/>
          <w:i w:val="0"/>
          <w:iCs w:val="0"/>
          <w:color w:val="0000FF"/>
        </w:rPr>
        <w:tab/>
      </w:r>
    </w:p>
    <w:p>
      <w:pPr>
        <w:pStyle w:val="7"/>
        <w:spacing w:before="161" w:line="364" w:lineRule="auto"/>
        <w:ind w:left="1020" w:right="5237" w:hanging="480"/>
        <w:jc w:val="center"/>
        <w:rPr>
          <w:rFonts w:ascii="Times New Roman" w:eastAsia="Times New Roman"/>
          <w:i w:val="0"/>
          <w:iCs w:val="0"/>
          <w:color w:val="0000FF"/>
        </w:rPr>
      </w:pPr>
    </w:p>
    <w:p>
      <w:pPr>
        <w:pStyle w:val="7"/>
        <w:spacing w:before="161" w:line="364" w:lineRule="auto"/>
        <w:ind w:left="1020" w:right="5237" w:hanging="480"/>
        <w:jc w:val="center"/>
        <w:rPr>
          <w:rFonts w:ascii="Times New Roman" w:eastAsia="Times New Roman"/>
          <w:i w:val="0"/>
          <w:iCs w:val="0"/>
          <w:color w:val="0000FF"/>
        </w:rPr>
      </w:pPr>
    </w:p>
    <w:p>
      <w:pPr>
        <w:pStyle w:val="7"/>
        <w:spacing w:before="161" w:line="364" w:lineRule="auto"/>
        <w:ind w:left="1020" w:right="5237" w:hanging="480"/>
        <w:jc w:val="center"/>
        <w:rPr>
          <w:i w:val="0"/>
          <w:iCs w:val="0"/>
          <w:color w:val="0000FF"/>
        </w:rPr>
      </w:pPr>
      <w:r>
        <w:rPr>
          <w:color w:val="0000FF"/>
        </w:rPr>
        <mc:AlternateContent>
          <mc:Choice Requires="wpg">
            <w:drawing>
              <wp:anchor distT="0" distB="0" distL="114300" distR="114300" simplePos="0" relativeHeight="251726848" behindDoc="1" locked="0" layoutInCell="1" allowOverlap="1">
                <wp:simplePos x="0" y="0"/>
                <wp:positionH relativeFrom="page">
                  <wp:posOffset>1110615</wp:posOffset>
                </wp:positionH>
                <wp:positionV relativeFrom="paragraph">
                  <wp:posOffset>167640</wp:posOffset>
                </wp:positionV>
                <wp:extent cx="5173345" cy="1584960"/>
                <wp:effectExtent l="0" t="635" r="8255" b="14605"/>
                <wp:wrapTopAndBottom/>
                <wp:docPr id="141" name="组合 107"/>
                <wp:cNvGraphicFramePr/>
                <a:graphic xmlns:a="http://schemas.openxmlformats.org/drawingml/2006/main">
                  <a:graphicData uri="http://schemas.microsoft.com/office/word/2010/wordprocessingGroup">
                    <wpg:wgp>
                      <wpg:cNvGrpSpPr/>
                      <wpg:grpSpPr>
                        <a:xfrm>
                          <a:off x="0" y="0"/>
                          <a:ext cx="5173345" cy="1584960"/>
                          <a:chOff x="2019" y="1195"/>
                          <a:chExt cx="8147" cy="2496"/>
                        </a:xfrm>
                      </wpg:grpSpPr>
                      <pic:pic xmlns:pic="http://schemas.openxmlformats.org/drawingml/2006/picture">
                        <pic:nvPicPr>
                          <pic:cNvPr id="131" name="图片 108"/>
                          <pic:cNvPicPr>
                            <a:picLocks noChangeAspect="1"/>
                          </pic:cNvPicPr>
                        </pic:nvPicPr>
                        <pic:blipFill>
                          <a:blip r:embed="rId35"/>
                          <a:stretch>
                            <a:fillRect/>
                          </a:stretch>
                        </pic:blipFill>
                        <pic:spPr>
                          <a:xfrm>
                            <a:off x="2019" y="1194"/>
                            <a:ext cx="8147" cy="2496"/>
                          </a:xfrm>
                          <a:prstGeom prst="rect">
                            <a:avLst/>
                          </a:prstGeom>
                          <a:noFill/>
                          <a:ln>
                            <a:noFill/>
                          </a:ln>
                        </pic:spPr>
                      </pic:pic>
                      <wps:wsp>
                        <wps:cNvPr id="132" name="文本框 109"/>
                        <wps:cNvSpPr txBox="1"/>
                        <wps:spPr>
                          <a:xfrm>
                            <a:off x="4176" y="1384"/>
                            <a:ext cx="2300" cy="266"/>
                          </a:xfrm>
                          <a:prstGeom prst="rect">
                            <a:avLst/>
                          </a:prstGeom>
                          <a:noFill/>
                          <a:ln>
                            <a:noFill/>
                          </a:ln>
                        </wps:spPr>
                        <wps:txbx>
                          <w:txbxContent>
                            <w:p>
                              <w:pPr>
                                <w:spacing w:before="0" w:line="266" w:lineRule="exact"/>
                                <w:ind w:left="0" w:right="0" w:firstLine="0"/>
                                <w:jc w:val="left"/>
                                <w:rPr>
                                  <w:sz w:val="24"/>
                                </w:rPr>
                              </w:pPr>
                              <w:r>
                                <w:rPr>
                                  <w:spacing w:val="-8"/>
                                  <w:sz w:val="24"/>
                                </w:rPr>
                                <w:t xml:space="preserve">进入隔离适应期 </w:t>
                              </w:r>
                              <w:r>
                                <w:rPr>
                                  <w:rFonts w:ascii="Times New Roman" w:eastAsia="Times New Roman"/>
                                  <w:sz w:val="24"/>
                                </w:rPr>
                                <w:t xml:space="preserve">15 </w:t>
                              </w:r>
                              <w:r>
                                <w:rPr>
                                  <w:sz w:val="24"/>
                                </w:rPr>
                                <w:t>天</w:t>
                              </w:r>
                            </w:p>
                          </w:txbxContent>
                        </wps:txbx>
                        <wps:bodyPr lIns="0" tIns="0" rIns="0" bIns="0" upright="1"/>
                      </wps:wsp>
                      <wps:wsp>
                        <wps:cNvPr id="133" name="文本框 110"/>
                        <wps:cNvSpPr txBox="1"/>
                        <wps:spPr>
                          <a:xfrm>
                            <a:off x="2174" y="2105"/>
                            <a:ext cx="980" cy="240"/>
                          </a:xfrm>
                          <a:prstGeom prst="rect">
                            <a:avLst/>
                          </a:prstGeom>
                          <a:noFill/>
                          <a:ln>
                            <a:noFill/>
                          </a:ln>
                        </wps:spPr>
                        <wps:txbx>
                          <w:txbxContent>
                            <w:p>
                              <w:pPr>
                                <w:spacing w:before="0" w:line="240" w:lineRule="exact"/>
                                <w:ind w:left="0" w:right="0" w:firstLine="0"/>
                                <w:jc w:val="left"/>
                                <w:rPr>
                                  <w:sz w:val="24"/>
                                </w:rPr>
                              </w:pPr>
                              <w:r>
                                <w:rPr>
                                  <w:sz w:val="24"/>
                                </w:rPr>
                                <w:t>待育羔羊</w:t>
                              </w:r>
                            </w:p>
                          </w:txbxContent>
                        </wps:txbx>
                        <wps:bodyPr lIns="0" tIns="0" rIns="0" bIns="0" upright="1"/>
                      </wps:wsp>
                      <wps:wsp>
                        <wps:cNvPr id="134" name="文本框 111"/>
                        <wps:cNvSpPr txBox="1"/>
                        <wps:spPr>
                          <a:xfrm>
                            <a:off x="3892" y="2090"/>
                            <a:ext cx="500" cy="240"/>
                          </a:xfrm>
                          <a:prstGeom prst="rect">
                            <a:avLst/>
                          </a:prstGeom>
                          <a:noFill/>
                          <a:ln>
                            <a:noFill/>
                          </a:ln>
                        </wps:spPr>
                        <wps:txbx>
                          <w:txbxContent>
                            <w:p>
                              <w:pPr>
                                <w:spacing w:before="0" w:line="240" w:lineRule="exact"/>
                                <w:ind w:left="0" w:right="0" w:firstLine="0"/>
                                <w:jc w:val="left"/>
                                <w:rPr>
                                  <w:sz w:val="24"/>
                                </w:rPr>
                              </w:pPr>
                              <w:r>
                                <w:rPr>
                                  <w:sz w:val="24"/>
                                </w:rPr>
                                <w:t>检疫</w:t>
                              </w:r>
                            </w:p>
                          </w:txbxContent>
                        </wps:txbx>
                        <wps:bodyPr lIns="0" tIns="0" rIns="0" bIns="0" upright="1"/>
                      </wps:wsp>
                      <wps:wsp>
                        <wps:cNvPr id="135" name="文本框 112"/>
                        <wps:cNvSpPr txBox="1"/>
                        <wps:spPr>
                          <a:xfrm>
                            <a:off x="5114" y="2095"/>
                            <a:ext cx="500" cy="240"/>
                          </a:xfrm>
                          <a:prstGeom prst="rect">
                            <a:avLst/>
                          </a:prstGeom>
                          <a:noFill/>
                          <a:ln>
                            <a:noFill/>
                          </a:ln>
                        </wps:spPr>
                        <wps:txbx>
                          <w:txbxContent>
                            <w:p>
                              <w:pPr>
                                <w:spacing w:before="0" w:line="240" w:lineRule="exact"/>
                                <w:ind w:left="0" w:right="0" w:firstLine="0"/>
                                <w:jc w:val="left"/>
                                <w:rPr>
                                  <w:sz w:val="24"/>
                                </w:rPr>
                              </w:pPr>
                              <w:r>
                                <w:rPr>
                                  <w:sz w:val="24"/>
                                </w:rPr>
                                <w:t>驱虫</w:t>
                              </w:r>
                            </w:p>
                          </w:txbxContent>
                        </wps:txbx>
                        <wps:bodyPr lIns="0" tIns="0" rIns="0" bIns="0" upright="1"/>
                      </wps:wsp>
                      <wps:wsp>
                        <wps:cNvPr id="136" name="文本框 113"/>
                        <wps:cNvSpPr txBox="1"/>
                        <wps:spPr>
                          <a:xfrm>
                            <a:off x="6316" y="2083"/>
                            <a:ext cx="500" cy="240"/>
                          </a:xfrm>
                          <a:prstGeom prst="rect">
                            <a:avLst/>
                          </a:prstGeom>
                          <a:noFill/>
                          <a:ln>
                            <a:noFill/>
                          </a:ln>
                        </wps:spPr>
                        <wps:txbx>
                          <w:txbxContent>
                            <w:p>
                              <w:pPr>
                                <w:spacing w:before="0" w:line="240" w:lineRule="exact"/>
                                <w:ind w:left="0" w:right="0" w:firstLine="0"/>
                                <w:jc w:val="left"/>
                                <w:rPr>
                                  <w:sz w:val="24"/>
                                </w:rPr>
                              </w:pPr>
                              <w:r>
                                <w:rPr>
                                  <w:sz w:val="24"/>
                                </w:rPr>
                                <w:t>编号</w:t>
                              </w:r>
                            </w:p>
                          </w:txbxContent>
                        </wps:txbx>
                        <wps:bodyPr lIns="0" tIns="0" rIns="0" bIns="0" upright="1"/>
                      </wps:wsp>
                      <wps:wsp>
                        <wps:cNvPr id="137" name="文本框 114"/>
                        <wps:cNvSpPr txBox="1"/>
                        <wps:spPr>
                          <a:xfrm>
                            <a:off x="7612" y="2083"/>
                            <a:ext cx="2418" cy="266"/>
                          </a:xfrm>
                          <a:prstGeom prst="rect">
                            <a:avLst/>
                          </a:prstGeom>
                          <a:noFill/>
                          <a:ln>
                            <a:noFill/>
                          </a:ln>
                        </wps:spPr>
                        <wps:txbx>
                          <w:txbxContent>
                            <w:p>
                              <w:pPr>
                                <w:spacing w:before="0" w:line="266" w:lineRule="exact"/>
                                <w:ind w:left="0" w:right="0" w:firstLine="0"/>
                                <w:jc w:val="left"/>
                                <w:rPr>
                                  <w:sz w:val="24"/>
                                </w:rPr>
                              </w:pPr>
                              <w:r>
                                <w:rPr>
                                  <w:spacing w:val="-3"/>
                                  <w:sz w:val="24"/>
                                </w:rPr>
                                <w:t>进入育肥期：</w:t>
                              </w:r>
                              <w:r>
                                <w:rPr>
                                  <w:rFonts w:ascii="Times New Roman" w:eastAsia="Times New Roman"/>
                                  <w:spacing w:val="-16"/>
                                  <w:sz w:val="24"/>
                                </w:rPr>
                                <w:t>3</w:t>
                              </w:r>
                              <w:r>
                                <w:rPr>
                                  <w:spacing w:val="-16"/>
                                  <w:sz w:val="24"/>
                                </w:rPr>
                                <w:t>～</w:t>
                              </w:r>
                              <w:r>
                                <w:rPr>
                                  <w:rFonts w:ascii="Times New Roman" w:eastAsia="Times New Roman"/>
                                  <w:spacing w:val="-16"/>
                                  <w:sz w:val="24"/>
                                </w:rPr>
                                <w:t xml:space="preserve">4 </w:t>
                              </w:r>
                              <w:r>
                                <w:rPr>
                                  <w:sz w:val="24"/>
                                </w:rPr>
                                <w:t>个月</w:t>
                              </w:r>
                            </w:p>
                          </w:txbxContent>
                        </wps:txbx>
                        <wps:bodyPr lIns="0" tIns="0" rIns="0" bIns="0" upright="1"/>
                      </wps:wsp>
                      <wps:wsp>
                        <wps:cNvPr id="138" name="文本框 115"/>
                        <wps:cNvSpPr txBox="1"/>
                        <wps:spPr>
                          <a:xfrm>
                            <a:off x="3225" y="3285"/>
                            <a:ext cx="1086" cy="240"/>
                          </a:xfrm>
                          <a:prstGeom prst="rect">
                            <a:avLst/>
                          </a:prstGeom>
                          <a:noFill/>
                          <a:ln>
                            <a:noFill/>
                          </a:ln>
                        </wps:spPr>
                        <wps:txbx>
                          <w:txbxContent>
                            <w:p>
                              <w:pPr>
                                <w:spacing w:before="0" w:line="240" w:lineRule="exact"/>
                                <w:ind w:left="0" w:right="0" w:firstLine="0"/>
                                <w:jc w:val="left"/>
                                <w:rPr>
                                  <w:sz w:val="24"/>
                                </w:rPr>
                              </w:pPr>
                              <w:r>
                                <w:rPr>
                                  <w:sz w:val="24"/>
                                </w:rPr>
                                <w:t>出栏销售</w:t>
                              </w:r>
                            </w:p>
                          </w:txbxContent>
                        </wps:txbx>
                        <wps:bodyPr lIns="0" tIns="0" rIns="0" bIns="0" upright="1"/>
                      </wps:wsp>
                      <wps:wsp>
                        <wps:cNvPr id="139" name="文本框 116"/>
                        <wps:cNvSpPr txBox="1"/>
                        <wps:spPr>
                          <a:xfrm>
                            <a:off x="5040" y="3273"/>
                            <a:ext cx="2480" cy="266"/>
                          </a:xfrm>
                          <a:prstGeom prst="rect">
                            <a:avLst/>
                          </a:prstGeom>
                          <a:noFill/>
                          <a:ln>
                            <a:noFill/>
                          </a:ln>
                        </wps:spPr>
                        <wps:txbx>
                          <w:txbxContent>
                            <w:p>
                              <w:pPr>
                                <w:spacing w:before="0" w:line="266" w:lineRule="exact"/>
                                <w:ind w:left="0" w:right="0" w:firstLine="0"/>
                                <w:jc w:val="left"/>
                                <w:rPr>
                                  <w:rFonts w:ascii="Times New Roman" w:eastAsia="Times New Roman"/>
                                  <w:sz w:val="24"/>
                                </w:rPr>
                              </w:pPr>
                              <w:r>
                                <w:rPr>
                                  <w:spacing w:val="-9"/>
                                  <w:sz w:val="24"/>
                                </w:rPr>
                                <w:t xml:space="preserve">结束育肥体重 </w:t>
                              </w:r>
                              <w:r>
                                <w:rPr>
                                  <w:rFonts w:ascii="Times New Roman" w:eastAsia="Times New Roman"/>
                                  <w:sz w:val="24"/>
                                </w:rPr>
                                <w:t>40</w:t>
                              </w:r>
                              <w:r>
                                <w:rPr>
                                  <w:sz w:val="24"/>
                                </w:rPr>
                                <w:t>～</w:t>
                              </w:r>
                              <w:r>
                                <w:rPr>
                                  <w:rFonts w:ascii="Times New Roman" w:eastAsia="Times New Roman"/>
                                  <w:sz w:val="24"/>
                                </w:rPr>
                                <w:t>50kg</w:t>
                              </w:r>
                            </w:p>
                          </w:txbxContent>
                        </wps:txbx>
                        <wps:bodyPr lIns="0" tIns="0" rIns="0" bIns="0" upright="1"/>
                      </wps:wsp>
                      <wps:wsp>
                        <wps:cNvPr id="140" name="文本框 117"/>
                        <wps:cNvSpPr txBox="1"/>
                        <wps:spPr>
                          <a:xfrm>
                            <a:off x="8407" y="3278"/>
                            <a:ext cx="740" cy="240"/>
                          </a:xfrm>
                          <a:prstGeom prst="rect">
                            <a:avLst/>
                          </a:prstGeom>
                          <a:noFill/>
                          <a:ln>
                            <a:noFill/>
                          </a:ln>
                        </wps:spPr>
                        <wps:txbx>
                          <w:txbxContent>
                            <w:p>
                              <w:pPr>
                                <w:spacing w:before="0" w:line="240" w:lineRule="exact"/>
                                <w:ind w:left="0" w:right="0" w:firstLine="0"/>
                                <w:jc w:val="left"/>
                                <w:rPr>
                                  <w:sz w:val="24"/>
                                </w:rPr>
                              </w:pPr>
                              <w:r>
                                <w:rPr>
                                  <w:sz w:val="24"/>
                                </w:rPr>
                                <w:t>育肥羊</w:t>
                              </w:r>
                            </w:p>
                          </w:txbxContent>
                        </wps:txbx>
                        <wps:bodyPr lIns="0" tIns="0" rIns="0" bIns="0" upright="1"/>
                      </wps:wsp>
                    </wpg:wgp>
                  </a:graphicData>
                </a:graphic>
              </wp:anchor>
            </w:drawing>
          </mc:Choice>
          <mc:Fallback>
            <w:pict>
              <v:group id="组合 107" o:spid="_x0000_s1026" o:spt="203" style="position:absolute;left:0pt;margin-left:87.45pt;margin-top:13.2pt;height:124.8pt;width:407.35pt;mso-position-horizontal-relative:page;mso-wrap-distance-bottom:0pt;mso-wrap-distance-top:0pt;z-index:-251589632;mso-width-relative:page;mso-height-relative:page;" coordorigin="2019,1195" coordsize="8147,2496" o:gfxdata="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">
                <o:lock v:ext="edit" aspectratio="f"/>
                <v:shape id="图片 108" o:spid="_x0000_s1026" o:spt="75" type="#_x0000_t75" style="position:absolute;left:2019;top:1194;height:2496;width:8147;" filled="f" o:preferrelative="t" stroked="f" coordsize="21600,21600" o:gfxdata="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XD7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文本框 109" o:spid="_x0000_s1026" o:spt="202" type="#_x0000_t202" style="position:absolute;left:4176;top:1384;height:266;width:2300;"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sz w:val="24"/>
                          </w:rPr>
                        </w:pPr>
                        <w:r>
                          <w:rPr>
                            <w:spacing w:val="-8"/>
                            <w:sz w:val="24"/>
                          </w:rPr>
                          <w:t xml:space="preserve">进入隔离适应期 </w:t>
                        </w:r>
                        <w:r>
                          <w:rPr>
                            <w:rFonts w:ascii="Times New Roman" w:eastAsia="Times New Roman"/>
                            <w:sz w:val="24"/>
                          </w:rPr>
                          <w:t xml:space="preserve">15 </w:t>
                        </w:r>
                        <w:r>
                          <w:rPr>
                            <w:sz w:val="24"/>
                          </w:rPr>
                          <w:t>天</w:t>
                        </w:r>
                      </w:p>
                    </w:txbxContent>
                  </v:textbox>
                </v:shape>
                <v:shape id="文本框 110" o:spid="_x0000_s1026" o:spt="202" type="#_x0000_t202" style="position:absolute;left:2174;top:2105;height:240;width:980;"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待育羔羊</w:t>
                        </w:r>
                      </w:p>
                    </w:txbxContent>
                  </v:textbox>
                </v:shape>
                <v:shape id="文本框 111" o:spid="_x0000_s1026" o:spt="202" type="#_x0000_t202" style="position:absolute;left:3892;top:2090;height:240;width:500;"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检疫</w:t>
                        </w:r>
                      </w:p>
                    </w:txbxContent>
                  </v:textbox>
                </v:shape>
                <v:shape id="文本框 112" o:spid="_x0000_s1026" o:spt="202" type="#_x0000_t202" style="position:absolute;left:5114;top:2095;height:240;width:500;"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驱虫</w:t>
                        </w:r>
                      </w:p>
                    </w:txbxContent>
                  </v:textbox>
                </v:shape>
                <v:shape id="文本框 113" o:spid="_x0000_s1026" o:spt="202" type="#_x0000_t202" style="position:absolute;left:6316;top:2083;height:240;width:500;"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编号</w:t>
                        </w:r>
                      </w:p>
                    </w:txbxContent>
                  </v:textbox>
                </v:shape>
                <v:shape id="文本框 114" o:spid="_x0000_s1026" o:spt="202" type="#_x0000_t202" style="position:absolute;left:7612;top:2083;height:266;width:2418;"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sz w:val="24"/>
                          </w:rPr>
                        </w:pPr>
                        <w:r>
                          <w:rPr>
                            <w:spacing w:val="-3"/>
                            <w:sz w:val="24"/>
                          </w:rPr>
                          <w:t>进入育肥期：</w:t>
                        </w:r>
                        <w:r>
                          <w:rPr>
                            <w:rFonts w:ascii="Times New Roman" w:eastAsia="Times New Roman"/>
                            <w:spacing w:val="-16"/>
                            <w:sz w:val="24"/>
                          </w:rPr>
                          <w:t>3</w:t>
                        </w:r>
                        <w:r>
                          <w:rPr>
                            <w:spacing w:val="-16"/>
                            <w:sz w:val="24"/>
                          </w:rPr>
                          <w:t>～</w:t>
                        </w:r>
                        <w:r>
                          <w:rPr>
                            <w:rFonts w:ascii="Times New Roman" w:eastAsia="Times New Roman"/>
                            <w:spacing w:val="-16"/>
                            <w:sz w:val="24"/>
                          </w:rPr>
                          <w:t xml:space="preserve">4 </w:t>
                        </w:r>
                        <w:r>
                          <w:rPr>
                            <w:sz w:val="24"/>
                          </w:rPr>
                          <w:t>个月</w:t>
                        </w:r>
                      </w:p>
                    </w:txbxContent>
                  </v:textbox>
                </v:shape>
                <v:shape id="文本框 115" o:spid="_x0000_s1026" o:spt="202" type="#_x0000_t202" style="position:absolute;left:3225;top:3285;height:240;width:1086;"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出栏销售</w:t>
                        </w:r>
                      </w:p>
                    </w:txbxContent>
                  </v:textbox>
                </v:shape>
                <v:shape id="文本框 116" o:spid="_x0000_s1026" o:spt="202" type="#_x0000_t202" style="position:absolute;left:5040;top:3273;height:266;width:2480;"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ascii="Times New Roman" w:eastAsia="Times New Roman"/>
                            <w:sz w:val="24"/>
                          </w:rPr>
                        </w:pPr>
                        <w:r>
                          <w:rPr>
                            <w:spacing w:val="-9"/>
                            <w:sz w:val="24"/>
                          </w:rPr>
                          <w:t xml:space="preserve">结束育肥体重 </w:t>
                        </w:r>
                        <w:r>
                          <w:rPr>
                            <w:rFonts w:ascii="Times New Roman" w:eastAsia="Times New Roman"/>
                            <w:sz w:val="24"/>
                          </w:rPr>
                          <w:t>40</w:t>
                        </w:r>
                        <w:r>
                          <w:rPr>
                            <w:sz w:val="24"/>
                          </w:rPr>
                          <w:t>～</w:t>
                        </w:r>
                        <w:r>
                          <w:rPr>
                            <w:rFonts w:ascii="Times New Roman" w:eastAsia="Times New Roman"/>
                            <w:sz w:val="24"/>
                          </w:rPr>
                          <w:t>50kg</w:t>
                        </w:r>
                      </w:p>
                    </w:txbxContent>
                  </v:textbox>
                </v:shape>
                <v:shape id="文本框 117" o:spid="_x0000_s1026" o:spt="202" type="#_x0000_t202" style="position:absolute;left:8407;top:3278;height:240;width:740;"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育肥羊</w:t>
                        </w:r>
                      </w:p>
                    </w:txbxContent>
                  </v:textbox>
                </v:shape>
                <w10:wrap type="topAndBottom"/>
              </v:group>
            </w:pict>
          </mc:Fallback>
        </mc:AlternateContent>
      </w:r>
      <w:r>
        <w:rPr>
          <w:rFonts w:hint="eastAsia"/>
          <w:color w:val="0000FF"/>
          <w:lang w:val="en-US" w:eastAsia="zh-CN"/>
        </w:rPr>
        <w:t xml:space="preserve">                </w:t>
      </w:r>
      <w:r>
        <w:rPr>
          <w:i w:val="0"/>
          <w:iCs w:val="0"/>
          <w:color w:val="0000FF"/>
        </w:rPr>
        <w:t>育肥工艺流程图</w:t>
      </w:r>
    </w:p>
    <w:p>
      <w:pPr>
        <w:pStyle w:val="7"/>
        <w:keepNext w:val="0"/>
        <w:keepLines w:val="0"/>
        <w:pageBreakBefore w:val="0"/>
        <w:widowControl w:val="0"/>
        <w:kinsoku/>
        <w:wordWrap/>
        <w:overflowPunct/>
        <w:topLinePunct w:val="0"/>
        <w:autoSpaceDE w:val="0"/>
        <w:autoSpaceDN w:val="0"/>
        <w:bidi w:val="0"/>
        <w:adjustRightInd/>
        <w:snapToGrid/>
        <w:spacing w:before="208" w:line="360" w:lineRule="auto"/>
        <w:ind w:left="220" w:leftChars="100" w:right="567" w:firstLine="480"/>
        <w:jc w:val="both"/>
        <w:textAlignment w:val="auto"/>
        <w:rPr>
          <w:color w:val="0000FF"/>
        </w:rPr>
      </w:pPr>
      <w:r>
        <w:rPr>
          <w:color w:val="0000FF"/>
        </w:rPr>
        <w:t>本项目主要采用处理后的秸秆</w:t>
      </w:r>
      <w:r>
        <w:rPr>
          <w:rFonts w:ascii="Times New Roman" w:eastAsia="Times New Roman"/>
          <w:color w:val="0000FF"/>
        </w:rPr>
        <w:t>+</w:t>
      </w:r>
      <w:r>
        <w:rPr>
          <w:color w:val="0000FF"/>
        </w:rPr>
        <w:t>精料育肥、青贮料</w:t>
      </w:r>
      <w:r>
        <w:rPr>
          <w:rFonts w:ascii="Times New Roman" w:eastAsia="Times New Roman"/>
          <w:color w:val="0000FF"/>
        </w:rPr>
        <w:t>+</w:t>
      </w:r>
      <w:r>
        <w:rPr>
          <w:color w:val="0000FF"/>
        </w:rPr>
        <w:t>精料育肥，整出整入育肥模式。</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jc w:val="both"/>
        <w:textAlignment w:val="auto"/>
        <w:rPr>
          <w:color w:val="0000FF"/>
        </w:rPr>
      </w:pPr>
      <w:r>
        <w:rPr>
          <w:color w:val="0000FF"/>
        </w:rPr>
        <w:t>育肥期可分为适应期、过渡期、催肥期三个阶段。</w:t>
      </w:r>
    </w:p>
    <w:p>
      <w:pPr>
        <w:pStyle w:val="7"/>
        <w:keepNext w:val="0"/>
        <w:keepLines w:val="0"/>
        <w:pageBreakBefore w:val="0"/>
        <w:widowControl w:val="0"/>
        <w:kinsoku/>
        <w:wordWrap/>
        <w:overflowPunct/>
        <w:topLinePunct w:val="0"/>
        <w:autoSpaceDE w:val="0"/>
        <w:autoSpaceDN w:val="0"/>
        <w:bidi w:val="0"/>
        <w:adjustRightInd/>
        <w:snapToGrid/>
        <w:spacing w:before="9" w:line="360" w:lineRule="auto"/>
        <w:ind w:left="220" w:leftChars="100" w:right="567" w:firstLine="480" w:firstLineChars="200"/>
        <w:jc w:val="both"/>
        <w:textAlignment w:val="auto"/>
        <w:rPr>
          <w:color w:val="0000FF"/>
        </w:rPr>
      </w:pPr>
      <w:r>
        <w:rPr>
          <w:color w:val="0000FF"/>
        </w:rPr>
        <w:t>适应期一般约</w:t>
      </w:r>
      <w:r>
        <w:rPr>
          <w:rFonts w:ascii="Times New Roman" w:eastAsia="Times New Roman"/>
          <w:color w:val="0000FF"/>
        </w:rPr>
        <w:t>10</w:t>
      </w:r>
      <w:r>
        <w:rPr>
          <w:color w:val="0000FF"/>
        </w:rPr>
        <w:t>天左右，主要是羊熟悉环境、恢复体力。要求日粮以品质优良的粗饲料为主，可不喂或少喂精料。</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67" w:firstLine="480"/>
        <w:jc w:val="both"/>
        <w:textAlignment w:val="auto"/>
        <w:rPr>
          <w:color w:val="0000FF"/>
        </w:rPr>
      </w:pPr>
      <w:r>
        <w:rPr>
          <w:color w:val="0000FF"/>
        </w:rPr>
        <w:t>过渡期约</w:t>
      </w:r>
      <w:r>
        <w:rPr>
          <w:rFonts w:ascii="Times New Roman" w:eastAsia="Times New Roman"/>
          <w:color w:val="0000FF"/>
        </w:rPr>
        <w:t>25</w:t>
      </w:r>
      <w:r>
        <w:rPr>
          <w:color w:val="0000FF"/>
        </w:rPr>
        <w:t>天左右，以适应粗粮型日粮为主，防止臌胀、拉稀、酸中毒等疾病的出现，要求日粮中逐步增加精料比例。</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firstLine="480"/>
        <w:jc w:val="both"/>
        <w:textAlignment w:val="auto"/>
        <w:rPr>
          <w:color w:val="0000FF"/>
        </w:rPr>
      </w:pPr>
      <w:r>
        <w:rPr>
          <w:color w:val="0000FF"/>
          <w:spacing w:val="-12"/>
        </w:rPr>
        <w:t>催肥期约</w:t>
      </w:r>
      <w:r>
        <w:rPr>
          <w:rFonts w:ascii="Times New Roman" w:eastAsia="Times New Roman"/>
          <w:color w:val="0000FF"/>
        </w:rPr>
        <w:t>60-100</w:t>
      </w:r>
      <w:r>
        <w:rPr>
          <w:color w:val="0000FF"/>
          <w:spacing w:val="-11"/>
        </w:rPr>
        <w:t>天，通过提高精料比例，一般可达到</w:t>
      </w:r>
      <w:r>
        <w:rPr>
          <w:rFonts w:ascii="Times New Roman" w:eastAsia="Times New Roman"/>
          <w:color w:val="0000FF"/>
          <w:spacing w:val="-6"/>
        </w:rPr>
        <w:t>25%</w:t>
      </w:r>
      <w:r>
        <w:rPr>
          <w:color w:val="0000FF"/>
          <w:spacing w:val="-4"/>
        </w:rPr>
        <w:t>，进行强度育肥，</w:t>
      </w:r>
      <w:r>
        <w:rPr>
          <w:color w:val="0000FF"/>
          <w:spacing w:val="-7"/>
        </w:rPr>
        <w:t>饲料的饲喂次数由</w:t>
      </w:r>
      <w:r>
        <w:rPr>
          <w:rFonts w:ascii="Times New Roman" w:eastAsia="Times New Roman"/>
          <w:color w:val="0000FF"/>
        </w:rPr>
        <w:t>2</w:t>
      </w:r>
      <w:r>
        <w:rPr>
          <w:color w:val="0000FF"/>
          <w:spacing w:val="-15"/>
        </w:rPr>
        <w:t>次改为</w:t>
      </w:r>
      <w:r>
        <w:rPr>
          <w:rFonts w:ascii="Times New Roman" w:eastAsia="Times New Roman"/>
          <w:color w:val="0000FF"/>
        </w:rPr>
        <w:t>3</w:t>
      </w:r>
      <w:r>
        <w:rPr>
          <w:color w:val="0000FF"/>
          <w:spacing w:val="-12"/>
        </w:rPr>
        <w:t>次，尽量让羊多吃，使日增重羊达到</w:t>
      </w:r>
      <w:r>
        <w:rPr>
          <w:rFonts w:ascii="Times New Roman" w:eastAsia="Times New Roman"/>
          <w:color w:val="0000FF"/>
        </w:rPr>
        <w:t>330-440</w:t>
      </w:r>
      <w:r>
        <w:rPr>
          <w:color w:val="0000FF"/>
        </w:rPr>
        <w:t>克以上。</w:t>
      </w:r>
    </w:p>
    <w:p>
      <w:pPr>
        <w:pStyle w:val="17"/>
        <w:keepNext w:val="0"/>
        <w:keepLines w:val="0"/>
        <w:pageBreakBefore w:val="0"/>
        <w:widowControl w:val="0"/>
        <w:numPr>
          <w:ilvl w:val="4"/>
          <w:numId w:val="18"/>
        </w:numPr>
        <w:tabs>
          <w:tab w:val="left" w:pos="1500"/>
        </w:tabs>
        <w:kinsoku/>
        <w:wordWrap/>
        <w:overflowPunct/>
        <w:topLinePunct w:val="0"/>
        <w:autoSpaceDE w:val="0"/>
        <w:autoSpaceDN w:val="0"/>
        <w:bidi w:val="0"/>
        <w:adjustRightInd/>
        <w:snapToGrid/>
        <w:spacing w:before="0" w:after="0" w:line="360" w:lineRule="auto"/>
        <w:ind w:left="1180" w:leftChars="100" w:right="567" w:hanging="960"/>
        <w:jc w:val="both"/>
        <w:textAlignment w:val="auto"/>
        <w:rPr>
          <w:color w:val="0000FF"/>
          <w:sz w:val="24"/>
        </w:rPr>
      </w:pPr>
      <w:r>
        <w:rPr>
          <w:color w:val="0000FF"/>
          <w:sz w:val="24"/>
        </w:rPr>
        <w:t>饲养技术规程</w:t>
      </w:r>
    </w:p>
    <w:p>
      <w:pPr>
        <w:pStyle w:val="17"/>
        <w:keepNext w:val="0"/>
        <w:keepLines w:val="0"/>
        <w:pageBreakBefore w:val="0"/>
        <w:widowControl w:val="0"/>
        <w:numPr>
          <w:ilvl w:val="0"/>
          <w:numId w:val="19"/>
        </w:numPr>
        <w:tabs>
          <w:tab w:val="left" w:pos="1621"/>
        </w:tabs>
        <w:kinsoku/>
        <w:wordWrap/>
        <w:overflowPunct/>
        <w:topLinePunct w:val="0"/>
        <w:autoSpaceDE w:val="0"/>
        <w:autoSpaceDN w:val="0"/>
        <w:bidi w:val="0"/>
        <w:adjustRightInd/>
        <w:snapToGrid/>
        <w:spacing w:before="150" w:after="0" w:line="360" w:lineRule="auto"/>
        <w:ind w:left="821" w:leftChars="100" w:right="567" w:hanging="601"/>
        <w:jc w:val="both"/>
        <w:textAlignment w:val="auto"/>
        <w:rPr>
          <w:color w:val="0000FF"/>
          <w:sz w:val="24"/>
        </w:rPr>
      </w:pPr>
      <w:r>
        <w:rPr>
          <w:color w:val="0000FF"/>
          <w:sz w:val="24"/>
        </w:rPr>
        <w:t>羔羊舍、羔羊饲养技术规程</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567" w:firstLine="480"/>
        <w:jc w:val="both"/>
        <w:textAlignment w:val="auto"/>
        <w:rPr>
          <w:color w:val="0000FF"/>
        </w:rPr>
      </w:pPr>
      <w:r>
        <w:rPr>
          <w:color w:val="0000FF"/>
          <w:spacing w:val="-8"/>
        </w:rPr>
        <w:t>羔羊是指出生到</w:t>
      </w:r>
      <w:r>
        <w:rPr>
          <w:rFonts w:ascii="Times New Roman" w:eastAsia="Times New Roman"/>
          <w:color w:val="0000FF"/>
        </w:rPr>
        <w:t>100</w:t>
      </w:r>
      <w:r>
        <w:rPr>
          <w:color w:val="0000FF"/>
          <w:spacing w:val="-11"/>
        </w:rPr>
        <w:t>日龄羊，在管理上要从环境、饲喂和羊只管理入手，保</w:t>
      </w:r>
      <w:r>
        <w:rPr>
          <w:color w:val="0000FF"/>
        </w:rPr>
        <w:t>障羔羊健康生长。</w:t>
      </w:r>
    </w:p>
    <w:p>
      <w:pPr>
        <w:pStyle w:val="7"/>
        <w:keepNext w:val="0"/>
        <w:keepLines w:val="0"/>
        <w:pageBreakBefore w:val="0"/>
        <w:widowControl w:val="0"/>
        <w:kinsoku/>
        <w:wordWrap/>
        <w:overflowPunct/>
        <w:topLinePunct w:val="0"/>
        <w:autoSpaceDE w:val="0"/>
        <w:autoSpaceDN w:val="0"/>
        <w:bidi w:val="0"/>
        <w:adjustRightInd/>
        <w:snapToGrid/>
        <w:spacing w:before="3" w:line="360" w:lineRule="auto"/>
        <w:ind w:left="220" w:leftChars="100" w:right="567" w:firstLine="480"/>
        <w:jc w:val="both"/>
        <w:textAlignment w:val="auto"/>
        <w:rPr>
          <w:color w:val="0000FF"/>
        </w:rPr>
      </w:pPr>
      <w:r>
        <w:rPr>
          <w:color w:val="0000FF"/>
          <w:spacing w:val="-6"/>
        </w:rPr>
        <w:t>产羔前应对产房和圈舍进行彻底清扫与消毒。产羔后，要定时清扫污物并保</w:t>
      </w:r>
      <w:r>
        <w:rPr>
          <w:color w:val="0000FF"/>
          <w:spacing w:val="-1"/>
        </w:rPr>
        <w:t>持舍内空气流通，保持定期消毒。产房和新生羔羊的圈舍温度应保持在</w:t>
      </w:r>
      <w:r>
        <w:rPr>
          <w:rFonts w:ascii="Times New Roman" w:hAnsi="Times New Roman" w:eastAsia="Times New Roman"/>
          <w:color w:val="0000FF"/>
        </w:rPr>
        <w:t>10</w:t>
      </w:r>
      <w:r>
        <w:rPr>
          <w:color w:val="0000FF"/>
        </w:rPr>
        <w:t>℃以上，并保持圈舍温度的的相对稳定性，并保持地面干燥。</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right="567" w:firstLine="480"/>
        <w:jc w:val="both"/>
        <w:textAlignment w:val="auto"/>
        <w:rPr>
          <w:color w:val="0000FF"/>
        </w:rPr>
      </w:pPr>
      <w:r>
        <w:rPr>
          <w:rFonts w:ascii="Times New Roman" w:hAnsi="Times New Roman" w:eastAsia="Times New Roman"/>
          <w:color w:val="0000FF"/>
        </w:rPr>
        <w:t>1-3</w:t>
      </w:r>
      <w:r>
        <w:rPr>
          <w:color w:val="0000FF"/>
          <w:spacing w:val="-1"/>
        </w:rPr>
        <w:t>日龄：尽早让羔羊吃上初乳。对初生弱羔、双羔、初产母羊或母性不强</w:t>
      </w:r>
      <w:r>
        <w:rPr>
          <w:color w:val="0000FF"/>
          <w:spacing w:val="-8"/>
        </w:rPr>
        <w:t>的母羊所产的羔羊，需要人工辅助羔羊吃乳。注意圈内保暖防寒，室温不得低于</w:t>
      </w:r>
      <w:r>
        <w:rPr>
          <w:rFonts w:ascii="Times New Roman" w:hAnsi="Times New Roman" w:eastAsia="Times New Roman"/>
          <w:color w:val="0000FF"/>
        </w:rPr>
        <w:t>5</w:t>
      </w:r>
      <w:r>
        <w:rPr>
          <w:color w:val="0000FF"/>
        </w:rPr>
        <w:t>℃。舍内应保持通风、干燥、明亮、安静、清洁。</w:t>
      </w:r>
    </w:p>
    <w:p>
      <w:pPr>
        <w:pStyle w:val="7"/>
        <w:keepNext w:val="0"/>
        <w:keepLines w:val="0"/>
        <w:pageBreakBefore w:val="0"/>
        <w:widowControl w:val="0"/>
        <w:kinsoku/>
        <w:wordWrap/>
        <w:overflowPunct/>
        <w:topLinePunct w:val="0"/>
        <w:autoSpaceDE w:val="0"/>
        <w:autoSpaceDN w:val="0"/>
        <w:bidi w:val="0"/>
        <w:adjustRightInd/>
        <w:snapToGrid/>
        <w:spacing w:before="6" w:line="360" w:lineRule="auto"/>
        <w:ind w:left="220" w:leftChars="100" w:right="567" w:firstLine="480"/>
        <w:jc w:val="both"/>
        <w:textAlignment w:val="auto"/>
        <w:rPr>
          <w:color w:val="0000FF"/>
        </w:rPr>
      </w:pPr>
      <w:r>
        <w:rPr>
          <w:rFonts w:ascii="Times New Roman" w:hAnsi="Times New Roman" w:eastAsia="Times New Roman"/>
          <w:color w:val="0000FF"/>
        </w:rPr>
        <w:t>4-7</w:t>
      </w:r>
      <w:r>
        <w:rPr>
          <w:color w:val="0000FF"/>
          <w:spacing w:val="-1"/>
        </w:rPr>
        <w:t>日龄：保证吃奶时间均匀，以提高羔羊成活率。要注意棚圈卫生，加强</w:t>
      </w:r>
      <w:r>
        <w:rPr>
          <w:color w:val="0000FF"/>
          <w:spacing w:val="-6"/>
        </w:rPr>
        <w:t>防疫，预防“三炎一痢”</w:t>
      </w:r>
      <w:r>
        <w:rPr>
          <w:color w:val="0000FF"/>
          <w:spacing w:val="-13"/>
        </w:rPr>
        <w:t>（</w:t>
      </w:r>
      <w:r>
        <w:rPr>
          <w:color w:val="0000FF"/>
          <w:spacing w:val="-5"/>
        </w:rPr>
        <w:t>肺炎、肠胃炎、脐带炎和羔羊痢</w:t>
      </w:r>
      <w:r>
        <w:rPr>
          <w:color w:val="0000FF"/>
          <w:spacing w:val="-13"/>
        </w:rPr>
        <w:t>）</w:t>
      </w:r>
      <w:r>
        <w:rPr>
          <w:color w:val="0000FF"/>
          <w:spacing w:val="-6"/>
        </w:rPr>
        <w:t>，兽药使用和防疫</w:t>
      </w:r>
      <w:r>
        <w:rPr>
          <w:color w:val="0000FF"/>
          <w:spacing w:val="-21"/>
        </w:rPr>
        <w:t>按照</w:t>
      </w:r>
      <w:r>
        <w:rPr>
          <w:rFonts w:ascii="Times New Roman" w:hAnsi="Times New Roman" w:eastAsia="Times New Roman"/>
          <w:color w:val="0000FF"/>
        </w:rPr>
        <w:t>NY5030</w:t>
      </w:r>
      <w:r>
        <w:rPr>
          <w:color w:val="0000FF"/>
        </w:rPr>
        <w:t>、</w:t>
      </w:r>
      <w:r>
        <w:rPr>
          <w:rFonts w:ascii="Times New Roman" w:hAnsi="Times New Roman" w:eastAsia="Times New Roman"/>
          <w:color w:val="0000FF"/>
        </w:rPr>
        <w:t>NY5149</w:t>
      </w:r>
      <w:r>
        <w:rPr>
          <w:color w:val="0000FF"/>
        </w:rPr>
        <w:t>规定执行。</w:t>
      </w:r>
    </w:p>
    <w:p>
      <w:pPr>
        <w:pStyle w:val="7"/>
        <w:keepNext w:val="0"/>
        <w:keepLines w:val="0"/>
        <w:pageBreakBefore w:val="0"/>
        <w:widowControl w:val="0"/>
        <w:kinsoku/>
        <w:wordWrap/>
        <w:overflowPunct/>
        <w:topLinePunct w:val="0"/>
        <w:autoSpaceDE w:val="0"/>
        <w:autoSpaceDN w:val="0"/>
        <w:bidi w:val="0"/>
        <w:adjustRightInd/>
        <w:snapToGrid/>
        <w:spacing w:before="5" w:line="357" w:lineRule="auto"/>
        <w:ind w:right="577" w:firstLine="480"/>
        <w:jc w:val="both"/>
        <w:textAlignment w:val="auto"/>
        <w:rPr>
          <w:color w:val="0000FF"/>
        </w:rPr>
      </w:pPr>
      <w:r>
        <w:rPr>
          <w:rFonts w:ascii="Times New Roman" w:eastAsia="Times New Roman"/>
          <w:color w:val="0000FF"/>
        </w:rPr>
        <w:t>8-20</w:t>
      </w:r>
      <w:r>
        <w:rPr>
          <w:color w:val="0000FF"/>
          <w:spacing w:val="-10"/>
        </w:rPr>
        <w:t>日龄：羔羊</w:t>
      </w:r>
      <w:r>
        <w:rPr>
          <w:rFonts w:ascii="Times New Roman" w:eastAsia="Times New Roman"/>
          <w:color w:val="0000FF"/>
        </w:rPr>
        <w:t>10</w:t>
      </w:r>
      <w:r>
        <w:rPr>
          <w:color w:val="0000FF"/>
          <w:spacing w:val="-1"/>
        </w:rPr>
        <w:t>日龄开始训练吃草料，在圈内安装羔羊补饲栏，让羔羊</w:t>
      </w:r>
      <w:r>
        <w:rPr>
          <w:color w:val="0000FF"/>
          <w:spacing w:val="-3"/>
        </w:rPr>
        <w:t>自由采食，饮用清洁水。每只每日可补喂精料</w:t>
      </w:r>
      <w:r>
        <w:rPr>
          <w:rFonts w:ascii="Times New Roman" w:eastAsia="Times New Roman"/>
          <w:color w:val="0000FF"/>
        </w:rPr>
        <w:t>50-100g</w:t>
      </w:r>
      <w:r>
        <w:rPr>
          <w:color w:val="0000FF"/>
          <w:spacing w:val="-2"/>
        </w:rPr>
        <w:t>。晚上羔羊同母羊一起饲</w:t>
      </w:r>
      <w:r>
        <w:rPr>
          <w:color w:val="0000FF"/>
        </w:rPr>
        <w:t>养。白天羔羊留在羊舍里。</w:t>
      </w:r>
    </w:p>
    <w:p>
      <w:pPr>
        <w:pStyle w:val="7"/>
        <w:keepNext w:val="0"/>
        <w:keepLines w:val="0"/>
        <w:pageBreakBefore w:val="0"/>
        <w:widowControl w:val="0"/>
        <w:kinsoku/>
        <w:wordWrap/>
        <w:overflowPunct/>
        <w:topLinePunct w:val="0"/>
        <w:autoSpaceDE w:val="0"/>
        <w:autoSpaceDN w:val="0"/>
        <w:bidi w:val="0"/>
        <w:adjustRightInd/>
        <w:snapToGrid/>
        <w:spacing w:before="6" w:line="360" w:lineRule="auto"/>
        <w:ind w:right="575" w:firstLine="480"/>
        <w:jc w:val="both"/>
        <w:textAlignment w:val="auto"/>
        <w:rPr>
          <w:color w:val="0000FF"/>
        </w:rPr>
      </w:pPr>
      <w:r>
        <w:rPr>
          <w:rFonts w:ascii="Times New Roman" w:hAnsi="Times New Roman" w:eastAsia="Times New Roman"/>
          <w:color w:val="0000FF"/>
        </w:rPr>
        <w:t>21-30</w:t>
      </w:r>
      <w:r>
        <w:rPr>
          <w:color w:val="0000FF"/>
          <w:spacing w:val="-3"/>
        </w:rPr>
        <w:t>日龄：</w:t>
      </w:r>
      <w:r>
        <w:rPr>
          <w:rFonts w:ascii="Times New Roman" w:hAnsi="Times New Roman" w:eastAsia="Times New Roman"/>
          <w:color w:val="0000FF"/>
          <w:spacing w:val="-8"/>
        </w:rPr>
        <w:t>21</w:t>
      </w:r>
      <w:r>
        <w:rPr>
          <w:color w:val="0000FF"/>
          <w:spacing w:val="-9"/>
        </w:rPr>
        <w:t>日龄后，羔羊每只每日可补喂精料</w:t>
      </w:r>
      <w:r>
        <w:rPr>
          <w:rFonts w:ascii="Times New Roman" w:hAnsi="Times New Roman" w:eastAsia="Times New Roman"/>
          <w:color w:val="0000FF"/>
        </w:rPr>
        <w:t>100-150g</w:t>
      </w:r>
      <w:r>
        <w:rPr>
          <w:color w:val="0000FF"/>
          <w:spacing w:val="-7"/>
        </w:rPr>
        <w:t>。羔羊可在室外</w:t>
      </w:r>
      <w:r>
        <w:rPr>
          <w:color w:val="0000FF"/>
          <w:spacing w:val="-11"/>
        </w:rPr>
        <w:t>自由活动，晒太阳，也可以放入塑料大棚暖圈内运动，也可随母羊一起在运动场活动。在这个时期，特别是要确保双羔和弱羔能吃到奶。缺奶羔和多胎羔羊，应</w:t>
      </w:r>
      <w:r>
        <w:rPr>
          <w:color w:val="0000FF"/>
          <w:spacing w:val="-26"/>
        </w:rPr>
        <w:t>找保姆羊或使用人工哺乳。人工哺乳务必做到清洁卫生、定时、定量、定温</w:t>
      </w:r>
      <w:r>
        <w:rPr>
          <w:color w:val="0000FF"/>
          <w:spacing w:val="-4"/>
        </w:rPr>
        <w:t>（</w:t>
      </w:r>
      <w:r>
        <w:rPr>
          <w:rFonts w:ascii="Times New Roman" w:hAnsi="Times New Roman" w:eastAsia="Times New Roman"/>
          <w:color w:val="0000FF"/>
          <w:spacing w:val="-4"/>
        </w:rPr>
        <w:t>35</w:t>
      </w:r>
      <w:r>
        <w:rPr>
          <w:color w:val="0000FF"/>
          <w:spacing w:val="-4"/>
        </w:rPr>
        <w:t>℃～</w:t>
      </w:r>
      <w:r>
        <w:rPr>
          <w:rFonts w:ascii="Times New Roman" w:hAnsi="Times New Roman" w:eastAsia="Times New Roman"/>
          <w:color w:val="0000FF"/>
          <w:spacing w:val="-5"/>
        </w:rPr>
        <w:t>39</w:t>
      </w:r>
      <w:r>
        <w:rPr>
          <w:color w:val="0000FF"/>
          <w:spacing w:val="-5"/>
        </w:rPr>
        <w:t>℃）</w:t>
      </w:r>
      <w:r>
        <w:rPr>
          <w:color w:val="0000FF"/>
          <w:spacing w:val="-10"/>
        </w:rPr>
        <w:t>。哺乳工具可用奶瓶，也可设饮奶槽。哺乳用具用后清洁，定期消毒，保</w:t>
      </w:r>
      <w:r>
        <w:rPr>
          <w:color w:val="0000FF"/>
        </w:rPr>
        <w:t>持清洁。</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539" w:right="220" w:rightChars="100"/>
        <w:jc w:val="both"/>
        <w:textAlignment w:val="auto"/>
        <w:rPr>
          <w:color w:val="0000FF"/>
          <w:sz w:val="9"/>
        </w:rPr>
      </w:pPr>
      <w:r>
        <w:rPr>
          <w:rFonts w:ascii="Times New Roman" w:eastAsia="Times New Roman"/>
          <w:color w:val="0000FF"/>
        </w:rPr>
        <w:t>1-2</w:t>
      </w:r>
      <w:r>
        <w:rPr>
          <w:color w:val="0000FF"/>
        </w:rPr>
        <w:t>月龄：</w:t>
      </w:r>
      <w:r>
        <w:rPr>
          <w:rFonts w:ascii="Times New Roman" w:eastAsia="Times New Roman"/>
          <w:color w:val="0000FF"/>
        </w:rPr>
        <w:t>1</w:t>
      </w:r>
      <w:r>
        <w:rPr>
          <w:color w:val="0000FF"/>
        </w:rPr>
        <w:t>月龄后，羔羊逐渐转变为以采食为主，可自由采食苜蓿。每日补精料</w:t>
      </w:r>
      <w:r>
        <w:rPr>
          <w:rFonts w:ascii="Times New Roman" w:eastAsia="Times New Roman"/>
          <w:color w:val="0000FF"/>
        </w:rPr>
        <w:t>150-200g</w:t>
      </w:r>
      <w:r>
        <w:rPr>
          <w:color w:val="0000FF"/>
        </w:rPr>
        <w:t>，每天分两次饲喂。</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right="455"/>
        <w:jc w:val="both"/>
        <w:textAlignment w:val="auto"/>
        <w:rPr>
          <w:color w:val="0000FF"/>
        </w:rPr>
      </w:pPr>
      <w:r>
        <w:rPr>
          <w:rFonts w:ascii="Times New Roman" w:eastAsia="Times New Roman"/>
          <w:color w:val="0000FF"/>
        </w:rPr>
        <w:t>3-4</w:t>
      </w:r>
      <w:r>
        <w:rPr>
          <w:color w:val="0000FF"/>
          <w:spacing w:val="-8"/>
        </w:rPr>
        <w:t>月龄：每天补精料</w:t>
      </w:r>
      <w:r>
        <w:rPr>
          <w:rFonts w:ascii="Times New Roman" w:eastAsia="Times New Roman"/>
          <w:color w:val="0000FF"/>
        </w:rPr>
        <w:t>200-250g</w:t>
      </w:r>
      <w:r>
        <w:rPr>
          <w:color w:val="0000FF"/>
          <w:spacing w:val="-20"/>
        </w:rPr>
        <w:t>，为</w:t>
      </w:r>
      <w:r>
        <w:rPr>
          <w:rFonts w:ascii="Times New Roman" w:eastAsia="Times New Roman"/>
          <w:color w:val="0000FF"/>
        </w:rPr>
        <w:t>3</w:t>
      </w:r>
      <w:r>
        <w:rPr>
          <w:color w:val="0000FF"/>
          <w:spacing w:val="-3"/>
        </w:rPr>
        <w:t>次饲喂。饲料种类要多样化，常用精饲料包括玉米、豆类和饼粕饲料等，优质青干草，如苜蓿、燕麦草等，注意钙、</w:t>
      </w:r>
      <w:r>
        <w:rPr>
          <w:color w:val="0000FF"/>
          <w:spacing w:val="-14"/>
        </w:rPr>
        <w:t>磷和维生素饲料的补充。饲料使用按照</w:t>
      </w:r>
      <w:r>
        <w:rPr>
          <w:rFonts w:ascii="Times New Roman" w:eastAsia="Times New Roman"/>
          <w:color w:val="0000FF"/>
        </w:rPr>
        <w:t>NY5032</w:t>
      </w:r>
      <w:r>
        <w:rPr>
          <w:color w:val="0000FF"/>
          <w:spacing w:val="-12"/>
        </w:rPr>
        <w:t>规定执行。羊舍内设水槽和盐槽，</w:t>
      </w:r>
      <w:r>
        <w:rPr>
          <w:color w:val="0000FF"/>
          <w:spacing w:val="-8"/>
        </w:rPr>
        <w:t>饮用水水质按照</w:t>
      </w:r>
      <w:r>
        <w:rPr>
          <w:rFonts w:ascii="Times New Roman" w:eastAsia="Times New Roman"/>
          <w:color w:val="0000FF"/>
        </w:rPr>
        <w:t>NY5027</w:t>
      </w:r>
      <w:r>
        <w:rPr>
          <w:color w:val="0000FF"/>
        </w:rPr>
        <w:t>规定要求。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right="455" w:firstLine="480"/>
        <w:jc w:val="both"/>
        <w:textAlignment w:val="auto"/>
        <w:rPr>
          <w:color w:val="0000FF"/>
        </w:rPr>
      </w:pPr>
      <w:r>
        <w:rPr>
          <w:color w:val="0000FF"/>
          <w:spacing w:val="-8"/>
        </w:rPr>
        <w:t>断奶日龄：羔羊一般在</w:t>
      </w:r>
      <w:r>
        <w:rPr>
          <w:rFonts w:ascii="Times New Roman" w:eastAsia="Times New Roman"/>
          <w:color w:val="0000FF"/>
        </w:rPr>
        <w:t>90</w:t>
      </w:r>
      <w:r>
        <w:rPr>
          <w:color w:val="0000FF"/>
          <w:spacing w:val="-5"/>
        </w:rPr>
        <w:t>日龄</w:t>
      </w:r>
      <w:r>
        <w:rPr>
          <w:color w:val="0000FF"/>
        </w:rPr>
        <w:t>（</w:t>
      </w:r>
      <w:r>
        <w:rPr>
          <w:rFonts w:ascii="Times New Roman" w:eastAsia="Times New Roman"/>
          <w:color w:val="0000FF"/>
        </w:rPr>
        <w:t>3</w:t>
      </w:r>
      <w:r>
        <w:rPr>
          <w:color w:val="0000FF"/>
        </w:rPr>
        <w:t>月龄</w:t>
      </w:r>
      <w:r>
        <w:rPr>
          <w:color w:val="0000FF"/>
          <w:spacing w:val="-8"/>
        </w:rPr>
        <w:t>）</w:t>
      </w:r>
      <w:r>
        <w:rPr>
          <w:color w:val="0000FF"/>
          <w:spacing w:val="-4"/>
        </w:rPr>
        <w:t>断奶，规模化养羊提倡早期断奶，</w:t>
      </w:r>
      <w:r>
        <w:rPr>
          <w:color w:val="0000FF"/>
          <w:spacing w:val="-7"/>
        </w:rPr>
        <w:t>断奶日龄可提前到</w:t>
      </w:r>
      <w:r>
        <w:rPr>
          <w:rFonts w:ascii="Times New Roman" w:eastAsia="Times New Roman"/>
          <w:color w:val="0000FF"/>
        </w:rPr>
        <w:t>50-70</w:t>
      </w:r>
      <w:r>
        <w:rPr>
          <w:color w:val="0000FF"/>
          <w:spacing w:val="-7"/>
        </w:rPr>
        <w:t>日龄。断奶应逐步进行，逐渐减少哺乳次数而增加饲喂</w:t>
      </w:r>
      <w:r>
        <w:rPr>
          <w:color w:val="0000FF"/>
          <w:spacing w:val="-10"/>
        </w:rPr>
        <w:t>次数，即断奶前一周白天不喂奶，早晚各哺乳一次，一周后昼夜不喂奶，母子分</w:t>
      </w:r>
      <w:r>
        <w:rPr>
          <w:color w:val="0000FF"/>
          <w:spacing w:val="-12"/>
        </w:rPr>
        <w:t>群饲养管理。羔羊断奶后按性别、体重、体质强弱分别组群。断奶后的羔羊加强补饲，防止掉膘。</w:t>
      </w:r>
    </w:p>
    <w:p>
      <w:pPr>
        <w:pStyle w:val="17"/>
        <w:keepNext w:val="0"/>
        <w:keepLines w:val="0"/>
        <w:pageBreakBefore w:val="0"/>
        <w:widowControl w:val="0"/>
        <w:numPr>
          <w:ilvl w:val="0"/>
          <w:numId w:val="19"/>
        </w:numPr>
        <w:tabs>
          <w:tab w:val="left" w:pos="1621"/>
        </w:tabs>
        <w:kinsoku/>
        <w:wordWrap/>
        <w:overflowPunct/>
        <w:topLinePunct w:val="0"/>
        <w:autoSpaceDE w:val="0"/>
        <w:autoSpaceDN w:val="0"/>
        <w:bidi w:val="0"/>
        <w:adjustRightInd/>
        <w:snapToGrid/>
        <w:spacing w:before="0" w:after="0" w:line="300" w:lineRule="exact"/>
        <w:ind w:left="1621" w:right="0" w:hanging="601"/>
        <w:jc w:val="both"/>
        <w:textAlignment w:val="auto"/>
        <w:rPr>
          <w:color w:val="0000FF"/>
          <w:sz w:val="24"/>
        </w:rPr>
      </w:pPr>
      <w:r>
        <w:rPr>
          <w:color w:val="0000FF"/>
          <w:sz w:val="24"/>
        </w:rPr>
        <w:t>种公羊舍、种公羊饲养技术规程</w:t>
      </w:r>
    </w:p>
    <w:p>
      <w:pPr>
        <w:pStyle w:val="7"/>
        <w:keepNext w:val="0"/>
        <w:keepLines w:val="0"/>
        <w:pageBreakBefore w:val="0"/>
        <w:widowControl w:val="0"/>
        <w:kinsoku/>
        <w:wordWrap/>
        <w:overflowPunct/>
        <w:topLinePunct w:val="0"/>
        <w:autoSpaceDE w:val="0"/>
        <w:autoSpaceDN w:val="0"/>
        <w:bidi w:val="0"/>
        <w:adjustRightInd/>
        <w:snapToGrid/>
        <w:spacing w:before="150" w:line="357" w:lineRule="auto"/>
        <w:ind w:right="577" w:firstLine="480"/>
        <w:jc w:val="both"/>
        <w:textAlignment w:val="auto"/>
        <w:rPr>
          <w:color w:val="0000FF"/>
        </w:rPr>
      </w:pPr>
      <w:r>
        <w:rPr>
          <w:color w:val="0000FF"/>
          <w:spacing w:val="-8"/>
        </w:rPr>
        <w:t>种公羊指已达到体成熟，经过评定能作为种用的公羊。执行配种任务的公羊</w:t>
      </w:r>
      <w:r>
        <w:rPr>
          <w:color w:val="0000FF"/>
          <w:spacing w:val="-6"/>
        </w:rPr>
        <w:t>体重应达到成年体重的</w:t>
      </w:r>
      <w:r>
        <w:rPr>
          <w:rFonts w:ascii="Times New Roman" w:eastAsia="Times New Roman"/>
          <w:color w:val="0000FF"/>
        </w:rPr>
        <w:t>70%</w:t>
      </w:r>
      <w:r>
        <w:rPr>
          <w:color w:val="0000FF"/>
          <w:spacing w:val="-11"/>
        </w:rPr>
        <w:t>以上。配种公羊常年保持中上等膘情，健壮活泼、精</w:t>
      </w:r>
      <w:r>
        <w:rPr>
          <w:color w:val="0000FF"/>
        </w:rPr>
        <w:t>力充沛、性欲旺盛。</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right="455" w:firstLine="480"/>
        <w:jc w:val="both"/>
        <w:textAlignment w:val="auto"/>
        <w:rPr>
          <w:color w:val="0000FF"/>
        </w:rPr>
      </w:pPr>
      <w:r>
        <w:rPr>
          <w:color w:val="0000FF"/>
          <w:spacing w:val="-14"/>
        </w:rPr>
        <w:t>配种前</w:t>
      </w:r>
      <w:r>
        <w:rPr>
          <w:rFonts w:ascii="Times New Roman" w:eastAsia="Times New Roman"/>
          <w:color w:val="0000FF"/>
        </w:rPr>
        <w:t>40</w:t>
      </w:r>
      <w:r>
        <w:rPr>
          <w:color w:val="0000FF"/>
        </w:rPr>
        <w:t>日内日粮营养标准由非配种期标准逐渐变到配种期的标准。舍饲</w:t>
      </w:r>
      <w:r>
        <w:rPr>
          <w:color w:val="0000FF"/>
          <w:spacing w:val="-9"/>
        </w:rPr>
        <w:t>的种公羊，日粮中优质干草占</w:t>
      </w:r>
      <w:r>
        <w:rPr>
          <w:rFonts w:ascii="Times New Roman" w:eastAsia="Times New Roman"/>
          <w:color w:val="0000FF"/>
          <w:spacing w:val="-3"/>
        </w:rPr>
        <w:t>35-40%</w:t>
      </w:r>
      <w:r>
        <w:rPr>
          <w:color w:val="0000FF"/>
          <w:spacing w:val="-10"/>
        </w:rPr>
        <w:t>，多汁饲料占</w:t>
      </w:r>
      <w:r>
        <w:rPr>
          <w:rFonts w:ascii="Times New Roman" w:eastAsia="Times New Roman"/>
          <w:color w:val="0000FF"/>
          <w:spacing w:val="-3"/>
        </w:rPr>
        <w:t>20-25%</w:t>
      </w:r>
      <w:r>
        <w:rPr>
          <w:color w:val="0000FF"/>
          <w:spacing w:val="-17"/>
        </w:rPr>
        <w:t>，精料</w:t>
      </w:r>
      <w:r>
        <w:rPr>
          <w:rFonts w:ascii="Times New Roman" w:eastAsia="Times New Roman"/>
          <w:color w:val="0000FF"/>
          <w:spacing w:val="-5"/>
        </w:rPr>
        <w:t>45%</w:t>
      </w:r>
      <w:r>
        <w:rPr>
          <w:color w:val="0000FF"/>
          <w:spacing w:val="-2"/>
        </w:rPr>
        <w:t>，配种任</w:t>
      </w:r>
      <w:r>
        <w:rPr>
          <w:color w:val="0000FF"/>
          <w:spacing w:val="3"/>
        </w:rPr>
        <w:t>务繁重时，每天加喂鸡蛋</w:t>
      </w:r>
      <w:r>
        <w:rPr>
          <w:rFonts w:ascii="Times New Roman" w:eastAsia="Times New Roman"/>
          <w:color w:val="0000FF"/>
        </w:rPr>
        <w:t>1-2</w:t>
      </w:r>
      <w:r>
        <w:rPr>
          <w:color w:val="0000FF"/>
          <w:spacing w:val="-5"/>
        </w:rPr>
        <w:t>个或鲜奶</w:t>
      </w:r>
      <w:r>
        <w:rPr>
          <w:rFonts w:ascii="Times New Roman" w:eastAsia="Times New Roman"/>
          <w:color w:val="0000FF"/>
        </w:rPr>
        <w:t>0.5-1.0kg</w:t>
      </w:r>
      <w:r>
        <w:rPr>
          <w:color w:val="0000FF"/>
          <w:spacing w:val="8"/>
        </w:rPr>
        <w:t>；每日每只公羊给混合精料</w:t>
      </w:r>
      <w:r>
        <w:rPr>
          <w:rFonts w:ascii="Times New Roman" w:eastAsia="Times New Roman"/>
          <w:color w:val="0000FF"/>
          <w:spacing w:val="-6"/>
        </w:rPr>
        <w:t>1-1.5kg</w:t>
      </w:r>
      <w:r>
        <w:rPr>
          <w:color w:val="0000FF"/>
          <w:spacing w:val="-14"/>
        </w:rPr>
        <w:t>，青饲料</w:t>
      </w:r>
      <w:r>
        <w:rPr>
          <w:rFonts w:ascii="Times New Roman" w:eastAsia="Times New Roman"/>
          <w:color w:val="0000FF"/>
          <w:spacing w:val="-6"/>
        </w:rPr>
        <w:t>1-1.3kg</w:t>
      </w:r>
      <w:r>
        <w:rPr>
          <w:color w:val="0000FF"/>
          <w:spacing w:val="-16"/>
        </w:rPr>
        <w:t>，食盐</w:t>
      </w:r>
      <w:r>
        <w:rPr>
          <w:rFonts w:ascii="Times New Roman" w:eastAsia="Times New Roman"/>
          <w:color w:val="0000FF"/>
        </w:rPr>
        <w:t>10-15g</w:t>
      </w:r>
      <w:r>
        <w:rPr>
          <w:color w:val="0000FF"/>
          <w:spacing w:val="-21"/>
        </w:rPr>
        <w:t>、胡萝卜</w:t>
      </w:r>
      <w:r>
        <w:rPr>
          <w:rFonts w:ascii="Times New Roman" w:eastAsia="Times New Roman"/>
          <w:color w:val="0000FF"/>
        </w:rPr>
        <w:t>1.5kg</w:t>
      </w:r>
      <w:r>
        <w:rPr>
          <w:color w:val="0000FF"/>
          <w:spacing w:val="-11"/>
        </w:rPr>
        <w:t>。自由饮水，冬季应饮温水。水质应符合</w:t>
      </w:r>
      <w:r>
        <w:rPr>
          <w:rFonts w:ascii="Times New Roman" w:eastAsia="Times New Roman"/>
          <w:color w:val="0000FF"/>
        </w:rPr>
        <w:t>NY5027</w:t>
      </w:r>
      <w:r>
        <w:rPr>
          <w:color w:val="0000FF"/>
        </w:rPr>
        <w:t>相关规定。</w:t>
      </w:r>
    </w:p>
    <w:p>
      <w:pPr>
        <w:pStyle w:val="7"/>
        <w:keepNext w:val="0"/>
        <w:keepLines w:val="0"/>
        <w:pageBreakBefore w:val="0"/>
        <w:widowControl w:val="0"/>
        <w:kinsoku/>
        <w:wordWrap/>
        <w:overflowPunct/>
        <w:topLinePunct w:val="0"/>
        <w:autoSpaceDE w:val="0"/>
        <w:autoSpaceDN w:val="0"/>
        <w:bidi w:val="0"/>
        <w:adjustRightInd/>
        <w:snapToGrid/>
        <w:spacing w:line="360" w:lineRule="auto"/>
        <w:ind w:right="457" w:firstLine="480"/>
        <w:jc w:val="both"/>
        <w:textAlignment w:val="auto"/>
        <w:rPr>
          <w:color w:val="0000FF"/>
        </w:rPr>
      </w:pPr>
      <w:r>
        <w:rPr>
          <w:color w:val="0000FF"/>
          <w:spacing w:val="-7"/>
        </w:rPr>
        <w:t>种公羊要单独组群放牧、单圈饲养，放牧的同时要做好补饲。加强运动，每</w:t>
      </w:r>
      <w:r>
        <w:rPr>
          <w:color w:val="0000FF"/>
          <w:spacing w:val="-11"/>
        </w:rPr>
        <w:t>日运动时间不低于</w:t>
      </w:r>
      <w:r>
        <w:rPr>
          <w:rFonts w:ascii="Times New Roman" w:eastAsia="Times New Roman"/>
          <w:color w:val="0000FF"/>
          <w:spacing w:val="2"/>
        </w:rPr>
        <w:t>6h</w:t>
      </w:r>
      <w:r>
        <w:rPr>
          <w:color w:val="0000FF"/>
        </w:rPr>
        <w:t>，或以放牧代替运动；保持羊舍清洁干燥，定期消毒，选</w:t>
      </w:r>
      <w:r>
        <w:rPr>
          <w:color w:val="0000FF"/>
          <w:spacing w:val="-5"/>
        </w:rPr>
        <w:t>用的消毒剂和消毒方法应符合</w:t>
      </w:r>
      <w:r>
        <w:rPr>
          <w:rFonts w:ascii="Times New Roman" w:eastAsia="Times New Roman"/>
          <w:color w:val="0000FF"/>
        </w:rPr>
        <w:t>NY5148</w:t>
      </w:r>
      <w:r>
        <w:rPr>
          <w:color w:val="0000FF"/>
          <w:spacing w:val="-5"/>
        </w:rPr>
        <w:t>的规定；选择高效、安全的抗寄生虫药，</w:t>
      </w:r>
      <w:r>
        <w:rPr>
          <w:color w:val="0000FF"/>
          <w:spacing w:val="-3"/>
        </w:rPr>
        <w:t>定期对羊只进行驱虫药浴；定期浴蹄、修蹄，实施程序应符合</w:t>
      </w:r>
      <w:r>
        <w:rPr>
          <w:rFonts w:ascii="Times New Roman" w:eastAsia="Times New Roman"/>
          <w:color w:val="0000FF"/>
        </w:rPr>
        <w:t>NY5148</w:t>
      </w:r>
      <w:r>
        <w:rPr>
          <w:color w:val="0000FF"/>
        </w:rPr>
        <w:t>的规定；</w:t>
      </w:r>
      <w:r>
        <w:rPr>
          <w:color w:val="0000FF"/>
          <w:spacing w:val="-11"/>
        </w:rPr>
        <w:t>防疫应符合</w:t>
      </w:r>
      <w:r>
        <w:rPr>
          <w:rFonts w:ascii="Times New Roman" w:eastAsia="Times New Roman"/>
          <w:color w:val="0000FF"/>
        </w:rPr>
        <w:t>NY5149</w:t>
      </w:r>
      <w:r>
        <w:rPr>
          <w:color w:val="0000FF"/>
          <w:spacing w:val="-15"/>
        </w:rPr>
        <w:t>的规定。做好系谱档案记录、后代生产性能等资料管理工作。</w:t>
      </w:r>
    </w:p>
    <w:p>
      <w:pPr>
        <w:pStyle w:val="7"/>
        <w:keepNext w:val="0"/>
        <w:keepLines w:val="0"/>
        <w:pageBreakBefore w:val="0"/>
        <w:widowControl w:val="0"/>
        <w:kinsoku/>
        <w:wordWrap/>
        <w:overflowPunct/>
        <w:topLinePunct w:val="0"/>
        <w:autoSpaceDE w:val="0"/>
        <w:autoSpaceDN w:val="0"/>
        <w:bidi w:val="0"/>
        <w:adjustRightInd/>
        <w:snapToGrid/>
        <w:spacing w:line="357" w:lineRule="auto"/>
        <w:ind w:right="577" w:firstLine="480"/>
        <w:jc w:val="both"/>
        <w:textAlignment w:val="auto"/>
        <w:rPr>
          <w:color w:val="0000FF"/>
        </w:rPr>
      </w:pPr>
      <w:r>
        <w:rPr>
          <w:color w:val="0000FF"/>
          <w:spacing w:val="-9"/>
        </w:rPr>
        <w:t>公羊初配时宜</w:t>
      </w:r>
      <w:r>
        <w:rPr>
          <w:rFonts w:ascii="Times New Roman" w:eastAsia="Times New Roman"/>
          <w:color w:val="0000FF"/>
        </w:rPr>
        <w:t>7</w:t>
      </w:r>
      <w:r>
        <w:rPr>
          <w:color w:val="0000FF"/>
          <w:spacing w:val="-12"/>
        </w:rPr>
        <w:t>天一次，成年公羊每日采精</w:t>
      </w:r>
      <w:r>
        <w:rPr>
          <w:rFonts w:ascii="Times New Roman" w:eastAsia="Times New Roman"/>
          <w:color w:val="0000FF"/>
        </w:rPr>
        <w:t>2</w:t>
      </w:r>
      <w:r>
        <w:rPr>
          <w:color w:val="0000FF"/>
          <w:spacing w:val="-8"/>
        </w:rPr>
        <w:t>次，育成公羊采精隔日一次或</w:t>
      </w:r>
      <w:r>
        <w:rPr>
          <w:color w:val="0000FF"/>
          <w:spacing w:val="-3"/>
        </w:rPr>
        <w:t>一日一次。日配一次时宜在早饲后</w:t>
      </w:r>
      <w:r>
        <w:rPr>
          <w:rFonts w:ascii="Times New Roman" w:eastAsia="Times New Roman"/>
          <w:color w:val="0000FF"/>
        </w:rPr>
        <w:t>1-2h</w:t>
      </w:r>
      <w:r>
        <w:rPr>
          <w:color w:val="0000FF"/>
        </w:rPr>
        <w:t>后进行，日配两次时，早晚各一次，如</w:t>
      </w:r>
      <w:r>
        <w:rPr>
          <w:color w:val="0000FF"/>
          <w:spacing w:val="-11"/>
        </w:rPr>
        <w:t>公羊每天连续配种，每周休息一天。种公羊在达到配种月龄时间前</w:t>
      </w:r>
      <w:r>
        <w:rPr>
          <w:rFonts w:ascii="Times New Roman" w:eastAsia="Times New Roman"/>
          <w:color w:val="0000FF"/>
        </w:rPr>
        <w:t>1</w:t>
      </w:r>
      <w:r>
        <w:rPr>
          <w:color w:val="0000FF"/>
          <w:spacing w:val="-4"/>
        </w:rPr>
        <w:t>个月开始采</w:t>
      </w:r>
    </w:p>
    <w:p>
      <w:pPr>
        <w:pStyle w:val="7"/>
        <w:keepNext w:val="0"/>
        <w:keepLines w:val="0"/>
        <w:pageBreakBefore w:val="0"/>
        <w:widowControl w:val="0"/>
        <w:kinsoku/>
        <w:wordWrap/>
        <w:overflowPunct/>
        <w:topLinePunct w:val="0"/>
        <w:autoSpaceDE w:val="0"/>
        <w:autoSpaceDN w:val="0"/>
        <w:bidi w:val="0"/>
        <w:adjustRightInd/>
        <w:snapToGrid/>
        <w:jc w:val="both"/>
        <w:textAlignment w:val="auto"/>
        <w:rPr>
          <w:color w:val="0000FF"/>
        </w:rPr>
      </w:pPr>
      <w:r>
        <w:rPr>
          <w:color w:val="0000FF"/>
          <w:spacing w:val="-4"/>
        </w:rPr>
        <w:t>精，检查精液品质。开始采精时，</w:t>
      </w:r>
      <w:r>
        <w:rPr>
          <w:rFonts w:ascii="Times New Roman" w:eastAsia="Times New Roman"/>
          <w:color w:val="0000FF"/>
          <w:spacing w:val="-3"/>
        </w:rPr>
        <w:t>1</w:t>
      </w:r>
      <w:r>
        <w:rPr>
          <w:color w:val="0000FF"/>
          <w:spacing w:val="-20"/>
        </w:rPr>
        <w:t>周采</w:t>
      </w:r>
      <w:r>
        <w:rPr>
          <w:rFonts w:ascii="Times New Roman" w:eastAsia="Times New Roman"/>
          <w:color w:val="0000FF"/>
        </w:rPr>
        <w:t>1</w:t>
      </w:r>
      <w:r>
        <w:rPr>
          <w:color w:val="0000FF"/>
          <w:spacing w:val="-15"/>
        </w:rPr>
        <w:t>次，继而</w:t>
      </w:r>
      <w:r>
        <w:rPr>
          <w:rFonts w:ascii="Times New Roman" w:eastAsia="Times New Roman"/>
          <w:color w:val="0000FF"/>
        </w:rPr>
        <w:t>1</w:t>
      </w:r>
      <w:r>
        <w:rPr>
          <w:color w:val="0000FF"/>
          <w:spacing w:val="-8"/>
        </w:rPr>
        <w:t>周采精两次，以后每</w:t>
      </w:r>
      <w:r>
        <w:rPr>
          <w:rFonts w:ascii="Times New Roman" w:eastAsia="Times New Roman"/>
          <w:color w:val="0000FF"/>
        </w:rPr>
        <w:t>2</w:t>
      </w:r>
      <w:r>
        <w:rPr>
          <w:color w:val="0000FF"/>
        </w:rPr>
        <w:t>天</w:t>
      </w:r>
    </w:p>
    <w:p>
      <w:pPr>
        <w:pStyle w:val="7"/>
        <w:keepNext w:val="0"/>
        <w:keepLines w:val="0"/>
        <w:pageBreakBefore w:val="0"/>
        <w:widowControl w:val="0"/>
        <w:kinsoku/>
        <w:wordWrap/>
        <w:overflowPunct/>
        <w:topLinePunct w:val="0"/>
        <w:autoSpaceDE w:val="0"/>
        <w:autoSpaceDN w:val="0"/>
        <w:bidi w:val="0"/>
        <w:adjustRightInd/>
        <w:snapToGrid/>
        <w:spacing w:before="145"/>
        <w:jc w:val="both"/>
        <w:textAlignment w:val="auto"/>
        <w:rPr>
          <w:color w:val="0000FF"/>
        </w:rPr>
      </w:pPr>
      <w:r>
        <w:rPr>
          <w:rFonts w:ascii="Times New Roman" w:eastAsia="Times New Roman"/>
          <w:color w:val="0000FF"/>
        </w:rPr>
        <w:t>1</w:t>
      </w:r>
      <w:r>
        <w:rPr>
          <w:color w:val="0000FF"/>
          <w:spacing w:val="-8"/>
        </w:rPr>
        <w:t>次。达到配种月龄时，每天采</w:t>
      </w:r>
      <w:r>
        <w:rPr>
          <w:rFonts w:ascii="Times New Roman" w:eastAsia="Times New Roman"/>
          <w:color w:val="0000FF"/>
        </w:rPr>
        <w:t>1-2</w:t>
      </w:r>
      <w:r>
        <w:rPr>
          <w:color w:val="0000FF"/>
          <w:spacing w:val="-8"/>
        </w:rPr>
        <w:t>次。多次采精时，两次采精间隔为</w:t>
      </w:r>
      <w:r>
        <w:rPr>
          <w:rFonts w:ascii="Times New Roman" w:eastAsia="Times New Roman"/>
          <w:color w:val="0000FF"/>
          <w:spacing w:val="-4"/>
        </w:rPr>
        <w:t>2h</w:t>
      </w:r>
      <w:r>
        <w:rPr>
          <w:color w:val="0000FF"/>
          <w:spacing w:val="-2"/>
        </w:rPr>
        <w:t>，连续</w:t>
      </w:r>
    </w:p>
    <w:p>
      <w:pPr>
        <w:pStyle w:val="7"/>
        <w:keepNext w:val="0"/>
        <w:keepLines w:val="0"/>
        <w:pageBreakBefore w:val="0"/>
        <w:widowControl w:val="0"/>
        <w:kinsoku/>
        <w:wordWrap/>
        <w:overflowPunct/>
        <w:topLinePunct w:val="0"/>
        <w:autoSpaceDE w:val="0"/>
        <w:autoSpaceDN w:val="0"/>
        <w:bidi w:val="0"/>
        <w:adjustRightInd/>
        <w:snapToGrid/>
        <w:spacing w:before="153"/>
        <w:jc w:val="both"/>
        <w:textAlignment w:val="auto"/>
        <w:rPr>
          <w:color w:val="0000FF"/>
        </w:rPr>
      </w:pPr>
      <w:r>
        <w:rPr>
          <w:color w:val="0000FF"/>
        </w:rPr>
        <w:t>采精</w:t>
      </w:r>
      <w:r>
        <w:rPr>
          <w:rFonts w:ascii="Times New Roman" w:eastAsia="Times New Roman"/>
          <w:color w:val="0000FF"/>
        </w:rPr>
        <w:t>3</w:t>
      </w:r>
      <w:r>
        <w:rPr>
          <w:color w:val="0000FF"/>
        </w:rPr>
        <w:t>天，休息</w:t>
      </w:r>
      <w:r>
        <w:rPr>
          <w:rFonts w:ascii="Times New Roman" w:eastAsia="Times New Roman"/>
          <w:color w:val="0000FF"/>
        </w:rPr>
        <w:t>1</w:t>
      </w:r>
      <w:r>
        <w:rPr>
          <w:color w:val="0000FF"/>
        </w:rPr>
        <w:t>天。</w:t>
      </w:r>
    </w:p>
    <w:p>
      <w:pPr>
        <w:pStyle w:val="7"/>
        <w:keepNext w:val="0"/>
        <w:keepLines w:val="0"/>
        <w:pageBreakBefore w:val="0"/>
        <w:widowControl w:val="0"/>
        <w:kinsoku/>
        <w:wordWrap/>
        <w:overflowPunct/>
        <w:topLinePunct w:val="0"/>
        <w:autoSpaceDE w:val="0"/>
        <w:autoSpaceDN w:val="0"/>
        <w:bidi w:val="0"/>
        <w:adjustRightInd/>
        <w:snapToGrid/>
        <w:spacing w:before="153"/>
        <w:ind w:left="1020"/>
        <w:jc w:val="both"/>
        <w:textAlignment w:val="auto"/>
        <w:rPr>
          <w:color w:val="0000FF"/>
        </w:rPr>
      </w:pPr>
      <w:r>
        <w:rPr>
          <w:color w:val="0000FF"/>
        </w:rPr>
        <w:t>非配种期种公羊的日采食量为配种期的</w:t>
      </w:r>
      <w:r>
        <w:rPr>
          <w:rFonts w:ascii="Times New Roman" w:eastAsia="Times New Roman"/>
          <w:color w:val="0000FF"/>
        </w:rPr>
        <w:t>60-70%</w:t>
      </w:r>
      <w:r>
        <w:rPr>
          <w:color w:val="0000FF"/>
        </w:rPr>
        <w:t>，营养标准逐渐由配种期标</w:t>
      </w:r>
    </w:p>
    <w:p>
      <w:pPr>
        <w:pStyle w:val="7"/>
        <w:keepNext w:val="0"/>
        <w:keepLines w:val="0"/>
        <w:pageBreakBefore w:val="0"/>
        <w:widowControl w:val="0"/>
        <w:kinsoku/>
        <w:wordWrap/>
        <w:overflowPunct/>
        <w:topLinePunct w:val="0"/>
        <w:autoSpaceDE w:val="0"/>
        <w:autoSpaceDN w:val="0"/>
        <w:bidi w:val="0"/>
        <w:adjustRightInd/>
        <w:snapToGrid/>
        <w:spacing w:before="1"/>
        <w:ind w:left="0"/>
        <w:jc w:val="both"/>
        <w:textAlignment w:val="auto"/>
        <w:rPr>
          <w:color w:val="0000FF"/>
          <w:sz w:val="9"/>
        </w:rPr>
      </w:pP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right="455"/>
        <w:jc w:val="both"/>
        <w:textAlignment w:val="auto"/>
        <w:rPr>
          <w:color w:val="0000FF"/>
        </w:rPr>
      </w:pPr>
      <w:r>
        <w:rPr>
          <w:color w:val="0000FF"/>
          <w:spacing w:val="-18"/>
        </w:rPr>
        <w:t>准过渡到非配种期标准。全舍饲时，日喂给混合精料</w:t>
      </w:r>
      <w:r>
        <w:rPr>
          <w:rFonts w:ascii="Times New Roman" w:eastAsia="Times New Roman"/>
          <w:color w:val="0000FF"/>
        </w:rPr>
        <w:t>0.6</w:t>
      </w:r>
      <w:r>
        <w:rPr>
          <w:rFonts w:ascii="Times New Roman" w:eastAsia="Times New Roman"/>
          <w:color w:val="0000FF"/>
          <w:spacing w:val="-1"/>
        </w:rPr>
        <w:t>-</w:t>
      </w:r>
      <w:r>
        <w:rPr>
          <w:rFonts w:ascii="Times New Roman" w:eastAsia="Times New Roman"/>
          <w:color w:val="0000FF"/>
        </w:rPr>
        <w:t>0.8kg</w:t>
      </w:r>
      <w:r>
        <w:rPr>
          <w:color w:val="0000FF"/>
          <w:spacing w:val="-29"/>
        </w:rPr>
        <w:t>，优质干草</w:t>
      </w:r>
      <w:r>
        <w:rPr>
          <w:rFonts w:ascii="Times New Roman" w:eastAsia="Times New Roman"/>
          <w:color w:val="0000FF"/>
          <w:spacing w:val="-2"/>
        </w:rPr>
        <w:t>2</w:t>
      </w:r>
      <w:r>
        <w:rPr>
          <w:rFonts w:ascii="Times New Roman" w:eastAsia="Times New Roman"/>
          <w:color w:val="0000FF"/>
          <w:spacing w:val="-3"/>
        </w:rPr>
        <w:t>-</w:t>
      </w:r>
      <w:r>
        <w:rPr>
          <w:rFonts w:ascii="Times New Roman" w:eastAsia="Times New Roman"/>
          <w:color w:val="0000FF"/>
          <w:spacing w:val="-2"/>
        </w:rPr>
        <w:t>2.5k</w:t>
      </w:r>
      <w:r>
        <w:rPr>
          <w:rFonts w:ascii="Times New Roman" w:eastAsia="Times New Roman"/>
          <w:color w:val="0000FF"/>
          <w:spacing w:val="0"/>
        </w:rPr>
        <w:t>g</w:t>
      </w:r>
      <w:r>
        <w:rPr>
          <w:color w:val="0000FF"/>
          <w:spacing w:val="-2"/>
        </w:rPr>
        <w:t>，</w:t>
      </w:r>
      <w:r>
        <w:rPr>
          <w:color w:val="0000FF"/>
          <w:spacing w:val="-16"/>
        </w:rPr>
        <w:t>多汁料</w:t>
      </w:r>
      <w:r>
        <w:rPr>
          <w:rFonts w:ascii="Times New Roman" w:eastAsia="Times New Roman"/>
          <w:color w:val="0000FF"/>
        </w:rPr>
        <w:t>1-1.5kg</w:t>
      </w:r>
      <w:r>
        <w:rPr>
          <w:color w:val="0000FF"/>
        </w:rPr>
        <w:t>，冬春季节注意补饲优质干草和胡萝卜。</w:t>
      </w:r>
    </w:p>
    <w:p>
      <w:pPr>
        <w:pStyle w:val="17"/>
        <w:keepNext w:val="0"/>
        <w:keepLines w:val="0"/>
        <w:pageBreakBefore w:val="0"/>
        <w:widowControl w:val="0"/>
        <w:numPr>
          <w:ilvl w:val="0"/>
          <w:numId w:val="19"/>
        </w:numPr>
        <w:tabs>
          <w:tab w:val="left" w:pos="1621"/>
        </w:tabs>
        <w:kinsoku/>
        <w:wordWrap/>
        <w:overflowPunct/>
        <w:topLinePunct w:val="0"/>
        <w:autoSpaceDE w:val="0"/>
        <w:autoSpaceDN w:val="0"/>
        <w:bidi w:val="0"/>
        <w:adjustRightInd/>
        <w:snapToGrid/>
        <w:spacing w:before="0" w:after="0" w:line="307" w:lineRule="exact"/>
        <w:ind w:left="1621" w:right="0" w:hanging="601"/>
        <w:jc w:val="both"/>
        <w:textAlignment w:val="auto"/>
        <w:rPr>
          <w:color w:val="0000FF"/>
          <w:sz w:val="24"/>
        </w:rPr>
      </w:pPr>
      <w:r>
        <w:rPr>
          <w:color w:val="0000FF"/>
          <w:sz w:val="24"/>
        </w:rPr>
        <w:t>母羊舍、母羊饲养技术规程</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right="577" w:firstLine="480"/>
        <w:jc w:val="both"/>
        <w:textAlignment w:val="auto"/>
        <w:rPr>
          <w:color w:val="0000FF"/>
        </w:rPr>
      </w:pPr>
      <w:r>
        <w:rPr>
          <w:color w:val="0000FF"/>
          <w:spacing w:val="-1"/>
        </w:rPr>
        <w:t>①空怀母羊：母羊空怀期具体是指从母羊产下的羊羔断奶之日起，至母羊</w:t>
      </w:r>
      <w:r>
        <w:rPr>
          <w:color w:val="0000FF"/>
          <w:spacing w:val="-8"/>
        </w:rPr>
        <w:t>再次受孕的这一时间段，通常情况下，母羊空怀期控制为</w:t>
      </w:r>
      <w:r>
        <w:rPr>
          <w:rFonts w:ascii="Times New Roman" w:hAnsi="Times New Roman" w:eastAsia="Times New Roman"/>
          <w:color w:val="0000FF"/>
        </w:rPr>
        <w:t>1</w:t>
      </w:r>
      <w:r>
        <w:rPr>
          <w:color w:val="0000FF"/>
          <w:spacing w:val="-7"/>
        </w:rPr>
        <w:t>个月左右，在这一个</w:t>
      </w:r>
      <w:r>
        <w:rPr>
          <w:color w:val="0000FF"/>
          <w:spacing w:val="-9"/>
        </w:rPr>
        <w:t>月内必须配种。空怀母羊饲养主要补充营养为主，适当增加精饲料饲养量，精饲</w:t>
      </w:r>
      <w:r>
        <w:rPr>
          <w:color w:val="0000FF"/>
          <w:spacing w:val="-10"/>
        </w:rPr>
        <w:t>料保证每日</w:t>
      </w:r>
      <w:r>
        <w:rPr>
          <w:rFonts w:ascii="Times New Roman" w:hAnsi="Times New Roman" w:eastAsia="Times New Roman"/>
          <w:color w:val="0000FF"/>
        </w:rPr>
        <w:t>300g</w:t>
      </w:r>
      <w:r>
        <w:rPr>
          <w:color w:val="0000FF"/>
        </w:rPr>
        <w:t>，混合草料不限。</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460" w:leftChars="209" w:right="567" w:firstLine="240" w:firstLineChars="100"/>
        <w:jc w:val="both"/>
        <w:textAlignment w:val="auto"/>
        <w:rPr>
          <w:color w:val="0000FF"/>
        </w:rPr>
      </w:pPr>
      <w:r>
        <w:rPr>
          <w:color w:val="0000FF"/>
        </w:rPr>
        <w:t>②后备母羊：后备母羊是指达到性成熟可孕育羔羊的母羊，首次配种期在</w:t>
      </w:r>
      <w:r>
        <w:rPr>
          <w:rFonts w:ascii="Times New Roman" w:eastAsia="Times New Roman"/>
          <w:color w:val="0000FF"/>
        </w:rPr>
        <w:t>8-10</w:t>
      </w:r>
      <w:r>
        <w:rPr>
          <w:color w:val="0000FF"/>
          <w:spacing w:val="-11"/>
        </w:rPr>
        <w:t>月龄为佳。配种前要注重母羊身体素质提升，为其后续的顺利生产打下坚实</w:t>
      </w:r>
      <w:r>
        <w:rPr>
          <w:color w:val="0000FF"/>
          <w:spacing w:val="-4"/>
        </w:rPr>
        <w:t>的基础。具体来说，应提前</w:t>
      </w:r>
      <w:r>
        <w:rPr>
          <w:rFonts w:ascii="Times New Roman" w:eastAsia="Times New Roman"/>
          <w:color w:val="0000FF"/>
        </w:rPr>
        <w:t>15</w:t>
      </w:r>
      <w:r>
        <w:rPr>
          <w:color w:val="0000FF"/>
          <w:spacing w:val="-1"/>
        </w:rPr>
        <w:t>天就开始对母羊进行优质饲料的喂养，补充充足</w:t>
      </w:r>
      <w:r>
        <w:rPr>
          <w:color w:val="0000FF"/>
        </w:rPr>
        <w:t>的维生素、蛋白质等营养物质，保障母羊怀孕所需营养。</w:t>
      </w:r>
    </w:p>
    <w:p>
      <w:pPr>
        <w:pStyle w:val="7"/>
        <w:keepNext w:val="0"/>
        <w:keepLines w:val="0"/>
        <w:pageBreakBefore w:val="0"/>
        <w:widowControl w:val="0"/>
        <w:kinsoku/>
        <w:wordWrap/>
        <w:overflowPunct/>
        <w:topLinePunct w:val="0"/>
        <w:autoSpaceDE w:val="0"/>
        <w:autoSpaceDN w:val="0"/>
        <w:bidi w:val="0"/>
        <w:adjustRightInd/>
        <w:snapToGrid/>
        <w:spacing w:line="360" w:lineRule="auto"/>
        <w:ind w:right="457" w:firstLine="480"/>
        <w:jc w:val="both"/>
        <w:textAlignment w:val="auto"/>
        <w:rPr>
          <w:color w:val="0000FF"/>
        </w:rPr>
      </w:pPr>
      <w:r>
        <w:rPr>
          <w:color w:val="0000FF"/>
          <w:spacing w:val="-4"/>
        </w:rPr>
        <w:t>③妊娠期母羊：母羊的孕育周期为</w:t>
      </w:r>
      <w:r>
        <w:rPr>
          <w:rFonts w:ascii="Times New Roman" w:hAnsi="Times New Roman" w:eastAsia="Times New Roman"/>
          <w:color w:val="0000FF"/>
        </w:rPr>
        <w:t>5</w:t>
      </w:r>
      <w:r>
        <w:rPr>
          <w:color w:val="0000FF"/>
        </w:rPr>
        <w:t>个月，其中前三个月可划分为妊娠前</w:t>
      </w:r>
      <w:r>
        <w:rPr>
          <w:color w:val="0000FF"/>
          <w:spacing w:val="-9"/>
        </w:rPr>
        <w:t>期，在这一阶段的饲料喂养管理上，一是要提升喂养饲料的品质，二是要适当增</w:t>
      </w:r>
      <w:r>
        <w:rPr>
          <w:color w:val="0000FF"/>
        </w:rPr>
        <w:t>加喂养优质饲料的用量。妊娠前期是母羊体内羊羔胎儿发育打下基础的关键时</w:t>
      </w:r>
      <w:r>
        <w:rPr>
          <w:color w:val="0000FF"/>
          <w:spacing w:val="-11"/>
        </w:rPr>
        <w:t>期，母羊在这一阶段的营养摄入多供给于羊羔的生长发育的同时还要满足自身的</w:t>
      </w:r>
      <w:r>
        <w:rPr>
          <w:color w:val="0000FF"/>
          <w:spacing w:val="-18"/>
        </w:rPr>
        <w:t>生长需求，如果处于枯草期，则需要再向母羊投喂一些高质量的野干草或者秸秆，</w:t>
      </w:r>
      <w:r>
        <w:rPr>
          <w:color w:val="0000FF"/>
        </w:rPr>
        <w:t>保证母羊能够吃饱。此时保证正常的运动量，满足羊羔胎儿发育。在管理方面，</w:t>
      </w:r>
      <w:r>
        <w:rPr>
          <w:color w:val="0000FF"/>
          <w:spacing w:val="-6"/>
        </w:rPr>
        <w:t>一是严禁让母羊引用冰水，二是做好母羊的保护措施，避免其受到其他羊或动物</w:t>
      </w:r>
      <w:r>
        <w:rPr>
          <w:color w:val="0000FF"/>
          <w:spacing w:val="-12"/>
        </w:rPr>
        <w:t>的惊吓出现猛跑现象，以免流产。在这一时间段内，母羊的日粮可按照牧草、干</w:t>
      </w:r>
      <w:r>
        <w:rPr>
          <w:color w:val="0000FF"/>
          <w:spacing w:val="-17"/>
        </w:rPr>
        <w:t>草、青贮料、精料按</w:t>
      </w:r>
      <w:r>
        <w:rPr>
          <w:rFonts w:ascii="Times New Roman" w:hAnsi="Times New Roman" w:eastAsia="Times New Roman"/>
          <w:color w:val="0000FF"/>
        </w:rPr>
        <w:t>5</w:t>
      </w:r>
      <w:r>
        <w:rPr>
          <w:color w:val="0000FF"/>
        </w:rPr>
        <w:t>：</w:t>
      </w:r>
      <w:r>
        <w:rPr>
          <w:rFonts w:ascii="Times New Roman" w:hAnsi="Times New Roman" w:eastAsia="Times New Roman"/>
          <w:color w:val="0000FF"/>
        </w:rPr>
        <w:t>3</w:t>
      </w:r>
      <w:r>
        <w:rPr>
          <w:color w:val="0000FF"/>
        </w:rPr>
        <w:t>：</w:t>
      </w:r>
      <w:r>
        <w:rPr>
          <w:rFonts w:ascii="Times New Roman" w:hAnsi="Times New Roman" w:eastAsia="Times New Roman"/>
          <w:color w:val="0000FF"/>
        </w:rPr>
        <w:t>1</w:t>
      </w:r>
      <w:r>
        <w:rPr>
          <w:color w:val="0000FF"/>
        </w:rPr>
        <w:t>：</w:t>
      </w:r>
      <w:r>
        <w:rPr>
          <w:rFonts w:ascii="Times New Roman" w:hAnsi="Times New Roman" w:eastAsia="Times New Roman"/>
          <w:color w:val="0000FF"/>
        </w:rPr>
        <w:t>1</w:t>
      </w:r>
      <w:r>
        <w:rPr>
          <w:color w:val="0000FF"/>
        </w:rPr>
        <w:t>的配料比方式进行饲养，保证食物均衡性。</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187" w:leftChars="85" w:right="187" w:rightChars="85" w:firstLine="456" w:firstLineChars="200"/>
        <w:jc w:val="both"/>
        <w:textAlignment w:val="auto"/>
        <w:rPr>
          <w:color w:val="0000FF"/>
          <w:sz w:val="9"/>
        </w:rPr>
      </w:pPr>
      <w:r>
        <w:rPr>
          <w:color w:val="0000FF"/>
          <w:spacing w:val="-6"/>
        </w:rPr>
        <w:t>母羊后两个月为妊娠后期，这一时期是羊羔胎儿重量完成的关键时期，其中</w:t>
      </w:r>
      <w:r>
        <w:rPr>
          <w:rFonts w:ascii="Times New Roman" w:eastAsia="Times New Roman"/>
          <w:color w:val="0000FF"/>
          <w:spacing w:val="-6"/>
        </w:rPr>
        <w:t>90%</w:t>
      </w:r>
      <w:r>
        <w:rPr>
          <w:color w:val="0000FF"/>
          <w:spacing w:val="-9"/>
        </w:rPr>
        <w:t>的羊羔胎重都是在这一时期完成的，因此需要做好饲料的充足供应，除了每</w:t>
      </w:r>
      <w:r>
        <w:rPr>
          <w:color w:val="0000FF"/>
          <w:spacing w:val="-13"/>
        </w:rPr>
        <w:t>天必要的放牧、添加精料、青贮料之外，还需要配合添加一些营养物质，但需要注意的是，营养物质不宜添加过多，以免造成母羊营养过剩问题。在母羊临产前</w:t>
      </w:r>
      <w:r>
        <w:rPr>
          <w:color w:val="0000FF"/>
          <w:spacing w:val="-11"/>
        </w:rPr>
        <w:t>一个月，应有意识的减少粗料喂养，多喂养一些柔软易消化的饲料，如秸秆、多</w:t>
      </w:r>
      <w:r>
        <w:rPr>
          <w:color w:val="0000FF"/>
          <w:spacing w:val="-12"/>
        </w:rPr>
        <w:t>汁青绿饲料等，也可以在饲料总添加一些麦麸皮，可以有效解决母羊便秘问题。</w:t>
      </w:r>
      <w:r>
        <w:rPr>
          <w:color w:val="0000FF"/>
          <w:spacing w:val="-1"/>
        </w:rPr>
        <w:t>在管理方面，一是要注意母羊饮水清洁的卫生，二是保证各种饲料的足够供应，</w:t>
      </w:r>
      <w:r>
        <w:rPr>
          <w:color w:val="0000FF"/>
          <w:spacing w:val="-7"/>
        </w:rPr>
        <w:t>以免羊群出现踩踏争抢，三是仍需要坚持对母羊的运动量，从而让母羊得到适量</w:t>
      </w:r>
      <w:r>
        <w:rPr>
          <w:color w:val="0000FF"/>
          <w:spacing w:val="-11"/>
        </w:rPr>
        <w:t>的锻炼。母羊预产期前十天要适当减少精料的喂养，避免羊羔发育过大，导致难</w:t>
      </w:r>
      <w:r>
        <w:rPr>
          <w:color w:val="0000FF"/>
          <w:spacing w:val="-18"/>
        </w:rPr>
        <w:t>产。在预产期前</w:t>
      </w:r>
      <w:r>
        <w:rPr>
          <w:rFonts w:ascii="Times New Roman" w:eastAsia="Times New Roman"/>
          <w:color w:val="0000FF"/>
        </w:rPr>
        <w:t>3</w:t>
      </w:r>
      <w:r>
        <w:rPr>
          <w:color w:val="0000FF"/>
        </w:rPr>
        <w:t>天就要提前做好母羊的接生的准备。</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right="577" w:firstLine="480"/>
        <w:jc w:val="both"/>
        <w:textAlignment w:val="auto"/>
        <w:rPr>
          <w:color w:val="0000FF"/>
        </w:rPr>
      </w:pPr>
      <w:r>
        <w:rPr>
          <w:color w:val="0000FF"/>
          <w:spacing w:val="-4"/>
        </w:rPr>
        <w:t>④哺乳期母羊：母羊哺乳期一般为</w:t>
      </w:r>
      <w:r>
        <w:rPr>
          <w:rFonts w:ascii="Times New Roman" w:hAnsi="Times New Roman" w:eastAsia="Times New Roman"/>
          <w:color w:val="0000FF"/>
        </w:rPr>
        <w:t>2</w:t>
      </w:r>
      <w:r>
        <w:rPr>
          <w:color w:val="0000FF"/>
          <w:spacing w:val="-1"/>
        </w:rPr>
        <w:t>个月，如果做好相应的饲养管理，可</w:t>
      </w:r>
      <w:r>
        <w:rPr>
          <w:color w:val="0000FF"/>
          <w:spacing w:val="-7"/>
        </w:rPr>
        <w:t>以有效提升母羊的羊乳质量，使得羊乳分泌更加充足，同时也使得羊羔获取足够</w:t>
      </w:r>
      <w:r>
        <w:rPr>
          <w:color w:val="0000FF"/>
          <w:spacing w:val="-10"/>
        </w:rPr>
        <w:t>的营养物质，生长发育的更好。首先在母羊产后由于身体较为虚弱，因此在饲料</w:t>
      </w:r>
      <w:r>
        <w:rPr>
          <w:color w:val="0000FF"/>
          <w:spacing w:val="-6"/>
        </w:rPr>
        <w:t>喂养上应选择既能能够有利于消化、营养成分又高的饲料，从而使得母羊能够尽</w:t>
      </w:r>
      <w:r>
        <w:rPr>
          <w:color w:val="0000FF"/>
          <w:spacing w:val="-10"/>
        </w:rPr>
        <w:t>快恢复活力，为羊羔生长提供更好的母乳喂养，母羊产羔后第一个月是母乳分泌高峰期，但随着不断的哺育，母羊体内的营养物质也在不断减少，相应的哺乳量也会下降，为有效保证母羊母乳分泌量与质量始终维持高水准状态，需要做好饲养管理工作，日粮水平在原本的基础上可根据母羊母乳分泌量灵活调整，为母羊</w:t>
      </w:r>
      <w:r>
        <w:rPr>
          <w:color w:val="0000FF"/>
          <w:spacing w:val="-7"/>
        </w:rPr>
        <w:t>提供作为优渥的饲料喂养条件，保证羊羔有充分的营养供应。母羊进入到哺乳后</w:t>
      </w:r>
      <w:r>
        <w:rPr>
          <w:color w:val="0000FF"/>
          <w:spacing w:val="-10"/>
        </w:rPr>
        <w:t>期时，在饲养方面需要逐渐减少精料的喂养用量，可以选择喂养一些青干草，具</w:t>
      </w:r>
      <w:r>
        <w:rPr>
          <w:color w:val="0000FF"/>
          <w:spacing w:val="-6"/>
        </w:rPr>
        <w:t>体情况仍需要根据母羊实际的身体状况而定，保证产羔后的母羊体质健康良好即</w:t>
      </w:r>
      <w:r>
        <w:rPr>
          <w:color w:val="0000FF"/>
        </w:rPr>
        <w:t>可，为后续的产羔奠定坚实的基础。</w:t>
      </w:r>
    </w:p>
    <w:p>
      <w:pPr>
        <w:pStyle w:val="17"/>
        <w:keepNext w:val="0"/>
        <w:keepLines w:val="0"/>
        <w:pageBreakBefore w:val="0"/>
        <w:widowControl w:val="0"/>
        <w:numPr>
          <w:ilvl w:val="4"/>
          <w:numId w:val="20"/>
        </w:numPr>
        <w:tabs>
          <w:tab w:val="left" w:pos="1500"/>
        </w:tabs>
        <w:kinsoku/>
        <w:wordWrap/>
        <w:overflowPunct/>
        <w:topLinePunct w:val="0"/>
        <w:autoSpaceDE w:val="0"/>
        <w:autoSpaceDN w:val="0"/>
        <w:bidi w:val="0"/>
        <w:adjustRightInd/>
        <w:snapToGrid/>
        <w:spacing w:before="0" w:after="0" w:line="293" w:lineRule="exact"/>
        <w:ind w:left="1500" w:right="0" w:hanging="960"/>
        <w:jc w:val="both"/>
        <w:textAlignment w:val="auto"/>
        <w:rPr>
          <w:color w:val="0000FF"/>
          <w:sz w:val="24"/>
        </w:rPr>
      </w:pPr>
      <w:r>
        <w:rPr>
          <w:color w:val="0000FF"/>
          <w:sz w:val="24"/>
        </w:rPr>
        <w:t>清粪方式</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right="500" w:firstLine="480"/>
        <w:jc w:val="both"/>
        <w:textAlignment w:val="auto"/>
        <w:rPr>
          <w:color w:val="0000FF"/>
        </w:rPr>
      </w:pPr>
      <w:r>
        <w:rPr>
          <w:color w:val="0000FF"/>
        </w:rPr>
        <w:t>根据《畜禽养殖业污染物治理工程技术规范》（</w:t>
      </w:r>
      <w:r>
        <w:rPr>
          <w:rFonts w:ascii="Times New Roman" w:eastAsia="Times New Roman"/>
          <w:color w:val="0000FF"/>
        </w:rPr>
        <w:t>HJ497-2009</w:t>
      </w:r>
      <w:r>
        <w:rPr>
          <w:color w:val="0000FF"/>
        </w:rPr>
        <w:t>）要求，本项目建设后拟采用干清粪工艺。</w:t>
      </w:r>
    </w:p>
    <w:p>
      <w:pPr>
        <w:pStyle w:val="7"/>
        <w:keepNext w:val="0"/>
        <w:keepLines w:val="0"/>
        <w:pageBreakBefore w:val="0"/>
        <w:widowControl w:val="0"/>
        <w:kinsoku/>
        <w:wordWrap/>
        <w:overflowPunct/>
        <w:topLinePunct w:val="0"/>
        <w:autoSpaceDE w:val="0"/>
        <w:autoSpaceDN w:val="0"/>
        <w:bidi w:val="0"/>
        <w:adjustRightInd/>
        <w:snapToGrid/>
        <w:spacing w:line="360" w:lineRule="auto"/>
        <w:ind w:right="577" w:firstLine="480"/>
        <w:jc w:val="both"/>
        <w:textAlignment w:val="auto"/>
        <w:rPr>
          <w:color w:val="0000FF"/>
        </w:rPr>
      </w:pPr>
      <w:r>
        <w:rPr>
          <w:color w:val="0000FF"/>
          <w:spacing w:val="-10"/>
        </w:rPr>
        <w:t>圈舍清粪：本项目采用人工清粪工艺，将圈舍的羊粪集中到堆肥厂，堆肥厂</w:t>
      </w:r>
      <w:r>
        <w:rPr>
          <w:color w:val="0000FF"/>
          <w:spacing w:val="-12"/>
        </w:rPr>
        <w:t>满足防渗、防雨、防溢流等要求。羊排泄的尿液被垫料吸收，垫料层与羊粪一起</w:t>
      </w:r>
      <w:r>
        <w:rPr>
          <w:color w:val="0000FF"/>
          <w:spacing w:val="-8"/>
        </w:rPr>
        <w:t>进入堆肥厂发酵，羊粪尿均堆肥发酵，最终施用于农田，使羊粪尿的减量化、无</w:t>
      </w:r>
      <w:r>
        <w:rPr>
          <w:color w:val="0000FF"/>
          <w:spacing w:val="-9"/>
        </w:rPr>
        <w:t>害化、资源化处理与处置满足环境保护要求，形成肉羊养殖</w:t>
      </w:r>
      <w:r>
        <w:rPr>
          <w:rFonts w:ascii="Times New Roman" w:hAnsi="Times New Roman" w:eastAsia="Times New Roman"/>
          <w:color w:val="0000FF"/>
        </w:rPr>
        <w:t>→</w:t>
      </w:r>
      <w:r>
        <w:rPr>
          <w:color w:val="0000FF"/>
        </w:rPr>
        <w:t>粪污</w:t>
      </w:r>
      <w:r>
        <w:rPr>
          <w:rFonts w:ascii="Times New Roman" w:hAnsi="Times New Roman" w:eastAsia="Times New Roman"/>
          <w:color w:val="0000FF"/>
        </w:rPr>
        <w:t>→</w:t>
      </w:r>
      <w:r>
        <w:rPr>
          <w:color w:val="0000FF"/>
        </w:rPr>
        <w:t>肥料还田</w:t>
      </w:r>
      <w:r>
        <w:rPr>
          <w:rFonts w:ascii="Times New Roman" w:hAnsi="Times New Roman" w:eastAsia="Times New Roman"/>
          <w:color w:val="0000FF"/>
          <w:spacing w:val="-16"/>
        </w:rPr>
        <w:t>→</w:t>
      </w:r>
      <w:r>
        <w:rPr>
          <w:color w:val="0000FF"/>
        </w:rPr>
        <w:t>生产粮食</w:t>
      </w:r>
      <w:r>
        <w:rPr>
          <w:rFonts w:ascii="Times New Roman" w:hAnsi="Times New Roman" w:eastAsia="Times New Roman"/>
          <w:color w:val="0000FF"/>
        </w:rPr>
        <w:t>→</w:t>
      </w:r>
      <w:r>
        <w:rPr>
          <w:color w:val="0000FF"/>
        </w:rPr>
        <w:t>养羊饲料良性循环的产业结构链。</w:t>
      </w:r>
    </w:p>
    <w:p>
      <w:pPr>
        <w:pStyle w:val="17"/>
        <w:keepNext w:val="0"/>
        <w:keepLines w:val="0"/>
        <w:pageBreakBefore w:val="0"/>
        <w:widowControl w:val="0"/>
        <w:numPr>
          <w:ilvl w:val="4"/>
          <w:numId w:val="20"/>
        </w:numPr>
        <w:tabs>
          <w:tab w:val="left" w:pos="1500"/>
        </w:tabs>
        <w:kinsoku/>
        <w:wordWrap/>
        <w:overflowPunct/>
        <w:topLinePunct w:val="0"/>
        <w:autoSpaceDE w:val="0"/>
        <w:autoSpaceDN w:val="0"/>
        <w:bidi w:val="0"/>
        <w:adjustRightInd/>
        <w:snapToGrid/>
        <w:spacing w:before="0" w:after="0" w:line="303" w:lineRule="exact"/>
        <w:ind w:left="1500" w:right="0" w:hanging="960"/>
        <w:jc w:val="both"/>
        <w:textAlignment w:val="auto"/>
        <w:rPr>
          <w:color w:val="0000FF"/>
          <w:sz w:val="24"/>
        </w:rPr>
      </w:pPr>
      <w:r>
        <w:rPr>
          <w:color w:val="0000FF"/>
          <w:sz w:val="24"/>
        </w:rPr>
        <w:t>消毒方式</w:t>
      </w:r>
    </w:p>
    <w:p>
      <w:pPr>
        <w:pStyle w:val="7"/>
        <w:keepNext w:val="0"/>
        <w:keepLines w:val="0"/>
        <w:pageBreakBefore w:val="0"/>
        <w:widowControl w:val="0"/>
        <w:kinsoku/>
        <w:wordWrap/>
        <w:overflowPunct/>
        <w:topLinePunct w:val="0"/>
        <w:autoSpaceDE w:val="0"/>
        <w:autoSpaceDN w:val="0"/>
        <w:bidi w:val="0"/>
        <w:adjustRightInd/>
        <w:snapToGrid/>
        <w:spacing w:before="147"/>
        <w:ind w:left="1020"/>
        <w:jc w:val="both"/>
        <w:textAlignment w:val="auto"/>
        <w:rPr>
          <w:color w:val="0000FF"/>
        </w:rPr>
      </w:pPr>
      <w:r>
        <w:rPr>
          <w:color w:val="0000FF"/>
        </w:rPr>
        <w:t>养殖场消毒要求：</w:t>
      </w:r>
    </w:p>
    <w:p>
      <w:pPr>
        <w:pStyle w:val="7"/>
        <w:spacing w:before="154"/>
        <w:ind w:left="1020"/>
        <w:rPr>
          <w:color w:val="0000FF"/>
        </w:rPr>
      </w:pPr>
      <w:r>
        <w:rPr>
          <w:color w:val="0000FF"/>
        </w:rPr>
        <w:t>①羊舍内地面、墙壁、顶棚消毒</w:t>
      </w:r>
    </w:p>
    <w:p>
      <w:pPr>
        <w:pStyle w:val="7"/>
        <w:spacing w:before="153" w:line="360" w:lineRule="auto"/>
        <w:ind w:right="457" w:firstLine="480"/>
        <w:rPr>
          <w:color w:val="0000FF"/>
        </w:rPr>
      </w:pPr>
      <w:r>
        <w:rPr>
          <w:color w:val="0000FF"/>
          <w:spacing w:val="-16"/>
        </w:rPr>
        <w:t>羊舍内地面、墙壁和顶棚必须保持清洁卫生。饲养员每天必须至少清扫一次，</w:t>
      </w:r>
      <w:r>
        <w:rPr>
          <w:color w:val="0000FF"/>
          <w:spacing w:val="-7"/>
        </w:rPr>
        <w:t>地面要将粪尿、污物以及杂物等清理干净。然后每周用</w:t>
      </w:r>
      <w:r>
        <w:rPr>
          <w:rFonts w:ascii="Times New Roman" w:eastAsia="Times New Roman"/>
          <w:color w:val="0000FF"/>
        </w:rPr>
        <w:t>2</w:t>
      </w:r>
      <w:r>
        <w:rPr>
          <w:color w:val="0000FF"/>
        </w:rPr>
        <w:t>％氢氧化钠水溶液进行</w:t>
      </w:r>
      <w:r>
        <w:rPr>
          <w:color w:val="0000FF"/>
          <w:spacing w:val="-13"/>
        </w:rPr>
        <w:t>喷洒消毒一次。如果带羊消毒，可用</w:t>
      </w:r>
      <w:r>
        <w:rPr>
          <w:rFonts w:ascii="Times New Roman" w:eastAsia="Times New Roman"/>
          <w:color w:val="0000FF"/>
        </w:rPr>
        <w:t>0.1</w:t>
      </w:r>
      <w:r>
        <w:rPr>
          <w:color w:val="0000FF"/>
          <w:spacing w:val="-9"/>
        </w:rPr>
        <w:t>％过氧乙酸或</w:t>
      </w:r>
      <w:r>
        <w:rPr>
          <w:rFonts w:ascii="Times New Roman" w:eastAsia="Times New Roman"/>
          <w:color w:val="0000FF"/>
        </w:rPr>
        <w:t>0.1</w:t>
      </w:r>
      <w:r>
        <w:rPr>
          <w:color w:val="0000FF"/>
        </w:rPr>
        <w:t>％百毒杀溶液等进行喷</w:t>
      </w:r>
      <w:r>
        <w:rPr>
          <w:color w:val="0000FF"/>
          <w:spacing w:val="-9"/>
        </w:rPr>
        <w:t>洒消毒，每周</w:t>
      </w:r>
      <w:r>
        <w:rPr>
          <w:rFonts w:ascii="Times New Roman" w:eastAsia="Times New Roman"/>
          <w:color w:val="0000FF"/>
        </w:rPr>
        <w:t>1</w:t>
      </w:r>
      <w:r>
        <w:rPr>
          <w:color w:val="0000FF"/>
        </w:rPr>
        <w:t>～</w:t>
      </w:r>
      <w:r>
        <w:rPr>
          <w:rFonts w:ascii="Times New Roman" w:eastAsia="Times New Roman"/>
          <w:color w:val="0000FF"/>
        </w:rPr>
        <w:t>2</w:t>
      </w:r>
      <w:r>
        <w:rPr>
          <w:color w:val="0000FF"/>
        </w:rPr>
        <w:t>次。</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720" w:firstLineChars="300"/>
        <w:jc w:val="both"/>
        <w:textAlignment w:val="auto"/>
        <w:rPr>
          <w:color w:val="0000FF"/>
        </w:rPr>
      </w:pPr>
      <w:r>
        <w:rPr>
          <w:color w:val="0000FF"/>
        </w:rPr>
        <w:t>②水、料槽、草架的消毒</w:t>
      </w:r>
    </w:p>
    <w:p>
      <w:pPr>
        <w:pStyle w:val="7"/>
        <w:keepNext w:val="0"/>
        <w:keepLines w:val="0"/>
        <w:pageBreakBefore w:val="0"/>
        <w:widowControl w:val="0"/>
        <w:kinsoku/>
        <w:wordWrap/>
        <w:overflowPunct/>
        <w:topLinePunct w:val="0"/>
        <w:autoSpaceDE w:val="0"/>
        <w:autoSpaceDN w:val="0"/>
        <w:bidi w:val="0"/>
        <w:adjustRightInd/>
        <w:snapToGrid/>
        <w:spacing w:before="9" w:line="360" w:lineRule="auto"/>
        <w:ind w:left="460" w:leftChars="209" w:right="220" w:rightChars="100" w:firstLine="480" w:firstLineChars="200"/>
        <w:jc w:val="both"/>
        <w:textAlignment w:val="auto"/>
        <w:rPr>
          <w:color w:val="0000FF"/>
          <w:sz w:val="9"/>
        </w:rPr>
      </w:pPr>
      <w:r>
        <w:rPr>
          <w:color w:val="0000FF"/>
        </w:rPr>
        <w:t>水、料槽、草架必须定期清洗消毒，保持清洁。一般可用</w:t>
      </w:r>
      <w:r>
        <w:rPr>
          <w:rFonts w:ascii="Times New Roman" w:eastAsia="Times New Roman"/>
          <w:color w:val="0000FF"/>
        </w:rPr>
        <w:t>0.1</w:t>
      </w:r>
      <w:r>
        <w:rPr>
          <w:color w:val="0000FF"/>
        </w:rPr>
        <w:t>％高锰酸钾溶液进行浸泡</w:t>
      </w:r>
      <w:r>
        <w:rPr>
          <w:rFonts w:ascii="Times New Roman" w:eastAsia="Times New Roman"/>
          <w:color w:val="0000FF"/>
        </w:rPr>
        <w:t>5</w:t>
      </w:r>
      <w:r>
        <w:rPr>
          <w:color w:val="0000FF"/>
        </w:rPr>
        <w:t>～</w:t>
      </w:r>
      <w:r>
        <w:rPr>
          <w:rFonts w:ascii="Times New Roman" w:eastAsia="Times New Roman"/>
          <w:color w:val="0000FF"/>
        </w:rPr>
        <w:t>15min</w:t>
      </w:r>
      <w:r>
        <w:rPr>
          <w:color w:val="0000FF"/>
        </w:rPr>
        <w:t>，每两周消毒一次。</w:t>
      </w:r>
    </w:p>
    <w:p>
      <w:pPr>
        <w:pStyle w:val="7"/>
        <w:spacing w:before="66"/>
        <w:ind w:left="1020"/>
        <w:rPr>
          <w:color w:val="0000FF"/>
        </w:rPr>
      </w:pPr>
      <w:r>
        <w:rPr>
          <w:color w:val="0000FF"/>
        </w:rPr>
        <w:t>③羊舍内空气清洁、消毒</w:t>
      </w:r>
    </w:p>
    <w:p>
      <w:pPr>
        <w:pStyle w:val="7"/>
        <w:spacing w:before="154" w:line="360" w:lineRule="auto"/>
        <w:ind w:right="577" w:firstLine="480"/>
        <w:rPr>
          <w:color w:val="0000FF"/>
        </w:rPr>
      </w:pPr>
      <w:r>
        <w:rPr>
          <w:color w:val="0000FF"/>
          <w:spacing w:val="-6"/>
        </w:rPr>
        <w:t>羊舍内空气的洁净程度对羊的健康会产生很大影响，必须对空气进行定期清</w:t>
      </w:r>
      <w:r>
        <w:rPr>
          <w:color w:val="0000FF"/>
        </w:rPr>
        <w:t>洁消毒。具体如下：</w:t>
      </w:r>
    </w:p>
    <w:p>
      <w:pPr>
        <w:pStyle w:val="7"/>
        <w:spacing w:line="360" w:lineRule="auto"/>
        <w:ind w:right="485" w:firstLine="480"/>
        <w:rPr>
          <w:color w:val="0000FF"/>
        </w:rPr>
      </w:pPr>
      <w:r>
        <w:rPr>
          <w:rFonts w:ascii="Times New Roman" w:eastAsia="Times New Roman"/>
          <w:color w:val="0000FF"/>
        </w:rPr>
        <w:t>a</w:t>
      </w:r>
      <w:r>
        <w:rPr>
          <w:color w:val="0000FF"/>
        </w:rPr>
        <w:t>、通风换气。在羊舍内必须留有充足的通风口，将通风口留在背风处以防止强风进入。羊舍较大的要安装排风扇，定时定点开启排风扇，进行通风换气。特别在冬季夜间，更要做好通风换气工作。</w:t>
      </w:r>
    </w:p>
    <w:p>
      <w:pPr>
        <w:pStyle w:val="7"/>
        <w:spacing w:line="360" w:lineRule="auto"/>
        <w:ind w:right="457" w:firstLine="480"/>
        <w:jc w:val="both"/>
        <w:rPr>
          <w:color w:val="0000FF"/>
        </w:rPr>
      </w:pPr>
      <w:r>
        <w:rPr>
          <w:rFonts w:ascii="Times New Roman" w:eastAsia="Times New Roman"/>
          <w:color w:val="0000FF"/>
        </w:rPr>
        <w:t>b</w:t>
      </w:r>
      <w:r>
        <w:rPr>
          <w:color w:val="0000FF"/>
          <w:spacing w:val="-12"/>
        </w:rPr>
        <w:t>、水雾洗涤。向羊舍空气中喷洒水雾，一方面可以减少舍内空气中的尘埃，</w:t>
      </w:r>
      <w:r>
        <w:rPr>
          <w:color w:val="0000FF"/>
        </w:rPr>
        <w:t>使舍内空气清洁；另一方面还可以降温和增加空气湿度，特别是在炎热的夏季，通过增加舍内湿度以防止过于干燥而导致呼吸道疾病发生。</w:t>
      </w:r>
    </w:p>
    <w:p>
      <w:pPr>
        <w:pStyle w:val="7"/>
        <w:spacing w:line="304" w:lineRule="exact"/>
        <w:ind w:left="1020"/>
        <w:rPr>
          <w:color w:val="0000FF"/>
        </w:rPr>
      </w:pPr>
      <w:r>
        <w:rPr>
          <w:rFonts w:ascii="Times New Roman" w:eastAsia="Times New Roman"/>
          <w:color w:val="0000FF"/>
        </w:rPr>
        <w:t>c</w:t>
      </w:r>
      <w:r>
        <w:rPr>
          <w:color w:val="0000FF"/>
        </w:rPr>
        <w:t>、过道、走廊、庭院、路面消毒</w:t>
      </w:r>
    </w:p>
    <w:p>
      <w:pPr>
        <w:pStyle w:val="7"/>
        <w:spacing w:before="146" w:line="357" w:lineRule="auto"/>
        <w:ind w:right="577" w:firstLine="480"/>
        <w:jc w:val="both"/>
        <w:rPr>
          <w:color w:val="0000FF"/>
        </w:rPr>
      </w:pPr>
      <w:r>
        <w:rPr>
          <w:color w:val="0000FF"/>
          <w:spacing w:val="-6"/>
        </w:rPr>
        <w:t>为了防止外界病原微生物进入羊舍，应对过道、走廊、庭院、路面等地点应</w:t>
      </w:r>
      <w:r>
        <w:rPr>
          <w:color w:val="0000FF"/>
        </w:rPr>
        <w:t>该定期进行消毒。一般可用生石灰消毒或用</w:t>
      </w:r>
      <w:r>
        <w:rPr>
          <w:rFonts w:ascii="Times New Roman" w:eastAsia="Times New Roman"/>
          <w:color w:val="0000FF"/>
          <w:spacing w:val="7"/>
        </w:rPr>
        <w:t>2</w:t>
      </w:r>
      <w:r>
        <w:rPr>
          <w:color w:val="0000FF"/>
          <w:spacing w:val="3"/>
        </w:rPr>
        <w:t>％氢氧化钠溶液进行喷洒效果很</w:t>
      </w:r>
      <w:r>
        <w:rPr>
          <w:color w:val="0000FF"/>
          <w:spacing w:val="-13"/>
        </w:rPr>
        <w:t>好，每</w:t>
      </w:r>
      <w:r>
        <w:rPr>
          <w:rFonts w:ascii="Times New Roman" w:eastAsia="Times New Roman"/>
          <w:color w:val="0000FF"/>
        </w:rPr>
        <w:t>2</w:t>
      </w:r>
      <w:r>
        <w:rPr>
          <w:color w:val="0000FF"/>
        </w:rPr>
        <w:t>周一次。</w:t>
      </w:r>
    </w:p>
    <w:p>
      <w:pPr>
        <w:pStyle w:val="7"/>
        <w:spacing w:before="5"/>
        <w:ind w:left="1020"/>
        <w:rPr>
          <w:color w:val="0000FF"/>
        </w:rPr>
      </w:pPr>
      <w:r>
        <w:rPr>
          <w:rFonts w:ascii="Times New Roman" w:eastAsia="Times New Roman"/>
          <w:color w:val="0000FF"/>
        </w:rPr>
        <w:t>d</w:t>
      </w:r>
      <w:r>
        <w:rPr>
          <w:color w:val="0000FF"/>
        </w:rPr>
        <w:t>、进场、羊舍人员及车辆消毒</w:t>
      </w:r>
    </w:p>
    <w:p>
      <w:pPr>
        <w:pStyle w:val="7"/>
        <w:spacing w:before="154" w:line="357" w:lineRule="auto"/>
        <w:ind w:right="575" w:firstLine="480"/>
        <w:jc w:val="both"/>
        <w:rPr>
          <w:color w:val="0000FF"/>
        </w:rPr>
      </w:pPr>
      <w:r>
        <w:rPr>
          <w:color w:val="0000FF"/>
          <w:spacing w:val="-8"/>
        </w:rPr>
        <w:t>进入羊舍</w:t>
      </w:r>
      <w:r>
        <w:rPr>
          <w:color w:val="0000FF"/>
        </w:rPr>
        <w:t>（生产区</w:t>
      </w:r>
      <w:r>
        <w:rPr>
          <w:color w:val="0000FF"/>
          <w:spacing w:val="-32"/>
        </w:rPr>
        <w:t>）</w:t>
      </w:r>
      <w:r>
        <w:rPr>
          <w:color w:val="0000FF"/>
          <w:spacing w:val="-4"/>
        </w:rPr>
        <w:t>的工作人员必须经过消毒更衣室，更换已消过毒的工作</w:t>
      </w:r>
      <w:r>
        <w:rPr>
          <w:color w:val="0000FF"/>
          <w:spacing w:val="-12"/>
        </w:rPr>
        <w:t>服、卫生帽和胶鞋，严禁不换衣服而进入生产区。饲养人员的工作服必须保持清</w:t>
      </w:r>
      <w:r>
        <w:rPr>
          <w:color w:val="0000FF"/>
          <w:spacing w:val="-5"/>
        </w:rPr>
        <w:t>洁卫生，定期洗涤，洗净后用</w:t>
      </w:r>
      <w:r>
        <w:rPr>
          <w:rFonts w:ascii="Times New Roman" w:eastAsia="Times New Roman"/>
          <w:color w:val="0000FF"/>
        </w:rPr>
        <w:t>0.1</w:t>
      </w:r>
      <w:r>
        <w:rPr>
          <w:color w:val="0000FF"/>
          <w:spacing w:val="-4"/>
        </w:rPr>
        <w:t>％新洁尔灭等消毒液进行浸泡</w:t>
      </w:r>
      <w:r>
        <w:rPr>
          <w:rFonts w:ascii="Times New Roman" w:eastAsia="Times New Roman"/>
          <w:color w:val="0000FF"/>
        </w:rPr>
        <w:t>20min</w:t>
      </w:r>
      <w:r>
        <w:rPr>
          <w:color w:val="0000FF"/>
          <w:spacing w:val="-4"/>
        </w:rPr>
        <w:t>后捞出晾</w:t>
      </w:r>
      <w:r>
        <w:rPr>
          <w:color w:val="0000FF"/>
          <w:spacing w:val="-5"/>
        </w:rPr>
        <w:t>干。一般每周洗涤、消毒</w:t>
      </w:r>
      <w:r>
        <w:rPr>
          <w:rFonts w:ascii="Times New Roman" w:eastAsia="Times New Roman"/>
          <w:color w:val="0000FF"/>
        </w:rPr>
        <w:t>1</w:t>
      </w:r>
      <w:r>
        <w:rPr>
          <w:color w:val="0000FF"/>
        </w:rPr>
        <w:t>～</w:t>
      </w:r>
      <w:r>
        <w:rPr>
          <w:rFonts w:ascii="Times New Roman" w:eastAsia="Times New Roman"/>
          <w:color w:val="0000FF"/>
        </w:rPr>
        <w:t>2</w:t>
      </w:r>
      <w:r>
        <w:rPr>
          <w:color w:val="0000FF"/>
        </w:rPr>
        <w:t>次。在消毒更衣室地面必须放置浸满消毒液的消毒垫，用于胶鞋底的消毒。</w:t>
      </w:r>
    </w:p>
    <w:p>
      <w:pPr>
        <w:pStyle w:val="7"/>
        <w:spacing w:before="8" w:line="360" w:lineRule="auto"/>
        <w:ind w:right="577" w:firstLine="480"/>
        <w:jc w:val="both"/>
        <w:rPr>
          <w:color w:val="0000FF"/>
        </w:rPr>
      </w:pPr>
      <w:r>
        <w:rPr>
          <w:color w:val="0000FF"/>
          <w:spacing w:val="-5"/>
        </w:rPr>
        <w:t>外来人员进入场区，必须经过场区大门旁侧的消毒室进行消毒</w:t>
      </w:r>
      <w:r>
        <w:rPr>
          <w:color w:val="0000FF"/>
        </w:rPr>
        <w:t>（</w:t>
      </w:r>
      <w:r>
        <w:rPr>
          <w:color w:val="0000FF"/>
          <w:spacing w:val="-11"/>
        </w:rPr>
        <w:t>方法：可用</w:t>
      </w:r>
      <w:r>
        <w:rPr>
          <w:color w:val="0000FF"/>
          <w:spacing w:val="-3"/>
        </w:rPr>
        <w:t>紫外线照射</w:t>
      </w:r>
      <w:r>
        <w:rPr>
          <w:rFonts w:ascii="Times New Roman" w:eastAsia="Times New Roman"/>
          <w:color w:val="0000FF"/>
        </w:rPr>
        <w:t>5</w:t>
      </w:r>
      <w:r>
        <w:rPr>
          <w:color w:val="0000FF"/>
        </w:rPr>
        <w:t>～</w:t>
      </w:r>
      <w:r>
        <w:rPr>
          <w:rFonts w:ascii="Times New Roman" w:eastAsia="Times New Roman"/>
          <w:color w:val="0000FF"/>
        </w:rPr>
        <w:t>15min</w:t>
      </w:r>
      <w:r>
        <w:rPr>
          <w:color w:val="0000FF"/>
        </w:rPr>
        <w:t>，脚底踏踩消毒垫）后方可进入，但绝对禁止未经消毒更</w:t>
      </w:r>
      <w:r>
        <w:rPr>
          <w:color w:val="0000FF"/>
          <w:spacing w:val="-8"/>
        </w:rPr>
        <w:t>衣人员进入生产区。禁止一切外来车辆进入生产区，进入场区的外来车辆，必须</w:t>
      </w:r>
      <w:r>
        <w:rPr>
          <w:color w:val="0000FF"/>
          <w:spacing w:val="-5"/>
        </w:rPr>
        <w:t>经过大门门下置满消毒液的消毒池，对轮胎进行消毒，车体可用</w:t>
      </w:r>
      <w:r>
        <w:rPr>
          <w:rFonts w:ascii="Times New Roman" w:eastAsia="Times New Roman"/>
          <w:color w:val="0000FF"/>
        </w:rPr>
        <w:t>2</w:t>
      </w:r>
      <w:r>
        <w:rPr>
          <w:color w:val="0000FF"/>
          <w:spacing w:val="-3"/>
        </w:rPr>
        <w:t>％氢氧化钠或</w:t>
      </w:r>
      <w:r>
        <w:rPr>
          <w:rFonts w:ascii="Times New Roman" w:eastAsia="Times New Roman"/>
          <w:color w:val="0000FF"/>
        </w:rPr>
        <w:t>0.1</w:t>
      </w:r>
      <w:r>
        <w:rPr>
          <w:color w:val="0000FF"/>
        </w:rPr>
        <w:t>％过氧乙酸等进行喷雾消毒后方可进入。</w:t>
      </w:r>
    </w:p>
    <w:p>
      <w:pPr>
        <w:pStyle w:val="17"/>
        <w:numPr>
          <w:ilvl w:val="4"/>
          <w:numId w:val="20"/>
        </w:numPr>
        <w:tabs>
          <w:tab w:val="left" w:pos="1500"/>
        </w:tabs>
        <w:spacing w:before="0" w:after="0" w:line="300" w:lineRule="exact"/>
        <w:ind w:left="1500" w:right="0" w:hanging="960"/>
        <w:jc w:val="left"/>
        <w:rPr>
          <w:color w:val="0000FF"/>
          <w:sz w:val="24"/>
        </w:rPr>
      </w:pPr>
      <w:r>
        <w:rPr>
          <w:color w:val="0000FF"/>
          <w:sz w:val="24"/>
        </w:rPr>
        <w:t>卫生防疫</w:t>
      </w:r>
    </w:p>
    <w:p>
      <w:pPr>
        <w:pStyle w:val="7"/>
        <w:spacing w:before="153"/>
        <w:ind w:left="1020"/>
        <w:rPr>
          <w:color w:val="0000FF"/>
        </w:rPr>
      </w:pPr>
      <w:r>
        <w:rPr>
          <w:color w:val="0000FF"/>
        </w:rPr>
        <w:t>养殖场防疫要求：</w:t>
      </w:r>
    </w:p>
    <w:p>
      <w:pPr>
        <w:pStyle w:val="7"/>
        <w:spacing w:before="154"/>
        <w:ind w:left="1020"/>
        <w:rPr>
          <w:color w:val="0000FF"/>
        </w:rPr>
      </w:pPr>
      <w:r>
        <w:rPr>
          <w:color w:val="0000FF"/>
        </w:rPr>
        <w:t>①严格投入品控制</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right="577" w:firstLine="480"/>
        <w:jc w:val="both"/>
        <w:textAlignment w:val="auto"/>
        <w:rPr>
          <w:color w:val="0000FF"/>
          <w:sz w:val="9"/>
        </w:rPr>
      </w:pPr>
      <w:r>
        <w:rPr>
          <w:color w:val="0000FF"/>
          <w:spacing w:val="-8"/>
        </w:rPr>
        <w:t>要根据羊只不同品种、年龄、用途喂给全价配合饲料，蛋白质、维生素、微</w:t>
      </w:r>
      <w:r>
        <w:rPr>
          <w:color w:val="0000FF"/>
          <w:spacing w:val="-7"/>
        </w:rPr>
        <w:t>量元素等营养成分要满足羊只生长、发育、繁殖等需要，饮水要充足、清洁、卫</w:t>
      </w:r>
      <w:r>
        <w:rPr>
          <w:color w:val="0000FF"/>
          <w:spacing w:val="-11"/>
        </w:rPr>
        <w:t>生。同时，可以在饲料中添加微生态制剂等绿色饲料添加剂来提高羊只自身免疫</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right="485"/>
        <w:jc w:val="both"/>
        <w:textAlignment w:val="auto"/>
        <w:rPr>
          <w:color w:val="0000FF"/>
        </w:rPr>
      </w:pPr>
      <w:r>
        <w:rPr>
          <w:color w:val="0000FF"/>
        </w:rPr>
        <w:t>力和抗病力。还可以适当投放一些预防性药物，对羊群进行疫病的预防和控制，如利用恩诺沙星或环内沙星可有效预防羔羊腹泻等。</w:t>
      </w:r>
    </w:p>
    <w:p>
      <w:pPr>
        <w:pStyle w:val="7"/>
        <w:keepNext w:val="0"/>
        <w:keepLines w:val="0"/>
        <w:pageBreakBefore w:val="0"/>
        <w:widowControl w:val="0"/>
        <w:kinsoku/>
        <w:wordWrap/>
        <w:overflowPunct/>
        <w:topLinePunct w:val="0"/>
        <w:autoSpaceDE w:val="0"/>
        <w:autoSpaceDN w:val="0"/>
        <w:bidi w:val="0"/>
        <w:adjustRightInd/>
        <w:snapToGrid/>
        <w:spacing w:line="307" w:lineRule="exact"/>
        <w:ind w:left="1020"/>
        <w:jc w:val="both"/>
        <w:textAlignment w:val="auto"/>
        <w:rPr>
          <w:color w:val="0000FF"/>
        </w:rPr>
      </w:pPr>
      <w:r>
        <w:rPr>
          <w:color w:val="0000FF"/>
        </w:rPr>
        <w:t>②落实隔离制度</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right="455" w:firstLine="480"/>
        <w:jc w:val="both"/>
        <w:textAlignment w:val="auto"/>
        <w:rPr>
          <w:color w:val="0000FF"/>
        </w:rPr>
      </w:pPr>
      <w:r>
        <w:rPr>
          <w:color w:val="0000FF"/>
          <w:spacing w:val="-6"/>
        </w:rPr>
        <w:t>如需外购羔羊补栏或种羊，要严格隔离饲养观察，严禁从疫区购买羊只。在</w:t>
      </w:r>
      <w:r>
        <w:rPr>
          <w:color w:val="0000FF"/>
          <w:spacing w:val="-16"/>
        </w:rPr>
        <w:t>此期间进行临床和实验室检查，确认健康无病后，再经预防接种、驱虫、消毒后，</w:t>
      </w:r>
      <w:r>
        <w:rPr>
          <w:color w:val="0000FF"/>
          <w:spacing w:val="-8"/>
        </w:rPr>
        <w:t>才可进入生产区。不同批次、不同种源场的羔羊尽量分舍独立饲养，降低疫病互相传染的风险。</w:t>
      </w:r>
    </w:p>
    <w:p>
      <w:pPr>
        <w:pStyle w:val="7"/>
        <w:keepNext w:val="0"/>
        <w:keepLines w:val="0"/>
        <w:pageBreakBefore w:val="0"/>
        <w:widowControl w:val="0"/>
        <w:kinsoku/>
        <w:wordWrap/>
        <w:overflowPunct/>
        <w:topLinePunct w:val="0"/>
        <w:autoSpaceDE w:val="0"/>
        <w:autoSpaceDN w:val="0"/>
        <w:bidi w:val="0"/>
        <w:adjustRightInd/>
        <w:snapToGrid/>
        <w:spacing w:line="303" w:lineRule="exact"/>
        <w:ind w:left="1020"/>
        <w:jc w:val="both"/>
        <w:textAlignment w:val="auto"/>
        <w:rPr>
          <w:color w:val="0000FF"/>
        </w:rPr>
      </w:pPr>
      <w:r>
        <w:rPr>
          <w:color w:val="0000FF"/>
        </w:rPr>
        <w:t>③完善免疫程序</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right="577" w:firstLine="480"/>
        <w:jc w:val="both"/>
        <w:textAlignment w:val="auto"/>
        <w:rPr>
          <w:color w:val="0000FF"/>
        </w:rPr>
      </w:pPr>
      <w:r>
        <w:rPr>
          <w:color w:val="0000FF"/>
          <w:spacing w:val="-8"/>
        </w:rPr>
        <w:t>制定完善羊场免疫程序，加强规模羊场防疫技术指导，规模羊场要结合本场</w:t>
      </w:r>
      <w:r>
        <w:rPr>
          <w:color w:val="0000FF"/>
          <w:spacing w:val="-9"/>
        </w:rPr>
        <w:t>羊只发病特点、羊只年龄、品种等实际情况，优化免疫程序，严格配合各级动物</w:t>
      </w:r>
      <w:r>
        <w:rPr>
          <w:color w:val="0000FF"/>
          <w:spacing w:val="-10"/>
        </w:rPr>
        <w:t>防疫机构，做好羊群免疫接种及补防工作，确保免疫效果。一般每年的春秋两季</w:t>
      </w:r>
      <w:r>
        <w:rPr>
          <w:color w:val="0000FF"/>
        </w:rPr>
        <w:t>对全群羊只进行疫苗免疫注射，重点预防口蹄疫、羊痘、小反刍兽疫等疫病。</w:t>
      </w:r>
    </w:p>
    <w:p>
      <w:pPr>
        <w:pStyle w:val="7"/>
        <w:keepNext w:val="0"/>
        <w:keepLines w:val="0"/>
        <w:pageBreakBefore w:val="0"/>
        <w:widowControl w:val="0"/>
        <w:kinsoku/>
        <w:wordWrap/>
        <w:overflowPunct/>
        <w:topLinePunct w:val="0"/>
        <w:autoSpaceDE w:val="0"/>
        <w:autoSpaceDN w:val="0"/>
        <w:bidi w:val="0"/>
        <w:adjustRightInd/>
        <w:snapToGrid/>
        <w:spacing w:line="301" w:lineRule="exact"/>
        <w:ind w:left="1020"/>
        <w:jc w:val="both"/>
        <w:textAlignment w:val="auto"/>
        <w:rPr>
          <w:color w:val="0000FF"/>
        </w:rPr>
      </w:pPr>
      <w:r>
        <w:rPr>
          <w:color w:val="0000FF"/>
        </w:rPr>
        <w:t>④开展动物检疫</w:t>
      </w:r>
    </w:p>
    <w:p>
      <w:pPr>
        <w:pStyle w:val="7"/>
        <w:keepNext w:val="0"/>
        <w:keepLines w:val="0"/>
        <w:pageBreakBefore w:val="0"/>
        <w:widowControl w:val="0"/>
        <w:kinsoku/>
        <w:wordWrap/>
        <w:overflowPunct/>
        <w:topLinePunct w:val="0"/>
        <w:autoSpaceDE w:val="0"/>
        <w:autoSpaceDN w:val="0"/>
        <w:bidi w:val="0"/>
        <w:adjustRightInd/>
        <w:snapToGrid/>
        <w:spacing w:before="153" w:line="357" w:lineRule="auto"/>
        <w:ind w:right="485" w:firstLine="480"/>
        <w:jc w:val="both"/>
        <w:textAlignment w:val="auto"/>
        <w:rPr>
          <w:color w:val="0000FF"/>
        </w:rPr>
      </w:pPr>
      <w:r>
        <w:rPr>
          <w:color w:val="0000FF"/>
        </w:rPr>
        <w:t>从外地购买羔羊补栏或种羊时，必须首先调查了解产地羊传染病流行情况，经当地动物检疫机构检疫合格后方可启运回场。尤其是对一些危害较大和一些新的疫病如羊口蹄疫、羊痘、小反刍兽疫等更要严格检疫。</w:t>
      </w:r>
    </w:p>
    <w:p>
      <w:pPr>
        <w:pStyle w:val="7"/>
        <w:keepNext w:val="0"/>
        <w:keepLines w:val="0"/>
        <w:pageBreakBefore w:val="0"/>
        <w:widowControl w:val="0"/>
        <w:kinsoku/>
        <w:wordWrap/>
        <w:overflowPunct/>
        <w:topLinePunct w:val="0"/>
        <w:autoSpaceDE w:val="0"/>
        <w:autoSpaceDN w:val="0"/>
        <w:bidi w:val="0"/>
        <w:adjustRightInd/>
        <w:snapToGrid/>
        <w:spacing w:before="5"/>
        <w:ind w:left="1020"/>
        <w:jc w:val="both"/>
        <w:textAlignment w:val="auto"/>
        <w:rPr>
          <w:color w:val="0000FF"/>
        </w:rPr>
      </w:pPr>
      <w:r>
        <w:rPr>
          <w:color w:val="0000FF"/>
        </w:rPr>
        <w:t>⑤强化驱虫制度</w:t>
      </w:r>
    </w:p>
    <w:p>
      <w:pPr>
        <w:pStyle w:val="7"/>
        <w:keepNext w:val="0"/>
        <w:keepLines w:val="0"/>
        <w:pageBreakBefore w:val="0"/>
        <w:widowControl w:val="0"/>
        <w:kinsoku/>
        <w:wordWrap/>
        <w:overflowPunct/>
        <w:topLinePunct w:val="0"/>
        <w:autoSpaceDE w:val="0"/>
        <w:autoSpaceDN w:val="0"/>
        <w:bidi w:val="0"/>
        <w:adjustRightInd/>
        <w:snapToGrid/>
        <w:spacing w:before="154" w:line="357" w:lineRule="auto"/>
        <w:ind w:right="577" w:firstLine="480"/>
        <w:jc w:val="both"/>
        <w:textAlignment w:val="auto"/>
        <w:rPr>
          <w:color w:val="0000FF"/>
        </w:rPr>
      </w:pPr>
      <w:r>
        <w:rPr>
          <w:color w:val="0000FF"/>
          <w:spacing w:val="-8"/>
        </w:rPr>
        <w:t>驱虫分体内驱虫、体外驱虫及环境灭虫，羊场要遵循“强化虫检、适时驱虫</w:t>
      </w:r>
      <w:r>
        <w:rPr>
          <w:color w:val="0000FF"/>
          <w:spacing w:val="-7"/>
        </w:rPr>
        <w:t>“的原则做好此项工作。体内驱虫主要驱除山羊体内绦虫、球虫等寄生虫，常用</w:t>
      </w:r>
      <w:r>
        <w:rPr>
          <w:color w:val="0000FF"/>
          <w:spacing w:val="-10"/>
        </w:rPr>
        <w:t>左旋咪唑、丙硫苯咪唑等驱虫药。体外驱虫主要驱除山羊体表的螨虫、虱子等寄生虫，常用药物有敌百虫、螨净等。同时要定期对整个圈舍、粪池及周围环境进</w:t>
      </w:r>
      <w:r>
        <w:rPr>
          <w:color w:val="0000FF"/>
        </w:rPr>
        <w:t>行喷药灭虫。</w:t>
      </w:r>
    </w:p>
    <w:p>
      <w:pPr>
        <w:pStyle w:val="7"/>
        <w:spacing w:before="8"/>
        <w:ind w:left="1020"/>
        <w:jc w:val="both"/>
        <w:rPr>
          <w:color w:val="0000FF"/>
        </w:rPr>
      </w:pPr>
      <w:r>
        <w:rPr>
          <w:color w:val="0000FF"/>
        </w:rPr>
        <w:t>⑥加强诊疗控制</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539" w:right="454" w:firstLine="482"/>
        <w:jc w:val="both"/>
        <w:textAlignment w:val="auto"/>
        <w:rPr>
          <w:color w:val="0000FF"/>
        </w:rPr>
      </w:pPr>
      <w:r>
        <w:rPr>
          <w:color w:val="0000FF"/>
          <w:spacing w:val="-7"/>
        </w:rPr>
        <w:t>发现羊只传染病、疑似传染病时，要做好患病和疑似羊只隔离工作，并立即</w:t>
      </w:r>
      <w:r>
        <w:rPr>
          <w:color w:val="0000FF"/>
          <w:spacing w:val="-13"/>
        </w:rPr>
        <w:t>向当地动物防疫机构报告，采取防制措施。对有治疗价值的患病羊只，及时对症</w:t>
      </w:r>
      <w:r>
        <w:rPr>
          <w:color w:val="0000FF"/>
          <w:spacing w:val="-15"/>
        </w:rPr>
        <w:t>治疗；没有治疗价值或烈性传染病的患病羊只，按照“早、快、严、小”的原则，</w:t>
      </w:r>
      <w:r>
        <w:rPr>
          <w:color w:val="0000FF"/>
        </w:rPr>
        <w:t>迅速采取封锁措施，以防止传染病向安全地区传播蔓延。</w:t>
      </w:r>
    </w:p>
    <w:p>
      <w:pPr>
        <w:pStyle w:val="7"/>
        <w:spacing w:line="301" w:lineRule="exact"/>
        <w:ind w:left="1020"/>
        <w:rPr>
          <w:color w:val="0000FF"/>
        </w:rPr>
      </w:pPr>
      <w:r>
        <w:rPr>
          <w:color w:val="0000FF"/>
        </w:rPr>
        <w:t>⑦严格落实无害化处理制度</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220" w:rightChars="100" w:firstLine="444" w:firstLineChars="200"/>
        <w:jc w:val="both"/>
        <w:textAlignment w:val="auto"/>
        <w:rPr>
          <w:color w:val="0000FF"/>
          <w:sz w:val="9"/>
        </w:rPr>
      </w:pPr>
      <w:r>
        <w:rPr>
          <w:color w:val="0000FF"/>
          <w:spacing w:val="-9"/>
        </w:rPr>
        <w:t>病死羊及羊粪、污水需进行无害化处理，以消灭依附其中的病原微生物、寄</w:t>
      </w:r>
      <w:r>
        <w:rPr>
          <w:color w:val="0000FF"/>
          <w:spacing w:val="-11"/>
        </w:rPr>
        <w:t>生虫等。羊粪一般采用生物热消毒法，利用堆积发酵时产生的生物热杀灭病原微</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577"/>
        <w:jc w:val="both"/>
        <w:textAlignment w:val="auto"/>
        <w:rPr>
          <w:color w:val="0000FF"/>
        </w:rPr>
      </w:pPr>
      <w:r>
        <w:rPr>
          <w:color w:val="0000FF"/>
          <w:spacing w:val="-10"/>
        </w:rPr>
        <w:t>生物和虫卵，然后用作有机肥还田。污水一般采用沉淀法、过滤法和化学品处理法，比较实用的是化学药品处理法，污水池内加入漂白粉或生石灰进行消毒。病</w:t>
      </w:r>
      <w:r>
        <w:rPr>
          <w:color w:val="0000FF"/>
        </w:rPr>
        <w:t>死羊无害化处理一般有化制、掩埋、焚烧三种方式。</w:t>
      </w:r>
    </w:p>
    <w:p>
      <w:pPr>
        <w:pStyle w:val="17"/>
        <w:keepNext w:val="0"/>
        <w:keepLines w:val="0"/>
        <w:pageBreakBefore w:val="0"/>
        <w:widowControl w:val="0"/>
        <w:numPr>
          <w:ilvl w:val="4"/>
          <w:numId w:val="20"/>
        </w:numPr>
        <w:tabs>
          <w:tab w:val="left" w:pos="1980"/>
        </w:tabs>
        <w:kinsoku/>
        <w:wordWrap/>
        <w:overflowPunct/>
        <w:topLinePunct w:val="0"/>
        <w:autoSpaceDE w:val="0"/>
        <w:autoSpaceDN w:val="0"/>
        <w:bidi w:val="0"/>
        <w:adjustRightInd/>
        <w:snapToGrid/>
        <w:spacing w:before="20" w:after="0" w:line="360" w:lineRule="auto"/>
        <w:ind w:left="1180" w:leftChars="100" w:right="0" w:hanging="960"/>
        <w:jc w:val="both"/>
        <w:textAlignment w:val="auto"/>
        <w:rPr>
          <w:color w:val="0000FF"/>
          <w:sz w:val="24"/>
        </w:rPr>
      </w:pPr>
      <w:r>
        <w:rPr>
          <w:color w:val="0000FF"/>
          <w:sz w:val="24"/>
        </w:rPr>
        <w:t>病死羊及分娩物处置</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577" w:firstLine="480"/>
        <w:jc w:val="both"/>
        <w:textAlignment w:val="auto"/>
        <w:rPr>
          <w:color w:val="0000FF"/>
        </w:rPr>
      </w:pPr>
      <w:r>
        <w:rPr>
          <w:color w:val="0000FF"/>
          <w:spacing w:val="-6"/>
        </w:rPr>
        <w:t>本项目病死羊采用干化法畜禽无害化处理方式处理，计划项目区拟建畜禽无</w:t>
      </w:r>
      <w:r>
        <w:rPr>
          <w:color w:val="0000FF"/>
          <w:spacing w:val="-4"/>
        </w:rPr>
        <w:t>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次成套设备，采用高温高压灭菌技</w:t>
      </w:r>
      <w:r>
        <w:rPr>
          <w:color w:val="0000FF"/>
          <w:spacing w:val="-12"/>
        </w:rPr>
        <w:t>术，大型动物无需肢解，可直接进行处理，处理后的产物可出售给肉骨粉干品生</w:t>
      </w:r>
      <w:r>
        <w:rPr>
          <w:color w:val="0000FF"/>
        </w:rPr>
        <w:t>产厂和工业用油脂厂，综合利用，符合国家防疫法规要求。</w:t>
      </w:r>
    </w:p>
    <w:p>
      <w:pPr>
        <w:pStyle w:val="17"/>
        <w:keepNext w:val="0"/>
        <w:keepLines w:val="0"/>
        <w:pageBreakBefore w:val="0"/>
        <w:widowControl w:val="0"/>
        <w:numPr>
          <w:ilvl w:val="3"/>
          <w:numId w:val="18"/>
        </w:numPr>
        <w:tabs>
          <w:tab w:val="left" w:pos="1320"/>
        </w:tabs>
        <w:kinsoku/>
        <w:wordWrap/>
        <w:overflowPunct/>
        <w:topLinePunct w:val="0"/>
        <w:autoSpaceDE w:val="0"/>
        <w:autoSpaceDN w:val="0"/>
        <w:bidi w:val="0"/>
        <w:adjustRightInd/>
        <w:snapToGrid/>
        <w:spacing w:before="20" w:after="0" w:line="360" w:lineRule="auto"/>
        <w:ind w:left="1000" w:leftChars="100" w:right="0" w:hanging="780"/>
        <w:jc w:val="both"/>
        <w:textAlignment w:val="auto"/>
        <w:rPr>
          <w:color w:val="0000FF"/>
          <w:sz w:val="24"/>
        </w:rPr>
      </w:pPr>
      <w:bookmarkStart w:id="139" w:name="3.1.7.3 堆肥生产工艺"/>
      <w:bookmarkEnd w:id="139"/>
      <w:bookmarkStart w:id="140" w:name="3.1.7.3 堆肥生产工艺"/>
      <w:bookmarkEnd w:id="140"/>
      <w:r>
        <w:rPr>
          <w:color w:val="0000FF"/>
          <w:sz w:val="24"/>
        </w:rPr>
        <w:t>堆肥生产工艺</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548" w:firstLine="480"/>
        <w:jc w:val="both"/>
        <w:textAlignment w:val="auto"/>
        <w:rPr>
          <w:color w:val="0000FF"/>
        </w:rPr>
      </w:pPr>
      <w:r>
        <w:rPr>
          <w:color w:val="0000FF"/>
          <w:spacing w:val="-6"/>
        </w:rPr>
        <w:t>粪污应进行无害化处理与资源化利用，宜采用高温堆肥发酵处理方式对固体</w:t>
      </w:r>
      <w:r>
        <w:rPr>
          <w:color w:val="0000FF"/>
          <w:spacing w:val="-12"/>
        </w:rPr>
        <w:t>粪污进行无害化处理，利用堆积发酵时产生的生物热杀灭病原微生物和虫卵，然后用作有机肥还田，处理结果应符合《粪便无害化卫生要求》</w:t>
      </w:r>
      <w:r>
        <w:rPr>
          <w:color w:val="0000FF"/>
          <w:spacing w:val="-2"/>
        </w:rPr>
        <w:t>（</w:t>
      </w:r>
      <w:r>
        <w:rPr>
          <w:rFonts w:ascii="Times New Roman" w:eastAsia="Times New Roman"/>
          <w:color w:val="0000FF"/>
          <w:spacing w:val="-2"/>
        </w:rPr>
        <w:t>GB7959-2012</w:t>
      </w:r>
      <w:r>
        <w:rPr>
          <w:color w:val="0000FF"/>
          <w:spacing w:val="-2"/>
        </w:rPr>
        <w:t>）</w:t>
      </w:r>
      <w:r>
        <w:rPr>
          <w:color w:val="0000FF"/>
        </w:rPr>
        <w:t>的要求，禁止未经处理的畜禽粪便直接施入农田。</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577" w:firstLine="480"/>
        <w:jc w:val="both"/>
        <w:textAlignment w:val="auto"/>
        <w:rPr>
          <w:color w:val="0000FF"/>
        </w:rPr>
      </w:pPr>
      <w:r>
        <w:rPr>
          <w:color w:val="0000FF"/>
          <w:spacing w:val="-9"/>
        </w:rPr>
        <w:t>项目采用干清粪工艺，粪便通过固液分离后，固体粪便排往堆肥厂堆肥处理</w:t>
      </w:r>
      <w:r>
        <w:rPr>
          <w:color w:val="0000FF"/>
        </w:rPr>
        <w:t>后施肥于周边农田。</w:t>
      </w:r>
    </w:p>
    <w:p>
      <w:pPr>
        <w:pStyle w:val="7"/>
        <w:keepNext w:val="0"/>
        <w:keepLines w:val="0"/>
        <w:pageBreakBefore w:val="0"/>
        <w:widowControl w:val="0"/>
        <w:kinsoku/>
        <w:wordWrap/>
        <w:overflowPunct/>
        <w:topLinePunct w:val="0"/>
        <w:autoSpaceDE w:val="0"/>
        <w:autoSpaceDN w:val="0"/>
        <w:bidi w:val="0"/>
        <w:adjustRightInd/>
        <w:snapToGrid/>
        <w:spacing w:before="20" w:line="360" w:lineRule="auto"/>
        <w:ind w:left="220" w:leftChars="100" w:right="577" w:firstLine="480"/>
        <w:jc w:val="both"/>
        <w:textAlignment w:val="auto"/>
        <w:rPr>
          <w:color w:val="0000FF"/>
        </w:rPr>
      </w:pPr>
      <w:r>
        <w:rPr>
          <w:color w:val="0000FF"/>
          <w:spacing w:val="-9"/>
        </w:rPr>
        <w:t>堆肥厂必须具有围堰、防雨、防渗、防臭等规范化的工程措施，环评建议堆</w:t>
      </w:r>
      <w:r>
        <w:rPr>
          <w:color w:val="0000FF"/>
        </w:rPr>
        <w:t>肥场设置于室内，减少臭气无组织排放。</w:t>
      </w:r>
    </w:p>
    <w:p>
      <w:pPr>
        <w:pStyle w:val="7"/>
        <w:spacing w:line="307" w:lineRule="exact"/>
        <w:ind w:left="1020"/>
        <w:rPr>
          <w:color w:val="0000FF"/>
        </w:rPr>
      </w:pPr>
      <w:r>
        <w:rPr>
          <w:color w:val="0000FF"/>
        </w:rPr>
        <w:t>本项目堆肥工艺如下：</w:t>
      </w:r>
    </w:p>
    <w:p>
      <w:pPr>
        <w:pStyle w:val="7"/>
        <w:spacing w:before="143" w:line="360" w:lineRule="auto"/>
        <w:ind w:right="575" w:firstLine="480"/>
        <w:rPr>
          <w:color w:val="0000FF"/>
        </w:rPr>
      </w:pPr>
      <w:r>
        <w:rPr>
          <w:color w:val="0000FF"/>
        </w:rPr>
        <w:t>根据《畜禽养殖业污染防治技术规范》（</w:t>
      </w:r>
      <w:r>
        <w:rPr>
          <w:rFonts w:ascii="Times New Roman" w:eastAsia="Times New Roman"/>
          <w:color w:val="0000FF"/>
        </w:rPr>
        <w:t>HJ/T81-2001</w:t>
      </w:r>
      <w:r>
        <w:rPr>
          <w:color w:val="0000FF"/>
        </w:rPr>
        <w:t>），用于直接还田的</w:t>
      </w:r>
      <w:r>
        <w:rPr>
          <w:color w:val="0000FF"/>
          <w:spacing w:val="8"/>
        </w:rPr>
        <w:t>畜禽粪便必须进行无害化处理，参照《农业固体废物污染控制技术导则》</w:t>
      </w:r>
    </w:p>
    <w:p>
      <w:pPr>
        <w:pStyle w:val="7"/>
        <w:spacing w:line="307" w:lineRule="exact"/>
        <w:rPr>
          <w:color w:val="0000FF"/>
        </w:rPr>
      </w:pPr>
      <w:r>
        <w:rPr>
          <w:color w:val="0000FF"/>
        </w:rPr>
        <w:t>（</w:t>
      </w:r>
      <w:r>
        <w:rPr>
          <w:rFonts w:ascii="Times New Roman" w:eastAsia="Times New Roman"/>
          <w:color w:val="0000FF"/>
        </w:rPr>
        <w:t>HJ588-2010</w:t>
      </w:r>
      <w:r>
        <w:rPr>
          <w:color w:val="0000FF"/>
        </w:rPr>
        <w:t>）</w:t>
      </w:r>
      <w:r>
        <w:rPr>
          <w:color w:val="0000FF"/>
          <w:spacing w:val="14"/>
        </w:rPr>
        <w:t>中畜禽粪便的处理方法，达到《粪便无害化卫生要求》</w:t>
      </w:r>
    </w:p>
    <w:p>
      <w:pPr>
        <w:pStyle w:val="7"/>
        <w:spacing w:before="151"/>
        <w:rPr>
          <w:color w:val="0000FF"/>
        </w:rPr>
      </w:pPr>
      <w:r>
        <w:rPr>
          <w:color w:val="0000FF"/>
        </w:rPr>
        <w:t>（</w:t>
      </w:r>
      <w:r>
        <w:rPr>
          <w:rFonts w:ascii="Times New Roman" w:eastAsia="Times New Roman"/>
          <w:color w:val="0000FF"/>
        </w:rPr>
        <w:t>GB7959-2012</w:t>
      </w:r>
      <w:r>
        <w:rPr>
          <w:color w:val="0000FF"/>
        </w:rPr>
        <w:t>）中畜禽养殖业废渣无害化处置技术要求后还田利用。</w:t>
      </w:r>
    </w:p>
    <w:p>
      <w:pPr>
        <w:pStyle w:val="17"/>
        <w:numPr>
          <w:ilvl w:val="0"/>
          <w:numId w:val="21"/>
        </w:numPr>
        <w:tabs>
          <w:tab w:val="left" w:pos="1621"/>
        </w:tabs>
        <w:spacing w:before="153" w:after="0" w:line="240" w:lineRule="auto"/>
        <w:ind w:left="1621" w:right="0" w:hanging="601"/>
        <w:jc w:val="left"/>
        <w:rPr>
          <w:sz w:val="24"/>
        </w:rPr>
      </w:pPr>
      <w:r>
        <w:rPr>
          <w:sz w:val="24"/>
        </w:rPr>
        <w:t>概述</w:t>
      </w:r>
    </w:p>
    <w:p>
      <w:pPr>
        <w:pStyle w:val="7"/>
        <w:spacing w:before="154" w:line="357" w:lineRule="auto"/>
        <w:ind w:right="577" w:firstLine="480"/>
      </w:pPr>
      <w:r>
        <w:rPr>
          <w:spacing w:val="-12"/>
        </w:rPr>
        <w:t>堆肥：指将畜禽粪便等有机固体废物集中堆放并在微生物作用下使有机物发</w:t>
      </w:r>
      <w:r>
        <w:t>生生物降解，形成一种类似腐殖质土壤的物质过程。</w:t>
      </w:r>
    </w:p>
    <w:p>
      <w:pPr>
        <w:pStyle w:val="7"/>
        <w:spacing w:before="2" w:line="360" w:lineRule="auto"/>
        <w:ind w:right="485" w:firstLine="480"/>
      </w:pPr>
      <w:r>
        <w:t>腐熟度指堆肥过程中的有机质经过矿化、腐殖化过程最后达到稳定的程度，是反映堆肥化过程中稳定化程度的指标。</w:t>
      </w:r>
    </w:p>
    <w:p>
      <w:pPr>
        <w:pStyle w:val="7"/>
        <w:spacing w:line="360" w:lineRule="auto"/>
        <w:ind w:right="577" w:firstLine="480"/>
      </w:pPr>
      <w:r>
        <w:rPr>
          <w:spacing w:val="-8"/>
        </w:rPr>
        <w:t>无害化处理指利用高温、好氧或厌氧等工艺杀灭畜禽粪污中病原菌、寄生虫</w:t>
      </w:r>
      <w:r>
        <w:t>和杂草种子的过程。</w:t>
      </w:r>
    </w:p>
    <w:p>
      <w:pPr>
        <w:pStyle w:val="7"/>
        <w:spacing w:line="307" w:lineRule="exact"/>
        <w:ind w:left="1020"/>
      </w:pPr>
      <w:r>
        <w:t>本项目采用好氧堆肥技术进行无害化处理，即在充分供氧的条件下，利用好</w:t>
      </w:r>
    </w:p>
    <w:p>
      <w:pPr>
        <w:pStyle w:val="7"/>
        <w:spacing w:before="9"/>
        <w:ind w:left="0"/>
        <w:rPr>
          <w:sz w:val="9"/>
        </w:rPr>
      </w:pPr>
    </w:p>
    <w:p>
      <w:pPr>
        <w:pStyle w:val="7"/>
        <w:spacing w:before="66"/>
      </w:pPr>
      <w:r>
        <w:t>氧微生物对废物进行堆肥的方法。</w:t>
      </w:r>
    </w:p>
    <w:p>
      <w:pPr>
        <w:pStyle w:val="7"/>
        <w:spacing w:before="154" w:line="357" w:lineRule="auto"/>
        <w:ind w:right="577" w:firstLine="480"/>
        <w:jc w:val="both"/>
      </w:pPr>
      <w:r>
        <w:rPr>
          <w:spacing w:val="-7"/>
        </w:rPr>
        <w:t>堆肥发酵过程通常包括前处理、好氧发酵、后处理和贮存等环节。发酵前需</w:t>
      </w:r>
      <w:r>
        <w:rPr>
          <w:spacing w:val="-9"/>
        </w:rPr>
        <w:t>与发酵菌剂、秸秆混合，同时调节水分、碳氮比等指标，发酵过程中不断进行翻</w:t>
      </w:r>
      <w:r>
        <w:t>堆，从而促使其腐熟。</w:t>
      </w:r>
    </w:p>
    <w:p>
      <w:pPr>
        <w:pStyle w:val="17"/>
        <w:numPr>
          <w:ilvl w:val="0"/>
          <w:numId w:val="21"/>
        </w:numPr>
        <w:tabs>
          <w:tab w:val="left" w:pos="1625"/>
        </w:tabs>
        <w:spacing w:before="5" w:after="0" w:line="360" w:lineRule="auto"/>
        <w:ind w:left="540" w:right="577" w:firstLine="480"/>
        <w:jc w:val="left"/>
        <w:rPr>
          <w:sz w:val="24"/>
        </w:rPr>
      </w:pPr>
      <w:r>
        <w:rPr>
          <w:sz w:val="24"/>
        </w:rPr>
        <w:t>根据《畜禽养殖业污染治理工程技术规范》（</w:t>
      </w:r>
      <w:r>
        <w:rPr>
          <w:rFonts w:ascii="Times New Roman" w:eastAsia="Times New Roman"/>
          <w:sz w:val="24"/>
        </w:rPr>
        <w:t>HJ497-2009</w:t>
      </w:r>
      <w:r>
        <w:rPr>
          <w:sz w:val="24"/>
        </w:rPr>
        <w:t>），堆肥厂地的设计满足下列规定：</w:t>
      </w:r>
    </w:p>
    <w:p>
      <w:pPr>
        <w:pStyle w:val="7"/>
        <w:spacing w:line="304" w:lineRule="exact"/>
        <w:ind w:left="1020"/>
      </w:pPr>
      <w:r>
        <w:t>①堆肥厂地一般应由粪便储存池、堆肥厂地以及成品堆肥存放场地组成。</w:t>
      </w:r>
    </w:p>
    <w:p>
      <w:pPr>
        <w:pStyle w:val="7"/>
        <w:spacing w:before="154" w:line="360" w:lineRule="auto"/>
        <w:ind w:right="523" w:firstLine="480"/>
      </w:pPr>
      <w:r>
        <w:t>②采用间歇式堆肥处理时，粪便储存池的有效体积应按照至少能容纳</w:t>
      </w:r>
      <w:r>
        <w:rPr>
          <w:rFonts w:ascii="Times New Roman" w:hAnsi="Times New Roman" w:eastAsia="Times New Roman"/>
        </w:rPr>
        <w:t>6</w:t>
      </w:r>
      <w:r>
        <w:t>个月粪便产生量计算。</w:t>
      </w:r>
    </w:p>
    <w:p>
      <w:pPr>
        <w:pStyle w:val="7"/>
        <w:spacing w:line="304" w:lineRule="exact"/>
        <w:ind w:left="1020"/>
      </w:pPr>
      <w:r>
        <w:t>③应采取防渗措施，不得对地下水造成污染。</w:t>
      </w:r>
    </w:p>
    <w:p>
      <w:pPr>
        <w:pStyle w:val="7"/>
        <w:spacing w:before="153"/>
        <w:ind w:left="1020"/>
      </w:pPr>
      <w:r>
        <w:t>④应配置防雨淋设施和雨水排水系统。</w:t>
      </w:r>
    </w:p>
    <w:p>
      <w:pPr>
        <w:pStyle w:val="17"/>
        <w:numPr>
          <w:ilvl w:val="0"/>
          <w:numId w:val="21"/>
        </w:numPr>
        <w:tabs>
          <w:tab w:val="left" w:pos="1621"/>
        </w:tabs>
        <w:spacing w:before="153" w:after="0" w:line="240" w:lineRule="auto"/>
        <w:ind w:left="1621" w:right="0" w:hanging="601"/>
        <w:jc w:val="left"/>
        <w:rPr>
          <w:sz w:val="24"/>
        </w:rPr>
      </w:pPr>
      <w:r>
        <w:rPr>
          <w:sz w:val="24"/>
        </w:rPr>
        <w:t>堆肥工序</w:t>
      </w:r>
    </w:p>
    <w:p>
      <w:pPr>
        <w:pStyle w:val="7"/>
        <w:spacing w:before="151"/>
        <w:ind w:left="1020"/>
      </w:pPr>
      <w:r>
        <w:t>好氧堆肥由预处理、发酵、后处理、贮存等工序组成。</w:t>
      </w:r>
    </w:p>
    <w:p>
      <w:pPr>
        <w:pStyle w:val="7"/>
        <w:spacing w:before="153" w:line="360" w:lineRule="auto"/>
        <w:ind w:right="577" w:firstLine="480"/>
      </w:pPr>
      <w:r>
        <w:rPr>
          <w:spacing w:val="-5"/>
        </w:rPr>
        <w:t>预处理和后处理过程中分选出的石头等杂物应进行妥善处理。畜禽粪便经过</w:t>
      </w:r>
      <w:r>
        <w:t>预处理调整水分和碳氮比（</w:t>
      </w:r>
      <w:r>
        <w:rPr>
          <w:rFonts w:ascii="Times New Roman" w:eastAsia="Times New Roman"/>
        </w:rPr>
        <w:t>C/N</w:t>
      </w:r>
      <w:r>
        <w:t>），应符合下列要求：</w:t>
      </w:r>
    </w:p>
    <w:p>
      <w:pPr>
        <w:pStyle w:val="7"/>
        <w:spacing w:line="304" w:lineRule="exact"/>
        <w:ind w:left="1020"/>
      </w:pPr>
      <w:r>
        <w:t>①堆肥粪便的起始含水率应为</w:t>
      </w:r>
      <w:r>
        <w:rPr>
          <w:rFonts w:ascii="Times New Roman" w:hAnsi="Times New Roman" w:eastAsia="Times New Roman"/>
        </w:rPr>
        <w:t>40%</w:t>
      </w:r>
      <w:r>
        <w:t>～</w:t>
      </w:r>
      <w:r>
        <w:rPr>
          <w:rFonts w:ascii="Times New Roman" w:hAnsi="Times New Roman" w:eastAsia="Times New Roman"/>
        </w:rPr>
        <w:t>60%</w:t>
      </w:r>
      <w:r>
        <w:t>；</w:t>
      </w:r>
    </w:p>
    <w:p>
      <w:pPr>
        <w:pStyle w:val="7"/>
        <w:spacing w:before="154" w:line="360" w:lineRule="auto"/>
        <w:ind w:right="575" w:firstLine="480"/>
      </w:pPr>
      <w:r>
        <w:t>②碳氮比应为</w:t>
      </w:r>
      <w:r>
        <w:rPr>
          <w:rFonts w:ascii="Times New Roman" w:hAnsi="Times New Roman" w:eastAsia="Times New Roman"/>
        </w:rPr>
        <w:t>20:1</w:t>
      </w:r>
      <w:r>
        <w:t>～</w:t>
      </w:r>
      <w:r>
        <w:rPr>
          <w:rFonts w:ascii="Times New Roman" w:hAnsi="Times New Roman" w:eastAsia="Times New Roman"/>
        </w:rPr>
        <w:t>30:1</w:t>
      </w:r>
      <w:r>
        <w:t>，可通过添加植物秸秆、稻壳等物料进行调节，必要时添加菌剂和酶制剂；</w:t>
      </w:r>
    </w:p>
    <w:p>
      <w:pPr>
        <w:pStyle w:val="7"/>
        <w:spacing w:line="360" w:lineRule="auto"/>
        <w:ind w:left="1020" w:right="4211"/>
      </w:pPr>
      <w:r>
        <w:t>③堆肥粪便的</w:t>
      </w:r>
      <w:r>
        <w:rPr>
          <w:rFonts w:ascii="Times New Roman" w:hAnsi="Times New Roman" w:eastAsia="Times New Roman"/>
        </w:rPr>
        <w:t>pH</w:t>
      </w:r>
      <w:r>
        <w:rPr>
          <w:spacing w:val="-12"/>
        </w:rPr>
        <w:t>应控制在</w:t>
      </w:r>
      <w:r>
        <w:rPr>
          <w:rFonts w:ascii="Times New Roman" w:hAnsi="Times New Roman" w:eastAsia="Times New Roman"/>
        </w:rPr>
        <w:t>6.5</w:t>
      </w:r>
      <w:r>
        <w:t>～</w:t>
      </w:r>
      <w:r>
        <w:rPr>
          <w:rFonts w:ascii="Times New Roman" w:hAnsi="Times New Roman" w:eastAsia="Times New Roman"/>
        </w:rPr>
        <w:t>8.5</w:t>
      </w:r>
      <w:r>
        <w:rPr>
          <w:spacing w:val="-18"/>
        </w:rPr>
        <w:t>。</w:t>
      </w:r>
      <w:r>
        <w:t>好氧发酵过程应符合下列要求：</w:t>
      </w:r>
    </w:p>
    <w:p>
      <w:pPr>
        <w:pStyle w:val="7"/>
        <w:spacing w:line="357" w:lineRule="auto"/>
        <w:ind w:right="577" w:firstLine="480"/>
      </w:pPr>
      <w:r>
        <w:rPr>
          <w:spacing w:val="-5"/>
        </w:rPr>
        <w:t>①发酵过程温度控制在</w:t>
      </w:r>
      <w:r>
        <w:rPr>
          <w:rFonts w:ascii="Times New Roman" w:hAnsi="Times New Roman" w:eastAsia="Times New Roman"/>
          <w:spacing w:val="-3"/>
        </w:rPr>
        <w:t>55</w:t>
      </w:r>
      <w:r>
        <w:rPr>
          <w:spacing w:val="-3"/>
        </w:rPr>
        <w:t>～</w:t>
      </w:r>
      <w:r>
        <w:rPr>
          <w:rFonts w:ascii="Times New Roman" w:hAnsi="Times New Roman" w:eastAsia="Times New Roman"/>
          <w:spacing w:val="-3"/>
        </w:rPr>
        <w:t>65</w:t>
      </w:r>
      <w:r>
        <w:rPr>
          <w:spacing w:val="-7"/>
        </w:rPr>
        <w:t>℃，且持续时间不得少于</w:t>
      </w:r>
      <w:r>
        <w:rPr>
          <w:rFonts w:ascii="Times New Roman" w:hAnsi="Times New Roman" w:eastAsia="Times New Roman"/>
        </w:rPr>
        <w:t>5</w:t>
      </w:r>
      <w:r>
        <w:rPr>
          <w:spacing w:val="-6"/>
        </w:rPr>
        <w:t>天，最高温度不</w:t>
      </w:r>
      <w:r>
        <w:rPr>
          <w:spacing w:val="-15"/>
        </w:rPr>
        <w:t>宜超过</w:t>
      </w:r>
      <w:r>
        <w:rPr>
          <w:rFonts w:ascii="Times New Roman" w:hAnsi="Times New Roman" w:eastAsia="Times New Roman"/>
        </w:rPr>
        <w:t>75</w:t>
      </w:r>
      <w:r>
        <w:t>℃；</w:t>
      </w:r>
    </w:p>
    <w:p>
      <w:pPr>
        <w:pStyle w:val="7"/>
        <w:spacing w:line="360" w:lineRule="auto"/>
        <w:ind w:right="580" w:firstLine="480"/>
      </w:pPr>
      <w:r>
        <w:t>②堆肥时间应根据碳氮比、湿度、天气条件、堆肥工艺类型及废物和添加剂种类确定；</w:t>
      </w:r>
    </w:p>
    <w:p>
      <w:pPr>
        <w:pStyle w:val="7"/>
        <w:spacing w:line="304" w:lineRule="exact"/>
        <w:ind w:left="1020"/>
      </w:pPr>
      <w:r>
        <w:t>③堆肥各点的氧气浓度不应低于</w:t>
      </w:r>
      <w:r>
        <w:rPr>
          <w:rFonts w:ascii="Times New Roman" w:hAnsi="Times New Roman" w:eastAsia="Times New Roman"/>
        </w:rPr>
        <w:t>10%</w:t>
      </w:r>
      <w:r>
        <w:t>；</w:t>
      </w:r>
    </w:p>
    <w:p>
      <w:pPr>
        <w:pStyle w:val="7"/>
        <w:spacing w:before="152" w:line="360" w:lineRule="auto"/>
        <w:ind w:right="580" w:firstLine="480"/>
      </w:pPr>
      <w:r>
        <w:t>④可适时采用翻堆方式自然通风或设有其它机械通风装置换气，以调节堆肥物料的氧气浓度和温度。</w:t>
      </w:r>
    </w:p>
    <w:p>
      <w:pPr>
        <w:pStyle w:val="7"/>
        <w:spacing w:line="304" w:lineRule="exact"/>
        <w:ind w:left="1020"/>
      </w:pPr>
      <w:r>
        <w:t>发酵结束时，应符合下列要求：</w:t>
      </w:r>
    </w:p>
    <w:p>
      <w:pPr>
        <w:pStyle w:val="7"/>
        <w:spacing w:before="153"/>
        <w:ind w:left="1020"/>
      </w:pPr>
      <w:r>
        <w:t>①碳氮比不大于</w:t>
      </w:r>
      <w:r>
        <w:rPr>
          <w:rFonts w:ascii="Times New Roman" w:hAnsi="Times New Roman" w:eastAsia="Times New Roman"/>
        </w:rPr>
        <w:t>20:1</w:t>
      </w:r>
      <w:r>
        <w:t>；</w:t>
      </w:r>
    </w:p>
    <w:p>
      <w:pPr>
        <w:pStyle w:val="7"/>
        <w:spacing w:before="9"/>
        <w:ind w:left="0" w:firstLine="960" w:firstLineChars="400"/>
        <w:rPr>
          <w:sz w:val="9"/>
        </w:rPr>
      </w:pPr>
      <w:r>
        <w:t>②含水率为</w:t>
      </w:r>
      <w:r>
        <w:rPr>
          <w:rFonts w:ascii="Times New Roman" w:hAnsi="Times New Roman" w:eastAsia="Times New Roman"/>
        </w:rPr>
        <w:t>20%</w:t>
      </w:r>
      <w:r>
        <w:t>～</w:t>
      </w:r>
      <w:r>
        <w:rPr>
          <w:rFonts w:ascii="Times New Roman" w:hAnsi="Times New Roman" w:eastAsia="Times New Roman"/>
        </w:rPr>
        <w:t>35%</w:t>
      </w:r>
      <w:r>
        <w:t>；</w:t>
      </w:r>
    </w:p>
    <w:p>
      <w:pPr>
        <w:pStyle w:val="7"/>
        <w:spacing w:before="66"/>
        <w:ind w:left="1020"/>
      </w:pPr>
      <w:r>
        <w:t>③堆肥应符合无害化卫生要求的规定；</w:t>
      </w:r>
    </w:p>
    <w:p>
      <w:pPr>
        <w:pStyle w:val="7"/>
        <w:spacing w:before="154"/>
        <w:ind w:left="1020"/>
      </w:pPr>
      <w:r>
        <w:t>④耗氧速率趋于稳定；</w:t>
      </w:r>
    </w:p>
    <w:p>
      <w:pPr>
        <w:pStyle w:val="7"/>
        <w:spacing w:before="153"/>
        <w:ind w:left="1020"/>
      </w:pPr>
      <w:r>
        <w:t>⑤腐熟度应大于等于Ⅳ级。</w:t>
      </w:r>
    </w:p>
    <w:p>
      <w:pPr>
        <w:pStyle w:val="7"/>
        <w:spacing w:before="151" w:line="360" w:lineRule="auto"/>
        <w:ind w:right="575" w:firstLine="480"/>
      </w:pPr>
      <w:r>
        <w:rPr>
          <w:spacing w:val="-7"/>
        </w:rPr>
        <w:t>发酵完毕后应进行后处理，确保堆肥制品质量合格。后处理包括再干燥、破</w:t>
      </w:r>
      <w:r>
        <w:t>碎、造粒、过筛、包装至成品等工序。</w:t>
      </w:r>
    </w:p>
    <w:p>
      <w:pPr>
        <w:pStyle w:val="17"/>
        <w:numPr>
          <w:ilvl w:val="0"/>
          <w:numId w:val="21"/>
        </w:numPr>
        <w:tabs>
          <w:tab w:val="left" w:pos="1621"/>
        </w:tabs>
        <w:spacing w:before="0" w:after="0" w:line="307" w:lineRule="exact"/>
        <w:ind w:left="1621" w:right="0" w:hanging="601"/>
        <w:jc w:val="left"/>
        <w:rPr>
          <w:sz w:val="24"/>
        </w:rPr>
      </w:pPr>
      <w:r>
        <w:rPr>
          <w:sz w:val="24"/>
        </w:rPr>
        <w:t>堆肥制品应符合下列要求</w:t>
      </w:r>
    </w:p>
    <w:p>
      <w:pPr>
        <w:pStyle w:val="7"/>
        <w:spacing w:before="151"/>
        <w:ind w:left="1020"/>
      </w:pPr>
      <w:r>
        <w:t>①堆肥产品存放时，含水率应不高于</w:t>
      </w:r>
      <w:r>
        <w:rPr>
          <w:rFonts w:ascii="Times New Roman" w:hAnsi="Times New Roman" w:eastAsia="Times New Roman"/>
        </w:rPr>
        <w:t>30%</w:t>
      </w:r>
      <w:r>
        <w:t>，袋装堆肥含水率应不高于</w:t>
      </w:r>
      <w:r>
        <w:rPr>
          <w:rFonts w:ascii="Times New Roman" w:hAnsi="Times New Roman" w:eastAsia="Times New Roman"/>
        </w:rPr>
        <w:t>20%</w:t>
      </w:r>
      <w:r>
        <w:t>；</w:t>
      </w:r>
    </w:p>
    <w:p>
      <w:pPr>
        <w:pStyle w:val="7"/>
        <w:spacing w:before="153"/>
        <w:ind w:left="1020"/>
      </w:pPr>
      <w:r>
        <w:t>②堆肥产品的含盐量应在</w:t>
      </w:r>
      <w:r>
        <w:rPr>
          <w:rFonts w:ascii="Times New Roman" w:hAnsi="Times New Roman" w:eastAsia="Times New Roman"/>
        </w:rPr>
        <w:t>1%</w:t>
      </w:r>
      <w:r>
        <w:t>～</w:t>
      </w:r>
      <w:r>
        <w:rPr>
          <w:rFonts w:ascii="Times New Roman" w:hAnsi="Times New Roman" w:eastAsia="Times New Roman"/>
        </w:rPr>
        <w:t>2%</w:t>
      </w:r>
      <w:r>
        <w:t>；</w:t>
      </w:r>
    </w:p>
    <w:p>
      <w:pPr>
        <w:pStyle w:val="7"/>
        <w:spacing w:before="153" w:after="10" w:line="357" w:lineRule="auto"/>
        <w:ind w:left="1020" w:right="457"/>
      </w:pPr>
      <w:r>
        <w:rPr>
          <w:spacing w:val="-7"/>
        </w:rPr>
        <w:t>③成品堆肥外观应为茶褐色或黑褐色，无恶臭，质地松散，具有泥土气味。</w:t>
      </w:r>
      <w:r>
        <w:rPr>
          <w:spacing w:val="-4"/>
        </w:rPr>
        <w:t>本项目堆肥工艺流程及产污环节如下图</w:t>
      </w:r>
      <w:r>
        <w:rPr>
          <w:rFonts w:ascii="Times New Roman" w:hAnsi="Times New Roman" w:eastAsia="Times New Roman"/>
        </w:rPr>
        <w:t>3.1-7</w:t>
      </w:r>
      <w:r>
        <w:t>。</w:t>
      </w:r>
    </w:p>
    <w:p>
      <w:pPr>
        <w:pStyle w:val="7"/>
        <w:ind w:left="1202"/>
        <w:rPr>
          <w:sz w:val="20"/>
        </w:rPr>
      </w:pPr>
      <w:r>
        <w:drawing>
          <wp:inline distT="0" distB="0" distL="114300" distR="114300">
            <wp:extent cx="4509135" cy="4658995"/>
            <wp:effectExtent l="0" t="0" r="57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4509135" cy="4658995"/>
                    </a:xfrm>
                    <a:prstGeom prst="rect">
                      <a:avLst/>
                    </a:prstGeom>
                    <a:noFill/>
                    <a:ln>
                      <a:noFill/>
                    </a:ln>
                  </pic:spPr>
                </pic:pic>
              </a:graphicData>
            </a:graphic>
          </wp:inline>
        </w:drawing>
      </w:r>
    </w:p>
    <w:p>
      <w:pPr>
        <w:pStyle w:val="7"/>
        <w:spacing w:before="6"/>
        <w:ind w:left="0"/>
        <w:rPr>
          <w:sz w:val="10"/>
        </w:rPr>
      </w:pPr>
    </w:p>
    <w:p>
      <w:pPr>
        <w:tabs>
          <w:tab w:val="left" w:pos="4132"/>
        </w:tabs>
        <w:spacing w:before="74" w:line="364" w:lineRule="auto"/>
        <w:ind w:left="1020" w:right="2641" w:firstLine="1593"/>
        <w:jc w:val="left"/>
        <w:rPr>
          <w:sz w:val="24"/>
        </w:rPr>
      </w:pPr>
      <w:r>
        <w:rPr>
          <w:b/>
          <w:sz w:val="24"/>
        </w:rPr>
        <w:t>图</w:t>
      </w:r>
      <w:r>
        <w:rPr>
          <w:rFonts w:ascii="Times New Roman" w:eastAsia="Times New Roman"/>
          <w:b/>
          <w:sz w:val="24"/>
        </w:rPr>
        <w:t>3.1-7</w:t>
      </w:r>
      <w:r>
        <w:rPr>
          <w:rFonts w:ascii="Times New Roman" w:eastAsia="Times New Roman"/>
          <w:b/>
          <w:sz w:val="24"/>
        </w:rPr>
        <w:tab/>
      </w:r>
      <w:r>
        <w:rPr>
          <w:b/>
          <w:sz w:val="24"/>
        </w:rPr>
        <w:t>堆肥工艺流程及产污环</w:t>
      </w:r>
      <w:r>
        <w:rPr>
          <w:b/>
          <w:spacing w:val="-15"/>
          <w:sz w:val="24"/>
        </w:rPr>
        <w:t>节</w:t>
      </w:r>
      <w:r>
        <w:rPr>
          <w:sz w:val="24"/>
        </w:rPr>
        <w:t>工艺流程简述：</w:t>
      </w:r>
    </w:p>
    <w:p>
      <w:pPr>
        <w:pStyle w:val="7"/>
        <w:spacing w:before="2"/>
        <w:ind w:left="1020"/>
      </w:pPr>
      <w:r>
        <w:t>粪污、垫料弃物、粗饲料废弃物经过堆沤发酵，施肥还田。</w:t>
      </w:r>
    </w:p>
    <w:p>
      <w:pPr>
        <w:pStyle w:val="7"/>
        <w:spacing w:before="160"/>
        <w:ind w:left="1020"/>
      </w:pPr>
      <w:r>
        <w:t>采用好氧发酵工艺，工艺流程分为预处理、发酵、腐熟三个阶段。其中发酵</w:t>
      </w:r>
    </w:p>
    <w:p>
      <w:pPr>
        <w:pStyle w:val="7"/>
        <w:spacing w:before="143"/>
      </w:pPr>
      <w:r>
        <w:t>阶段包括除臭工艺。</w:t>
      </w:r>
    </w:p>
    <w:p>
      <w:pPr>
        <w:pStyle w:val="7"/>
        <w:spacing w:before="160" w:line="364" w:lineRule="auto"/>
        <w:ind w:right="577" w:firstLine="480"/>
      </w:pPr>
      <w:r>
        <w:rPr>
          <w:spacing w:val="-6"/>
        </w:rPr>
        <w:t>预处理：发酵主料</w:t>
      </w:r>
      <w:r>
        <w:t>（粪</w:t>
      </w:r>
      <w:r>
        <w:rPr>
          <w:spacing w:val="-17"/>
        </w:rPr>
        <w:t>）</w:t>
      </w:r>
      <w:r>
        <w:rPr>
          <w:spacing w:val="-5"/>
        </w:rPr>
        <w:t>和辅料</w:t>
      </w:r>
      <w:r>
        <w:t>（</w:t>
      </w:r>
      <w:r>
        <w:rPr>
          <w:spacing w:val="-3"/>
        </w:rPr>
        <w:t>粗饲料废弃物、废弃垫料</w:t>
      </w:r>
      <w:r>
        <w:rPr>
          <w:spacing w:val="-17"/>
        </w:rPr>
        <w:t>）</w:t>
      </w:r>
      <w:r>
        <w:rPr>
          <w:spacing w:val="-3"/>
        </w:rPr>
        <w:t>按一定的比例</w:t>
      </w:r>
      <w:r>
        <w:t>混合均匀，秸秆类辅料需先经刈割处理。</w:t>
      </w:r>
    </w:p>
    <w:p>
      <w:pPr>
        <w:pStyle w:val="7"/>
        <w:spacing w:before="1" w:line="364" w:lineRule="auto"/>
        <w:ind w:right="457" w:firstLine="480"/>
      </w:pPr>
      <w:r>
        <w:rPr>
          <w:spacing w:val="-16"/>
        </w:rPr>
        <w:t>发酵：堆肥操作时，利用铲车将混合好的物料端入发酵场地内进行好氧发酵，</w:t>
      </w:r>
      <w:r>
        <w:t>发酵周期完成后，制成堆肥。</w:t>
      </w:r>
    </w:p>
    <w:p>
      <w:pPr>
        <w:pStyle w:val="7"/>
        <w:spacing w:before="2" w:line="364" w:lineRule="auto"/>
        <w:ind w:right="577" w:firstLine="480"/>
      </w:pPr>
      <w:r>
        <w:rPr>
          <w:spacing w:val="-12"/>
        </w:rPr>
        <w:t>腐熟：经过发酵完成的物料根据需要一段时间进一步腐熟后的产品可以销售</w:t>
      </w:r>
      <w:r>
        <w:t>或者施肥还田。</w:t>
      </w:r>
    </w:p>
    <w:p>
      <w:pPr>
        <w:pStyle w:val="7"/>
        <w:spacing w:before="1" w:line="364" w:lineRule="auto"/>
        <w:ind w:right="577" w:firstLine="480"/>
      </w:pPr>
      <w:r>
        <w:rPr>
          <w:spacing w:val="2"/>
        </w:rPr>
        <w:t>本项目羊舍粪便采用人工干清粪，清理的干鲜粪集中在堆肥厂暂存发酵处</w:t>
      </w:r>
      <w:r>
        <w:rPr>
          <w:spacing w:val="-10"/>
        </w:rPr>
        <w:t>置，远期依托场区后期待建的有机肥厂制成商品有机肥出售。堆肥厂设计应满足</w:t>
      </w:r>
    </w:p>
    <w:p>
      <w:pPr>
        <w:pStyle w:val="7"/>
        <w:spacing w:before="1" w:line="364" w:lineRule="auto"/>
        <w:ind w:right="577"/>
      </w:pPr>
      <w:r>
        <w:rPr>
          <w:spacing w:val="-6"/>
        </w:rPr>
        <w:t>《畜禽养殖业污染治理工程技术规范》有关规定要求，强化防渗漏、防溢流、防</w:t>
      </w:r>
      <w:r>
        <w:t>臭措施。</w:t>
      </w:r>
    </w:p>
    <w:p>
      <w:pPr>
        <w:pStyle w:val="17"/>
        <w:numPr>
          <w:ilvl w:val="3"/>
          <w:numId w:val="18"/>
        </w:numPr>
        <w:tabs>
          <w:tab w:val="left" w:pos="1320"/>
        </w:tabs>
        <w:spacing w:before="11" w:after="0" w:line="240" w:lineRule="auto"/>
        <w:ind w:left="1320" w:right="0" w:hanging="780"/>
        <w:jc w:val="left"/>
        <w:rPr>
          <w:sz w:val="24"/>
        </w:rPr>
      </w:pPr>
      <w:bookmarkStart w:id="141" w:name="3.1.7.4 病死羊尸体无害化处理工艺"/>
      <w:bookmarkEnd w:id="141"/>
      <w:bookmarkStart w:id="142" w:name="3.1.7.4 病死羊尸体无害化处理工艺"/>
      <w:bookmarkEnd w:id="142"/>
      <w:r>
        <w:rPr>
          <w:sz w:val="24"/>
        </w:rPr>
        <w:t>病死羊尸体无害化处理工艺</w:t>
      </w:r>
    </w:p>
    <w:p>
      <w:pPr>
        <w:pStyle w:val="7"/>
        <w:spacing w:before="168"/>
        <w:ind w:left="1020"/>
      </w:pPr>
      <w:r>
        <w:t>本项目病死羊采用无害化处理，具体处理工艺流程见图</w:t>
      </w:r>
      <w:r>
        <w:rPr>
          <w:rFonts w:ascii="Times New Roman" w:eastAsia="Times New Roman"/>
        </w:rPr>
        <w:t>3.1-8</w:t>
      </w:r>
      <w:r>
        <w:t>。</w:t>
      </w:r>
    </w:p>
    <w:p>
      <w:pPr>
        <w:pStyle w:val="7"/>
        <w:spacing w:before="2"/>
        <w:ind w:left="0"/>
        <w:rPr>
          <w:sz w:val="11"/>
        </w:rPr>
      </w:pPr>
      <w:r>
        <mc:AlternateContent>
          <mc:Choice Requires="wpg">
            <w:drawing>
              <wp:anchor distT="0" distB="0" distL="114300" distR="114300" simplePos="0" relativeHeight="251732992" behindDoc="1" locked="0" layoutInCell="1" allowOverlap="1">
                <wp:simplePos x="0" y="0"/>
                <wp:positionH relativeFrom="page">
                  <wp:posOffset>1602105</wp:posOffset>
                </wp:positionH>
                <wp:positionV relativeFrom="paragraph">
                  <wp:posOffset>115570</wp:posOffset>
                </wp:positionV>
                <wp:extent cx="4085590" cy="3267075"/>
                <wp:effectExtent l="635" t="0" r="9525" b="9525"/>
                <wp:wrapTopAndBottom/>
                <wp:docPr id="152" name="组合 121"/>
                <wp:cNvGraphicFramePr/>
                <a:graphic xmlns:a="http://schemas.openxmlformats.org/drawingml/2006/main">
                  <a:graphicData uri="http://schemas.microsoft.com/office/word/2010/wordprocessingGroup">
                    <wpg:wgp>
                      <wpg:cNvGrpSpPr/>
                      <wpg:grpSpPr>
                        <a:xfrm>
                          <a:off x="0" y="0"/>
                          <a:ext cx="4085590" cy="3267075"/>
                          <a:chOff x="2524" y="182"/>
                          <a:chExt cx="6434" cy="5145"/>
                        </a:xfrm>
                      </wpg:grpSpPr>
                      <pic:pic xmlns:pic="http://schemas.openxmlformats.org/drawingml/2006/picture">
                        <pic:nvPicPr>
                          <pic:cNvPr id="142" name="图片 122"/>
                          <pic:cNvPicPr>
                            <a:picLocks noChangeAspect="1"/>
                          </pic:cNvPicPr>
                        </pic:nvPicPr>
                        <pic:blipFill>
                          <a:blip r:embed="rId37"/>
                          <a:stretch>
                            <a:fillRect/>
                          </a:stretch>
                        </pic:blipFill>
                        <pic:spPr>
                          <a:xfrm>
                            <a:off x="2523" y="182"/>
                            <a:ext cx="6434" cy="5145"/>
                          </a:xfrm>
                          <a:prstGeom prst="rect">
                            <a:avLst/>
                          </a:prstGeom>
                          <a:noFill/>
                          <a:ln>
                            <a:noFill/>
                          </a:ln>
                        </pic:spPr>
                      </pic:pic>
                      <wps:wsp>
                        <wps:cNvPr id="143" name="矩形 123"/>
                        <wps:cNvSpPr/>
                        <wps:spPr>
                          <a:xfrm>
                            <a:off x="5076" y="956"/>
                            <a:ext cx="1140" cy="437"/>
                          </a:xfrm>
                          <a:prstGeom prst="rect">
                            <a:avLst/>
                          </a:prstGeom>
                          <a:solidFill>
                            <a:srgbClr val="FFFFFF"/>
                          </a:solidFill>
                          <a:ln>
                            <a:noFill/>
                          </a:ln>
                        </wps:spPr>
                        <wps:bodyPr upright="1"/>
                      </wps:wsp>
                      <wps:wsp>
                        <wps:cNvPr id="144" name="任意多边形 124"/>
                        <wps:cNvSpPr/>
                        <wps:spPr>
                          <a:xfrm>
                            <a:off x="5069" y="950"/>
                            <a:ext cx="1152" cy="449"/>
                          </a:xfrm>
                          <a:custGeom>
                            <a:avLst/>
                            <a:gdLst/>
                            <a:ahLst/>
                            <a:cxnLst/>
                            <a:pathLst>
                              <a:path w="1152" h="449">
                                <a:moveTo>
                                  <a:pt x="1140" y="12"/>
                                </a:moveTo>
                                <a:lnTo>
                                  <a:pt x="1098" y="12"/>
                                </a:lnTo>
                                <a:lnTo>
                                  <a:pt x="1098" y="0"/>
                                </a:lnTo>
                                <a:lnTo>
                                  <a:pt x="1146" y="0"/>
                                </a:lnTo>
                                <a:lnTo>
                                  <a:pt x="1146" y="6"/>
                                </a:lnTo>
                                <a:lnTo>
                                  <a:pt x="1140" y="6"/>
                                </a:lnTo>
                                <a:lnTo>
                                  <a:pt x="1140" y="12"/>
                                </a:lnTo>
                                <a:close/>
                                <a:moveTo>
                                  <a:pt x="1152" y="52"/>
                                </a:moveTo>
                                <a:lnTo>
                                  <a:pt x="1140" y="52"/>
                                </a:lnTo>
                                <a:lnTo>
                                  <a:pt x="1140" y="6"/>
                                </a:lnTo>
                                <a:lnTo>
                                  <a:pt x="1146" y="6"/>
                                </a:lnTo>
                                <a:lnTo>
                                  <a:pt x="1146" y="12"/>
                                </a:lnTo>
                                <a:lnTo>
                                  <a:pt x="1152" y="12"/>
                                </a:lnTo>
                                <a:lnTo>
                                  <a:pt x="1152" y="52"/>
                                </a:lnTo>
                                <a:close/>
                                <a:moveTo>
                                  <a:pt x="1152" y="12"/>
                                </a:moveTo>
                                <a:lnTo>
                                  <a:pt x="1146" y="12"/>
                                </a:lnTo>
                                <a:lnTo>
                                  <a:pt x="1146" y="6"/>
                                </a:lnTo>
                                <a:lnTo>
                                  <a:pt x="1152" y="6"/>
                                </a:lnTo>
                                <a:lnTo>
                                  <a:pt x="1152" y="12"/>
                                </a:lnTo>
                                <a:close/>
                                <a:moveTo>
                                  <a:pt x="1062" y="12"/>
                                </a:moveTo>
                                <a:lnTo>
                                  <a:pt x="1014" y="12"/>
                                </a:lnTo>
                                <a:lnTo>
                                  <a:pt x="1014" y="0"/>
                                </a:lnTo>
                                <a:lnTo>
                                  <a:pt x="1062" y="0"/>
                                </a:lnTo>
                                <a:lnTo>
                                  <a:pt x="1062" y="12"/>
                                </a:lnTo>
                                <a:close/>
                                <a:moveTo>
                                  <a:pt x="978" y="12"/>
                                </a:moveTo>
                                <a:lnTo>
                                  <a:pt x="930" y="12"/>
                                </a:lnTo>
                                <a:lnTo>
                                  <a:pt x="930" y="0"/>
                                </a:lnTo>
                                <a:lnTo>
                                  <a:pt x="978" y="0"/>
                                </a:lnTo>
                                <a:lnTo>
                                  <a:pt x="978" y="12"/>
                                </a:lnTo>
                                <a:close/>
                                <a:moveTo>
                                  <a:pt x="894" y="12"/>
                                </a:moveTo>
                                <a:lnTo>
                                  <a:pt x="846" y="12"/>
                                </a:lnTo>
                                <a:lnTo>
                                  <a:pt x="846" y="0"/>
                                </a:lnTo>
                                <a:lnTo>
                                  <a:pt x="894" y="0"/>
                                </a:lnTo>
                                <a:lnTo>
                                  <a:pt x="894" y="12"/>
                                </a:lnTo>
                                <a:close/>
                                <a:moveTo>
                                  <a:pt x="810" y="12"/>
                                </a:moveTo>
                                <a:lnTo>
                                  <a:pt x="762" y="12"/>
                                </a:lnTo>
                                <a:lnTo>
                                  <a:pt x="762" y="0"/>
                                </a:lnTo>
                                <a:lnTo>
                                  <a:pt x="810" y="0"/>
                                </a:lnTo>
                                <a:lnTo>
                                  <a:pt x="810" y="12"/>
                                </a:lnTo>
                                <a:close/>
                                <a:moveTo>
                                  <a:pt x="726" y="12"/>
                                </a:moveTo>
                                <a:lnTo>
                                  <a:pt x="678" y="12"/>
                                </a:lnTo>
                                <a:lnTo>
                                  <a:pt x="678" y="0"/>
                                </a:lnTo>
                                <a:lnTo>
                                  <a:pt x="726" y="0"/>
                                </a:lnTo>
                                <a:lnTo>
                                  <a:pt x="726" y="12"/>
                                </a:lnTo>
                                <a:close/>
                                <a:moveTo>
                                  <a:pt x="642" y="12"/>
                                </a:moveTo>
                                <a:lnTo>
                                  <a:pt x="594" y="12"/>
                                </a:lnTo>
                                <a:lnTo>
                                  <a:pt x="594" y="0"/>
                                </a:lnTo>
                                <a:lnTo>
                                  <a:pt x="642" y="0"/>
                                </a:lnTo>
                                <a:lnTo>
                                  <a:pt x="642" y="12"/>
                                </a:lnTo>
                                <a:close/>
                                <a:moveTo>
                                  <a:pt x="558" y="12"/>
                                </a:moveTo>
                                <a:lnTo>
                                  <a:pt x="510" y="12"/>
                                </a:lnTo>
                                <a:lnTo>
                                  <a:pt x="510" y="0"/>
                                </a:lnTo>
                                <a:lnTo>
                                  <a:pt x="558" y="0"/>
                                </a:lnTo>
                                <a:lnTo>
                                  <a:pt x="558" y="12"/>
                                </a:lnTo>
                                <a:close/>
                                <a:moveTo>
                                  <a:pt x="474" y="12"/>
                                </a:moveTo>
                                <a:lnTo>
                                  <a:pt x="426" y="12"/>
                                </a:lnTo>
                                <a:lnTo>
                                  <a:pt x="426" y="0"/>
                                </a:lnTo>
                                <a:lnTo>
                                  <a:pt x="474" y="0"/>
                                </a:lnTo>
                                <a:lnTo>
                                  <a:pt x="474" y="12"/>
                                </a:lnTo>
                                <a:close/>
                                <a:moveTo>
                                  <a:pt x="390" y="12"/>
                                </a:moveTo>
                                <a:lnTo>
                                  <a:pt x="342" y="12"/>
                                </a:lnTo>
                                <a:lnTo>
                                  <a:pt x="342" y="0"/>
                                </a:lnTo>
                                <a:lnTo>
                                  <a:pt x="390" y="0"/>
                                </a:lnTo>
                                <a:lnTo>
                                  <a:pt x="390" y="12"/>
                                </a:lnTo>
                                <a:close/>
                                <a:moveTo>
                                  <a:pt x="306" y="12"/>
                                </a:moveTo>
                                <a:lnTo>
                                  <a:pt x="258" y="12"/>
                                </a:lnTo>
                                <a:lnTo>
                                  <a:pt x="258" y="0"/>
                                </a:lnTo>
                                <a:lnTo>
                                  <a:pt x="306" y="0"/>
                                </a:lnTo>
                                <a:lnTo>
                                  <a:pt x="306" y="12"/>
                                </a:lnTo>
                                <a:close/>
                                <a:moveTo>
                                  <a:pt x="222" y="12"/>
                                </a:moveTo>
                                <a:lnTo>
                                  <a:pt x="174" y="12"/>
                                </a:lnTo>
                                <a:lnTo>
                                  <a:pt x="174" y="0"/>
                                </a:lnTo>
                                <a:lnTo>
                                  <a:pt x="222" y="0"/>
                                </a:lnTo>
                                <a:lnTo>
                                  <a:pt x="222" y="12"/>
                                </a:lnTo>
                                <a:close/>
                                <a:moveTo>
                                  <a:pt x="138" y="12"/>
                                </a:moveTo>
                                <a:lnTo>
                                  <a:pt x="90" y="12"/>
                                </a:lnTo>
                                <a:lnTo>
                                  <a:pt x="90" y="0"/>
                                </a:lnTo>
                                <a:lnTo>
                                  <a:pt x="138" y="0"/>
                                </a:lnTo>
                                <a:lnTo>
                                  <a:pt x="138" y="12"/>
                                </a:lnTo>
                                <a:close/>
                                <a:moveTo>
                                  <a:pt x="54" y="12"/>
                                </a:moveTo>
                                <a:lnTo>
                                  <a:pt x="6" y="12"/>
                                </a:lnTo>
                                <a:lnTo>
                                  <a:pt x="6" y="0"/>
                                </a:lnTo>
                                <a:lnTo>
                                  <a:pt x="54" y="0"/>
                                </a:lnTo>
                                <a:lnTo>
                                  <a:pt x="54" y="12"/>
                                </a:lnTo>
                                <a:close/>
                                <a:moveTo>
                                  <a:pt x="12" y="90"/>
                                </a:moveTo>
                                <a:lnTo>
                                  <a:pt x="0" y="90"/>
                                </a:lnTo>
                                <a:lnTo>
                                  <a:pt x="0" y="42"/>
                                </a:lnTo>
                                <a:lnTo>
                                  <a:pt x="12" y="42"/>
                                </a:lnTo>
                                <a:lnTo>
                                  <a:pt x="12" y="90"/>
                                </a:lnTo>
                                <a:close/>
                                <a:moveTo>
                                  <a:pt x="12" y="174"/>
                                </a:moveTo>
                                <a:lnTo>
                                  <a:pt x="0" y="174"/>
                                </a:lnTo>
                                <a:lnTo>
                                  <a:pt x="0" y="126"/>
                                </a:lnTo>
                                <a:lnTo>
                                  <a:pt x="12" y="126"/>
                                </a:lnTo>
                                <a:lnTo>
                                  <a:pt x="12" y="174"/>
                                </a:lnTo>
                                <a:close/>
                                <a:moveTo>
                                  <a:pt x="12" y="258"/>
                                </a:moveTo>
                                <a:lnTo>
                                  <a:pt x="0" y="258"/>
                                </a:lnTo>
                                <a:lnTo>
                                  <a:pt x="0" y="210"/>
                                </a:lnTo>
                                <a:lnTo>
                                  <a:pt x="12" y="210"/>
                                </a:lnTo>
                                <a:lnTo>
                                  <a:pt x="12" y="258"/>
                                </a:lnTo>
                                <a:close/>
                                <a:moveTo>
                                  <a:pt x="12" y="342"/>
                                </a:moveTo>
                                <a:lnTo>
                                  <a:pt x="0" y="342"/>
                                </a:lnTo>
                                <a:lnTo>
                                  <a:pt x="0" y="294"/>
                                </a:lnTo>
                                <a:lnTo>
                                  <a:pt x="12" y="294"/>
                                </a:lnTo>
                                <a:lnTo>
                                  <a:pt x="12" y="342"/>
                                </a:lnTo>
                                <a:close/>
                                <a:moveTo>
                                  <a:pt x="12" y="426"/>
                                </a:moveTo>
                                <a:lnTo>
                                  <a:pt x="0" y="426"/>
                                </a:lnTo>
                                <a:lnTo>
                                  <a:pt x="0" y="378"/>
                                </a:lnTo>
                                <a:lnTo>
                                  <a:pt x="12" y="378"/>
                                </a:lnTo>
                                <a:lnTo>
                                  <a:pt x="12" y="426"/>
                                </a:lnTo>
                                <a:close/>
                                <a:moveTo>
                                  <a:pt x="73" y="449"/>
                                </a:moveTo>
                                <a:lnTo>
                                  <a:pt x="25" y="449"/>
                                </a:lnTo>
                                <a:lnTo>
                                  <a:pt x="25" y="437"/>
                                </a:lnTo>
                                <a:lnTo>
                                  <a:pt x="73" y="437"/>
                                </a:lnTo>
                                <a:lnTo>
                                  <a:pt x="73" y="449"/>
                                </a:lnTo>
                                <a:close/>
                                <a:moveTo>
                                  <a:pt x="157" y="449"/>
                                </a:moveTo>
                                <a:lnTo>
                                  <a:pt x="109" y="449"/>
                                </a:lnTo>
                                <a:lnTo>
                                  <a:pt x="109" y="437"/>
                                </a:lnTo>
                                <a:lnTo>
                                  <a:pt x="157" y="437"/>
                                </a:lnTo>
                                <a:lnTo>
                                  <a:pt x="157" y="449"/>
                                </a:lnTo>
                                <a:close/>
                                <a:moveTo>
                                  <a:pt x="241" y="449"/>
                                </a:moveTo>
                                <a:lnTo>
                                  <a:pt x="193" y="449"/>
                                </a:lnTo>
                                <a:lnTo>
                                  <a:pt x="193" y="437"/>
                                </a:lnTo>
                                <a:lnTo>
                                  <a:pt x="241" y="437"/>
                                </a:lnTo>
                                <a:lnTo>
                                  <a:pt x="241" y="449"/>
                                </a:lnTo>
                                <a:close/>
                                <a:moveTo>
                                  <a:pt x="325" y="449"/>
                                </a:moveTo>
                                <a:lnTo>
                                  <a:pt x="277" y="449"/>
                                </a:lnTo>
                                <a:lnTo>
                                  <a:pt x="277" y="437"/>
                                </a:lnTo>
                                <a:lnTo>
                                  <a:pt x="325" y="437"/>
                                </a:lnTo>
                                <a:lnTo>
                                  <a:pt x="325" y="449"/>
                                </a:lnTo>
                                <a:close/>
                                <a:moveTo>
                                  <a:pt x="409" y="449"/>
                                </a:moveTo>
                                <a:lnTo>
                                  <a:pt x="361" y="449"/>
                                </a:lnTo>
                                <a:lnTo>
                                  <a:pt x="361" y="437"/>
                                </a:lnTo>
                                <a:lnTo>
                                  <a:pt x="409" y="437"/>
                                </a:lnTo>
                                <a:lnTo>
                                  <a:pt x="409" y="449"/>
                                </a:lnTo>
                                <a:close/>
                                <a:moveTo>
                                  <a:pt x="493" y="449"/>
                                </a:moveTo>
                                <a:lnTo>
                                  <a:pt x="445" y="449"/>
                                </a:lnTo>
                                <a:lnTo>
                                  <a:pt x="445" y="437"/>
                                </a:lnTo>
                                <a:lnTo>
                                  <a:pt x="493" y="437"/>
                                </a:lnTo>
                                <a:lnTo>
                                  <a:pt x="493" y="449"/>
                                </a:lnTo>
                                <a:close/>
                                <a:moveTo>
                                  <a:pt x="577" y="449"/>
                                </a:moveTo>
                                <a:lnTo>
                                  <a:pt x="529" y="449"/>
                                </a:lnTo>
                                <a:lnTo>
                                  <a:pt x="529" y="437"/>
                                </a:lnTo>
                                <a:lnTo>
                                  <a:pt x="577" y="437"/>
                                </a:lnTo>
                                <a:lnTo>
                                  <a:pt x="577" y="449"/>
                                </a:lnTo>
                                <a:close/>
                                <a:moveTo>
                                  <a:pt x="661" y="449"/>
                                </a:moveTo>
                                <a:lnTo>
                                  <a:pt x="613" y="449"/>
                                </a:lnTo>
                                <a:lnTo>
                                  <a:pt x="613" y="437"/>
                                </a:lnTo>
                                <a:lnTo>
                                  <a:pt x="661" y="437"/>
                                </a:lnTo>
                                <a:lnTo>
                                  <a:pt x="661" y="449"/>
                                </a:lnTo>
                                <a:close/>
                                <a:moveTo>
                                  <a:pt x="745" y="449"/>
                                </a:moveTo>
                                <a:lnTo>
                                  <a:pt x="697" y="449"/>
                                </a:lnTo>
                                <a:lnTo>
                                  <a:pt x="697" y="437"/>
                                </a:lnTo>
                                <a:lnTo>
                                  <a:pt x="745" y="437"/>
                                </a:lnTo>
                                <a:lnTo>
                                  <a:pt x="745" y="449"/>
                                </a:lnTo>
                                <a:close/>
                                <a:moveTo>
                                  <a:pt x="829" y="449"/>
                                </a:moveTo>
                                <a:lnTo>
                                  <a:pt x="781" y="449"/>
                                </a:lnTo>
                                <a:lnTo>
                                  <a:pt x="781" y="437"/>
                                </a:lnTo>
                                <a:lnTo>
                                  <a:pt x="829" y="437"/>
                                </a:lnTo>
                                <a:lnTo>
                                  <a:pt x="829" y="449"/>
                                </a:lnTo>
                                <a:close/>
                                <a:moveTo>
                                  <a:pt x="913" y="449"/>
                                </a:moveTo>
                                <a:lnTo>
                                  <a:pt x="865" y="449"/>
                                </a:lnTo>
                                <a:lnTo>
                                  <a:pt x="865" y="437"/>
                                </a:lnTo>
                                <a:lnTo>
                                  <a:pt x="913" y="437"/>
                                </a:lnTo>
                                <a:lnTo>
                                  <a:pt x="913" y="449"/>
                                </a:lnTo>
                                <a:close/>
                                <a:moveTo>
                                  <a:pt x="997" y="449"/>
                                </a:moveTo>
                                <a:lnTo>
                                  <a:pt x="949" y="449"/>
                                </a:lnTo>
                                <a:lnTo>
                                  <a:pt x="949" y="437"/>
                                </a:lnTo>
                                <a:lnTo>
                                  <a:pt x="997" y="437"/>
                                </a:lnTo>
                                <a:lnTo>
                                  <a:pt x="997" y="449"/>
                                </a:lnTo>
                                <a:close/>
                                <a:moveTo>
                                  <a:pt x="1081" y="449"/>
                                </a:moveTo>
                                <a:lnTo>
                                  <a:pt x="1033" y="449"/>
                                </a:lnTo>
                                <a:lnTo>
                                  <a:pt x="1033" y="437"/>
                                </a:lnTo>
                                <a:lnTo>
                                  <a:pt x="1081" y="437"/>
                                </a:lnTo>
                                <a:lnTo>
                                  <a:pt x="1081" y="449"/>
                                </a:lnTo>
                                <a:close/>
                                <a:moveTo>
                                  <a:pt x="1140" y="443"/>
                                </a:moveTo>
                                <a:lnTo>
                                  <a:pt x="1140" y="424"/>
                                </a:lnTo>
                                <a:lnTo>
                                  <a:pt x="1152" y="424"/>
                                </a:lnTo>
                                <a:lnTo>
                                  <a:pt x="1152" y="437"/>
                                </a:lnTo>
                                <a:lnTo>
                                  <a:pt x="1146" y="437"/>
                                </a:lnTo>
                                <a:lnTo>
                                  <a:pt x="1140" y="443"/>
                                </a:lnTo>
                                <a:close/>
                                <a:moveTo>
                                  <a:pt x="1146" y="449"/>
                                </a:moveTo>
                                <a:lnTo>
                                  <a:pt x="1117" y="449"/>
                                </a:lnTo>
                                <a:lnTo>
                                  <a:pt x="1117" y="437"/>
                                </a:lnTo>
                                <a:lnTo>
                                  <a:pt x="1140" y="437"/>
                                </a:lnTo>
                                <a:lnTo>
                                  <a:pt x="1140" y="443"/>
                                </a:lnTo>
                                <a:lnTo>
                                  <a:pt x="1152" y="443"/>
                                </a:lnTo>
                                <a:lnTo>
                                  <a:pt x="1152" y="446"/>
                                </a:lnTo>
                                <a:lnTo>
                                  <a:pt x="1150" y="448"/>
                                </a:lnTo>
                                <a:lnTo>
                                  <a:pt x="1148" y="449"/>
                                </a:lnTo>
                                <a:lnTo>
                                  <a:pt x="1146" y="449"/>
                                </a:lnTo>
                                <a:close/>
                                <a:moveTo>
                                  <a:pt x="1152" y="443"/>
                                </a:moveTo>
                                <a:lnTo>
                                  <a:pt x="1140" y="443"/>
                                </a:lnTo>
                                <a:lnTo>
                                  <a:pt x="1146" y="437"/>
                                </a:lnTo>
                                <a:lnTo>
                                  <a:pt x="1152" y="437"/>
                                </a:lnTo>
                                <a:lnTo>
                                  <a:pt x="1152" y="443"/>
                                </a:lnTo>
                                <a:close/>
                                <a:moveTo>
                                  <a:pt x="1152" y="388"/>
                                </a:moveTo>
                                <a:lnTo>
                                  <a:pt x="1140" y="388"/>
                                </a:lnTo>
                                <a:lnTo>
                                  <a:pt x="1140" y="340"/>
                                </a:lnTo>
                                <a:lnTo>
                                  <a:pt x="1152" y="340"/>
                                </a:lnTo>
                                <a:lnTo>
                                  <a:pt x="1152" y="388"/>
                                </a:lnTo>
                                <a:close/>
                                <a:moveTo>
                                  <a:pt x="1152" y="304"/>
                                </a:moveTo>
                                <a:lnTo>
                                  <a:pt x="1140" y="304"/>
                                </a:lnTo>
                                <a:lnTo>
                                  <a:pt x="1140" y="256"/>
                                </a:lnTo>
                                <a:lnTo>
                                  <a:pt x="1152" y="256"/>
                                </a:lnTo>
                                <a:lnTo>
                                  <a:pt x="1152" y="304"/>
                                </a:lnTo>
                                <a:close/>
                                <a:moveTo>
                                  <a:pt x="1152" y="220"/>
                                </a:moveTo>
                                <a:lnTo>
                                  <a:pt x="1140" y="220"/>
                                </a:lnTo>
                                <a:lnTo>
                                  <a:pt x="1140" y="172"/>
                                </a:lnTo>
                                <a:lnTo>
                                  <a:pt x="1152" y="172"/>
                                </a:lnTo>
                                <a:lnTo>
                                  <a:pt x="1152" y="220"/>
                                </a:lnTo>
                                <a:close/>
                                <a:moveTo>
                                  <a:pt x="1152" y="136"/>
                                </a:moveTo>
                                <a:lnTo>
                                  <a:pt x="1140" y="136"/>
                                </a:lnTo>
                                <a:lnTo>
                                  <a:pt x="1140" y="88"/>
                                </a:lnTo>
                                <a:lnTo>
                                  <a:pt x="1152" y="88"/>
                                </a:lnTo>
                                <a:lnTo>
                                  <a:pt x="1152" y="136"/>
                                </a:lnTo>
                                <a:close/>
                              </a:path>
                            </a:pathLst>
                          </a:custGeom>
                          <a:solidFill>
                            <a:srgbClr val="000000"/>
                          </a:solidFill>
                          <a:ln>
                            <a:noFill/>
                          </a:ln>
                        </wps:spPr>
                        <wps:bodyPr upright="1"/>
                      </wps:wsp>
                      <wps:wsp>
                        <wps:cNvPr id="145" name="矩形 125"/>
                        <wps:cNvSpPr/>
                        <wps:spPr>
                          <a:xfrm>
                            <a:off x="5104" y="3070"/>
                            <a:ext cx="1229" cy="437"/>
                          </a:xfrm>
                          <a:prstGeom prst="rect">
                            <a:avLst/>
                          </a:prstGeom>
                          <a:solidFill>
                            <a:srgbClr val="FFFFFF"/>
                          </a:solidFill>
                          <a:ln>
                            <a:noFill/>
                          </a:ln>
                        </wps:spPr>
                        <wps:bodyPr upright="1"/>
                      </wps:wsp>
                      <wps:wsp>
                        <wps:cNvPr id="146" name="任意多边形 126"/>
                        <wps:cNvSpPr/>
                        <wps:spPr>
                          <a:xfrm>
                            <a:off x="5099" y="3065"/>
                            <a:ext cx="1241" cy="449"/>
                          </a:xfrm>
                          <a:custGeom>
                            <a:avLst/>
                            <a:gdLst/>
                            <a:ahLst/>
                            <a:cxnLst/>
                            <a:pathLst>
                              <a:path w="1241" h="449">
                                <a:moveTo>
                                  <a:pt x="1235" y="12"/>
                                </a:moveTo>
                                <a:lnTo>
                                  <a:pt x="1187" y="12"/>
                                </a:lnTo>
                                <a:lnTo>
                                  <a:pt x="1187" y="0"/>
                                </a:lnTo>
                                <a:lnTo>
                                  <a:pt x="1235" y="0"/>
                                </a:lnTo>
                                <a:lnTo>
                                  <a:pt x="1235" y="12"/>
                                </a:lnTo>
                                <a:close/>
                                <a:moveTo>
                                  <a:pt x="1151" y="12"/>
                                </a:moveTo>
                                <a:lnTo>
                                  <a:pt x="1103" y="12"/>
                                </a:lnTo>
                                <a:lnTo>
                                  <a:pt x="1103" y="0"/>
                                </a:lnTo>
                                <a:lnTo>
                                  <a:pt x="1151" y="0"/>
                                </a:lnTo>
                                <a:lnTo>
                                  <a:pt x="1151" y="12"/>
                                </a:lnTo>
                                <a:close/>
                                <a:moveTo>
                                  <a:pt x="1067" y="12"/>
                                </a:moveTo>
                                <a:lnTo>
                                  <a:pt x="1019" y="12"/>
                                </a:lnTo>
                                <a:lnTo>
                                  <a:pt x="1019" y="0"/>
                                </a:lnTo>
                                <a:lnTo>
                                  <a:pt x="1067" y="0"/>
                                </a:lnTo>
                                <a:lnTo>
                                  <a:pt x="1067" y="12"/>
                                </a:lnTo>
                                <a:close/>
                                <a:moveTo>
                                  <a:pt x="983" y="12"/>
                                </a:moveTo>
                                <a:lnTo>
                                  <a:pt x="935" y="12"/>
                                </a:lnTo>
                                <a:lnTo>
                                  <a:pt x="935" y="0"/>
                                </a:lnTo>
                                <a:lnTo>
                                  <a:pt x="983" y="0"/>
                                </a:lnTo>
                                <a:lnTo>
                                  <a:pt x="983" y="12"/>
                                </a:lnTo>
                                <a:close/>
                                <a:moveTo>
                                  <a:pt x="899" y="12"/>
                                </a:moveTo>
                                <a:lnTo>
                                  <a:pt x="851" y="12"/>
                                </a:lnTo>
                                <a:lnTo>
                                  <a:pt x="851" y="0"/>
                                </a:lnTo>
                                <a:lnTo>
                                  <a:pt x="899" y="0"/>
                                </a:lnTo>
                                <a:lnTo>
                                  <a:pt x="899" y="12"/>
                                </a:lnTo>
                                <a:close/>
                                <a:moveTo>
                                  <a:pt x="815" y="12"/>
                                </a:moveTo>
                                <a:lnTo>
                                  <a:pt x="767" y="12"/>
                                </a:lnTo>
                                <a:lnTo>
                                  <a:pt x="767" y="0"/>
                                </a:lnTo>
                                <a:lnTo>
                                  <a:pt x="815" y="0"/>
                                </a:lnTo>
                                <a:lnTo>
                                  <a:pt x="815" y="12"/>
                                </a:lnTo>
                                <a:close/>
                                <a:moveTo>
                                  <a:pt x="731" y="12"/>
                                </a:moveTo>
                                <a:lnTo>
                                  <a:pt x="683" y="12"/>
                                </a:lnTo>
                                <a:lnTo>
                                  <a:pt x="683" y="0"/>
                                </a:lnTo>
                                <a:lnTo>
                                  <a:pt x="731" y="0"/>
                                </a:lnTo>
                                <a:lnTo>
                                  <a:pt x="731" y="12"/>
                                </a:lnTo>
                                <a:close/>
                                <a:moveTo>
                                  <a:pt x="647" y="12"/>
                                </a:moveTo>
                                <a:lnTo>
                                  <a:pt x="599" y="12"/>
                                </a:lnTo>
                                <a:lnTo>
                                  <a:pt x="599" y="0"/>
                                </a:lnTo>
                                <a:lnTo>
                                  <a:pt x="647" y="0"/>
                                </a:lnTo>
                                <a:lnTo>
                                  <a:pt x="647" y="12"/>
                                </a:lnTo>
                                <a:close/>
                                <a:moveTo>
                                  <a:pt x="563" y="12"/>
                                </a:moveTo>
                                <a:lnTo>
                                  <a:pt x="515" y="12"/>
                                </a:lnTo>
                                <a:lnTo>
                                  <a:pt x="515" y="0"/>
                                </a:lnTo>
                                <a:lnTo>
                                  <a:pt x="563" y="0"/>
                                </a:lnTo>
                                <a:lnTo>
                                  <a:pt x="563" y="12"/>
                                </a:lnTo>
                                <a:close/>
                                <a:moveTo>
                                  <a:pt x="479" y="12"/>
                                </a:moveTo>
                                <a:lnTo>
                                  <a:pt x="431" y="12"/>
                                </a:lnTo>
                                <a:lnTo>
                                  <a:pt x="431" y="0"/>
                                </a:lnTo>
                                <a:lnTo>
                                  <a:pt x="479" y="0"/>
                                </a:lnTo>
                                <a:lnTo>
                                  <a:pt x="479" y="12"/>
                                </a:lnTo>
                                <a:close/>
                                <a:moveTo>
                                  <a:pt x="395" y="12"/>
                                </a:moveTo>
                                <a:lnTo>
                                  <a:pt x="347" y="12"/>
                                </a:lnTo>
                                <a:lnTo>
                                  <a:pt x="347" y="0"/>
                                </a:lnTo>
                                <a:lnTo>
                                  <a:pt x="395" y="0"/>
                                </a:lnTo>
                                <a:lnTo>
                                  <a:pt x="395" y="12"/>
                                </a:lnTo>
                                <a:close/>
                                <a:moveTo>
                                  <a:pt x="311" y="12"/>
                                </a:moveTo>
                                <a:lnTo>
                                  <a:pt x="263" y="12"/>
                                </a:lnTo>
                                <a:lnTo>
                                  <a:pt x="263" y="0"/>
                                </a:lnTo>
                                <a:lnTo>
                                  <a:pt x="311" y="0"/>
                                </a:lnTo>
                                <a:lnTo>
                                  <a:pt x="311" y="12"/>
                                </a:lnTo>
                                <a:close/>
                                <a:moveTo>
                                  <a:pt x="227" y="12"/>
                                </a:moveTo>
                                <a:lnTo>
                                  <a:pt x="179" y="12"/>
                                </a:lnTo>
                                <a:lnTo>
                                  <a:pt x="179" y="0"/>
                                </a:lnTo>
                                <a:lnTo>
                                  <a:pt x="227" y="0"/>
                                </a:lnTo>
                                <a:lnTo>
                                  <a:pt x="227" y="12"/>
                                </a:lnTo>
                                <a:close/>
                                <a:moveTo>
                                  <a:pt x="143" y="12"/>
                                </a:moveTo>
                                <a:lnTo>
                                  <a:pt x="95" y="12"/>
                                </a:lnTo>
                                <a:lnTo>
                                  <a:pt x="95" y="0"/>
                                </a:lnTo>
                                <a:lnTo>
                                  <a:pt x="143" y="0"/>
                                </a:lnTo>
                                <a:lnTo>
                                  <a:pt x="143" y="12"/>
                                </a:lnTo>
                                <a:close/>
                                <a:moveTo>
                                  <a:pt x="59" y="12"/>
                                </a:moveTo>
                                <a:lnTo>
                                  <a:pt x="11" y="12"/>
                                </a:lnTo>
                                <a:lnTo>
                                  <a:pt x="11" y="0"/>
                                </a:lnTo>
                                <a:lnTo>
                                  <a:pt x="59" y="0"/>
                                </a:lnTo>
                                <a:lnTo>
                                  <a:pt x="59" y="12"/>
                                </a:lnTo>
                                <a:close/>
                                <a:moveTo>
                                  <a:pt x="12" y="85"/>
                                </a:moveTo>
                                <a:lnTo>
                                  <a:pt x="0" y="85"/>
                                </a:lnTo>
                                <a:lnTo>
                                  <a:pt x="0" y="37"/>
                                </a:lnTo>
                                <a:lnTo>
                                  <a:pt x="12" y="37"/>
                                </a:lnTo>
                                <a:lnTo>
                                  <a:pt x="12" y="85"/>
                                </a:lnTo>
                                <a:close/>
                                <a:moveTo>
                                  <a:pt x="12" y="169"/>
                                </a:moveTo>
                                <a:lnTo>
                                  <a:pt x="0" y="169"/>
                                </a:lnTo>
                                <a:lnTo>
                                  <a:pt x="0" y="121"/>
                                </a:lnTo>
                                <a:lnTo>
                                  <a:pt x="12" y="121"/>
                                </a:lnTo>
                                <a:lnTo>
                                  <a:pt x="12" y="169"/>
                                </a:lnTo>
                                <a:close/>
                                <a:moveTo>
                                  <a:pt x="12" y="253"/>
                                </a:moveTo>
                                <a:lnTo>
                                  <a:pt x="0" y="253"/>
                                </a:lnTo>
                                <a:lnTo>
                                  <a:pt x="0" y="205"/>
                                </a:lnTo>
                                <a:lnTo>
                                  <a:pt x="12" y="205"/>
                                </a:lnTo>
                                <a:lnTo>
                                  <a:pt x="12" y="253"/>
                                </a:lnTo>
                                <a:close/>
                                <a:moveTo>
                                  <a:pt x="12" y="337"/>
                                </a:moveTo>
                                <a:lnTo>
                                  <a:pt x="0" y="337"/>
                                </a:lnTo>
                                <a:lnTo>
                                  <a:pt x="0" y="289"/>
                                </a:lnTo>
                                <a:lnTo>
                                  <a:pt x="12" y="289"/>
                                </a:lnTo>
                                <a:lnTo>
                                  <a:pt x="12" y="337"/>
                                </a:lnTo>
                                <a:close/>
                                <a:moveTo>
                                  <a:pt x="12" y="421"/>
                                </a:moveTo>
                                <a:lnTo>
                                  <a:pt x="0" y="421"/>
                                </a:lnTo>
                                <a:lnTo>
                                  <a:pt x="0" y="373"/>
                                </a:lnTo>
                                <a:lnTo>
                                  <a:pt x="12" y="373"/>
                                </a:lnTo>
                                <a:lnTo>
                                  <a:pt x="12" y="421"/>
                                </a:lnTo>
                                <a:close/>
                                <a:moveTo>
                                  <a:pt x="68" y="449"/>
                                </a:moveTo>
                                <a:lnTo>
                                  <a:pt x="20" y="449"/>
                                </a:lnTo>
                                <a:lnTo>
                                  <a:pt x="20" y="437"/>
                                </a:lnTo>
                                <a:lnTo>
                                  <a:pt x="68" y="437"/>
                                </a:lnTo>
                                <a:lnTo>
                                  <a:pt x="68" y="449"/>
                                </a:lnTo>
                                <a:close/>
                                <a:moveTo>
                                  <a:pt x="152" y="449"/>
                                </a:moveTo>
                                <a:lnTo>
                                  <a:pt x="104" y="449"/>
                                </a:lnTo>
                                <a:lnTo>
                                  <a:pt x="104" y="437"/>
                                </a:lnTo>
                                <a:lnTo>
                                  <a:pt x="152" y="437"/>
                                </a:lnTo>
                                <a:lnTo>
                                  <a:pt x="152" y="449"/>
                                </a:lnTo>
                                <a:close/>
                                <a:moveTo>
                                  <a:pt x="236" y="449"/>
                                </a:moveTo>
                                <a:lnTo>
                                  <a:pt x="188" y="449"/>
                                </a:lnTo>
                                <a:lnTo>
                                  <a:pt x="188" y="437"/>
                                </a:lnTo>
                                <a:lnTo>
                                  <a:pt x="236" y="437"/>
                                </a:lnTo>
                                <a:lnTo>
                                  <a:pt x="236" y="449"/>
                                </a:lnTo>
                                <a:close/>
                                <a:moveTo>
                                  <a:pt x="320" y="449"/>
                                </a:moveTo>
                                <a:lnTo>
                                  <a:pt x="272" y="449"/>
                                </a:lnTo>
                                <a:lnTo>
                                  <a:pt x="272" y="437"/>
                                </a:lnTo>
                                <a:lnTo>
                                  <a:pt x="320" y="437"/>
                                </a:lnTo>
                                <a:lnTo>
                                  <a:pt x="320" y="449"/>
                                </a:lnTo>
                                <a:close/>
                                <a:moveTo>
                                  <a:pt x="404" y="449"/>
                                </a:moveTo>
                                <a:lnTo>
                                  <a:pt x="356" y="449"/>
                                </a:lnTo>
                                <a:lnTo>
                                  <a:pt x="356" y="437"/>
                                </a:lnTo>
                                <a:lnTo>
                                  <a:pt x="404" y="437"/>
                                </a:lnTo>
                                <a:lnTo>
                                  <a:pt x="404" y="449"/>
                                </a:lnTo>
                                <a:close/>
                                <a:moveTo>
                                  <a:pt x="488" y="449"/>
                                </a:moveTo>
                                <a:lnTo>
                                  <a:pt x="440" y="449"/>
                                </a:lnTo>
                                <a:lnTo>
                                  <a:pt x="440" y="437"/>
                                </a:lnTo>
                                <a:lnTo>
                                  <a:pt x="488" y="437"/>
                                </a:lnTo>
                                <a:lnTo>
                                  <a:pt x="488" y="449"/>
                                </a:lnTo>
                                <a:close/>
                                <a:moveTo>
                                  <a:pt x="572" y="449"/>
                                </a:moveTo>
                                <a:lnTo>
                                  <a:pt x="524" y="449"/>
                                </a:lnTo>
                                <a:lnTo>
                                  <a:pt x="524" y="437"/>
                                </a:lnTo>
                                <a:lnTo>
                                  <a:pt x="572" y="437"/>
                                </a:lnTo>
                                <a:lnTo>
                                  <a:pt x="572" y="449"/>
                                </a:lnTo>
                                <a:close/>
                                <a:moveTo>
                                  <a:pt x="656" y="449"/>
                                </a:moveTo>
                                <a:lnTo>
                                  <a:pt x="608" y="449"/>
                                </a:lnTo>
                                <a:lnTo>
                                  <a:pt x="608" y="437"/>
                                </a:lnTo>
                                <a:lnTo>
                                  <a:pt x="656" y="437"/>
                                </a:lnTo>
                                <a:lnTo>
                                  <a:pt x="656" y="449"/>
                                </a:lnTo>
                                <a:close/>
                                <a:moveTo>
                                  <a:pt x="740" y="449"/>
                                </a:moveTo>
                                <a:lnTo>
                                  <a:pt x="692" y="449"/>
                                </a:lnTo>
                                <a:lnTo>
                                  <a:pt x="692" y="437"/>
                                </a:lnTo>
                                <a:lnTo>
                                  <a:pt x="740" y="437"/>
                                </a:lnTo>
                                <a:lnTo>
                                  <a:pt x="740" y="449"/>
                                </a:lnTo>
                                <a:close/>
                                <a:moveTo>
                                  <a:pt x="824" y="449"/>
                                </a:moveTo>
                                <a:lnTo>
                                  <a:pt x="776" y="449"/>
                                </a:lnTo>
                                <a:lnTo>
                                  <a:pt x="776" y="437"/>
                                </a:lnTo>
                                <a:lnTo>
                                  <a:pt x="824" y="437"/>
                                </a:lnTo>
                                <a:lnTo>
                                  <a:pt x="824" y="449"/>
                                </a:lnTo>
                                <a:close/>
                                <a:moveTo>
                                  <a:pt x="908" y="449"/>
                                </a:moveTo>
                                <a:lnTo>
                                  <a:pt x="860" y="449"/>
                                </a:lnTo>
                                <a:lnTo>
                                  <a:pt x="860" y="437"/>
                                </a:lnTo>
                                <a:lnTo>
                                  <a:pt x="908" y="437"/>
                                </a:lnTo>
                                <a:lnTo>
                                  <a:pt x="908" y="449"/>
                                </a:lnTo>
                                <a:close/>
                                <a:moveTo>
                                  <a:pt x="992" y="449"/>
                                </a:moveTo>
                                <a:lnTo>
                                  <a:pt x="944" y="449"/>
                                </a:lnTo>
                                <a:lnTo>
                                  <a:pt x="944" y="437"/>
                                </a:lnTo>
                                <a:lnTo>
                                  <a:pt x="992" y="437"/>
                                </a:lnTo>
                                <a:lnTo>
                                  <a:pt x="992" y="449"/>
                                </a:lnTo>
                                <a:close/>
                                <a:moveTo>
                                  <a:pt x="1076" y="449"/>
                                </a:moveTo>
                                <a:lnTo>
                                  <a:pt x="1028" y="449"/>
                                </a:lnTo>
                                <a:lnTo>
                                  <a:pt x="1028" y="437"/>
                                </a:lnTo>
                                <a:lnTo>
                                  <a:pt x="1076" y="437"/>
                                </a:lnTo>
                                <a:lnTo>
                                  <a:pt x="1076" y="449"/>
                                </a:lnTo>
                                <a:close/>
                                <a:moveTo>
                                  <a:pt x="1160" y="449"/>
                                </a:moveTo>
                                <a:lnTo>
                                  <a:pt x="1112" y="449"/>
                                </a:lnTo>
                                <a:lnTo>
                                  <a:pt x="1112" y="437"/>
                                </a:lnTo>
                                <a:lnTo>
                                  <a:pt x="1160" y="437"/>
                                </a:lnTo>
                                <a:lnTo>
                                  <a:pt x="1160" y="449"/>
                                </a:lnTo>
                                <a:close/>
                                <a:moveTo>
                                  <a:pt x="1229" y="443"/>
                                </a:moveTo>
                                <a:lnTo>
                                  <a:pt x="1229" y="434"/>
                                </a:lnTo>
                                <a:lnTo>
                                  <a:pt x="1241" y="434"/>
                                </a:lnTo>
                                <a:lnTo>
                                  <a:pt x="1241" y="437"/>
                                </a:lnTo>
                                <a:lnTo>
                                  <a:pt x="1235" y="437"/>
                                </a:lnTo>
                                <a:lnTo>
                                  <a:pt x="1229" y="443"/>
                                </a:lnTo>
                                <a:close/>
                                <a:moveTo>
                                  <a:pt x="1235" y="449"/>
                                </a:moveTo>
                                <a:lnTo>
                                  <a:pt x="1196" y="449"/>
                                </a:lnTo>
                                <a:lnTo>
                                  <a:pt x="1196" y="437"/>
                                </a:lnTo>
                                <a:lnTo>
                                  <a:pt x="1229" y="437"/>
                                </a:lnTo>
                                <a:lnTo>
                                  <a:pt x="1229" y="443"/>
                                </a:lnTo>
                                <a:lnTo>
                                  <a:pt x="1241" y="443"/>
                                </a:lnTo>
                                <a:lnTo>
                                  <a:pt x="1241" y="446"/>
                                </a:lnTo>
                                <a:lnTo>
                                  <a:pt x="1239" y="448"/>
                                </a:lnTo>
                                <a:lnTo>
                                  <a:pt x="1237" y="449"/>
                                </a:lnTo>
                                <a:lnTo>
                                  <a:pt x="1235" y="449"/>
                                </a:lnTo>
                                <a:close/>
                                <a:moveTo>
                                  <a:pt x="1241" y="443"/>
                                </a:moveTo>
                                <a:lnTo>
                                  <a:pt x="1229" y="443"/>
                                </a:lnTo>
                                <a:lnTo>
                                  <a:pt x="1235" y="437"/>
                                </a:lnTo>
                                <a:lnTo>
                                  <a:pt x="1241" y="437"/>
                                </a:lnTo>
                                <a:lnTo>
                                  <a:pt x="1241" y="443"/>
                                </a:lnTo>
                                <a:close/>
                                <a:moveTo>
                                  <a:pt x="1241" y="398"/>
                                </a:moveTo>
                                <a:lnTo>
                                  <a:pt x="1229" y="398"/>
                                </a:lnTo>
                                <a:lnTo>
                                  <a:pt x="1229" y="350"/>
                                </a:lnTo>
                                <a:lnTo>
                                  <a:pt x="1241" y="350"/>
                                </a:lnTo>
                                <a:lnTo>
                                  <a:pt x="1241" y="398"/>
                                </a:lnTo>
                                <a:close/>
                                <a:moveTo>
                                  <a:pt x="1241" y="314"/>
                                </a:moveTo>
                                <a:lnTo>
                                  <a:pt x="1229" y="314"/>
                                </a:lnTo>
                                <a:lnTo>
                                  <a:pt x="1229" y="266"/>
                                </a:lnTo>
                                <a:lnTo>
                                  <a:pt x="1241" y="266"/>
                                </a:lnTo>
                                <a:lnTo>
                                  <a:pt x="1241" y="314"/>
                                </a:lnTo>
                                <a:close/>
                                <a:moveTo>
                                  <a:pt x="1241" y="230"/>
                                </a:moveTo>
                                <a:lnTo>
                                  <a:pt x="1229" y="230"/>
                                </a:lnTo>
                                <a:lnTo>
                                  <a:pt x="1229" y="182"/>
                                </a:lnTo>
                                <a:lnTo>
                                  <a:pt x="1241" y="182"/>
                                </a:lnTo>
                                <a:lnTo>
                                  <a:pt x="1241" y="230"/>
                                </a:lnTo>
                                <a:close/>
                                <a:moveTo>
                                  <a:pt x="1241" y="146"/>
                                </a:moveTo>
                                <a:lnTo>
                                  <a:pt x="1229" y="146"/>
                                </a:lnTo>
                                <a:lnTo>
                                  <a:pt x="1229" y="98"/>
                                </a:lnTo>
                                <a:lnTo>
                                  <a:pt x="1241" y="98"/>
                                </a:lnTo>
                                <a:lnTo>
                                  <a:pt x="1241" y="146"/>
                                </a:lnTo>
                                <a:close/>
                                <a:moveTo>
                                  <a:pt x="1241" y="62"/>
                                </a:moveTo>
                                <a:lnTo>
                                  <a:pt x="1229" y="62"/>
                                </a:lnTo>
                                <a:lnTo>
                                  <a:pt x="1229" y="14"/>
                                </a:lnTo>
                                <a:lnTo>
                                  <a:pt x="1241" y="14"/>
                                </a:lnTo>
                                <a:lnTo>
                                  <a:pt x="1241" y="62"/>
                                </a:lnTo>
                                <a:close/>
                              </a:path>
                            </a:pathLst>
                          </a:custGeom>
                          <a:solidFill>
                            <a:srgbClr val="000000"/>
                          </a:solidFill>
                          <a:ln>
                            <a:noFill/>
                          </a:ln>
                        </wps:spPr>
                        <wps:bodyPr upright="1"/>
                      </wps:wsp>
                      <wps:wsp>
                        <wps:cNvPr id="147" name="矩形 127"/>
                        <wps:cNvSpPr/>
                        <wps:spPr>
                          <a:xfrm>
                            <a:off x="5104" y="3896"/>
                            <a:ext cx="1275" cy="437"/>
                          </a:xfrm>
                          <a:prstGeom prst="rect">
                            <a:avLst/>
                          </a:prstGeom>
                          <a:solidFill>
                            <a:srgbClr val="FFFFFF"/>
                          </a:solidFill>
                          <a:ln>
                            <a:noFill/>
                          </a:ln>
                        </wps:spPr>
                        <wps:bodyPr upright="1"/>
                      </wps:wsp>
                      <wps:wsp>
                        <wps:cNvPr id="148" name="任意多边形 128"/>
                        <wps:cNvSpPr/>
                        <wps:spPr>
                          <a:xfrm>
                            <a:off x="5099" y="3890"/>
                            <a:ext cx="1287" cy="449"/>
                          </a:xfrm>
                          <a:custGeom>
                            <a:avLst/>
                            <a:gdLst/>
                            <a:ahLst/>
                            <a:cxnLst/>
                            <a:pathLst>
                              <a:path w="1287" h="449">
                                <a:moveTo>
                                  <a:pt x="1281" y="12"/>
                                </a:moveTo>
                                <a:lnTo>
                                  <a:pt x="1233" y="12"/>
                                </a:lnTo>
                                <a:lnTo>
                                  <a:pt x="1233" y="0"/>
                                </a:lnTo>
                                <a:lnTo>
                                  <a:pt x="1281" y="0"/>
                                </a:lnTo>
                                <a:lnTo>
                                  <a:pt x="1281" y="12"/>
                                </a:lnTo>
                                <a:close/>
                                <a:moveTo>
                                  <a:pt x="1197" y="12"/>
                                </a:moveTo>
                                <a:lnTo>
                                  <a:pt x="1149" y="12"/>
                                </a:lnTo>
                                <a:lnTo>
                                  <a:pt x="1149" y="0"/>
                                </a:lnTo>
                                <a:lnTo>
                                  <a:pt x="1197" y="0"/>
                                </a:lnTo>
                                <a:lnTo>
                                  <a:pt x="1197" y="12"/>
                                </a:lnTo>
                                <a:close/>
                                <a:moveTo>
                                  <a:pt x="1113" y="12"/>
                                </a:moveTo>
                                <a:lnTo>
                                  <a:pt x="1065" y="12"/>
                                </a:lnTo>
                                <a:lnTo>
                                  <a:pt x="1065" y="0"/>
                                </a:lnTo>
                                <a:lnTo>
                                  <a:pt x="1113" y="0"/>
                                </a:lnTo>
                                <a:lnTo>
                                  <a:pt x="1113" y="12"/>
                                </a:lnTo>
                                <a:close/>
                                <a:moveTo>
                                  <a:pt x="1029" y="12"/>
                                </a:moveTo>
                                <a:lnTo>
                                  <a:pt x="981" y="12"/>
                                </a:lnTo>
                                <a:lnTo>
                                  <a:pt x="981" y="0"/>
                                </a:lnTo>
                                <a:lnTo>
                                  <a:pt x="1029" y="0"/>
                                </a:lnTo>
                                <a:lnTo>
                                  <a:pt x="1029" y="12"/>
                                </a:lnTo>
                                <a:close/>
                                <a:moveTo>
                                  <a:pt x="945" y="12"/>
                                </a:moveTo>
                                <a:lnTo>
                                  <a:pt x="897" y="12"/>
                                </a:lnTo>
                                <a:lnTo>
                                  <a:pt x="897" y="0"/>
                                </a:lnTo>
                                <a:lnTo>
                                  <a:pt x="945" y="0"/>
                                </a:lnTo>
                                <a:lnTo>
                                  <a:pt x="945" y="12"/>
                                </a:lnTo>
                                <a:close/>
                                <a:moveTo>
                                  <a:pt x="861" y="12"/>
                                </a:moveTo>
                                <a:lnTo>
                                  <a:pt x="813" y="12"/>
                                </a:lnTo>
                                <a:lnTo>
                                  <a:pt x="813" y="0"/>
                                </a:lnTo>
                                <a:lnTo>
                                  <a:pt x="861" y="0"/>
                                </a:lnTo>
                                <a:lnTo>
                                  <a:pt x="861" y="12"/>
                                </a:lnTo>
                                <a:close/>
                                <a:moveTo>
                                  <a:pt x="777" y="12"/>
                                </a:moveTo>
                                <a:lnTo>
                                  <a:pt x="729" y="12"/>
                                </a:lnTo>
                                <a:lnTo>
                                  <a:pt x="729" y="0"/>
                                </a:lnTo>
                                <a:lnTo>
                                  <a:pt x="777" y="0"/>
                                </a:lnTo>
                                <a:lnTo>
                                  <a:pt x="777" y="12"/>
                                </a:lnTo>
                                <a:close/>
                                <a:moveTo>
                                  <a:pt x="693" y="12"/>
                                </a:moveTo>
                                <a:lnTo>
                                  <a:pt x="645" y="12"/>
                                </a:lnTo>
                                <a:lnTo>
                                  <a:pt x="645" y="0"/>
                                </a:lnTo>
                                <a:lnTo>
                                  <a:pt x="693" y="0"/>
                                </a:lnTo>
                                <a:lnTo>
                                  <a:pt x="693" y="12"/>
                                </a:lnTo>
                                <a:close/>
                                <a:moveTo>
                                  <a:pt x="609" y="12"/>
                                </a:moveTo>
                                <a:lnTo>
                                  <a:pt x="561" y="12"/>
                                </a:lnTo>
                                <a:lnTo>
                                  <a:pt x="561" y="0"/>
                                </a:lnTo>
                                <a:lnTo>
                                  <a:pt x="609" y="0"/>
                                </a:lnTo>
                                <a:lnTo>
                                  <a:pt x="609" y="12"/>
                                </a:lnTo>
                                <a:close/>
                                <a:moveTo>
                                  <a:pt x="525" y="12"/>
                                </a:moveTo>
                                <a:lnTo>
                                  <a:pt x="477" y="12"/>
                                </a:lnTo>
                                <a:lnTo>
                                  <a:pt x="477" y="0"/>
                                </a:lnTo>
                                <a:lnTo>
                                  <a:pt x="525" y="0"/>
                                </a:lnTo>
                                <a:lnTo>
                                  <a:pt x="525" y="12"/>
                                </a:lnTo>
                                <a:close/>
                                <a:moveTo>
                                  <a:pt x="441" y="12"/>
                                </a:moveTo>
                                <a:lnTo>
                                  <a:pt x="393" y="12"/>
                                </a:lnTo>
                                <a:lnTo>
                                  <a:pt x="393" y="0"/>
                                </a:lnTo>
                                <a:lnTo>
                                  <a:pt x="441" y="0"/>
                                </a:lnTo>
                                <a:lnTo>
                                  <a:pt x="441" y="12"/>
                                </a:lnTo>
                                <a:close/>
                                <a:moveTo>
                                  <a:pt x="357" y="12"/>
                                </a:moveTo>
                                <a:lnTo>
                                  <a:pt x="309" y="12"/>
                                </a:lnTo>
                                <a:lnTo>
                                  <a:pt x="309" y="0"/>
                                </a:lnTo>
                                <a:lnTo>
                                  <a:pt x="357" y="0"/>
                                </a:lnTo>
                                <a:lnTo>
                                  <a:pt x="357" y="12"/>
                                </a:lnTo>
                                <a:close/>
                                <a:moveTo>
                                  <a:pt x="273" y="12"/>
                                </a:moveTo>
                                <a:lnTo>
                                  <a:pt x="225" y="12"/>
                                </a:lnTo>
                                <a:lnTo>
                                  <a:pt x="225" y="0"/>
                                </a:lnTo>
                                <a:lnTo>
                                  <a:pt x="273" y="0"/>
                                </a:lnTo>
                                <a:lnTo>
                                  <a:pt x="273" y="12"/>
                                </a:lnTo>
                                <a:close/>
                                <a:moveTo>
                                  <a:pt x="189" y="12"/>
                                </a:moveTo>
                                <a:lnTo>
                                  <a:pt x="141" y="12"/>
                                </a:lnTo>
                                <a:lnTo>
                                  <a:pt x="141" y="0"/>
                                </a:lnTo>
                                <a:lnTo>
                                  <a:pt x="189" y="0"/>
                                </a:lnTo>
                                <a:lnTo>
                                  <a:pt x="189" y="12"/>
                                </a:lnTo>
                                <a:close/>
                                <a:moveTo>
                                  <a:pt x="105" y="12"/>
                                </a:moveTo>
                                <a:lnTo>
                                  <a:pt x="57" y="12"/>
                                </a:lnTo>
                                <a:lnTo>
                                  <a:pt x="57" y="0"/>
                                </a:lnTo>
                                <a:lnTo>
                                  <a:pt x="105" y="0"/>
                                </a:lnTo>
                                <a:lnTo>
                                  <a:pt x="105" y="12"/>
                                </a:lnTo>
                                <a:close/>
                                <a:moveTo>
                                  <a:pt x="12" y="39"/>
                                </a:moveTo>
                                <a:lnTo>
                                  <a:pt x="0" y="39"/>
                                </a:lnTo>
                                <a:lnTo>
                                  <a:pt x="0" y="6"/>
                                </a:lnTo>
                                <a:lnTo>
                                  <a:pt x="0" y="4"/>
                                </a:lnTo>
                                <a:lnTo>
                                  <a:pt x="2" y="2"/>
                                </a:lnTo>
                                <a:lnTo>
                                  <a:pt x="4" y="1"/>
                                </a:lnTo>
                                <a:lnTo>
                                  <a:pt x="6" y="0"/>
                                </a:lnTo>
                                <a:lnTo>
                                  <a:pt x="21" y="0"/>
                                </a:lnTo>
                                <a:lnTo>
                                  <a:pt x="21" y="6"/>
                                </a:lnTo>
                                <a:lnTo>
                                  <a:pt x="12" y="6"/>
                                </a:lnTo>
                                <a:lnTo>
                                  <a:pt x="6" y="12"/>
                                </a:lnTo>
                                <a:lnTo>
                                  <a:pt x="12" y="12"/>
                                </a:lnTo>
                                <a:lnTo>
                                  <a:pt x="12" y="39"/>
                                </a:lnTo>
                                <a:close/>
                                <a:moveTo>
                                  <a:pt x="12" y="12"/>
                                </a:moveTo>
                                <a:lnTo>
                                  <a:pt x="6" y="12"/>
                                </a:lnTo>
                                <a:lnTo>
                                  <a:pt x="12" y="6"/>
                                </a:lnTo>
                                <a:lnTo>
                                  <a:pt x="12" y="12"/>
                                </a:lnTo>
                                <a:close/>
                                <a:moveTo>
                                  <a:pt x="21" y="12"/>
                                </a:moveTo>
                                <a:lnTo>
                                  <a:pt x="12" y="12"/>
                                </a:lnTo>
                                <a:lnTo>
                                  <a:pt x="12" y="6"/>
                                </a:lnTo>
                                <a:lnTo>
                                  <a:pt x="21" y="6"/>
                                </a:lnTo>
                                <a:lnTo>
                                  <a:pt x="21" y="12"/>
                                </a:lnTo>
                                <a:close/>
                                <a:moveTo>
                                  <a:pt x="12" y="123"/>
                                </a:moveTo>
                                <a:lnTo>
                                  <a:pt x="0" y="123"/>
                                </a:lnTo>
                                <a:lnTo>
                                  <a:pt x="0" y="75"/>
                                </a:lnTo>
                                <a:lnTo>
                                  <a:pt x="12" y="75"/>
                                </a:lnTo>
                                <a:lnTo>
                                  <a:pt x="12" y="123"/>
                                </a:lnTo>
                                <a:close/>
                                <a:moveTo>
                                  <a:pt x="12" y="207"/>
                                </a:moveTo>
                                <a:lnTo>
                                  <a:pt x="0" y="207"/>
                                </a:lnTo>
                                <a:lnTo>
                                  <a:pt x="0" y="159"/>
                                </a:lnTo>
                                <a:lnTo>
                                  <a:pt x="12" y="159"/>
                                </a:lnTo>
                                <a:lnTo>
                                  <a:pt x="12" y="207"/>
                                </a:lnTo>
                                <a:close/>
                                <a:moveTo>
                                  <a:pt x="12" y="291"/>
                                </a:moveTo>
                                <a:lnTo>
                                  <a:pt x="0" y="291"/>
                                </a:lnTo>
                                <a:lnTo>
                                  <a:pt x="0" y="243"/>
                                </a:lnTo>
                                <a:lnTo>
                                  <a:pt x="12" y="243"/>
                                </a:lnTo>
                                <a:lnTo>
                                  <a:pt x="12" y="291"/>
                                </a:lnTo>
                                <a:close/>
                                <a:moveTo>
                                  <a:pt x="12" y="375"/>
                                </a:moveTo>
                                <a:lnTo>
                                  <a:pt x="0" y="375"/>
                                </a:lnTo>
                                <a:lnTo>
                                  <a:pt x="0" y="327"/>
                                </a:lnTo>
                                <a:lnTo>
                                  <a:pt x="12" y="327"/>
                                </a:lnTo>
                                <a:lnTo>
                                  <a:pt x="12" y="375"/>
                                </a:lnTo>
                                <a:close/>
                                <a:moveTo>
                                  <a:pt x="22" y="449"/>
                                </a:moveTo>
                                <a:lnTo>
                                  <a:pt x="6" y="449"/>
                                </a:lnTo>
                                <a:lnTo>
                                  <a:pt x="4" y="449"/>
                                </a:lnTo>
                                <a:lnTo>
                                  <a:pt x="2" y="448"/>
                                </a:lnTo>
                                <a:lnTo>
                                  <a:pt x="0" y="446"/>
                                </a:lnTo>
                                <a:lnTo>
                                  <a:pt x="0" y="443"/>
                                </a:lnTo>
                                <a:lnTo>
                                  <a:pt x="0" y="411"/>
                                </a:lnTo>
                                <a:lnTo>
                                  <a:pt x="12" y="411"/>
                                </a:lnTo>
                                <a:lnTo>
                                  <a:pt x="12" y="437"/>
                                </a:lnTo>
                                <a:lnTo>
                                  <a:pt x="6" y="437"/>
                                </a:lnTo>
                                <a:lnTo>
                                  <a:pt x="12" y="443"/>
                                </a:lnTo>
                                <a:lnTo>
                                  <a:pt x="22" y="443"/>
                                </a:lnTo>
                                <a:lnTo>
                                  <a:pt x="22" y="449"/>
                                </a:lnTo>
                                <a:close/>
                                <a:moveTo>
                                  <a:pt x="12" y="443"/>
                                </a:moveTo>
                                <a:lnTo>
                                  <a:pt x="6" y="437"/>
                                </a:lnTo>
                                <a:lnTo>
                                  <a:pt x="12" y="437"/>
                                </a:lnTo>
                                <a:lnTo>
                                  <a:pt x="12" y="443"/>
                                </a:lnTo>
                                <a:close/>
                                <a:moveTo>
                                  <a:pt x="22" y="443"/>
                                </a:moveTo>
                                <a:lnTo>
                                  <a:pt x="12" y="443"/>
                                </a:lnTo>
                                <a:lnTo>
                                  <a:pt x="12" y="437"/>
                                </a:lnTo>
                                <a:lnTo>
                                  <a:pt x="22" y="437"/>
                                </a:lnTo>
                                <a:lnTo>
                                  <a:pt x="22" y="443"/>
                                </a:lnTo>
                                <a:close/>
                                <a:moveTo>
                                  <a:pt x="106" y="449"/>
                                </a:moveTo>
                                <a:lnTo>
                                  <a:pt x="58" y="449"/>
                                </a:lnTo>
                                <a:lnTo>
                                  <a:pt x="58" y="437"/>
                                </a:lnTo>
                                <a:lnTo>
                                  <a:pt x="106" y="437"/>
                                </a:lnTo>
                                <a:lnTo>
                                  <a:pt x="106" y="449"/>
                                </a:lnTo>
                                <a:close/>
                                <a:moveTo>
                                  <a:pt x="190" y="449"/>
                                </a:moveTo>
                                <a:lnTo>
                                  <a:pt x="142" y="449"/>
                                </a:lnTo>
                                <a:lnTo>
                                  <a:pt x="142" y="437"/>
                                </a:lnTo>
                                <a:lnTo>
                                  <a:pt x="190" y="437"/>
                                </a:lnTo>
                                <a:lnTo>
                                  <a:pt x="190" y="449"/>
                                </a:lnTo>
                                <a:close/>
                                <a:moveTo>
                                  <a:pt x="274" y="449"/>
                                </a:moveTo>
                                <a:lnTo>
                                  <a:pt x="226" y="449"/>
                                </a:lnTo>
                                <a:lnTo>
                                  <a:pt x="226" y="437"/>
                                </a:lnTo>
                                <a:lnTo>
                                  <a:pt x="274" y="437"/>
                                </a:lnTo>
                                <a:lnTo>
                                  <a:pt x="274" y="449"/>
                                </a:lnTo>
                                <a:close/>
                                <a:moveTo>
                                  <a:pt x="358" y="449"/>
                                </a:moveTo>
                                <a:lnTo>
                                  <a:pt x="310" y="449"/>
                                </a:lnTo>
                                <a:lnTo>
                                  <a:pt x="310" y="437"/>
                                </a:lnTo>
                                <a:lnTo>
                                  <a:pt x="358" y="437"/>
                                </a:lnTo>
                                <a:lnTo>
                                  <a:pt x="358" y="449"/>
                                </a:lnTo>
                                <a:close/>
                                <a:moveTo>
                                  <a:pt x="442" y="449"/>
                                </a:moveTo>
                                <a:lnTo>
                                  <a:pt x="394" y="449"/>
                                </a:lnTo>
                                <a:lnTo>
                                  <a:pt x="394" y="437"/>
                                </a:lnTo>
                                <a:lnTo>
                                  <a:pt x="442" y="437"/>
                                </a:lnTo>
                                <a:lnTo>
                                  <a:pt x="442" y="449"/>
                                </a:lnTo>
                                <a:close/>
                                <a:moveTo>
                                  <a:pt x="526" y="449"/>
                                </a:moveTo>
                                <a:lnTo>
                                  <a:pt x="478" y="449"/>
                                </a:lnTo>
                                <a:lnTo>
                                  <a:pt x="478" y="437"/>
                                </a:lnTo>
                                <a:lnTo>
                                  <a:pt x="526" y="437"/>
                                </a:lnTo>
                                <a:lnTo>
                                  <a:pt x="526" y="449"/>
                                </a:lnTo>
                                <a:close/>
                                <a:moveTo>
                                  <a:pt x="610" y="449"/>
                                </a:moveTo>
                                <a:lnTo>
                                  <a:pt x="562" y="449"/>
                                </a:lnTo>
                                <a:lnTo>
                                  <a:pt x="562" y="437"/>
                                </a:lnTo>
                                <a:lnTo>
                                  <a:pt x="610" y="437"/>
                                </a:lnTo>
                                <a:lnTo>
                                  <a:pt x="610" y="449"/>
                                </a:lnTo>
                                <a:close/>
                                <a:moveTo>
                                  <a:pt x="694" y="449"/>
                                </a:moveTo>
                                <a:lnTo>
                                  <a:pt x="646" y="449"/>
                                </a:lnTo>
                                <a:lnTo>
                                  <a:pt x="646" y="437"/>
                                </a:lnTo>
                                <a:lnTo>
                                  <a:pt x="694" y="437"/>
                                </a:lnTo>
                                <a:lnTo>
                                  <a:pt x="694" y="449"/>
                                </a:lnTo>
                                <a:close/>
                                <a:moveTo>
                                  <a:pt x="778" y="449"/>
                                </a:moveTo>
                                <a:lnTo>
                                  <a:pt x="730" y="449"/>
                                </a:lnTo>
                                <a:lnTo>
                                  <a:pt x="730" y="437"/>
                                </a:lnTo>
                                <a:lnTo>
                                  <a:pt x="778" y="437"/>
                                </a:lnTo>
                                <a:lnTo>
                                  <a:pt x="778" y="449"/>
                                </a:lnTo>
                                <a:close/>
                                <a:moveTo>
                                  <a:pt x="862" y="449"/>
                                </a:moveTo>
                                <a:lnTo>
                                  <a:pt x="814" y="449"/>
                                </a:lnTo>
                                <a:lnTo>
                                  <a:pt x="814" y="437"/>
                                </a:lnTo>
                                <a:lnTo>
                                  <a:pt x="862" y="437"/>
                                </a:lnTo>
                                <a:lnTo>
                                  <a:pt x="862" y="449"/>
                                </a:lnTo>
                                <a:close/>
                                <a:moveTo>
                                  <a:pt x="946" y="449"/>
                                </a:moveTo>
                                <a:lnTo>
                                  <a:pt x="898" y="449"/>
                                </a:lnTo>
                                <a:lnTo>
                                  <a:pt x="898" y="437"/>
                                </a:lnTo>
                                <a:lnTo>
                                  <a:pt x="946" y="437"/>
                                </a:lnTo>
                                <a:lnTo>
                                  <a:pt x="946" y="449"/>
                                </a:lnTo>
                                <a:close/>
                                <a:moveTo>
                                  <a:pt x="1030" y="449"/>
                                </a:moveTo>
                                <a:lnTo>
                                  <a:pt x="982" y="449"/>
                                </a:lnTo>
                                <a:lnTo>
                                  <a:pt x="982" y="437"/>
                                </a:lnTo>
                                <a:lnTo>
                                  <a:pt x="1030" y="437"/>
                                </a:lnTo>
                                <a:lnTo>
                                  <a:pt x="1030" y="449"/>
                                </a:lnTo>
                                <a:close/>
                                <a:moveTo>
                                  <a:pt x="1114" y="449"/>
                                </a:moveTo>
                                <a:lnTo>
                                  <a:pt x="1066" y="449"/>
                                </a:lnTo>
                                <a:lnTo>
                                  <a:pt x="1066" y="437"/>
                                </a:lnTo>
                                <a:lnTo>
                                  <a:pt x="1114" y="437"/>
                                </a:lnTo>
                                <a:lnTo>
                                  <a:pt x="1114" y="449"/>
                                </a:lnTo>
                                <a:close/>
                                <a:moveTo>
                                  <a:pt x="1198" y="449"/>
                                </a:moveTo>
                                <a:lnTo>
                                  <a:pt x="1150" y="449"/>
                                </a:lnTo>
                                <a:lnTo>
                                  <a:pt x="1150" y="437"/>
                                </a:lnTo>
                                <a:lnTo>
                                  <a:pt x="1198" y="437"/>
                                </a:lnTo>
                                <a:lnTo>
                                  <a:pt x="1198" y="449"/>
                                </a:lnTo>
                                <a:close/>
                                <a:moveTo>
                                  <a:pt x="1281" y="449"/>
                                </a:moveTo>
                                <a:lnTo>
                                  <a:pt x="1234" y="449"/>
                                </a:lnTo>
                                <a:lnTo>
                                  <a:pt x="1234" y="437"/>
                                </a:lnTo>
                                <a:lnTo>
                                  <a:pt x="1275" y="437"/>
                                </a:lnTo>
                                <a:lnTo>
                                  <a:pt x="1275" y="443"/>
                                </a:lnTo>
                                <a:lnTo>
                                  <a:pt x="1287" y="443"/>
                                </a:lnTo>
                                <a:lnTo>
                                  <a:pt x="1287" y="446"/>
                                </a:lnTo>
                                <a:lnTo>
                                  <a:pt x="1285" y="448"/>
                                </a:lnTo>
                                <a:lnTo>
                                  <a:pt x="1283" y="449"/>
                                </a:lnTo>
                                <a:lnTo>
                                  <a:pt x="1281" y="449"/>
                                </a:lnTo>
                                <a:close/>
                                <a:moveTo>
                                  <a:pt x="1275" y="443"/>
                                </a:moveTo>
                                <a:lnTo>
                                  <a:pt x="1275" y="437"/>
                                </a:lnTo>
                                <a:lnTo>
                                  <a:pt x="1281" y="437"/>
                                </a:lnTo>
                                <a:lnTo>
                                  <a:pt x="1275" y="443"/>
                                </a:lnTo>
                                <a:close/>
                                <a:moveTo>
                                  <a:pt x="1287" y="443"/>
                                </a:moveTo>
                                <a:lnTo>
                                  <a:pt x="1275" y="443"/>
                                </a:lnTo>
                                <a:lnTo>
                                  <a:pt x="1276" y="442"/>
                                </a:lnTo>
                                <a:lnTo>
                                  <a:pt x="1287" y="442"/>
                                </a:lnTo>
                                <a:lnTo>
                                  <a:pt x="1287" y="443"/>
                                </a:lnTo>
                                <a:close/>
                                <a:moveTo>
                                  <a:pt x="1287" y="406"/>
                                </a:moveTo>
                                <a:lnTo>
                                  <a:pt x="1275" y="406"/>
                                </a:lnTo>
                                <a:lnTo>
                                  <a:pt x="1275" y="358"/>
                                </a:lnTo>
                                <a:lnTo>
                                  <a:pt x="1287" y="358"/>
                                </a:lnTo>
                                <a:lnTo>
                                  <a:pt x="1287" y="406"/>
                                </a:lnTo>
                                <a:close/>
                                <a:moveTo>
                                  <a:pt x="1287" y="322"/>
                                </a:moveTo>
                                <a:lnTo>
                                  <a:pt x="1275" y="322"/>
                                </a:lnTo>
                                <a:lnTo>
                                  <a:pt x="1275" y="274"/>
                                </a:lnTo>
                                <a:lnTo>
                                  <a:pt x="1287" y="274"/>
                                </a:lnTo>
                                <a:lnTo>
                                  <a:pt x="1287" y="322"/>
                                </a:lnTo>
                                <a:close/>
                                <a:moveTo>
                                  <a:pt x="1287" y="238"/>
                                </a:moveTo>
                                <a:lnTo>
                                  <a:pt x="1275" y="238"/>
                                </a:lnTo>
                                <a:lnTo>
                                  <a:pt x="1275" y="190"/>
                                </a:lnTo>
                                <a:lnTo>
                                  <a:pt x="1287" y="190"/>
                                </a:lnTo>
                                <a:lnTo>
                                  <a:pt x="1287" y="238"/>
                                </a:lnTo>
                                <a:close/>
                                <a:moveTo>
                                  <a:pt x="1287" y="154"/>
                                </a:moveTo>
                                <a:lnTo>
                                  <a:pt x="1275" y="154"/>
                                </a:lnTo>
                                <a:lnTo>
                                  <a:pt x="1275" y="106"/>
                                </a:lnTo>
                                <a:lnTo>
                                  <a:pt x="1287" y="106"/>
                                </a:lnTo>
                                <a:lnTo>
                                  <a:pt x="1287" y="154"/>
                                </a:lnTo>
                                <a:close/>
                                <a:moveTo>
                                  <a:pt x="1287" y="70"/>
                                </a:moveTo>
                                <a:lnTo>
                                  <a:pt x="1275" y="70"/>
                                </a:lnTo>
                                <a:lnTo>
                                  <a:pt x="1275" y="22"/>
                                </a:lnTo>
                                <a:lnTo>
                                  <a:pt x="1287" y="22"/>
                                </a:lnTo>
                                <a:lnTo>
                                  <a:pt x="1287" y="70"/>
                                </a:lnTo>
                                <a:close/>
                              </a:path>
                            </a:pathLst>
                          </a:custGeom>
                          <a:solidFill>
                            <a:srgbClr val="000000"/>
                          </a:solidFill>
                          <a:ln>
                            <a:noFill/>
                          </a:ln>
                        </wps:spPr>
                        <wps:bodyPr upright="1"/>
                      </wps:wsp>
                      <wps:wsp>
                        <wps:cNvPr id="149" name="文本框 129"/>
                        <wps:cNvSpPr txBox="1"/>
                        <wps:spPr>
                          <a:xfrm>
                            <a:off x="5104" y="3896"/>
                            <a:ext cx="1275" cy="437"/>
                          </a:xfrm>
                          <a:prstGeom prst="rect">
                            <a:avLst/>
                          </a:prstGeom>
                          <a:noFill/>
                          <a:ln>
                            <a:noFill/>
                          </a:ln>
                        </wps:spPr>
                        <wps:txbx>
                          <w:txbxContent>
                            <w:p>
                              <w:pPr>
                                <w:spacing w:before="98"/>
                                <w:ind w:left="407" w:right="407" w:firstLine="0"/>
                                <w:jc w:val="center"/>
                                <w:rPr>
                                  <w:sz w:val="21"/>
                                </w:rPr>
                              </w:pPr>
                              <w:r>
                                <w:rPr>
                                  <w:sz w:val="21"/>
                                </w:rPr>
                                <w:t>油脂</w:t>
                              </w:r>
                            </w:p>
                          </w:txbxContent>
                        </wps:txbx>
                        <wps:bodyPr lIns="0" tIns="0" rIns="0" bIns="0" upright="1"/>
                      </wps:wsp>
                      <wps:wsp>
                        <wps:cNvPr id="150" name="文本框 130"/>
                        <wps:cNvSpPr txBox="1"/>
                        <wps:spPr>
                          <a:xfrm>
                            <a:off x="5104" y="3070"/>
                            <a:ext cx="1229" cy="437"/>
                          </a:xfrm>
                          <a:prstGeom prst="rect">
                            <a:avLst/>
                          </a:prstGeom>
                          <a:noFill/>
                          <a:ln>
                            <a:noFill/>
                          </a:ln>
                        </wps:spPr>
                        <wps:txbx>
                          <w:txbxContent>
                            <w:p>
                              <w:pPr>
                                <w:spacing w:before="98"/>
                                <w:ind w:left="300" w:right="0" w:firstLine="0"/>
                                <w:jc w:val="left"/>
                                <w:rPr>
                                  <w:sz w:val="21"/>
                                </w:rPr>
                              </w:pPr>
                              <w:r>
                                <w:rPr>
                                  <w:sz w:val="21"/>
                                </w:rPr>
                                <w:t>肉骨粉</w:t>
                              </w:r>
                            </w:p>
                          </w:txbxContent>
                        </wps:txbx>
                        <wps:bodyPr lIns="0" tIns="0" rIns="0" bIns="0" upright="1"/>
                      </wps:wsp>
                      <wps:wsp>
                        <wps:cNvPr id="151" name="文本框 131"/>
                        <wps:cNvSpPr txBox="1"/>
                        <wps:spPr>
                          <a:xfrm>
                            <a:off x="5076" y="956"/>
                            <a:ext cx="1140" cy="437"/>
                          </a:xfrm>
                          <a:prstGeom prst="rect">
                            <a:avLst/>
                          </a:prstGeom>
                          <a:noFill/>
                          <a:ln>
                            <a:noFill/>
                          </a:ln>
                        </wps:spPr>
                        <wps:txbx>
                          <w:txbxContent>
                            <w:p>
                              <w:pPr>
                                <w:spacing w:before="98"/>
                                <w:ind w:left="360" w:right="0" w:firstLine="0"/>
                                <w:jc w:val="left"/>
                                <w:rPr>
                                  <w:sz w:val="21"/>
                                </w:rPr>
                              </w:pPr>
                              <w:r>
                                <w:rPr>
                                  <w:sz w:val="21"/>
                                </w:rPr>
                                <w:t>废气</w:t>
                              </w:r>
                            </w:p>
                          </w:txbxContent>
                        </wps:txbx>
                        <wps:bodyPr lIns="0" tIns="0" rIns="0" bIns="0" upright="1"/>
                      </wps:wsp>
                    </wpg:wgp>
                  </a:graphicData>
                </a:graphic>
              </wp:anchor>
            </w:drawing>
          </mc:Choice>
          <mc:Fallback>
            <w:pict>
              <v:group id="组合 121" o:spid="_x0000_s1026" o:spt="203" style="position:absolute;left:0pt;margin-left:126.15pt;margin-top:9.1pt;height:257.25pt;width:321.7pt;mso-position-horizontal-relative:page;mso-wrap-distance-bottom:0pt;mso-wrap-distance-top:0pt;z-index:-251583488;mso-width-relative:page;mso-height-relative:page;" coordorigin="2524,182" coordsize="6434,5145" o:gfxdata="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">
                <o:lock v:ext="edit" aspectratio="f"/>
                <v:shape id="图片 122" o:spid="_x0000_s1026" o:spt="75" type="#_x0000_t75" style="position:absolute;left:2523;top:182;height:5145;width:6434;" filled="f" o:preferrelative="t" stroked="f" coordsize="21600,21600" o:gfxdata="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tysLsAAADc&#10;AAAADwAAAAAAAAABACAAAAAiAAAAZHJzL2Rvd25yZXYueG1sUEsBAhQAFAAAAAgAh07iQDMvBZ47&#10;AAAAOQAAABAAAAAAAAAAAQAgAAAACgEAAGRycy9zaGFwZXhtbC54bWxQSwUGAAAAAAYABgBbAQAA&#10;tAMAAAAA&#10;">
                  <v:fill on="f" focussize="0,0"/>
                  <v:stroke on="f"/>
                  <v:imagedata r:id="rId37" o:title=""/>
                  <o:lock v:ext="edit" aspectratio="t"/>
                </v:shape>
                <v:rect id="矩形 123" o:spid="_x0000_s1026" o:spt="1" style="position:absolute;left:5076;top:956;height:437;width:1140;" fillcolor="#FFFFFF" filled="t" stroked="f" coordsize="21600,21600" o:gfxdata="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oAK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124" o:spid="_x0000_s1026" o:spt="100" style="position:absolute;left:5069;top:950;height:449;width:1152;" fillcolor="#000000" filled="t" stroked="f" coordsize="1152,449" o:gfxdata="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QAn+8AAAA&#10;3AAAAA8AAAAAAAAAAQAgAAAAIgAAAGRycy9kb3ducmV2LnhtbFBLAQIUABQAAAAIAIdO4kAzLwWe&#10;OwAAADkAAAAQAAAAAAAAAAEAIAAAAAsBAABkcnMvc2hhcGV4bWwueG1sUEsFBgAAAAAGAAYAWwEA&#10;ALUDAAAAAA==&#10;" path="m1140,12l1098,12,1098,0,1146,0,1146,6,1140,6,1140,12xm1152,52l1140,52,1140,6,1146,6,1146,12,1152,12,1152,52xm1152,12l1146,12,1146,6,1152,6,1152,12xm1062,12l1014,12,1014,0,1062,0,1062,12xm978,12l930,12,930,0,978,0,978,12xm894,12l846,12,846,0,894,0,894,12xm810,12l762,12,762,0,810,0,810,12xm726,12l678,12,678,0,726,0,726,12xm642,12l594,12,594,0,642,0,642,12xm558,12l510,12,510,0,558,0,558,12xm474,12l426,12,426,0,474,0,474,12xm390,12l342,12,342,0,390,0,390,12xm306,12l258,12,258,0,306,0,306,12xm222,12l174,12,174,0,222,0,222,12xm138,12l90,12,90,0,138,0,138,12xm54,12l6,12,6,0,54,0,54,12xm12,90l0,90,0,42,12,42,12,90xm12,174l0,174,0,126,12,126,12,174xm12,258l0,258,0,210,12,210,12,258xm12,342l0,342,0,294,12,294,12,342xm12,426l0,426,0,378,12,378,12,426xm73,449l25,449,25,437,73,437,73,449xm157,449l109,449,109,437,157,437,157,449xm241,449l193,449,193,437,241,437,241,449xm325,449l277,449,277,437,325,437,325,449xm409,449l361,449,361,437,409,437,409,449xm493,449l445,449,445,437,493,437,493,449xm577,449l529,449,529,437,577,437,577,449xm661,449l613,449,613,437,661,437,661,449xm745,449l697,449,697,437,745,437,745,449xm829,449l781,449,781,437,829,437,829,449xm913,449l865,449,865,437,913,437,913,449xm997,449l949,449,949,437,997,437,997,449xm1081,449l1033,449,1033,437,1081,437,1081,449xm1140,443l1140,424,1152,424,1152,437,1146,437,1140,443xm1146,449l1117,449,1117,437,1140,437,1140,443,1152,443,1152,446,1150,448,1148,449,1146,449xm1152,443l1140,443,1146,437,1152,437,1152,443xm1152,388l1140,388,1140,340,1152,340,1152,388xm1152,304l1140,304,1140,256,1152,256,1152,304xm1152,220l1140,220,1140,172,1152,172,1152,220xm1152,136l1140,136,1140,88,1152,88,1152,136xe">
                  <v:fill on="t" focussize="0,0"/>
                  <v:stroke on="f"/>
                  <v:imagedata o:title=""/>
                  <o:lock v:ext="edit" aspectratio="f"/>
                </v:shape>
                <v:rect id="矩形 125" o:spid="_x0000_s1026" o:spt="1" style="position:absolute;left:5104;top:3070;height:437;width:1229;" fillcolor="#FFFFFF" filled="t" stroked="f" coordsize="21600,21600" o:gfxdata="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LveW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126" o:spid="_x0000_s1026" o:spt="100" style="position:absolute;left:5099;top:3065;height:449;width:1241;" fillcolor="#000000" filled="t" stroked="f" coordsize="1241,449" o:gfxdata="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btEugAAANwA&#10;AAAPAAAAAAAAAAEAIAAAACIAAABkcnMvZG93bnJldi54bWxQSwECFAAUAAAACACHTuJAMy8FnjsA&#10;AAA5AAAAEAAAAAAAAAABACAAAAAJAQAAZHJzL3NoYXBleG1sLnhtbFBLBQYAAAAABgAGAFsBAACz&#10;AwAAAAA=&#10;" path="m1235,12l1187,12,1187,0,1235,0,1235,12xm1151,12l1103,12,1103,0,1151,0,1151,12xm1067,12l1019,12,1019,0,1067,0,1067,12xm983,12l935,12,935,0,983,0,983,12xm899,12l851,12,851,0,899,0,899,12xm815,12l767,12,767,0,815,0,815,12xm731,12l683,12,683,0,731,0,731,12xm647,12l599,12,599,0,647,0,647,12xm563,12l515,12,515,0,563,0,563,12xm479,12l431,12,431,0,479,0,479,12xm395,12l347,12,347,0,395,0,395,12xm311,12l263,12,263,0,311,0,311,12xm227,12l179,12,179,0,227,0,227,12xm143,12l95,12,95,0,143,0,143,12xm59,12l11,12,11,0,59,0,59,12xm12,85l0,85,0,37,12,37,12,85xm12,169l0,169,0,121,12,121,12,169xm12,253l0,253,0,205,12,205,12,253xm12,337l0,337,0,289,12,289,12,337xm12,421l0,421,0,373,12,373,12,421xm68,449l20,449,20,437,68,437,68,449xm152,449l104,449,104,437,152,437,152,449xm236,449l188,449,188,437,236,437,236,449xm320,449l272,449,272,437,320,437,320,449xm404,449l356,449,356,437,404,437,404,449xm488,449l440,449,440,437,488,437,488,449xm572,449l524,449,524,437,572,437,572,449xm656,449l608,449,608,437,656,437,656,449xm740,449l692,449,692,437,740,437,740,449xm824,449l776,449,776,437,824,437,824,449xm908,449l860,449,860,437,908,437,908,449xm992,449l944,449,944,437,992,437,992,449xm1076,449l1028,449,1028,437,1076,437,1076,449xm1160,449l1112,449,1112,437,1160,437,1160,449xm1229,443l1229,434,1241,434,1241,437,1235,437,1229,443xm1235,449l1196,449,1196,437,1229,437,1229,443,1241,443,1241,446,1239,448,1237,449,1235,449xm1241,443l1229,443,1235,437,1241,437,1241,443xm1241,398l1229,398,1229,350,1241,350,1241,398xm1241,314l1229,314,1229,266,1241,266,1241,314xm1241,230l1229,230,1229,182,1241,182,1241,230xm1241,146l1229,146,1229,98,1241,98,1241,146xm1241,62l1229,62,1229,14,1241,14,1241,62xe">
                  <v:fill on="t" focussize="0,0"/>
                  <v:stroke on="f"/>
                  <v:imagedata o:title=""/>
                  <o:lock v:ext="edit" aspectratio="f"/>
                </v:shape>
                <v:rect id="矩形 127" o:spid="_x0000_s1026" o:spt="1" style="position:absolute;left:5104;top:3896;height:437;width:1275;" fillcolor="#FFFFFF" filled="t" stroked="f" coordsize="21600,21600" o:gfxdata="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1YYJ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8" o:spid="_x0000_s1026" o:spt="100" style="position:absolute;left:5099;top:3890;height:449;width:1287;" fillcolor="#000000" filled="t" stroked="f" coordsize="1287,449" o:gfxdata="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2czy/&#10;AAAA3AAAAA8AAAAAAAAAAQAgAAAAIgAAAGRycy9kb3ducmV2LnhtbFBLAQIUABQAAAAIAIdO4kAz&#10;LwWeOwAAADkAAAAQAAAAAAAAAAEAIAAAAA4BAABkcnMvc2hhcGV4bWwueG1sUEsFBgAAAAAGAAYA&#10;WwEAALgDAAAAAA==&#10;" path="m1281,12l1233,12,1233,0,1281,0,1281,12xm1197,12l1149,12,1149,0,1197,0,1197,12xm1113,12l1065,12,1065,0,1113,0,1113,12xm1029,12l981,12,981,0,1029,0,1029,12xm945,12l897,12,897,0,945,0,945,12xm861,12l813,12,813,0,861,0,861,12xm777,12l729,12,729,0,777,0,777,12xm693,12l645,12,645,0,693,0,693,12xm609,12l561,12,561,0,609,0,609,12xm525,12l477,12,477,0,525,0,525,12xm441,12l393,12,393,0,441,0,441,12xm357,12l309,12,309,0,357,0,357,12xm273,12l225,12,225,0,273,0,273,12xm189,12l141,12,141,0,189,0,189,12xm105,12l57,12,57,0,105,0,105,12xm12,39l0,39,0,6,0,4,2,2,4,1,6,0,21,0,21,6,12,6,6,12,12,12,12,39xm12,12l6,12,12,6,12,12xm21,12l12,12,12,6,21,6,21,12xm12,123l0,123,0,75,12,75,12,123xm12,207l0,207,0,159,12,159,12,207xm12,291l0,291,0,243,12,243,12,291xm12,375l0,375,0,327,12,327,12,375xm22,449l6,449,4,449,2,448,0,446,0,443,0,411,12,411,12,437,6,437,12,443,22,443,22,449xm12,443l6,437,12,437,12,443xm22,443l12,443,12,437,22,437,22,443xm106,449l58,449,58,437,106,437,106,449xm190,449l142,449,142,437,190,437,190,449xm274,449l226,449,226,437,274,437,274,449xm358,449l310,449,310,437,358,437,358,449xm442,449l394,449,394,437,442,437,442,449xm526,449l478,449,478,437,526,437,526,449xm610,449l562,449,562,437,610,437,610,449xm694,449l646,449,646,437,694,437,694,449xm778,449l730,449,730,437,778,437,778,449xm862,449l814,449,814,437,862,437,862,449xm946,449l898,449,898,437,946,437,946,449xm1030,449l982,449,982,437,1030,437,1030,449xm1114,449l1066,449,1066,437,1114,437,1114,449xm1198,449l1150,449,1150,437,1198,437,1198,449xm1281,449l1234,449,1234,437,1275,437,1275,443,1287,443,1287,446,1285,448,1283,449,1281,449xm1275,443l1275,437,1281,437,1275,443xm1287,443l1275,443,1276,442,1287,442,1287,443xm1287,406l1275,406,1275,358,1287,358,1287,406xm1287,322l1275,322,1275,274,1287,274,1287,322xm1287,238l1275,238,1275,190,1287,190,1287,238xm1287,154l1275,154,1275,106,1287,106,1287,154xm1287,70l1275,70,1275,22,1287,22,1287,70xe">
                  <v:fill on="t" focussize="0,0"/>
                  <v:stroke on="f"/>
                  <v:imagedata o:title=""/>
                  <o:lock v:ext="edit" aspectratio="f"/>
                </v:shape>
                <v:shape id="文本框 129" o:spid="_x0000_s1026" o:spt="202" type="#_x0000_t202" style="position:absolute;left:5104;top:3896;height:437;width:1275;"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98"/>
                          <w:ind w:left="407" w:right="407" w:firstLine="0"/>
                          <w:jc w:val="center"/>
                          <w:rPr>
                            <w:sz w:val="21"/>
                          </w:rPr>
                        </w:pPr>
                        <w:r>
                          <w:rPr>
                            <w:sz w:val="21"/>
                          </w:rPr>
                          <w:t>油脂</w:t>
                        </w:r>
                      </w:p>
                    </w:txbxContent>
                  </v:textbox>
                </v:shape>
                <v:shape id="文本框 130" o:spid="_x0000_s1026" o:spt="202" type="#_x0000_t202" style="position:absolute;left:5104;top:3070;height:437;width:1229;"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8"/>
                          <w:ind w:left="300" w:right="0" w:firstLine="0"/>
                          <w:jc w:val="left"/>
                          <w:rPr>
                            <w:sz w:val="21"/>
                          </w:rPr>
                        </w:pPr>
                        <w:r>
                          <w:rPr>
                            <w:sz w:val="21"/>
                          </w:rPr>
                          <w:t>肉骨粉</w:t>
                        </w:r>
                      </w:p>
                    </w:txbxContent>
                  </v:textbox>
                </v:shape>
                <v:shape id="文本框 131" o:spid="_x0000_s1026" o:spt="202" type="#_x0000_t202" style="position:absolute;left:5076;top:956;height:437;width:1140;"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98"/>
                          <w:ind w:left="360" w:right="0" w:firstLine="0"/>
                          <w:jc w:val="left"/>
                          <w:rPr>
                            <w:sz w:val="21"/>
                          </w:rPr>
                        </w:pPr>
                        <w:r>
                          <w:rPr>
                            <w:sz w:val="21"/>
                          </w:rPr>
                          <w:t>废气</w:t>
                        </w:r>
                      </w:p>
                    </w:txbxContent>
                  </v:textbox>
                </v:shape>
                <w10:wrap type="topAndBottom"/>
              </v:group>
            </w:pict>
          </mc:Fallback>
        </mc:AlternateContent>
      </w:r>
    </w:p>
    <w:p>
      <w:pPr>
        <w:pStyle w:val="7"/>
        <w:bidi w:val="0"/>
        <w:jc w:val="center"/>
      </w:pPr>
      <w:r>
        <w:t>图</w:t>
      </w:r>
      <w:r>
        <w:rPr>
          <w:rFonts w:ascii="Times New Roman" w:eastAsia="Times New Roman"/>
        </w:rPr>
        <w:t>3.1-8</w:t>
      </w:r>
      <w:r>
        <w:rPr>
          <w:rFonts w:ascii="Times New Roman" w:eastAsia="Times New Roman"/>
        </w:rPr>
        <w:tab/>
      </w:r>
      <w:r>
        <w:t>病死畜禽无害化处理工艺流程图</w:t>
      </w:r>
    </w:p>
    <w:p>
      <w:pPr>
        <w:pStyle w:val="7"/>
        <w:spacing w:before="161" w:line="364" w:lineRule="auto"/>
        <w:ind w:right="577" w:firstLine="480"/>
      </w:pPr>
      <w:r>
        <w:t>项目区拟建病死畜禽无害化处理车间，并购进畜禽无害化处理</w:t>
      </w:r>
      <w:r>
        <w:rPr>
          <w:rFonts w:ascii="Times New Roman" w:eastAsia="Times New Roman"/>
        </w:rPr>
        <w:t>1</w:t>
      </w:r>
      <w:r>
        <w:t>吨</w:t>
      </w:r>
      <w:r>
        <w:rPr>
          <w:rFonts w:ascii="Times New Roman" w:eastAsia="Times New Roman"/>
        </w:rPr>
        <w:t>/</w:t>
      </w:r>
      <w:r>
        <w:t>次成套设备。</w:t>
      </w:r>
    </w:p>
    <w:p>
      <w:pPr>
        <w:pStyle w:val="17"/>
        <w:numPr>
          <w:ilvl w:val="0"/>
          <w:numId w:val="22"/>
        </w:numPr>
        <w:tabs>
          <w:tab w:val="left" w:pos="1621"/>
        </w:tabs>
        <w:spacing w:before="1" w:after="0" w:line="240" w:lineRule="auto"/>
        <w:ind w:left="1621" w:right="0" w:hanging="601"/>
        <w:jc w:val="left"/>
        <w:rPr>
          <w:sz w:val="24"/>
        </w:rPr>
      </w:pPr>
      <w:r>
        <w:rPr>
          <w:sz w:val="24"/>
        </w:rPr>
        <w:t>工艺原理：</w:t>
      </w:r>
    </w:p>
    <w:p>
      <w:pPr>
        <w:pStyle w:val="7"/>
        <w:spacing w:before="143" w:line="364" w:lineRule="auto"/>
        <w:ind w:right="457"/>
      </w:pPr>
      <w:r>
        <w:t>干化法畜禽无害化处理方式是将病死羊、胎盘等通过无害化处理成套设备碎</w:t>
      </w:r>
      <w:r>
        <w:rPr>
          <w:spacing w:val="-6"/>
        </w:rPr>
        <w:t>化处理后输送至密闭容器内，在不断搅拌的同时，通过在夹层导入高温循环热源</w:t>
      </w:r>
      <w:r>
        <w:rPr>
          <w:spacing w:val="-10"/>
        </w:rPr>
        <w:t>对病死畜禽尸肉进行高温高压灭菌处理的工艺技术，处理工程中热源不直接接触</w:t>
      </w:r>
      <w:r>
        <w:rPr>
          <w:spacing w:val="-18"/>
        </w:rPr>
        <w:t>病死动物尸肉，利用动物体内水分加热汽化产生压力，化制完成后通过真空干燥、</w:t>
      </w:r>
      <w:r>
        <w:rPr>
          <w:spacing w:val="-10"/>
        </w:rPr>
        <w:t>脱脂、冷却、粉碎等工序，最终得到肉骨粉干品和工业用油脂，是目前国际上最被认可的处理方式。</w:t>
      </w:r>
    </w:p>
    <w:p>
      <w:pPr>
        <w:pStyle w:val="17"/>
        <w:numPr>
          <w:ilvl w:val="0"/>
          <w:numId w:val="22"/>
        </w:numPr>
        <w:tabs>
          <w:tab w:val="left" w:pos="1621"/>
        </w:tabs>
        <w:spacing w:before="3" w:after="0" w:line="240" w:lineRule="auto"/>
        <w:ind w:left="1621" w:right="0" w:hanging="601"/>
        <w:jc w:val="left"/>
        <w:rPr>
          <w:sz w:val="24"/>
        </w:rPr>
      </w:pPr>
      <w:r>
        <w:rPr>
          <w:sz w:val="24"/>
        </w:rPr>
        <w:t>工艺流程说明：</w:t>
      </w:r>
    </w:p>
    <w:p>
      <w:pPr>
        <w:pStyle w:val="7"/>
        <w:spacing w:before="160" w:line="364" w:lineRule="auto"/>
        <w:ind w:right="485" w:firstLine="480"/>
      </w:pPr>
      <w:r>
        <w:t>破碎处理：在畜禽无害化处理车间内，病死羊、胎盘等物料输送至喂料斗，直接进入破碎机进行破碎处理；破碎物料颗粒度</w:t>
      </w:r>
      <w:r>
        <w:rPr>
          <w:rFonts w:ascii="Times New Roman" w:eastAsia="Times New Roman"/>
        </w:rPr>
        <w:t>20-30mm</w:t>
      </w:r>
      <w:r>
        <w:t>之间。</w:t>
      </w:r>
    </w:p>
    <w:p>
      <w:pPr>
        <w:pStyle w:val="7"/>
        <w:spacing w:before="1" w:line="364" w:lineRule="auto"/>
        <w:ind w:right="457" w:firstLine="480"/>
      </w:pPr>
      <w:r>
        <w:rPr>
          <w:spacing w:val="-8"/>
        </w:rPr>
        <w:t>化制干燥：破碎处理过的物料通过密闭输送机至化制机内，采用电加热，加</w:t>
      </w:r>
      <w:r>
        <w:rPr>
          <w:spacing w:val="-17"/>
        </w:rPr>
        <w:t>温加压使骨头、皮毛等分解成粉状物料，使物料层压力达到</w:t>
      </w:r>
      <w:r>
        <w:rPr>
          <w:rFonts w:ascii="Times New Roman" w:hAnsi="Times New Roman" w:eastAsia="Times New Roman"/>
        </w:rPr>
        <w:t>0.4mp</w:t>
      </w:r>
      <w:r>
        <w:rPr>
          <w:rFonts w:ascii="Times New Roman" w:hAnsi="Times New Roman" w:eastAsia="Times New Roman"/>
          <w:spacing w:val="-1"/>
        </w:rPr>
        <w:t>a</w:t>
      </w:r>
      <w:r>
        <w:rPr>
          <w:spacing w:val="-31"/>
        </w:rPr>
        <w:t>，温度≥</w:t>
      </w:r>
      <w:r>
        <w:rPr>
          <w:rFonts w:ascii="Times New Roman" w:hAnsi="Times New Roman" w:eastAsia="Times New Roman"/>
          <w:spacing w:val="-3"/>
        </w:rPr>
        <w:t>140</w:t>
      </w:r>
      <w:r>
        <w:rPr>
          <w:spacing w:val="-3"/>
        </w:rPr>
        <w:t>℃，</w:t>
      </w:r>
      <w:r>
        <w:rPr>
          <w:spacing w:val="-5"/>
        </w:rPr>
        <w:t>均匀搅拌灭菌，保持压力</w:t>
      </w:r>
      <w:r>
        <w:rPr>
          <w:rFonts w:ascii="Times New Roman" w:hAnsi="Times New Roman" w:eastAsia="Times New Roman"/>
        </w:rPr>
        <w:t>30min</w:t>
      </w:r>
      <w:r>
        <w:rPr>
          <w:spacing w:val="-3"/>
        </w:rPr>
        <w:t>；开启泄压门，排气泄压，当罐内压力显示为</w:t>
      </w:r>
      <w:r>
        <w:rPr>
          <w:rFonts w:ascii="Times New Roman" w:hAnsi="Times New Roman" w:eastAsia="Times New Roman"/>
        </w:rPr>
        <w:t>0</w:t>
      </w:r>
      <w:r>
        <w:t>时，开启废气冷凝装置，加速物料干燥；配置物料层温度仪，测定物料的温度；</w:t>
      </w:r>
      <w:r>
        <w:rPr>
          <w:spacing w:val="-12"/>
        </w:rPr>
        <w:t>运行时间</w:t>
      </w:r>
      <w:r>
        <w:rPr>
          <w:rFonts w:ascii="Times New Roman" w:hAnsi="Times New Roman" w:eastAsia="Times New Roman"/>
          <w:spacing w:val="-3"/>
        </w:rPr>
        <w:t>40min</w:t>
      </w:r>
      <w:r>
        <w:rPr>
          <w:spacing w:val="-5"/>
        </w:rPr>
        <w:t>，开启出料口卸料。化制干燥过程会产生一定的水蒸气，同时水</w:t>
      </w:r>
      <w:r>
        <w:rPr>
          <w:spacing w:val="-17"/>
        </w:rPr>
        <w:t>蒸气中含有部分恶臭废气。该废气采用集中负压引流，先进行间接冷凝雾化处理，</w:t>
      </w:r>
      <w:r>
        <w:rPr>
          <w:spacing w:val="-3"/>
        </w:rPr>
        <w:t>引至光解除臭装置吸收处理后，经引风机引至</w:t>
      </w:r>
      <w:r>
        <w:rPr>
          <w:rFonts w:ascii="Times New Roman" w:hAnsi="Times New Roman" w:eastAsia="Times New Roman"/>
        </w:rPr>
        <w:t>15m</w:t>
      </w:r>
      <w:r>
        <w:t>高排气筒集中排放，。</w:t>
      </w:r>
    </w:p>
    <w:p>
      <w:pPr>
        <w:pStyle w:val="7"/>
        <w:spacing w:before="5" w:line="364" w:lineRule="auto"/>
        <w:ind w:right="457" w:firstLine="480"/>
      </w:pPr>
      <w:r>
        <w:rPr>
          <w:spacing w:val="-16"/>
        </w:rPr>
        <w:t>压榨处理：干燥后的物料进行压榨脱脂处理，榨汁通过离心泵输送至沉淀罐；</w:t>
      </w:r>
      <w:r>
        <w:t>压榨后的渣饼是油、渣（肉骨粉）的混合料，可出售给肉骨粉干品生产厂。</w:t>
      </w:r>
    </w:p>
    <w:p>
      <w:pPr>
        <w:pStyle w:val="7"/>
        <w:spacing w:before="1" w:line="364" w:lineRule="auto"/>
        <w:ind w:right="457" w:firstLine="480"/>
      </w:pPr>
      <w:r>
        <w:rPr>
          <w:spacing w:val="-9"/>
        </w:rPr>
        <w:t>油脂分离：压榨后的榨汁进入沉淀罐，榨汁通过板框过滤处理，提取后的油</w:t>
      </w:r>
      <w:r>
        <w:rPr>
          <w:spacing w:val="-13"/>
        </w:rPr>
        <w:t>脂含水率低、杂质含量较低、品味较高，输送至油脂储罐，作为化工用油及生物</w:t>
      </w:r>
      <w:r>
        <w:rPr>
          <w:spacing w:val="-22"/>
        </w:rPr>
        <w:t>柴油的原料出售给工业用油脂厂；残渣再次压榨；最后过滤下的废水进入废水槽，</w:t>
      </w:r>
      <w:r>
        <w:t>收集后拉运至</w:t>
      </w:r>
      <w:r>
        <w:rPr>
          <w:rFonts w:hint="eastAsia"/>
          <w:lang w:val="en-US" w:eastAsia="zh-CN"/>
        </w:rPr>
        <w:t>莎车</w:t>
      </w:r>
      <w:r>
        <w:t>县污水处理站处理。</w:t>
      </w:r>
    </w:p>
    <w:p>
      <w:pPr>
        <w:pStyle w:val="7"/>
        <w:spacing w:before="3"/>
        <w:ind w:left="0"/>
        <w:rPr>
          <w:sz w:val="21"/>
        </w:rPr>
      </w:pPr>
    </w:p>
    <w:p>
      <w:pPr>
        <w:pStyle w:val="5"/>
        <w:numPr>
          <w:ilvl w:val="2"/>
          <w:numId w:val="16"/>
        </w:numPr>
        <w:tabs>
          <w:tab w:val="left" w:pos="1241"/>
        </w:tabs>
        <w:spacing w:before="0" w:after="0" w:line="240" w:lineRule="auto"/>
        <w:ind w:left="1240" w:right="0" w:hanging="701"/>
        <w:jc w:val="left"/>
      </w:pPr>
      <w:bookmarkStart w:id="143" w:name="3.1.8 主要生产设备"/>
      <w:bookmarkEnd w:id="143"/>
      <w:bookmarkStart w:id="144" w:name="3.1.8 主要生产设备"/>
      <w:bookmarkEnd w:id="144"/>
      <w:r>
        <w:t>主要生产设备</w:t>
      </w:r>
    </w:p>
    <w:p>
      <w:pPr>
        <w:pStyle w:val="7"/>
        <w:spacing w:before="7"/>
        <w:ind w:left="0"/>
        <w:rPr>
          <w:b/>
          <w:sz w:val="21"/>
        </w:rPr>
      </w:pPr>
    </w:p>
    <w:p>
      <w:pPr>
        <w:pStyle w:val="7"/>
        <w:spacing w:line="364" w:lineRule="auto"/>
        <w:ind w:right="577" w:firstLine="480"/>
      </w:pPr>
      <w:r>
        <w:rPr>
          <w:spacing w:val="-6"/>
        </w:rPr>
        <w:t>本项目主要设备为病死畜禽无害化处理设备、消毒设备和运输车辆等，详见</w:t>
      </w:r>
      <w:r>
        <w:rPr>
          <w:spacing w:val="-20"/>
        </w:rPr>
        <w:t>见表</w:t>
      </w:r>
      <w:r>
        <w:rPr>
          <w:rFonts w:ascii="Times New Roman" w:eastAsia="Times New Roman"/>
        </w:rPr>
        <w:t>3.1-8</w:t>
      </w:r>
      <w:r>
        <w:t>。</w:t>
      </w:r>
    </w:p>
    <w:p>
      <w:pPr>
        <w:pStyle w:val="7"/>
        <w:bidi w:val="0"/>
        <w:jc w:val="center"/>
      </w:pPr>
      <w:r>
        <w:t>表</w:t>
      </w:r>
      <w:r>
        <w:rPr>
          <w:rFonts w:ascii="Times New Roman" w:eastAsia="Times New Roman"/>
        </w:rPr>
        <w:t>3.1-8</w:t>
      </w:r>
      <w:r>
        <w:rPr>
          <w:rFonts w:ascii="Times New Roman" w:eastAsia="Times New Roman"/>
        </w:rPr>
        <w:tab/>
      </w:r>
      <w:r>
        <w:t>项目主要配套设备一览表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7"/>
        <w:gridCol w:w="2896"/>
        <w:gridCol w:w="1220"/>
        <w:gridCol w:w="1570"/>
        <w:gridCol w:w="1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8"/>
              <w:spacing w:before="34"/>
              <w:ind w:left="347" w:right="338"/>
              <w:rPr>
                <w:b/>
                <w:sz w:val="21"/>
              </w:rPr>
            </w:pPr>
            <w:r>
              <w:rPr>
                <w:b/>
                <w:sz w:val="21"/>
              </w:rPr>
              <w:t>序号</w:t>
            </w:r>
          </w:p>
        </w:tc>
        <w:tc>
          <w:tcPr>
            <w:tcW w:w="2896" w:type="dxa"/>
          </w:tcPr>
          <w:p>
            <w:pPr>
              <w:pStyle w:val="18"/>
              <w:spacing w:before="34"/>
              <w:ind w:left="271" w:right="263"/>
              <w:rPr>
                <w:b/>
                <w:sz w:val="21"/>
              </w:rPr>
            </w:pPr>
            <w:r>
              <w:rPr>
                <w:b/>
                <w:sz w:val="21"/>
              </w:rPr>
              <w:t>名称</w:t>
            </w:r>
          </w:p>
        </w:tc>
        <w:tc>
          <w:tcPr>
            <w:tcW w:w="1220" w:type="dxa"/>
          </w:tcPr>
          <w:p>
            <w:pPr>
              <w:pStyle w:val="18"/>
              <w:spacing w:before="34"/>
              <w:ind w:left="379" w:right="369"/>
              <w:rPr>
                <w:b/>
                <w:sz w:val="21"/>
              </w:rPr>
            </w:pPr>
            <w:r>
              <w:rPr>
                <w:b/>
                <w:sz w:val="21"/>
              </w:rPr>
              <w:t>数量</w:t>
            </w:r>
          </w:p>
        </w:tc>
        <w:tc>
          <w:tcPr>
            <w:tcW w:w="1570" w:type="dxa"/>
          </w:tcPr>
          <w:p>
            <w:pPr>
              <w:pStyle w:val="18"/>
              <w:spacing w:before="34"/>
              <w:ind w:left="553" w:right="544"/>
              <w:rPr>
                <w:b/>
                <w:sz w:val="21"/>
              </w:rPr>
            </w:pPr>
            <w:r>
              <w:rPr>
                <w:b/>
                <w:sz w:val="21"/>
              </w:rPr>
              <w:t>单位</w:t>
            </w:r>
          </w:p>
        </w:tc>
        <w:tc>
          <w:tcPr>
            <w:tcW w:w="1676" w:type="dxa"/>
          </w:tcPr>
          <w:p>
            <w:pPr>
              <w:pStyle w:val="18"/>
              <w:spacing w:before="34"/>
              <w:ind w:left="418"/>
              <w:jc w:val="left"/>
              <w:rPr>
                <w:b/>
                <w:sz w:val="21"/>
              </w:rPr>
            </w:pPr>
            <w:r>
              <w:rPr>
                <w:b/>
                <w:sz w:val="21"/>
              </w:rPr>
              <w:t>产品型号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8"/>
              <w:spacing w:before="48"/>
              <w:ind w:left="11"/>
              <w:rPr>
                <w:rFonts w:ascii="Times New Roman"/>
                <w:sz w:val="21"/>
              </w:rPr>
            </w:pPr>
            <w:r>
              <w:rPr>
                <w:rFonts w:ascii="Times New Roman"/>
                <w:w w:val="99"/>
                <w:sz w:val="21"/>
              </w:rPr>
              <w:t>1</w:t>
            </w:r>
          </w:p>
        </w:tc>
        <w:tc>
          <w:tcPr>
            <w:tcW w:w="2896" w:type="dxa"/>
          </w:tcPr>
          <w:p>
            <w:pPr>
              <w:pStyle w:val="18"/>
              <w:spacing w:before="34"/>
              <w:ind w:left="273" w:right="263"/>
              <w:rPr>
                <w:sz w:val="21"/>
              </w:rPr>
            </w:pPr>
            <w:r>
              <w:rPr>
                <w:sz w:val="21"/>
              </w:rPr>
              <w:t>病死畜禽无害化处理设备</w:t>
            </w:r>
          </w:p>
        </w:tc>
        <w:tc>
          <w:tcPr>
            <w:tcW w:w="1220" w:type="dxa"/>
          </w:tcPr>
          <w:p>
            <w:pPr>
              <w:pStyle w:val="18"/>
              <w:spacing w:before="48"/>
              <w:ind w:left="6"/>
              <w:rPr>
                <w:rFonts w:ascii="Times New Roman"/>
                <w:sz w:val="21"/>
              </w:rPr>
            </w:pPr>
            <w:r>
              <w:rPr>
                <w:rFonts w:ascii="Times New Roman"/>
                <w:w w:val="99"/>
                <w:sz w:val="21"/>
              </w:rPr>
              <w:t>1</w:t>
            </w:r>
          </w:p>
        </w:tc>
        <w:tc>
          <w:tcPr>
            <w:tcW w:w="1570" w:type="dxa"/>
          </w:tcPr>
          <w:p>
            <w:pPr>
              <w:pStyle w:val="18"/>
              <w:spacing w:before="34"/>
              <w:ind w:left="9"/>
              <w:rPr>
                <w:sz w:val="21"/>
              </w:rPr>
            </w:pPr>
            <w:r>
              <w:rPr>
                <w:w w:val="99"/>
                <w:sz w:val="21"/>
              </w:rPr>
              <w:t>台</w:t>
            </w:r>
          </w:p>
        </w:tc>
        <w:tc>
          <w:tcPr>
            <w:tcW w:w="1676" w:type="dxa"/>
          </w:tcPr>
          <w:p>
            <w:pPr>
              <w:pStyle w:val="18"/>
              <w:spacing w:before="48"/>
              <w:ind w:left="367"/>
              <w:jc w:val="left"/>
              <w:rPr>
                <w:rFonts w:ascii="Times New Roman"/>
                <w:sz w:val="21"/>
              </w:rPr>
            </w:pPr>
            <w:r>
              <w:rPr>
                <w:rFonts w:ascii="Times New Roman"/>
                <w:sz w:val="21"/>
              </w:rPr>
              <w:t>11FXC-2.3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8"/>
              <w:spacing w:before="48"/>
              <w:ind w:left="11"/>
              <w:rPr>
                <w:rFonts w:ascii="Times New Roman"/>
                <w:sz w:val="21"/>
              </w:rPr>
            </w:pPr>
            <w:r>
              <w:rPr>
                <w:rFonts w:ascii="Times New Roman"/>
                <w:w w:val="99"/>
                <w:sz w:val="21"/>
              </w:rPr>
              <w:t>2</w:t>
            </w:r>
          </w:p>
        </w:tc>
        <w:tc>
          <w:tcPr>
            <w:tcW w:w="2896" w:type="dxa"/>
          </w:tcPr>
          <w:p>
            <w:pPr>
              <w:pStyle w:val="18"/>
              <w:spacing w:before="34"/>
              <w:ind w:left="271" w:right="263"/>
              <w:rPr>
                <w:sz w:val="21"/>
              </w:rPr>
            </w:pPr>
            <w:r>
              <w:rPr>
                <w:sz w:val="21"/>
              </w:rPr>
              <w:t>消毒设备</w:t>
            </w:r>
          </w:p>
        </w:tc>
        <w:tc>
          <w:tcPr>
            <w:tcW w:w="1220" w:type="dxa"/>
          </w:tcPr>
          <w:p>
            <w:pPr>
              <w:pStyle w:val="18"/>
              <w:spacing w:before="48"/>
              <w:ind w:left="379" w:right="368"/>
              <w:rPr>
                <w:rFonts w:ascii="Times New Roman"/>
                <w:sz w:val="21"/>
              </w:rPr>
            </w:pPr>
            <w:r>
              <w:rPr>
                <w:rFonts w:ascii="Times New Roman"/>
                <w:sz w:val="21"/>
              </w:rPr>
              <w:t>76</w:t>
            </w:r>
          </w:p>
        </w:tc>
        <w:tc>
          <w:tcPr>
            <w:tcW w:w="1570" w:type="dxa"/>
          </w:tcPr>
          <w:p>
            <w:pPr>
              <w:pStyle w:val="18"/>
              <w:spacing w:before="34"/>
              <w:ind w:left="9"/>
              <w:rPr>
                <w:sz w:val="21"/>
              </w:rPr>
            </w:pPr>
            <w:r>
              <w:rPr>
                <w:w w:val="99"/>
                <w:sz w:val="21"/>
              </w:rPr>
              <w:t>套</w:t>
            </w:r>
          </w:p>
        </w:tc>
        <w:tc>
          <w:tcPr>
            <w:tcW w:w="1676" w:type="dxa"/>
          </w:tcPr>
          <w:p>
            <w:pPr>
              <w:pStyle w:val="18"/>
              <w:spacing w:before="48"/>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8"/>
              <w:spacing w:before="49"/>
              <w:ind w:left="11"/>
              <w:rPr>
                <w:rFonts w:ascii="Times New Roman"/>
                <w:sz w:val="21"/>
              </w:rPr>
            </w:pPr>
            <w:r>
              <w:rPr>
                <w:rFonts w:ascii="Times New Roman"/>
                <w:w w:val="99"/>
                <w:sz w:val="21"/>
              </w:rPr>
              <w:t>3</w:t>
            </w:r>
          </w:p>
        </w:tc>
        <w:tc>
          <w:tcPr>
            <w:tcW w:w="2896" w:type="dxa"/>
          </w:tcPr>
          <w:p>
            <w:pPr>
              <w:pStyle w:val="18"/>
              <w:spacing w:before="35"/>
              <w:ind w:left="271" w:right="263"/>
              <w:rPr>
                <w:sz w:val="21"/>
              </w:rPr>
            </w:pPr>
            <w:r>
              <w:rPr>
                <w:sz w:val="21"/>
              </w:rPr>
              <w:t>运输车辆</w:t>
            </w:r>
          </w:p>
        </w:tc>
        <w:tc>
          <w:tcPr>
            <w:tcW w:w="1220" w:type="dxa"/>
          </w:tcPr>
          <w:p>
            <w:pPr>
              <w:pStyle w:val="18"/>
              <w:spacing w:before="35"/>
              <w:ind w:left="377" w:right="369"/>
              <w:rPr>
                <w:sz w:val="21"/>
              </w:rPr>
            </w:pPr>
            <w:r>
              <w:rPr>
                <w:sz w:val="21"/>
              </w:rPr>
              <w:t>若干</w:t>
            </w:r>
          </w:p>
        </w:tc>
        <w:tc>
          <w:tcPr>
            <w:tcW w:w="1570" w:type="dxa"/>
          </w:tcPr>
          <w:p>
            <w:pPr>
              <w:pStyle w:val="18"/>
              <w:spacing w:before="35"/>
              <w:ind w:left="9"/>
              <w:rPr>
                <w:sz w:val="21"/>
              </w:rPr>
            </w:pPr>
            <w:r>
              <w:rPr>
                <w:w w:val="99"/>
                <w:sz w:val="21"/>
              </w:rPr>
              <w:t>辆</w:t>
            </w:r>
          </w:p>
        </w:tc>
        <w:tc>
          <w:tcPr>
            <w:tcW w:w="1676" w:type="dxa"/>
          </w:tcPr>
          <w:p>
            <w:pPr>
              <w:pStyle w:val="18"/>
              <w:spacing w:before="49"/>
              <w:ind w:left="10"/>
              <w:rPr>
                <w:rFonts w:ascii="Times New Roman"/>
                <w:sz w:val="21"/>
              </w:rPr>
            </w:pPr>
            <w:r>
              <w:rPr>
                <w:rFonts w:ascii="Times New Roman"/>
                <w:w w:val="99"/>
                <w:sz w:val="21"/>
              </w:rPr>
              <w:t>/</w:t>
            </w:r>
          </w:p>
        </w:tc>
      </w:tr>
    </w:tbl>
    <w:p>
      <w:pPr>
        <w:pStyle w:val="7"/>
        <w:spacing w:before="8"/>
        <w:ind w:left="0"/>
        <w:rPr>
          <w:b/>
          <w:sz w:val="9"/>
        </w:rPr>
      </w:pPr>
    </w:p>
    <w:p>
      <w:pPr>
        <w:pStyle w:val="5"/>
        <w:numPr>
          <w:ilvl w:val="2"/>
          <w:numId w:val="16"/>
        </w:numPr>
        <w:bidi w:val="0"/>
      </w:pPr>
      <w:bookmarkStart w:id="145" w:name="3.1.9 项目主要产品方案"/>
      <w:bookmarkEnd w:id="145"/>
      <w:bookmarkStart w:id="146" w:name="3.1.9 项目主要产品方案"/>
      <w:bookmarkEnd w:id="146"/>
      <w:r>
        <w:t>项目主要产品方案</w:t>
      </w:r>
    </w:p>
    <w:p>
      <w:pPr>
        <w:pStyle w:val="7"/>
        <w:spacing w:before="2"/>
        <w:ind w:left="0"/>
        <w:rPr>
          <w:b/>
          <w:sz w:val="25"/>
        </w:rPr>
      </w:pPr>
    </w:p>
    <w:p>
      <w:pPr>
        <w:pStyle w:val="7"/>
        <w:spacing w:line="360" w:lineRule="auto"/>
        <w:ind w:right="577" w:firstLine="482"/>
        <w:jc w:val="both"/>
        <w:rPr>
          <w:color w:val="0000FF"/>
        </w:rPr>
      </w:pPr>
      <w:r>
        <w:rPr>
          <w:color w:val="0000FF"/>
          <w:spacing w:val="-6"/>
        </w:rPr>
        <w:t>由</w:t>
      </w:r>
      <w:r>
        <w:rPr>
          <w:rFonts w:hint="eastAsia"/>
          <w:color w:val="0000FF"/>
          <w:spacing w:val="-6"/>
          <w:lang w:val="en-US" w:eastAsia="zh-CN"/>
        </w:rPr>
        <w:t>莎车</w:t>
      </w:r>
      <w:r>
        <w:rPr>
          <w:color w:val="0000FF"/>
          <w:spacing w:val="-6"/>
        </w:rPr>
        <w:t>县农业农村局提供技术方案，全面提高秸秆养畜水平，加强动物卫生</w:t>
      </w:r>
      <w:r>
        <w:rPr>
          <w:color w:val="0000FF"/>
          <w:spacing w:val="-8"/>
        </w:rPr>
        <w:t>防疫和健康养殖监督。建立健全健康养殖管理制度，加强疫病防治和监控，加强上市产品检疫监测，确保产品的质量安全、计量及卫生标准。杜绝使用不符合国</w:t>
      </w:r>
      <w:r>
        <w:rPr>
          <w:color w:val="0000FF"/>
          <w:spacing w:val="-7"/>
        </w:rPr>
        <w:t>家卫生标准的饲料添加剂，严格按照绿色产品生产模式生产，并积极申报绿色产</w:t>
      </w:r>
      <w:r>
        <w:rPr>
          <w:color w:val="0000FF"/>
          <w:spacing w:val="-9"/>
        </w:rPr>
        <w:t>品和产地认证，不断提高产品竞争能力。通过不断提高秸秆养畜饲管水平，达到</w:t>
      </w:r>
      <w:r>
        <w:rPr>
          <w:color w:val="0000FF"/>
        </w:rPr>
        <w:t>提高饲养水平和经济效益目的。</w:t>
      </w:r>
    </w:p>
    <w:p>
      <w:pPr>
        <w:pStyle w:val="7"/>
        <w:keepNext w:val="0"/>
        <w:keepLines w:val="0"/>
        <w:pageBreakBefore w:val="0"/>
        <w:widowControl w:val="0"/>
        <w:kinsoku/>
        <w:wordWrap/>
        <w:overflowPunct/>
        <w:topLinePunct w:val="0"/>
        <w:autoSpaceDE w:val="0"/>
        <w:autoSpaceDN w:val="0"/>
        <w:bidi w:val="0"/>
        <w:adjustRightInd/>
        <w:snapToGrid/>
        <w:spacing w:line="500" w:lineRule="exact"/>
        <w:ind w:left="539" w:right="207" w:rightChars="94" w:firstLine="480" w:firstLineChars="200"/>
        <w:jc w:val="both"/>
        <w:textAlignment w:val="auto"/>
        <w:rPr>
          <w:color w:val="0000FF"/>
        </w:rPr>
      </w:pPr>
      <w:r>
        <w:rPr>
          <w:color w:val="0000FF"/>
        </w:rPr>
        <w:t>本项目运营后，主要养殖</w:t>
      </w:r>
      <w:r>
        <w:rPr>
          <w:rFonts w:ascii="宋?" w:hAnsi="宋?" w:cs="宋?"/>
          <w:color w:val="0000FF"/>
          <w:kern w:val="0"/>
          <w:sz w:val="24"/>
          <w:szCs w:val="24"/>
        </w:rPr>
        <w:t>萨福克种公羊</w:t>
      </w:r>
      <w:r>
        <w:rPr>
          <w:color w:val="0000FF"/>
        </w:rPr>
        <w:t>、胡羊，引进繁育羊</w:t>
      </w:r>
      <w:r>
        <w:rPr>
          <w:rFonts w:hint="eastAsia" w:ascii="Times New Roman" w:eastAsia="宋体"/>
          <w:color w:val="0000FF"/>
          <w:lang w:val="en-US" w:eastAsia="zh-CN"/>
        </w:rPr>
        <w:t>91</w:t>
      </w:r>
      <w:r>
        <w:rPr>
          <w:rFonts w:hint="eastAsia" w:ascii="Times New Roman"/>
          <w:color w:val="0000FF"/>
          <w:lang w:val="en-US" w:eastAsia="zh-CN"/>
        </w:rPr>
        <w:t>5</w:t>
      </w:r>
      <w:r>
        <w:rPr>
          <w:rFonts w:hint="eastAsia" w:ascii="Times New Roman" w:eastAsia="宋体"/>
          <w:color w:val="0000FF"/>
          <w:lang w:val="en-US" w:eastAsia="zh-CN"/>
        </w:rPr>
        <w:t>7</w:t>
      </w:r>
      <w:r>
        <w:rPr>
          <w:color w:val="0000FF"/>
        </w:rPr>
        <w:t>只，其中，多胎性生产母羊</w:t>
      </w:r>
      <w:r>
        <w:rPr>
          <w:rFonts w:hint="eastAsia"/>
          <w:color w:val="0000FF"/>
          <w:lang w:val="en-US" w:eastAsia="zh-CN"/>
        </w:rPr>
        <w:t>9117</w:t>
      </w:r>
      <w:r>
        <w:rPr>
          <w:color w:val="0000FF"/>
        </w:rPr>
        <w:t>只，萨福克种公羊20只，湖羊种公羊</w:t>
      </w:r>
      <w:r>
        <w:rPr>
          <w:rFonts w:hint="eastAsia"/>
          <w:color w:val="0000FF"/>
          <w:lang w:val="en-US" w:eastAsia="zh-CN"/>
        </w:rPr>
        <w:t>20</w:t>
      </w:r>
      <w:r>
        <w:rPr>
          <w:color w:val="0000FF"/>
        </w:rPr>
        <w:t>只，计划实现年出栏标准肉羊</w:t>
      </w:r>
      <w:r>
        <w:rPr>
          <w:rFonts w:hint="eastAsia" w:ascii="Times New Roman" w:eastAsia="宋体"/>
          <w:color w:val="0000FF"/>
          <w:lang w:val="en-US" w:eastAsia="zh-CN"/>
        </w:rPr>
        <w:t>4</w:t>
      </w:r>
      <w:r>
        <w:rPr>
          <w:color w:val="0000FF"/>
        </w:rPr>
        <w:t>万只。</w:t>
      </w:r>
    </w:p>
    <w:p>
      <w:pPr>
        <w:pStyle w:val="7"/>
        <w:spacing w:before="153" w:line="357" w:lineRule="auto"/>
        <w:ind w:right="577" w:firstLine="482"/>
        <w:jc w:val="both"/>
        <w:rPr>
          <w:color w:val="0000FF"/>
        </w:rPr>
      </w:pPr>
      <w:r>
        <w:rPr>
          <w:color w:val="0000FF"/>
          <w:spacing w:val="-7"/>
        </w:rPr>
        <w:t>目前新疆生产的优质羊肉很少，加之新疆是少数民族聚集地区，少数民族的</w:t>
      </w:r>
      <w:r>
        <w:rPr>
          <w:color w:val="0000FF"/>
          <w:spacing w:val="-8"/>
        </w:rPr>
        <w:t>肉食主要以羊肉为主，从质量上很难满足人们消费水平的需求，项目区处于</w:t>
      </w:r>
      <w:r>
        <w:rPr>
          <w:rFonts w:hint="eastAsia"/>
          <w:color w:val="0000FF"/>
          <w:spacing w:val="-8"/>
          <w:lang w:val="en-US" w:eastAsia="zh-CN"/>
        </w:rPr>
        <w:t>喀什</w:t>
      </w:r>
      <w:r>
        <w:rPr>
          <w:color w:val="0000FF"/>
          <w:spacing w:val="-17"/>
        </w:rPr>
        <w:t>地区，预计</w:t>
      </w:r>
      <w:r>
        <w:rPr>
          <w:rFonts w:ascii="Times New Roman" w:eastAsia="Times New Roman"/>
          <w:color w:val="0000FF"/>
        </w:rPr>
        <w:t>2020</w:t>
      </w:r>
      <w:r>
        <w:rPr>
          <w:color w:val="0000FF"/>
          <w:spacing w:val="-5"/>
        </w:rPr>
        <w:t>年</w:t>
      </w:r>
      <w:r>
        <w:rPr>
          <w:rFonts w:hint="eastAsia"/>
          <w:color w:val="0000FF"/>
          <w:spacing w:val="-5"/>
          <w:lang w:val="en-US" w:eastAsia="zh-CN"/>
        </w:rPr>
        <w:t>喀什</w:t>
      </w:r>
      <w:r>
        <w:rPr>
          <w:color w:val="0000FF"/>
          <w:spacing w:val="-5"/>
        </w:rPr>
        <w:t>地区羊肉需求量为</w:t>
      </w:r>
      <w:r>
        <w:rPr>
          <w:rFonts w:ascii="Times New Roman" w:eastAsia="Times New Roman"/>
          <w:color w:val="0000FF"/>
        </w:rPr>
        <w:t>18.00</w:t>
      </w:r>
      <w:r>
        <w:rPr>
          <w:color w:val="0000FF"/>
          <w:spacing w:val="-15"/>
        </w:rPr>
        <w:t>万吨，生产量</w:t>
      </w:r>
      <w:r>
        <w:rPr>
          <w:rFonts w:ascii="Times New Roman" w:eastAsia="Times New Roman"/>
          <w:color w:val="0000FF"/>
        </w:rPr>
        <w:t>15.50</w:t>
      </w:r>
      <w:r>
        <w:rPr>
          <w:color w:val="0000FF"/>
          <w:spacing w:val="-11"/>
        </w:rPr>
        <w:t>万吨，供需</w:t>
      </w:r>
    </w:p>
    <w:p>
      <w:pPr>
        <w:pStyle w:val="7"/>
        <w:spacing w:before="6"/>
        <w:jc w:val="both"/>
        <w:rPr>
          <w:color w:val="0000FF"/>
        </w:rPr>
      </w:pPr>
      <w:r>
        <w:rPr>
          <w:color w:val="0000FF"/>
          <w:spacing w:val="-15"/>
        </w:rPr>
        <w:t>缺口达</w:t>
      </w:r>
      <w:r>
        <w:rPr>
          <w:rFonts w:ascii="Times New Roman" w:eastAsia="Times New Roman"/>
          <w:color w:val="0000FF"/>
        </w:rPr>
        <w:t>2.50</w:t>
      </w:r>
      <w:r>
        <w:rPr>
          <w:color w:val="0000FF"/>
          <w:spacing w:val="-3"/>
        </w:rPr>
        <w:t>万吨，</w:t>
      </w:r>
      <w:r>
        <w:rPr>
          <w:rFonts w:ascii="Times New Roman" w:eastAsia="Times New Roman"/>
          <w:color w:val="0000FF"/>
          <w:spacing w:val="-7"/>
        </w:rPr>
        <w:t>2022</w:t>
      </w:r>
      <w:r>
        <w:rPr>
          <w:color w:val="0000FF"/>
          <w:spacing w:val="-12"/>
        </w:rPr>
        <w:t>年需求量</w:t>
      </w:r>
      <w:r>
        <w:rPr>
          <w:rFonts w:ascii="Times New Roman" w:eastAsia="Times New Roman"/>
          <w:color w:val="0000FF"/>
        </w:rPr>
        <w:t>20.00</w:t>
      </w:r>
      <w:r>
        <w:rPr>
          <w:color w:val="0000FF"/>
          <w:spacing w:val="-15"/>
        </w:rPr>
        <w:t>万吨，生产量</w:t>
      </w:r>
      <w:r>
        <w:rPr>
          <w:rFonts w:ascii="Times New Roman" w:eastAsia="Times New Roman"/>
          <w:color w:val="0000FF"/>
        </w:rPr>
        <w:t>16.00</w:t>
      </w:r>
      <w:r>
        <w:rPr>
          <w:color w:val="0000FF"/>
          <w:spacing w:val="-6"/>
        </w:rPr>
        <w:t>万吨，供需缺口达到</w:t>
      </w:r>
    </w:p>
    <w:p>
      <w:pPr>
        <w:pStyle w:val="7"/>
        <w:spacing w:before="153" w:line="360" w:lineRule="auto"/>
        <w:ind w:right="577"/>
        <w:jc w:val="both"/>
        <w:rPr>
          <w:color w:val="0000FF"/>
        </w:rPr>
      </w:pPr>
      <w:r>
        <w:rPr>
          <w:color w:val="0000FF"/>
          <w:spacing w:val="-30"/>
        </w:rPr>
        <w:t>了</w:t>
      </w:r>
      <w:r>
        <w:rPr>
          <w:rFonts w:ascii="Times New Roman" w:eastAsia="Times New Roman"/>
          <w:color w:val="0000FF"/>
        </w:rPr>
        <w:t>4</w:t>
      </w:r>
      <w:r>
        <w:rPr>
          <w:color w:val="0000FF"/>
          <w:spacing w:val="-4"/>
        </w:rPr>
        <w:t>万吨。</w:t>
      </w:r>
      <w:r>
        <w:rPr>
          <w:rFonts w:ascii="Times New Roman" w:eastAsia="Times New Roman"/>
          <w:color w:val="0000FF"/>
        </w:rPr>
        <w:t>2018</w:t>
      </w:r>
      <w:r>
        <w:rPr>
          <w:color w:val="0000FF"/>
          <w:spacing w:val="-7"/>
        </w:rPr>
        <w:t>年，</w:t>
      </w:r>
      <w:r>
        <w:rPr>
          <w:rFonts w:hint="eastAsia"/>
          <w:color w:val="0000FF"/>
          <w:spacing w:val="-7"/>
          <w:lang w:val="en-US" w:eastAsia="zh-CN"/>
        </w:rPr>
        <w:t>喀什</w:t>
      </w:r>
      <w:r>
        <w:rPr>
          <w:color w:val="0000FF"/>
          <w:spacing w:val="-7"/>
        </w:rPr>
        <w:t>地区本地羊肉价格达到了</w:t>
      </w:r>
      <w:r>
        <w:rPr>
          <w:rFonts w:ascii="Times New Roman" w:eastAsia="Times New Roman"/>
          <w:color w:val="0000FF"/>
        </w:rPr>
        <w:t>70</w:t>
      </w:r>
      <w:r>
        <w:rPr>
          <w:color w:val="0000FF"/>
          <w:spacing w:val="-5"/>
        </w:rPr>
        <w:t>元以上。由此可见，</w:t>
      </w:r>
      <w:r>
        <w:rPr>
          <w:rFonts w:hint="eastAsia"/>
          <w:color w:val="0000FF"/>
          <w:spacing w:val="-5"/>
          <w:lang w:val="en-US" w:eastAsia="zh-CN"/>
        </w:rPr>
        <w:t>莎车</w:t>
      </w:r>
      <w:r>
        <w:rPr>
          <w:color w:val="0000FF"/>
          <w:spacing w:val="-6"/>
        </w:rPr>
        <w:t>县羊产业养殖项目在</w:t>
      </w:r>
      <w:r>
        <w:rPr>
          <w:rFonts w:hint="eastAsia"/>
          <w:color w:val="0000FF"/>
          <w:spacing w:val="-6"/>
          <w:lang w:val="en-US" w:eastAsia="zh-CN"/>
        </w:rPr>
        <w:t>喀什</w:t>
      </w:r>
      <w:r>
        <w:rPr>
          <w:color w:val="0000FF"/>
          <w:spacing w:val="-6"/>
        </w:rPr>
        <w:t>地区有着良好的市场前景，为今后</w:t>
      </w:r>
      <w:r>
        <w:rPr>
          <w:rFonts w:hint="eastAsia"/>
          <w:color w:val="0000FF"/>
          <w:spacing w:val="-6"/>
          <w:lang w:val="en-US" w:eastAsia="zh-CN"/>
        </w:rPr>
        <w:t>喀什</w:t>
      </w:r>
      <w:r>
        <w:rPr>
          <w:color w:val="0000FF"/>
          <w:spacing w:val="-6"/>
        </w:rPr>
        <w:t>地区的肉羊畜产</w:t>
      </w:r>
      <w:r>
        <w:rPr>
          <w:color w:val="0000FF"/>
          <w:spacing w:val="-1"/>
        </w:rPr>
        <w:t>品供应打下了坚实的基础，提供了良好的平台。产品方案见表</w:t>
      </w:r>
      <w:r>
        <w:rPr>
          <w:rFonts w:ascii="Times New Roman" w:eastAsia="Times New Roman"/>
          <w:color w:val="0000FF"/>
        </w:rPr>
        <w:t>3.1-9</w:t>
      </w:r>
      <w:r>
        <w:rPr>
          <w:color w:val="0000FF"/>
        </w:rPr>
        <w:t>，养殖规模</w:t>
      </w:r>
      <w:r>
        <w:rPr>
          <w:color w:val="0000FF"/>
          <w:spacing w:val="-20"/>
        </w:rPr>
        <w:t>见表</w:t>
      </w:r>
      <w:r>
        <w:rPr>
          <w:rFonts w:ascii="Times New Roman" w:eastAsia="Times New Roman"/>
          <w:color w:val="0000FF"/>
        </w:rPr>
        <w:t>3.1-10</w:t>
      </w:r>
      <w:r>
        <w:rPr>
          <w:color w:val="0000FF"/>
        </w:rPr>
        <w:t>。</w:t>
      </w:r>
    </w:p>
    <w:p>
      <w:pPr>
        <w:pStyle w:val="7"/>
        <w:bidi w:val="0"/>
        <w:jc w:val="center"/>
        <w:rPr>
          <w:color w:val="0000FF"/>
        </w:rPr>
      </w:pPr>
      <w:r>
        <w:rPr>
          <w:color w:val="0000FF"/>
        </w:rPr>
        <w:t>表</w:t>
      </w:r>
      <w:r>
        <w:rPr>
          <w:rFonts w:ascii="Times New Roman" w:eastAsia="Times New Roman"/>
          <w:color w:val="0000FF"/>
        </w:rPr>
        <w:t>3.1-9</w:t>
      </w:r>
      <w:r>
        <w:rPr>
          <w:rFonts w:ascii="Times New Roman" w:eastAsia="Times New Roman"/>
          <w:color w:val="0000FF"/>
        </w:rPr>
        <w:tab/>
      </w:r>
      <w:r>
        <w:rPr>
          <w:color w:val="0000FF"/>
        </w:rPr>
        <w:t>产品方案</w:t>
      </w:r>
    </w:p>
    <w:tbl>
      <w:tblPr>
        <w:tblStyle w:val="14"/>
        <w:tblW w:w="0" w:type="auto"/>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1"/>
        <w:gridCol w:w="1671"/>
        <w:gridCol w:w="1671"/>
        <w:gridCol w:w="1671"/>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71" w:type="dxa"/>
          </w:tcPr>
          <w:p>
            <w:pPr>
              <w:pStyle w:val="18"/>
              <w:spacing w:before="78" w:line="262" w:lineRule="exact"/>
              <w:ind w:left="390" w:right="382"/>
              <w:rPr>
                <w:b/>
                <w:color w:val="0000FF"/>
                <w:sz w:val="21"/>
              </w:rPr>
            </w:pPr>
            <w:r>
              <w:rPr>
                <w:b/>
                <w:color w:val="0000FF"/>
                <w:sz w:val="21"/>
              </w:rPr>
              <w:t>序号</w:t>
            </w:r>
          </w:p>
        </w:tc>
        <w:tc>
          <w:tcPr>
            <w:tcW w:w="1671" w:type="dxa"/>
          </w:tcPr>
          <w:p>
            <w:pPr>
              <w:pStyle w:val="18"/>
              <w:spacing w:before="78" w:line="262" w:lineRule="exact"/>
              <w:ind w:left="393" w:right="381"/>
              <w:rPr>
                <w:b/>
                <w:color w:val="0000FF"/>
                <w:sz w:val="21"/>
              </w:rPr>
            </w:pPr>
            <w:r>
              <w:rPr>
                <w:b/>
                <w:color w:val="0000FF"/>
                <w:sz w:val="21"/>
              </w:rPr>
              <w:t>产品名称</w:t>
            </w:r>
          </w:p>
        </w:tc>
        <w:tc>
          <w:tcPr>
            <w:tcW w:w="1671" w:type="dxa"/>
          </w:tcPr>
          <w:p>
            <w:pPr>
              <w:pStyle w:val="18"/>
              <w:spacing w:before="78" w:line="262" w:lineRule="exact"/>
              <w:ind w:right="615"/>
              <w:jc w:val="right"/>
              <w:rPr>
                <w:b/>
                <w:color w:val="0000FF"/>
                <w:sz w:val="21"/>
              </w:rPr>
            </w:pPr>
            <w:r>
              <w:rPr>
                <w:b/>
                <w:color w:val="0000FF"/>
                <w:w w:val="95"/>
                <w:sz w:val="21"/>
              </w:rPr>
              <w:t>单位</w:t>
            </w:r>
          </w:p>
        </w:tc>
        <w:tc>
          <w:tcPr>
            <w:tcW w:w="1671" w:type="dxa"/>
          </w:tcPr>
          <w:p>
            <w:pPr>
              <w:pStyle w:val="18"/>
              <w:spacing w:before="78" w:line="262" w:lineRule="exact"/>
              <w:ind w:left="391" w:right="382"/>
              <w:rPr>
                <w:b/>
                <w:color w:val="0000FF"/>
                <w:sz w:val="21"/>
              </w:rPr>
            </w:pPr>
            <w:r>
              <w:rPr>
                <w:b/>
                <w:color w:val="0000FF"/>
                <w:sz w:val="21"/>
              </w:rPr>
              <w:t>年出栏量</w:t>
            </w:r>
          </w:p>
        </w:tc>
        <w:tc>
          <w:tcPr>
            <w:tcW w:w="1672" w:type="dxa"/>
          </w:tcPr>
          <w:p>
            <w:pPr>
              <w:pStyle w:val="18"/>
              <w:spacing w:before="78" w:line="262" w:lineRule="exact"/>
              <w:ind w:left="603" w:right="596"/>
              <w:rPr>
                <w:b/>
                <w:color w:val="0000FF"/>
                <w:sz w:val="21"/>
              </w:rPr>
            </w:pPr>
            <w:r>
              <w:rPr>
                <w:b/>
                <w:color w:val="0000FF"/>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71" w:type="dxa"/>
          </w:tcPr>
          <w:p>
            <w:pPr>
              <w:pStyle w:val="18"/>
              <w:spacing w:before="92"/>
              <w:ind w:left="9"/>
              <w:rPr>
                <w:rFonts w:ascii="Times New Roman"/>
                <w:color w:val="0000FF"/>
                <w:sz w:val="21"/>
              </w:rPr>
            </w:pPr>
            <w:r>
              <w:rPr>
                <w:rFonts w:ascii="Times New Roman"/>
                <w:color w:val="0000FF"/>
                <w:w w:val="99"/>
                <w:sz w:val="21"/>
              </w:rPr>
              <w:t>1</w:t>
            </w:r>
          </w:p>
        </w:tc>
        <w:tc>
          <w:tcPr>
            <w:tcW w:w="1671" w:type="dxa"/>
          </w:tcPr>
          <w:p>
            <w:pPr>
              <w:pStyle w:val="18"/>
              <w:spacing w:before="78" w:line="262" w:lineRule="exact"/>
              <w:ind w:left="387" w:right="382"/>
              <w:rPr>
                <w:color w:val="0000FF"/>
                <w:sz w:val="21"/>
              </w:rPr>
            </w:pPr>
            <w:r>
              <w:rPr>
                <w:color w:val="0000FF"/>
                <w:sz w:val="21"/>
              </w:rPr>
              <w:t>肉羊</w:t>
            </w:r>
          </w:p>
        </w:tc>
        <w:tc>
          <w:tcPr>
            <w:tcW w:w="1671" w:type="dxa"/>
          </w:tcPr>
          <w:p>
            <w:pPr>
              <w:pStyle w:val="18"/>
              <w:spacing w:before="78" w:line="262" w:lineRule="exact"/>
              <w:ind w:right="539"/>
              <w:jc w:val="right"/>
              <w:rPr>
                <w:rFonts w:ascii="Times New Roman" w:eastAsia="Times New Roman"/>
                <w:color w:val="0000FF"/>
                <w:sz w:val="21"/>
              </w:rPr>
            </w:pPr>
            <w:r>
              <w:rPr>
                <w:color w:val="0000FF"/>
                <w:w w:val="95"/>
                <w:sz w:val="21"/>
              </w:rPr>
              <w:t>万只</w:t>
            </w:r>
            <w:r>
              <w:rPr>
                <w:rFonts w:ascii="Times New Roman" w:eastAsia="Times New Roman"/>
                <w:color w:val="0000FF"/>
                <w:w w:val="95"/>
                <w:sz w:val="21"/>
              </w:rPr>
              <w:t>/a</w:t>
            </w:r>
          </w:p>
        </w:tc>
        <w:tc>
          <w:tcPr>
            <w:tcW w:w="1671" w:type="dxa"/>
          </w:tcPr>
          <w:p>
            <w:pPr>
              <w:pStyle w:val="18"/>
              <w:spacing w:before="92"/>
              <w:ind w:left="393" w:right="382"/>
              <w:rPr>
                <w:rFonts w:ascii="Times New Roman"/>
                <w:color w:val="0000FF"/>
                <w:sz w:val="21"/>
              </w:rPr>
            </w:pPr>
            <w:r>
              <w:rPr>
                <w:rFonts w:ascii="Times New Roman"/>
                <w:color w:val="0000FF"/>
                <w:sz w:val="21"/>
              </w:rPr>
              <w:t>4</w:t>
            </w:r>
          </w:p>
        </w:tc>
        <w:tc>
          <w:tcPr>
            <w:tcW w:w="1672" w:type="dxa"/>
          </w:tcPr>
          <w:p>
            <w:pPr>
              <w:pStyle w:val="18"/>
              <w:spacing w:before="78" w:line="262" w:lineRule="exact"/>
              <w:ind w:left="7"/>
              <w:rPr>
                <w:color w:val="0000FF"/>
                <w:sz w:val="21"/>
              </w:rPr>
            </w:pPr>
            <w:r>
              <w:rPr>
                <w:color w:val="0000FF"/>
                <w:w w:val="99"/>
                <w:sz w:val="21"/>
              </w:rPr>
              <w:t>—</w:t>
            </w:r>
          </w:p>
        </w:tc>
      </w:tr>
    </w:tbl>
    <w:p>
      <w:pPr>
        <w:tabs>
          <w:tab w:val="left" w:pos="1639"/>
        </w:tabs>
        <w:spacing w:before="158" w:after="3"/>
        <w:ind w:left="0" w:right="30" w:firstLine="0"/>
        <w:jc w:val="center"/>
        <w:rPr>
          <w:b/>
          <w:sz w:val="24"/>
        </w:rPr>
      </w:pPr>
      <w:r>
        <w:rPr>
          <w:b/>
          <w:sz w:val="24"/>
        </w:rPr>
        <w:t>表</w:t>
      </w:r>
      <w:r>
        <w:rPr>
          <w:rFonts w:ascii="Times New Roman" w:eastAsia="Times New Roman"/>
          <w:b/>
          <w:sz w:val="24"/>
        </w:rPr>
        <w:t>3.1-10</w:t>
      </w:r>
      <w:r>
        <w:rPr>
          <w:rFonts w:ascii="Times New Roman" w:eastAsia="Times New Roman"/>
          <w:b/>
          <w:sz w:val="24"/>
        </w:rPr>
        <w:tab/>
      </w:r>
      <w:r>
        <w:rPr>
          <w:b/>
          <w:sz w:val="24"/>
        </w:rPr>
        <w:t>项目养殖规模一览表</w:t>
      </w:r>
    </w:p>
    <w:tbl>
      <w:tblPr>
        <w:tblStyle w:val="14"/>
        <w:tblpPr w:leftFromText="180" w:rightFromText="180" w:vertAnchor="text" w:horzAnchor="page" w:tblpX="1798" w:tblpY="97"/>
        <w:tblOverlap w:val="never"/>
        <w:tblW w:w="8640" w:type="dxa"/>
        <w:tblInd w:w="0" w:type="dxa"/>
        <w:shd w:val="clear" w:color="auto" w:fill="auto"/>
        <w:tblLayout w:type="autofit"/>
        <w:tblCellMar>
          <w:top w:w="0" w:type="dxa"/>
          <w:left w:w="0" w:type="dxa"/>
          <w:bottom w:w="0" w:type="dxa"/>
          <w:right w:w="0" w:type="dxa"/>
        </w:tblCellMar>
      </w:tblPr>
      <w:tblGrid>
        <w:gridCol w:w="1080"/>
        <w:gridCol w:w="3240"/>
        <w:gridCol w:w="1080"/>
        <w:gridCol w:w="1080"/>
        <w:gridCol w:w="1080"/>
        <w:gridCol w:w="1080"/>
      </w:tblGrid>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bookmarkStart w:id="147" w:name="3.1.10 工程平面布置"/>
            <w:bookmarkEnd w:id="147"/>
            <w:bookmarkStart w:id="148" w:name="3.1.10 工程平面布置"/>
            <w:bookmarkEnd w:id="148"/>
            <w:r>
              <w:rPr>
                <w:rFonts w:hint="eastAsia" w:ascii="宋体" w:hAnsi="宋体" w:eastAsia="宋体" w:cs="宋体"/>
                <w:b/>
                <w:i w:val="0"/>
                <w:color w:val="0000FF"/>
                <w:kern w:val="0"/>
                <w:sz w:val="21"/>
                <w:szCs w:val="21"/>
                <w:u w:val="none"/>
                <w:lang w:val="en-US" w:eastAsia="zh-CN" w:bidi="ar"/>
              </w:rPr>
              <w:t>类别</w:t>
            </w:r>
          </w:p>
        </w:tc>
        <w:tc>
          <w:tcPr>
            <w:tcW w:w="324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内容</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数量</w:t>
            </w:r>
            <w:r>
              <w:rPr>
                <w:rFonts w:hint="eastAsia" w:ascii="宋体" w:hAnsi="宋体" w:eastAsia="宋体" w:cs="宋体"/>
                <w:b/>
                <w:i w:val="0"/>
                <w:color w:val="0000FF"/>
                <w:kern w:val="0"/>
                <w:sz w:val="21"/>
                <w:szCs w:val="21"/>
                <w:u w:val="none"/>
                <w:lang w:val="en-US" w:eastAsia="zh-CN" w:bidi="ar"/>
              </w:rPr>
              <w:br w:type="textWrapping"/>
            </w:r>
            <w:r>
              <w:rPr>
                <w:rFonts w:hint="eastAsia" w:ascii="宋体" w:hAnsi="宋体" w:eastAsia="宋体" w:cs="宋体"/>
                <w:b/>
                <w:i w:val="0"/>
                <w:color w:val="0000FF"/>
                <w:kern w:val="0"/>
                <w:sz w:val="21"/>
                <w:szCs w:val="21"/>
                <w:u w:val="none"/>
                <w:lang w:val="en-US" w:eastAsia="zh-CN" w:bidi="ar"/>
              </w:rPr>
              <w:t>万只</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折算成成年猪（万只）</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存栏时间</w:t>
            </w:r>
            <w:r>
              <w:rPr>
                <w:rFonts w:hint="eastAsia" w:ascii="宋体" w:hAnsi="宋体" w:eastAsia="宋体" w:cs="宋体"/>
                <w:b/>
                <w:i w:val="0"/>
                <w:color w:val="0000FF"/>
                <w:kern w:val="0"/>
                <w:sz w:val="21"/>
                <w:szCs w:val="21"/>
                <w:u w:val="none"/>
                <w:lang w:val="en-US" w:eastAsia="zh-CN" w:bidi="ar"/>
              </w:rPr>
              <w:br w:type="textWrapping"/>
            </w:r>
            <w:r>
              <w:rPr>
                <w:rFonts w:hint="eastAsia" w:ascii="宋体" w:hAnsi="宋体" w:eastAsia="宋体" w:cs="宋体"/>
                <w:b/>
                <w:i w:val="0"/>
                <w:color w:val="0000FF"/>
                <w:kern w:val="0"/>
                <w:sz w:val="21"/>
                <w:szCs w:val="21"/>
                <w:u w:val="none"/>
                <w:lang w:val="en-US" w:eastAsia="zh-CN" w:bidi="ar"/>
              </w:rPr>
              <w:t>（d）</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备注</w:t>
            </w:r>
          </w:p>
        </w:tc>
      </w:tr>
      <w:tr>
        <w:tblPrEx>
          <w:shd w:val="clear" w:color="auto" w:fill="auto"/>
          <w:tblCellMar>
            <w:top w:w="0" w:type="dxa"/>
            <w:left w:w="0" w:type="dxa"/>
            <w:bottom w:w="0" w:type="dxa"/>
            <w:right w:w="0" w:type="dxa"/>
          </w:tblCellMar>
        </w:tblPrEx>
        <w:trPr>
          <w:trHeight w:val="52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324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存栏量</w:t>
            </w:r>
          </w:p>
        </w:tc>
        <w:tc>
          <w:tcPr>
            <w:tcW w:w="324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繁育羊</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3.3</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365</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每3只羊折算成1头猪</w:t>
            </w: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324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12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324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出栏量</w:t>
            </w:r>
          </w:p>
        </w:tc>
        <w:tc>
          <w:tcPr>
            <w:tcW w:w="3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肉羊</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365</w:t>
            </w: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bl>
    <w:p>
      <w:pPr>
        <w:pStyle w:val="17"/>
        <w:numPr>
          <w:ilvl w:val="0"/>
          <w:numId w:val="0"/>
        </w:numPr>
        <w:tabs>
          <w:tab w:val="left" w:pos="1380"/>
        </w:tabs>
        <w:spacing w:before="195" w:after="0" w:line="240" w:lineRule="auto"/>
        <w:ind w:left="540" w:leftChars="0" w:right="0" w:rightChars="0"/>
        <w:jc w:val="left"/>
        <w:rPr>
          <w:b/>
          <w:sz w:val="28"/>
        </w:rPr>
      </w:pPr>
      <w:r>
        <w:rPr>
          <w:rFonts w:hint="eastAsia"/>
          <w:b/>
          <w:sz w:val="28"/>
          <w:lang w:val="en-US" w:eastAsia="zh-CN"/>
        </w:rPr>
        <w:t>3.1.10</w:t>
      </w:r>
      <w:r>
        <w:rPr>
          <w:b/>
          <w:sz w:val="28"/>
        </w:rPr>
        <w:t>工程平面布置</w:t>
      </w:r>
    </w:p>
    <w:p>
      <w:pPr>
        <w:pStyle w:val="7"/>
        <w:spacing w:before="5"/>
        <w:ind w:left="0"/>
        <w:rPr>
          <w:b/>
          <w:sz w:val="21"/>
        </w:rPr>
      </w:pPr>
    </w:p>
    <w:p>
      <w:pPr>
        <w:pStyle w:val="17"/>
        <w:numPr>
          <w:ilvl w:val="0"/>
          <w:numId w:val="23"/>
        </w:numPr>
        <w:tabs>
          <w:tab w:val="left" w:pos="1621"/>
        </w:tabs>
        <w:spacing w:before="0" w:after="0" w:line="240" w:lineRule="auto"/>
        <w:ind w:left="1621" w:right="0" w:hanging="601"/>
        <w:jc w:val="left"/>
        <w:rPr>
          <w:sz w:val="24"/>
        </w:rPr>
      </w:pPr>
      <w:r>
        <w:rPr>
          <w:sz w:val="24"/>
        </w:rPr>
        <w:t>概述</w:t>
      </w:r>
    </w:p>
    <w:p>
      <w:pPr>
        <w:pStyle w:val="7"/>
        <w:keepNext w:val="0"/>
        <w:keepLines w:val="0"/>
        <w:pageBreakBefore w:val="0"/>
        <w:widowControl w:val="0"/>
        <w:kinsoku/>
        <w:wordWrap/>
        <w:overflowPunct/>
        <w:topLinePunct w:val="0"/>
        <w:autoSpaceDE w:val="0"/>
        <w:autoSpaceDN w:val="0"/>
        <w:bidi w:val="0"/>
        <w:adjustRightInd/>
        <w:snapToGrid/>
        <w:spacing w:before="143" w:line="400" w:lineRule="exact"/>
        <w:ind w:left="539" w:firstLine="480" w:firstLineChars="200"/>
        <w:textAlignment w:val="auto"/>
        <w:rPr>
          <w:color w:val="0000FF"/>
        </w:rPr>
      </w:pPr>
      <w:r>
        <w:rPr>
          <w:color w:val="0000FF"/>
        </w:rPr>
        <w:t>本项目新建年出栏</w:t>
      </w:r>
      <w:r>
        <w:rPr>
          <w:rFonts w:ascii="Times New Roman" w:eastAsia="Times New Roman"/>
          <w:color w:val="0000FF"/>
        </w:rPr>
        <w:t>4</w:t>
      </w:r>
      <w:r>
        <w:rPr>
          <w:color w:val="0000FF"/>
        </w:rPr>
        <w:t>万只羊养殖场</w:t>
      </w:r>
      <w:r>
        <w:rPr>
          <w:rFonts w:ascii="Times New Roman" w:eastAsia="Times New Roman"/>
          <w:color w:val="0000FF"/>
        </w:rPr>
        <w:t>1</w:t>
      </w:r>
      <w:r>
        <w:rPr>
          <w:color w:val="0000FF"/>
        </w:rPr>
        <w:t>座，包括养殖区、饲料贮存及相应的附属配套设施设备。建设项目总占地面积</w:t>
      </w:r>
      <w:r>
        <w:rPr>
          <w:rFonts w:hint="eastAsia"/>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color w:val="0000FF"/>
          <w:lang w:val="en-US" w:eastAsia="zh-CN"/>
        </w:rPr>
        <w:t>31.095</w:t>
      </w:r>
      <w:r>
        <w:rPr>
          <w:color w:val="0000FF"/>
        </w:rPr>
        <w:t>亩），总建筑面积为</w:t>
      </w:r>
      <w:r>
        <w:rPr>
          <w:rFonts w:hint="eastAsia" w:ascii="Times New Roman" w:eastAsia="宋体"/>
          <w:color w:val="0000FF"/>
          <w:lang w:val="en-US" w:eastAsia="zh-CN"/>
        </w:rPr>
        <w:t>20730.00</w:t>
      </w:r>
      <w:r>
        <w:rPr>
          <w:rFonts w:ascii="Times New Roman" w:eastAsia="Times New Roman"/>
          <w:color w:val="0000FF"/>
        </w:rPr>
        <w:t>m</w:t>
      </w:r>
      <w:r>
        <w:rPr>
          <w:rFonts w:ascii="Times New Roman" w:eastAsia="Times New Roman"/>
          <w:color w:val="0000FF"/>
          <w:position w:val="8"/>
          <w:sz w:val="15"/>
        </w:rPr>
        <w:t>2</w:t>
      </w:r>
      <w:r>
        <w:rPr>
          <w:color w:val="0000FF"/>
        </w:rPr>
        <w:t>，绿化面积为</w:t>
      </w:r>
      <w:r>
        <w:rPr>
          <w:rFonts w:hint="eastAsia"/>
          <w:color w:val="0000FF"/>
          <w:lang w:val="en-US" w:eastAsia="zh-CN"/>
        </w:rPr>
        <w:t>3109.5</w:t>
      </w:r>
      <w:r>
        <w:rPr>
          <w:rFonts w:ascii="Times New Roman" w:eastAsia="Times New Roman"/>
          <w:color w:val="0000FF"/>
        </w:rPr>
        <w:t>m</w:t>
      </w:r>
      <w:r>
        <w:rPr>
          <w:rFonts w:ascii="Times New Roman" w:eastAsia="Times New Roman"/>
          <w:color w:val="0000FF"/>
          <w:position w:val="8"/>
          <w:sz w:val="15"/>
        </w:rPr>
        <w:t>2</w:t>
      </w:r>
      <w:r>
        <w:rPr>
          <w:color w:val="0000FF"/>
        </w:rPr>
        <w:t>（</w:t>
      </w:r>
      <w:r>
        <w:rPr>
          <w:rFonts w:hint="eastAsia"/>
          <w:color w:val="0000FF"/>
          <w:lang w:val="en-US" w:eastAsia="zh-CN"/>
        </w:rPr>
        <w:t>4.66</w:t>
      </w:r>
      <w:r>
        <w:rPr>
          <w:color w:val="0000FF"/>
        </w:rPr>
        <w:t>亩）。</w:t>
      </w:r>
    </w:p>
    <w:p>
      <w:pPr>
        <w:pStyle w:val="17"/>
        <w:numPr>
          <w:ilvl w:val="0"/>
          <w:numId w:val="23"/>
        </w:numPr>
        <w:tabs>
          <w:tab w:val="left" w:pos="1621"/>
        </w:tabs>
        <w:spacing w:before="161" w:after="0" w:line="240" w:lineRule="auto"/>
        <w:ind w:left="1621" w:right="0" w:hanging="601"/>
        <w:jc w:val="left"/>
        <w:rPr>
          <w:sz w:val="24"/>
        </w:rPr>
      </w:pPr>
      <w:r>
        <w:rPr>
          <w:sz w:val="24"/>
        </w:rPr>
        <w:t>场地选择的基本要求</w:t>
      </w:r>
    </w:p>
    <w:p>
      <w:pPr>
        <w:pStyle w:val="7"/>
        <w:spacing w:before="160" w:line="364" w:lineRule="auto"/>
        <w:ind w:right="577" w:firstLine="480"/>
      </w:pPr>
      <w:r>
        <w:rPr>
          <w:rFonts w:ascii="Times New Roman" w:eastAsia="Times New Roman"/>
        </w:rPr>
        <w:t>a</w:t>
      </w:r>
      <w:r>
        <w:t>、选择地势较高、向阳、背风、干燥、水源充足、水质良好、地段平坦且排水良好之处。</w:t>
      </w:r>
    </w:p>
    <w:p>
      <w:pPr>
        <w:pStyle w:val="7"/>
        <w:spacing w:before="1" w:line="364" w:lineRule="auto"/>
        <w:ind w:left="1020" w:right="3018"/>
      </w:pPr>
      <w:r>
        <w:rPr>
          <w:rFonts w:ascii="Times New Roman" w:eastAsia="Times New Roman"/>
        </w:rPr>
        <w:t>b</w:t>
      </w:r>
      <w:r>
        <w:t>、避开冬季风口、低洼易涝、泥流冲积的地段。</w:t>
      </w:r>
      <w:r>
        <w:rPr>
          <w:rFonts w:ascii="Times New Roman" w:eastAsia="Times New Roman"/>
        </w:rPr>
        <w:t>c</w:t>
      </w:r>
      <w:r>
        <w:rPr>
          <w:spacing w:val="-1"/>
        </w:rPr>
        <w:t>、离交通要道、集市应有一定距离，有利于防疫。</w:t>
      </w:r>
      <w:r>
        <w:rPr>
          <w:rFonts w:ascii="Times New Roman" w:eastAsia="Times New Roman"/>
        </w:rPr>
        <w:t>d</w:t>
      </w:r>
      <w:r>
        <w:t>、养殖场区周围建有围墙。</w:t>
      </w:r>
    </w:p>
    <w:p>
      <w:pPr>
        <w:pStyle w:val="7"/>
        <w:spacing w:before="2"/>
        <w:ind w:left="1020"/>
      </w:pPr>
      <w:r>
        <w:rPr>
          <w:rFonts w:ascii="Times New Roman" w:eastAsia="Times New Roman"/>
        </w:rPr>
        <w:t>e</w:t>
      </w:r>
      <w:r>
        <w:t>、养殖场区出入口处设置与门同宽，长</w:t>
      </w:r>
      <w:r>
        <w:rPr>
          <w:rFonts w:ascii="Times New Roman" w:eastAsia="Times New Roman"/>
        </w:rPr>
        <w:t>4</w:t>
      </w:r>
      <w:r>
        <w:t>米、深</w:t>
      </w:r>
      <w:r>
        <w:rPr>
          <w:rFonts w:ascii="Times New Roman" w:eastAsia="Times New Roman"/>
        </w:rPr>
        <w:t>0.3</w:t>
      </w:r>
      <w:r>
        <w:t>米以上的消毒池。</w:t>
      </w:r>
    </w:p>
    <w:p>
      <w:pPr>
        <w:pStyle w:val="7"/>
        <w:spacing w:before="161"/>
        <w:ind w:left="1020"/>
      </w:pPr>
      <w:r>
        <w:rPr>
          <w:rFonts w:ascii="Times New Roman" w:eastAsia="Times New Roman"/>
        </w:rPr>
        <w:t>f</w:t>
      </w:r>
      <w:r>
        <w:t>、养殖场生产区与生活办公区分开，并有隔离设施。</w:t>
      </w:r>
    </w:p>
    <w:p>
      <w:pPr>
        <w:pStyle w:val="7"/>
        <w:spacing w:before="160" w:line="364" w:lineRule="auto"/>
        <w:ind w:right="580" w:firstLine="480"/>
      </w:pPr>
      <w:r>
        <w:rPr>
          <w:rFonts w:ascii="Times New Roman" w:eastAsia="Times New Roman"/>
        </w:rPr>
        <w:t>g</w:t>
      </w:r>
      <w:r>
        <w:t>、养殖场生产区入口处设置更衣消毒室，各栋羊舍出入口设置消毒池或者消毒垫。</w:t>
      </w:r>
    </w:p>
    <w:p>
      <w:pPr>
        <w:pStyle w:val="7"/>
        <w:spacing w:before="1"/>
        <w:ind w:left="1020"/>
      </w:pPr>
      <w:r>
        <w:rPr>
          <w:rFonts w:ascii="Times New Roman" w:eastAsia="Times New Roman"/>
        </w:rPr>
        <w:t>h</w:t>
      </w:r>
      <w:r>
        <w:t>、养殖场生产区内清洁道、污染道分设。</w:t>
      </w:r>
    </w:p>
    <w:p>
      <w:pPr>
        <w:pStyle w:val="7"/>
        <w:spacing w:before="161"/>
        <w:ind w:left="1020"/>
        <w:jc w:val="both"/>
      </w:pPr>
      <w:r>
        <w:rPr>
          <w:rFonts w:ascii="Times New Roman" w:eastAsia="Times New Roman"/>
        </w:rPr>
        <w:t>j</w:t>
      </w:r>
      <w:r>
        <w:t>、养殖场生产区内各养殖栋舍之间距离在</w:t>
      </w:r>
      <w:r>
        <w:rPr>
          <w:rFonts w:ascii="Times New Roman" w:eastAsia="Times New Roman"/>
        </w:rPr>
        <w:t>5</w:t>
      </w:r>
      <w:r>
        <w:t>米以上或者有隔离。</w:t>
      </w:r>
    </w:p>
    <w:p>
      <w:pPr>
        <w:pStyle w:val="7"/>
        <w:spacing w:before="160" w:line="364" w:lineRule="auto"/>
        <w:ind w:right="575" w:firstLine="480"/>
        <w:jc w:val="both"/>
        <w:rPr>
          <w:color w:val="0000FF"/>
        </w:rPr>
      </w:pPr>
      <w:r>
        <w:rPr>
          <w:color w:val="0000FF"/>
          <w:spacing w:val="-3"/>
        </w:rPr>
        <w:t>项目建设地点位于</w:t>
      </w:r>
      <w:r>
        <w:rPr>
          <w:rFonts w:hint="eastAsia"/>
          <w:color w:val="0000FF"/>
          <w:spacing w:val="-3"/>
          <w:lang w:val="en-US" w:eastAsia="zh-CN"/>
        </w:rPr>
        <w:t>莎车</w:t>
      </w:r>
      <w:r>
        <w:rPr>
          <w:color w:val="0000FF"/>
          <w:spacing w:val="-3"/>
        </w:rPr>
        <w:t>县，项目周围</w:t>
      </w:r>
      <w:r>
        <w:rPr>
          <w:rFonts w:ascii="Times New Roman" w:eastAsia="Times New Roman"/>
          <w:color w:val="0000FF"/>
        </w:rPr>
        <w:t>1000m</w:t>
      </w:r>
      <w:r>
        <w:rPr>
          <w:color w:val="0000FF"/>
        </w:rPr>
        <w:t>内无大型化工厂、矿厂、皮革</w:t>
      </w:r>
      <w:r>
        <w:rPr>
          <w:color w:val="0000FF"/>
          <w:spacing w:val="-8"/>
        </w:rPr>
        <w:t>厂、肉品加工厂、屠宰场或其它污染源；距</w:t>
      </w:r>
      <w:r>
        <w:rPr>
          <w:rFonts w:hint="eastAsia"/>
          <w:color w:val="0000FF"/>
          <w:spacing w:val="-8"/>
          <w:lang w:val="en-US" w:eastAsia="zh-CN"/>
        </w:rPr>
        <w:t>南</w:t>
      </w:r>
      <w:r>
        <w:rPr>
          <w:color w:val="0000FF"/>
          <w:spacing w:val="-8"/>
        </w:rPr>
        <w:t>侧的</w:t>
      </w:r>
      <w:r>
        <w:rPr>
          <w:rFonts w:hint="eastAsia"/>
          <w:color w:val="0000FF"/>
          <w:spacing w:val="-8"/>
          <w:lang w:val="en-US" w:eastAsia="zh-CN"/>
        </w:rPr>
        <w:t>托万巴格托格克拉</w:t>
      </w:r>
      <w:r>
        <w:rPr>
          <w:color w:val="0000FF"/>
          <w:spacing w:val="-8"/>
        </w:rPr>
        <w:t>村</w:t>
      </w:r>
      <w:r>
        <w:rPr>
          <w:rFonts w:hint="eastAsia" w:ascii="Times New Roman"/>
          <w:color w:val="0000FF"/>
          <w:lang w:val="en-US" w:eastAsia="zh-CN"/>
        </w:rPr>
        <w:t>2</w:t>
      </w:r>
      <w:r>
        <w:rPr>
          <w:rFonts w:ascii="Times New Roman" w:eastAsia="Times New Roman"/>
          <w:color w:val="0000FF"/>
        </w:rPr>
        <w:t>km</w:t>
      </w:r>
      <w:r>
        <w:rPr>
          <w:color w:val="0000FF"/>
          <w:spacing w:val="-6"/>
        </w:rPr>
        <w:t>，项目的选址符合羊养殖区选址中的相关要求。整个场区地势相对平坦，羊产业养殖场</w:t>
      </w:r>
      <w:r>
        <w:rPr>
          <w:color w:val="0000FF"/>
        </w:rPr>
        <w:t>主入口正对乡村公路，其他面为</w:t>
      </w:r>
      <w:r>
        <w:rPr>
          <w:rFonts w:hint="eastAsia"/>
          <w:color w:val="0000FF"/>
          <w:lang w:val="en-US" w:eastAsia="zh-CN"/>
        </w:rPr>
        <w:t>托万巴格托格克拉村</w:t>
      </w:r>
      <w:r>
        <w:rPr>
          <w:color w:val="0000FF"/>
        </w:rPr>
        <w:t>农田，隔离条件较好。</w:t>
      </w:r>
    </w:p>
    <w:p>
      <w:pPr>
        <w:pStyle w:val="17"/>
        <w:numPr>
          <w:ilvl w:val="0"/>
          <w:numId w:val="23"/>
        </w:numPr>
        <w:tabs>
          <w:tab w:val="left" w:pos="1621"/>
        </w:tabs>
        <w:spacing w:before="3" w:after="0" w:line="240" w:lineRule="auto"/>
        <w:ind w:left="1621" w:right="0" w:hanging="601"/>
        <w:jc w:val="left"/>
        <w:rPr>
          <w:sz w:val="24"/>
        </w:rPr>
      </w:pPr>
      <w:r>
        <w:rPr>
          <w:sz w:val="24"/>
        </w:rPr>
        <w:t>设计要求</w:t>
      </w:r>
    </w:p>
    <w:p>
      <w:pPr>
        <w:pStyle w:val="7"/>
        <w:spacing w:before="160" w:line="364" w:lineRule="auto"/>
        <w:ind w:right="485" w:firstLine="480"/>
      </w:pPr>
      <w:r>
        <w:t>总平面选址符合建设规划要求，充分利用地形、空地现状，并能保证安全、疏散、防火等需要。</w:t>
      </w:r>
    </w:p>
    <w:p>
      <w:pPr>
        <w:pStyle w:val="17"/>
        <w:numPr>
          <w:ilvl w:val="0"/>
          <w:numId w:val="23"/>
        </w:numPr>
        <w:tabs>
          <w:tab w:val="left" w:pos="1621"/>
        </w:tabs>
        <w:spacing w:before="2" w:after="0" w:line="240" w:lineRule="auto"/>
        <w:ind w:left="1621" w:right="0" w:hanging="601"/>
        <w:jc w:val="left"/>
        <w:rPr>
          <w:sz w:val="24"/>
        </w:rPr>
      </w:pPr>
      <w:r>
        <w:rPr>
          <w:sz w:val="24"/>
        </w:rPr>
        <w:t>总平面布局</w:t>
      </w:r>
    </w:p>
    <w:p>
      <w:pPr>
        <w:pStyle w:val="7"/>
        <w:spacing w:before="160" w:line="364" w:lineRule="auto"/>
        <w:ind w:right="457" w:firstLine="480"/>
        <w:jc w:val="both"/>
      </w:pPr>
      <w:r>
        <w:rPr>
          <w:spacing w:val="-7"/>
        </w:rPr>
        <w:t>项目总平面布置原则：按照饲养的操作流程布置羊舍和粪污处理等设施，做</w:t>
      </w:r>
      <w:r>
        <w:rPr>
          <w:spacing w:val="-13"/>
        </w:rPr>
        <w:t>到功能分区明确合理，保证养殖场内物料运输距离短捷顺畅，干净道和污染道尽</w:t>
      </w:r>
      <w:r>
        <w:rPr>
          <w:spacing w:val="-16"/>
        </w:rPr>
        <w:t>量不交叉，搞好绿化工作，使养殖场内部环境优美，空气清新，有利于人畜生活。</w:t>
      </w:r>
    </w:p>
    <w:p>
      <w:pPr>
        <w:pStyle w:val="7"/>
        <w:spacing w:before="2" w:line="364" w:lineRule="auto"/>
        <w:ind w:right="457" w:firstLine="480"/>
      </w:pPr>
      <w:r>
        <w:rPr>
          <w:spacing w:val="-6"/>
        </w:rPr>
        <w:t>场内根据生产流程和工作要求，严格实行分区和分散布局管理，养殖场内按生产工艺流程划分为养殖区、粪污处理区和饲料贮存区三个不同生产功能分区，</w:t>
      </w:r>
      <w:r>
        <w:rPr>
          <w:spacing w:val="-17"/>
        </w:rPr>
        <w:t>羊舍之间、羊舍与饲料贮存区之间、粪污处理区与羊舍之间保持相应的防疫间距。</w:t>
      </w:r>
    </w:p>
    <w:p>
      <w:pPr>
        <w:pStyle w:val="7"/>
        <w:spacing w:before="143" w:line="364" w:lineRule="auto"/>
        <w:ind w:right="457" w:firstLine="480"/>
      </w:pPr>
      <w:r>
        <w:t>①养殖区</w:t>
      </w:r>
    </w:p>
    <w:p>
      <w:pPr>
        <w:pStyle w:val="7"/>
        <w:spacing w:before="143" w:line="364" w:lineRule="auto"/>
        <w:ind w:right="457" w:firstLine="480"/>
      </w:pPr>
      <w:r>
        <w:rPr>
          <w:spacing w:val="-7"/>
        </w:rPr>
        <w:t>养殖区位于项目区西南侧，占场区大部分面积。根据有利防疫、便于管理和</w:t>
      </w:r>
      <w:r>
        <w:rPr>
          <w:spacing w:val="-12"/>
        </w:rPr>
        <w:t>方便转运的原则，将整个养殖区分为配种羊舍和标准化羊舍，形成一条完整的流</w:t>
      </w:r>
      <w:r>
        <w:rPr>
          <w:spacing w:val="-13"/>
        </w:rPr>
        <w:t>水养殖线。同时，将无害化车间布置在场地东北侧，尽可能远离场区养殖区，并</w:t>
      </w:r>
      <w:r>
        <w:rPr>
          <w:spacing w:val="-15"/>
        </w:rPr>
        <w:t>种植林木实施隔离，以最大程度防止疫情、恶臭对整个场区的影响。按照农业循</w:t>
      </w:r>
      <w:r>
        <w:rPr>
          <w:spacing w:val="-14"/>
        </w:rPr>
        <w:t>环经济的规律，按照节约用地、保护环境、保护生态平衡、废物资源化利用的原</w:t>
      </w:r>
      <w:r>
        <w:rPr>
          <w:spacing w:val="-17"/>
        </w:rPr>
        <w:t>则，在各羊舍区间种植树木作为隔离林带，用草本花卉作为绿化地带作为隔离带，</w:t>
      </w:r>
      <w:r>
        <w:t>以达到恶臭净化的目的，减少对环境的影响。</w:t>
      </w:r>
    </w:p>
    <w:p>
      <w:pPr>
        <w:pStyle w:val="7"/>
        <w:spacing w:before="4"/>
        <w:ind w:left="1020"/>
      </w:pPr>
      <w:r>
        <w:t>②饲料贮存区</w:t>
      </w:r>
    </w:p>
    <w:p>
      <w:pPr>
        <w:pStyle w:val="7"/>
        <w:spacing w:before="160" w:line="364" w:lineRule="auto"/>
        <w:ind w:right="485" w:firstLine="480"/>
      </w:pPr>
      <w:r>
        <w:rPr>
          <w:spacing w:val="-6"/>
        </w:rPr>
        <w:t>本项目饲料贮存区设在场址北侧，位于养殖区和粪污处理区的上风向，并设</w:t>
      </w:r>
      <w:r>
        <w:rPr>
          <w:spacing w:val="-7"/>
        </w:rPr>
        <w:t>通道通向厂外。同时，饲料贮存区和养殖区、粪污处理区之间均有一定的距离，</w:t>
      </w:r>
      <w:r>
        <w:t>饲料贮存区和粪污处理区之间设置绿化隔离带。</w:t>
      </w:r>
    </w:p>
    <w:p>
      <w:pPr>
        <w:pStyle w:val="7"/>
        <w:spacing w:before="2"/>
        <w:ind w:left="1020"/>
      </w:pPr>
      <w:r>
        <w:t>③粪污处理区</w:t>
      </w:r>
    </w:p>
    <w:p>
      <w:pPr>
        <w:pStyle w:val="7"/>
        <w:spacing w:before="161" w:line="364" w:lineRule="auto"/>
        <w:ind w:right="577" w:firstLine="480"/>
        <w:jc w:val="both"/>
      </w:pPr>
      <w:r>
        <w:rPr>
          <w:spacing w:val="-7"/>
        </w:rPr>
        <w:t>项目区主导风向为西北偏北风，本项目区常年主导方向为西北风，项目堆肥</w:t>
      </w:r>
      <w:r>
        <w:rPr>
          <w:spacing w:val="-10"/>
        </w:rPr>
        <w:t>厂、无害化处理车间等设施均位于场区东北角，属于常年主导风向的侧风向，且</w:t>
      </w:r>
      <w:r>
        <w:t>与养殖区相距较远，因此，粪污处理区平面布置对周围环境影响较小。</w:t>
      </w:r>
    </w:p>
    <w:p>
      <w:pPr>
        <w:pStyle w:val="7"/>
        <w:spacing w:before="2" w:line="364" w:lineRule="auto"/>
        <w:ind w:right="485" w:firstLine="480"/>
      </w:pPr>
      <w:r>
        <w:t>④结合养殖区内的功能，厂区内道路按照净道和污道不交叉的原则进行布</w:t>
      </w:r>
      <w:r>
        <w:rPr>
          <w:spacing w:val="-7"/>
        </w:rPr>
        <w:t>置，厂区北侧设置</w:t>
      </w:r>
      <w:r>
        <w:rPr>
          <w:rFonts w:ascii="Times New Roman" w:hAnsi="Times New Roman" w:eastAsia="Times New Roman"/>
        </w:rPr>
        <w:t>1</w:t>
      </w:r>
      <w:r>
        <w:rPr>
          <w:spacing w:val="-1"/>
        </w:rPr>
        <w:t>个污路出入口，南侧设置一个出入口，一个为养殖区大门，</w:t>
      </w:r>
      <w:r>
        <w:rPr>
          <w:spacing w:val="-7"/>
        </w:rPr>
        <w:t>直通项目养殖生产区，主要为运输饲料等，另一个为人员进出大门，主要为人员流通，如此布置可以实现人流、物流分开出入，符合卫生防疫等相关的要求。</w:t>
      </w:r>
    </w:p>
    <w:p>
      <w:pPr>
        <w:pStyle w:val="7"/>
        <w:spacing w:before="2" w:line="364" w:lineRule="auto"/>
        <w:ind w:right="485" w:firstLine="480"/>
      </w:pPr>
      <w:r>
        <w:rPr>
          <w:spacing w:val="-2"/>
        </w:rPr>
        <w:t>⑤场区周围建有围墙；场区出入口处设置与门同宽，长</w:t>
      </w:r>
      <w:r>
        <w:rPr>
          <w:rFonts w:ascii="Times New Roman" w:hAnsi="Times New Roman" w:eastAsia="Times New Roman"/>
        </w:rPr>
        <w:t>4</w:t>
      </w:r>
      <w:r>
        <w:rPr>
          <w:spacing w:val="-13"/>
        </w:rPr>
        <w:t>米、深</w:t>
      </w:r>
      <w:r>
        <w:rPr>
          <w:rFonts w:ascii="Times New Roman" w:hAnsi="Times New Roman" w:eastAsia="Times New Roman"/>
        </w:rPr>
        <w:t>0.3</w:t>
      </w:r>
      <w:r>
        <w:t>米以</w:t>
      </w:r>
      <w:r>
        <w:rPr>
          <w:spacing w:val="-10"/>
        </w:rPr>
        <w:t>上的消毒池；生产区与办公区分开，并有隔离设施；生产区入口处设置更衣消毒</w:t>
      </w:r>
      <w:r>
        <w:rPr>
          <w:spacing w:val="-11"/>
        </w:rPr>
        <w:t>室，各养殖栋舍出入口设置消毒池或者消毒垫；生产区内清洁道、污染道分设；</w:t>
      </w:r>
      <w:r>
        <w:rPr>
          <w:spacing w:val="-4"/>
        </w:rPr>
        <w:t>生产区内各养殖栋舍之间距离在</w:t>
      </w:r>
      <w:r>
        <w:rPr>
          <w:rFonts w:ascii="Times New Roman" w:hAnsi="Times New Roman" w:eastAsia="Times New Roman"/>
        </w:rPr>
        <w:t>5</w:t>
      </w:r>
      <w:r>
        <w:t>米以上或者有隔离。</w:t>
      </w:r>
    </w:p>
    <w:p>
      <w:pPr>
        <w:pStyle w:val="7"/>
        <w:spacing w:before="143" w:line="364" w:lineRule="auto"/>
        <w:ind w:right="485" w:firstLine="480"/>
      </w:pPr>
      <w:r>
        <w:rPr>
          <w:spacing w:val="-1"/>
        </w:rPr>
        <w:t>⑥基地内道路采用戈壁石路面，基地内外形成环状道路，并与消防车道相</w:t>
      </w:r>
      <w:r>
        <w:rPr>
          <w:spacing w:val="-7"/>
        </w:rPr>
        <w:t>结合。道路宽度</w:t>
      </w:r>
      <w:r>
        <w:rPr>
          <w:rFonts w:ascii="Times New Roman" w:hAnsi="Times New Roman" w:eastAsia="Times New Roman"/>
        </w:rPr>
        <w:t>6</w:t>
      </w:r>
      <w:r>
        <w:rPr>
          <w:spacing w:val="-11"/>
        </w:rPr>
        <w:t>米，纵坡</w:t>
      </w:r>
      <w:r>
        <w:rPr>
          <w:rFonts w:ascii="Times New Roman" w:hAnsi="Times New Roman" w:eastAsia="Times New Roman"/>
        </w:rPr>
        <w:t>0.55</w:t>
      </w:r>
      <w:r>
        <w:rPr>
          <w:spacing w:val="-8"/>
        </w:rPr>
        <w:t>％，最小纵坡</w:t>
      </w:r>
      <w:r>
        <w:rPr>
          <w:rFonts w:ascii="Times New Roman" w:hAnsi="Times New Roman" w:eastAsia="Times New Roman"/>
        </w:rPr>
        <w:t>0.2</w:t>
      </w:r>
      <w:r>
        <w:rPr>
          <w:spacing w:val="-1"/>
        </w:rPr>
        <w:t>％。地表雨水均排入周围绿化</w:t>
      </w:r>
      <w:r>
        <w:rPr>
          <w:spacing w:val="-11"/>
        </w:rPr>
        <w:t>带。根据养殖场内地形，基地场地排水采用无组织排水。在施工中将场地适当填</w:t>
      </w:r>
      <w:r>
        <w:rPr>
          <w:spacing w:val="-10"/>
        </w:rPr>
        <w:t>方，略高于周围地坪，以使建筑有良好的视角，并为污水、雨水的排放提供便利</w:t>
      </w:r>
      <w:r>
        <w:t>条件。</w:t>
      </w:r>
    </w:p>
    <w:p>
      <w:pPr>
        <w:pStyle w:val="7"/>
        <w:spacing w:before="143" w:line="364" w:lineRule="auto"/>
        <w:ind w:right="485" w:firstLine="480"/>
      </w:pPr>
      <w:r>
        <w:rPr>
          <w:spacing w:val="-1"/>
        </w:rPr>
        <w:t>本项目总平面布置根据现有地形和主导风向，考虑周围环境，并兼顾防疫、</w:t>
      </w:r>
      <w:r>
        <w:rPr>
          <w:spacing w:val="-9"/>
        </w:rPr>
        <w:t>消防、环境卫生等要求，符合工艺流程，充分考虑自然地形地貌条件，满足生产</w:t>
      </w:r>
      <w:r>
        <w:rPr>
          <w:spacing w:val="-13"/>
        </w:rPr>
        <w:t>要求和方便管理，合理布置场区的建筑物、运输线路，使场内的物料运输路径短</w:t>
      </w:r>
      <w:r>
        <w:rPr>
          <w:spacing w:val="-15"/>
        </w:rPr>
        <w:t>捷，提高了生产效率，降低了运输成本。项目的总平面布置见图</w:t>
      </w:r>
      <w:r>
        <w:rPr>
          <w:rFonts w:ascii="Times New Roman" w:eastAsia="Times New Roman"/>
        </w:rPr>
        <w:t>3.1-9</w:t>
      </w:r>
      <w:r>
        <w:t>。</w:t>
      </w:r>
    </w:p>
    <w:p>
      <w:pPr>
        <w:pStyle w:val="17"/>
        <w:numPr>
          <w:ilvl w:val="0"/>
          <w:numId w:val="23"/>
        </w:numPr>
        <w:tabs>
          <w:tab w:val="left" w:pos="1621"/>
        </w:tabs>
        <w:spacing w:before="2" w:after="0" w:line="240" w:lineRule="auto"/>
        <w:ind w:left="1621" w:right="0" w:hanging="601"/>
        <w:jc w:val="left"/>
        <w:rPr>
          <w:sz w:val="24"/>
        </w:rPr>
      </w:pPr>
      <w:r>
        <w:rPr>
          <w:sz w:val="24"/>
        </w:rPr>
        <w:t>平面布置合理性分析</w:t>
      </w:r>
    </w:p>
    <w:p>
      <w:pPr>
        <w:pStyle w:val="7"/>
        <w:spacing w:before="161" w:line="364" w:lineRule="auto"/>
        <w:ind w:right="577" w:firstLine="480"/>
        <w:jc w:val="both"/>
      </w:pPr>
      <w:r>
        <w:rPr>
          <w:spacing w:val="-8"/>
        </w:rPr>
        <w:t>根据项目总平面布置，项目场区按生产工艺分区布置，做到了清洁区与污物</w:t>
      </w:r>
      <w:r>
        <w:rPr>
          <w:spacing w:val="-10"/>
        </w:rPr>
        <w:t>区分开、粪污处理区与养殖区分开，</w:t>
      </w:r>
      <w:r>
        <w:rPr>
          <w:rFonts w:hint="eastAsia"/>
          <w:spacing w:val="-10"/>
          <w:lang w:val="en-US" w:eastAsia="zh-CN"/>
        </w:rPr>
        <w:t>莎车</w:t>
      </w:r>
      <w:r>
        <w:rPr>
          <w:spacing w:val="-10"/>
        </w:rPr>
        <w:t>县常年主导风向为西风，粪污处理区布</w:t>
      </w:r>
      <w:r>
        <w:rPr>
          <w:spacing w:val="18"/>
        </w:rPr>
        <w:t>置</w:t>
      </w:r>
      <w:r>
        <w:rPr>
          <w:rFonts w:hint="eastAsia"/>
          <w:spacing w:val="18"/>
          <w:lang w:val="en-US" w:eastAsia="zh-CN"/>
        </w:rPr>
        <w:t>莎车</w:t>
      </w:r>
      <w:r>
        <w:rPr>
          <w:spacing w:val="18"/>
        </w:rPr>
        <w:t>县常年主导风的侧风向，符合《畜禽养殖业污染防治技术规范》</w:t>
      </w:r>
    </w:p>
    <w:p>
      <w:pPr>
        <w:pStyle w:val="7"/>
        <w:spacing w:before="1" w:line="364" w:lineRule="auto"/>
        <w:ind w:right="575"/>
        <w:jc w:val="both"/>
      </w:pPr>
      <w:r>
        <w:t>（</w:t>
      </w:r>
      <w:r>
        <w:rPr>
          <w:rFonts w:ascii="Times New Roman" w:hAnsi="Times New Roman" w:eastAsia="Times New Roman"/>
        </w:rPr>
        <w:t>HJ/T81-2001</w:t>
      </w:r>
      <w:r>
        <w:t>）的规定，畜禽养殖场场区布局应“新建、改建、扩建的畜禽养</w:t>
      </w:r>
      <w:r>
        <w:rPr>
          <w:spacing w:val="-8"/>
        </w:rPr>
        <w:t>殖场应实现生产区、生活管理区的隔离；粪便污水处理设施和畜禽尸体填埋，应</w:t>
      </w:r>
      <w:r>
        <w:rPr>
          <w:spacing w:val="-7"/>
        </w:rPr>
        <w:t>设在养殖场的生产区、生活管理区的常年主导风向的下风向或侧风向处。”的要</w:t>
      </w:r>
      <w:r>
        <w:t>求。因此，从环境保护角度来看，项目总平面图布置方案较合理，是可行的。</w:t>
      </w:r>
    </w:p>
    <w:p>
      <w:pPr>
        <w:pStyle w:val="17"/>
        <w:numPr>
          <w:ilvl w:val="0"/>
          <w:numId w:val="23"/>
        </w:numPr>
        <w:tabs>
          <w:tab w:val="left" w:pos="1621"/>
        </w:tabs>
        <w:spacing w:before="3" w:after="0" w:line="240" w:lineRule="auto"/>
        <w:ind w:left="1621" w:right="0" w:hanging="601"/>
        <w:jc w:val="left"/>
        <w:rPr>
          <w:sz w:val="24"/>
        </w:rPr>
      </w:pPr>
      <w:r>
        <w:rPr>
          <w:sz w:val="24"/>
        </w:rPr>
        <w:t>平面布置与相关规范符合性分析</w:t>
      </w:r>
    </w:p>
    <w:p>
      <w:pPr>
        <w:pStyle w:val="7"/>
        <w:spacing w:before="160"/>
        <w:ind w:left="1020"/>
      </w:pPr>
      <w:r>
        <w:t>①与《畜禽养殖业污染防治技术规范》（</w:t>
      </w:r>
      <w:r>
        <w:rPr>
          <w:rFonts w:ascii="Times New Roman" w:hAnsi="Times New Roman" w:eastAsia="Times New Roman"/>
        </w:rPr>
        <w:t>HJ/T81-2001</w:t>
      </w:r>
      <w:r>
        <w:t>）符合性</w:t>
      </w:r>
    </w:p>
    <w:p>
      <w:pPr>
        <w:pStyle w:val="7"/>
        <w:spacing w:before="161" w:line="364" w:lineRule="auto"/>
        <w:ind w:right="575" w:firstLine="480"/>
      </w:pPr>
      <w:r>
        <w:t>根据《畜禽养殖业污染防治技术规范》（</w:t>
      </w:r>
      <w:r>
        <w:rPr>
          <w:rFonts w:ascii="Times New Roman" w:eastAsia="Times New Roman"/>
        </w:rPr>
        <w:t>HJ/T81-2001</w:t>
      </w:r>
      <w:r>
        <w:t>）中场区布局有关要求，本项目场区平面布置与其符合性分析见表</w:t>
      </w:r>
      <w:r>
        <w:rPr>
          <w:rFonts w:ascii="Times New Roman" w:eastAsia="Times New Roman"/>
        </w:rPr>
        <w:t>3.1-11</w:t>
      </w:r>
      <w:r>
        <w:t>。</w:t>
      </w:r>
    </w:p>
    <w:p>
      <w:pPr>
        <w:pStyle w:val="7"/>
        <w:bidi w:val="0"/>
        <w:jc w:val="center"/>
      </w:pPr>
      <w:r>
        <w:t>表</w:t>
      </w:r>
      <w:r>
        <w:rPr>
          <w:rFonts w:ascii="Times New Roman" w:eastAsia="Times New Roman"/>
        </w:rPr>
        <w:t>3.1-11</w:t>
      </w:r>
      <w:r>
        <w:t>场区布局与《畜禽养殖业污染防治技术规范》（</w:t>
      </w:r>
      <w:r>
        <w:rPr>
          <w:rFonts w:ascii="Times New Roman" w:eastAsia="Times New Roman"/>
        </w:rPr>
        <w:t>HJ/T81-2001</w:t>
      </w:r>
      <w:r>
        <w:t>）符合性</w:t>
      </w:r>
    </w:p>
    <w:tbl>
      <w:tblPr>
        <w:tblStyle w:val="14"/>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4350"/>
        <w:gridCol w:w="2651"/>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8" w:type="dxa"/>
          </w:tcPr>
          <w:p>
            <w:pPr>
              <w:pStyle w:val="18"/>
              <w:spacing w:before="35"/>
              <w:ind w:left="92" w:right="84"/>
              <w:rPr>
                <w:b/>
                <w:sz w:val="21"/>
              </w:rPr>
            </w:pPr>
            <w:r>
              <w:rPr>
                <w:b/>
                <w:sz w:val="21"/>
              </w:rPr>
              <w:t>序号</w:t>
            </w:r>
          </w:p>
        </w:tc>
        <w:tc>
          <w:tcPr>
            <w:tcW w:w="4350" w:type="dxa"/>
          </w:tcPr>
          <w:p>
            <w:pPr>
              <w:pStyle w:val="18"/>
              <w:spacing w:before="35"/>
              <w:ind w:left="180"/>
              <w:jc w:val="left"/>
              <w:rPr>
                <w:b/>
                <w:sz w:val="21"/>
              </w:rPr>
            </w:pPr>
            <w:r>
              <w:rPr>
                <w:b/>
                <w:sz w:val="21"/>
              </w:rPr>
              <w:t>《畜禽养殖业污染防治技术规范》有关要求</w:t>
            </w:r>
          </w:p>
        </w:tc>
        <w:tc>
          <w:tcPr>
            <w:tcW w:w="2651" w:type="dxa"/>
          </w:tcPr>
          <w:p>
            <w:pPr>
              <w:pStyle w:val="18"/>
              <w:spacing w:before="35"/>
              <w:ind w:left="589"/>
              <w:jc w:val="left"/>
              <w:rPr>
                <w:b/>
                <w:sz w:val="21"/>
              </w:rPr>
            </w:pPr>
            <w:r>
              <w:rPr>
                <w:b/>
                <w:sz w:val="21"/>
              </w:rPr>
              <w:t>本项目场区布局</w:t>
            </w:r>
          </w:p>
        </w:tc>
        <w:tc>
          <w:tcPr>
            <w:tcW w:w="879" w:type="dxa"/>
          </w:tcPr>
          <w:p>
            <w:pPr>
              <w:pStyle w:val="18"/>
              <w:spacing w:before="35"/>
              <w:ind w:left="101" w:right="94"/>
              <w:rPr>
                <w:b/>
                <w:sz w:val="21"/>
              </w:rPr>
            </w:pPr>
            <w:r>
              <w:rPr>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648" w:type="dxa"/>
          </w:tcPr>
          <w:p>
            <w:pPr>
              <w:pStyle w:val="18"/>
              <w:jc w:val="left"/>
              <w:rPr>
                <w:b/>
                <w:sz w:val="22"/>
              </w:rPr>
            </w:pPr>
          </w:p>
          <w:p>
            <w:pPr>
              <w:pStyle w:val="18"/>
              <w:spacing w:before="7"/>
              <w:jc w:val="left"/>
              <w:rPr>
                <w:b/>
                <w:sz w:val="24"/>
              </w:rPr>
            </w:pPr>
          </w:p>
          <w:p>
            <w:pPr>
              <w:pStyle w:val="18"/>
              <w:ind w:left="9"/>
              <w:rPr>
                <w:rFonts w:ascii="Times New Roman"/>
                <w:sz w:val="21"/>
              </w:rPr>
            </w:pPr>
            <w:r>
              <w:rPr>
                <w:rFonts w:ascii="Times New Roman"/>
                <w:w w:val="99"/>
                <w:sz w:val="21"/>
              </w:rPr>
              <w:t>1</w:t>
            </w:r>
          </w:p>
        </w:tc>
        <w:tc>
          <w:tcPr>
            <w:tcW w:w="4350" w:type="dxa"/>
          </w:tcPr>
          <w:p>
            <w:pPr>
              <w:pStyle w:val="18"/>
              <w:spacing w:before="2"/>
              <w:jc w:val="left"/>
              <w:rPr>
                <w:b/>
                <w:sz w:val="19"/>
              </w:rPr>
            </w:pPr>
          </w:p>
          <w:p>
            <w:pPr>
              <w:pStyle w:val="18"/>
              <w:spacing w:before="1" w:line="213" w:lineRule="auto"/>
              <w:ind w:left="108" w:right="-15"/>
              <w:jc w:val="left"/>
              <w:rPr>
                <w:sz w:val="21"/>
              </w:rPr>
            </w:pPr>
            <w:r>
              <w:rPr>
                <w:spacing w:val="-14"/>
                <w:sz w:val="21"/>
              </w:rPr>
              <w:t>新建、改建、扩建的畜禽养殖场应实现生产区、生活管理区的隔离，粪便污水处理设施和畜禽</w:t>
            </w:r>
            <w:r>
              <w:rPr>
                <w:spacing w:val="-17"/>
                <w:sz w:val="21"/>
              </w:rPr>
              <w:t>尸体焚烧炉应设在养殖场的生产区、生活管理区的常年主导风向的下风向或侧风向处</w:t>
            </w:r>
          </w:p>
        </w:tc>
        <w:tc>
          <w:tcPr>
            <w:tcW w:w="2651" w:type="dxa"/>
          </w:tcPr>
          <w:p>
            <w:pPr>
              <w:pStyle w:val="18"/>
              <w:spacing w:before="1" w:line="240" w:lineRule="exact"/>
              <w:ind w:left="107" w:right="11"/>
              <w:jc w:val="left"/>
              <w:rPr>
                <w:sz w:val="21"/>
              </w:rPr>
            </w:pPr>
            <w:r>
              <w:rPr>
                <w:sz w:val="21"/>
              </w:rPr>
              <w:t>本项目实现了养殖区、生活管理区的隔离，病死羊运至场区无害化处理车间处理。堆肥厂和无害化处理车间均位于场区东北角，在常年主导风向的侧风向处。</w:t>
            </w:r>
          </w:p>
        </w:tc>
        <w:tc>
          <w:tcPr>
            <w:tcW w:w="879" w:type="dxa"/>
          </w:tcPr>
          <w:p>
            <w:pPr>
              <w:pStyle w:val="18"/>
              <w:jc w:val="left"/>
              <w:rPr>
                <w:b/>
                <w:sz w:val="20"/>
              </w:rPr>
            </w:pPr>
          </w:p>
          <w:p>
            <w:pPr>
              <w:pStyle w:val="18"/>
              <w:spacing w:before="6"/>
              <w:jc w:val="left"/>
              <w:rPr>
                <w:b/>
                <w:sz w:val="25"/>
              </w:rPr>
            </w:pPr>
          </w:p>
          <w:p>
            <w:pPr>
              <w:pStyle w:val="18"/>
              <w:ind w:left="99" w:right="94"/>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48" w:type="dxa"/>
          </w:tcPr>
          <w:p>
            <w:pPr>
              <w:pStyle w:val="18"/>
              <w:spacing w:before="9"/>
              <w:jc w:val="left"/>
              <w:rPr>
                <w:b/>
                <w:sz w:val="27"/>
              </w:rPr>
            </w:pPr>
          </w:p>
          <w:p>
            <w:pPr>
              <w:pStyle w:val="18"/>
              <w:spacing w:before="1"/>
              <w:ind w:left="9"/>
              <w:rPr>
                <w:rFonts w:ascii="Times New Roman"/>
                <w:sz w:val="21"/>
              </w:rPr>
            </w:pPr>
            <w:r>
              <w:rPr>
                <w:rFonts w:ascii="Times New Roman"/>
                <w:w w:val="99"/>
                <w:sz w:val="21"/>
              </w:rPr>
              <w:t>2</w:t>
            </w:r>
          </w:p>
        </w:tc>
        <w:tc>
          <w:tcPr>
            <w:tcW w:w="4350" w:type="dxa"/>
          </w:tcPr>
          <w:p>
            <w:pPr>
              <w:pStyle w:val="18"/>
              <w:spacing w:before="5" w:line="213" w:lineRule="auto"/>
              <w:ind w:left="108" w:right="31"/>
              <w:jc w:val="left"/>
              <w:rPr>
                <w:sz w:val="21"/>
              </w:rPr>
            </w:pPr>
            <w:r>
              <w:rPr>
                <w:spacing w:val="-9"/>
                <w:sz w:val="21"/>
              </w:rPr>
              <w:t>新建、改建、扩建的畜禽养殖场应采取干法清</w:t>
            </w:r>
            <w:r>
              <w:rPr>
                <w:spacing w:val="-9"/>
                <w:w w:val="95"/>
                <w:sz w:val="21"/>
              </w:rPr>
              <w:t>粪工艺，采取有效措施将粪及时、单独清出，</w:t>
            </w:r>
            <w:r>
              <w:rPr>
                <w:spacing w:val="-11"/>
                <w:sz w:val="21"/>
              </w:rPr>
              <w:t>不可与尿、污水混合排出，并将产生的粪渣及</w:t>
            </w:r>
          </w:p>
          <w:p>
            <w:pPr>
              <w:pStyle w:val="18"/>
              <w:spacing w:line="216" w:lineRule="exact"/>
              <w:ind w:left="108"/>
              <w:jc w:val="left"/>
              <w:rPr>
                <w:sz w:val="21"/>
              </w:rPr>
            </w:pPr>
            <w:r>
              <w:rPr>
                <w:sz w:val="21"/>
              </w:rPr>
              <w:t>时运至贮存或处理场所，实现日产日清</w:t>
            </w:r>
          </w:p>
        </w:tc>
        <w:tc>
          <w:tcPr>
            <w:tcW w:w="2651" w:type="dxa"/>
          </w:tcPr>
          <w:p>
            <w:pPr>
              <w:pStyle w:val="18"/>
              <w:spacing w:before="125" w:line="213" w:lineRule="auto"/>
              <w:ind w:left="107" w:right="98"/>
              <w:jc w:val="both"/>
              <w:rPr>
                <w:sz w:val="21"/>
              </w:rPr>
            </w:pPr>
            <w:r>
              <w:rPr>
                <w:spacing w:val="-9"/>
                <w:sz w:val="21"/>
              </w:rPr>
              <w:t>本项目采用干清粪工艺，粪</w:t>
            </w:r>
            <w:r>
              <w:rPr>
                <w:spacing w:val="-11"/>
                <w:sz w:val="21"/>
              </w:rPr>
              <w:t>便人工清理，日产日清，用</w:t>
            </w:r>
            <w:r>
              <w:rPr>
                <w:sz w:val="21"/>
              </w:rPr>
              <w:t>于生产有机肥。</w:t>
            </w:r>
          </w:p>
        </w:tc>
        <w:tc>
          <w:tcPr>
            <w:tcW w:w="879" w:type="dxa"/>
          </w:tcPr>
          <w:p>
            <w:pPr>
              <w:pStyle w:val="18"/>
              <w:spacing w:before="8"/>
              <w:jc w:val="left"/>
              <w:rPr>
                <w:b/>
                <w:sz w:val="26"/>
              </w:rPr>
            </w:pPr>
          </w:p>
          <w:p>
            <w:pPr>
              <w:pStyle w:val="18"/>
              <w:ind w:left="99" w:right="94"/>
              <w:rPr>
                <w:sz w:val="21"/>
              </w:rPr>
            </w:pPr>
            <w:r>
              <w:rPr>
                <w:sz w:val="21"/>
              </w:rPr>
              <w:t>符合</w:t>
            </w:r>
          </w:p>
        </w:tc>
      </w:tr>
    </w:tbl>
    <w:p>
      <w:pPr>
        <w:pStyle w:val="7"/>
        <w:spacing w:before="7"/>
        <w:ind w:left="0"/>
        <w:rPr>
          <w:b/>
          <w:sz w:val="18"/>
        </w:rPr>
      </w:pPr>
    </w:p>
    <w:p>
      <w:pPr>
        <w:pStyle w:val="7"/>
        <w:spacing w:line="364" w:lineRule="auto"/>
        <w:ind w:right="579" w:firstLine="480"/>
      </w:pPr>
      <w:r>
        <w:rPr>
          <w:spacing w:val="-13"/>
        </w:rPr>
        <w:t>因此，本项目场区平面布置符合《畜禽养殖业污染防治技术规范》</w:t>
      </w:r>
      <w:r>
        <w:rPr>
          <w:spacing w:val="-3"/>
        </w:rPr>
        <w:t>（</w:t>
      </w:r>
      <w:r>
        <w:rPr>
          <w:rFonts w:ascii="Times New Roman" w:eastAsia="Times New Roman"/>
          <w:spacing w:val="-3"/>
        </w:rPr>
        <w:t>HJ/T81-</w:t>
      </w:r>
      <w:r>
        <w:rPr>
          <w:rFonts w:ascii="Times New Roman" w:eastAsia="Times New Roman"/>
        </w:rPr>
        <w:t>2001</w:t>
      </w:r>
      <w:r>
        <w:t>）中相关要求。</w:t>
      </w:r>
    </w:p>
    <w:p>
      <w:pPr>
        <w:pStyle w:val="7"/>
        <w:bidi w:val="0"/>
      </w:pPr>
      <w:r>
        <w:rPr>
          <w:b w:val="0"/>
        </w:rPr>
        <w:t>②</w:t>
      </w:r>
      <w:r>
        <w:t>与《畜禽场场区设计技术规范》（</w:t>
      </w:r>
      <w:r>
        <w:rPr>
          <w:rFonts w:ascii="Times New Roman" w:hAnsi="Times New Roman" w:eastAsia="Times New Roman"/>
        </w:rPr>
        <w:t>NY/T682-2003</w:t>
      </w:r>
      <w:r>
        <w:t>）符合性</w:t>
      </w:r>
    </w:p>
    <w:p>
      <w:pPr>
        <w:pStyle w:val="7"/>
        <w:spacing w:before="161" w:line="364" w:lineRule="auto"/>
        <w:ind w:right="575" w:firstLine="480"/>
      </w:pPr>
      <w:r>
        <w:t>根据《畜禽场场区设计技术规范》（</w:t>
      </w:r>
      <w:r>
        <w:rPr>
          <w:rFonts w:ascii="Times New Roman" w:eastAsia="Times New Roman"/>
        </w:rPr>
        <w:t>NY/T682-2003</w:t>
      </w:r>
      <w:r>
        <w:t>）中畜禽养殖场总平面布置要求，本项目场区平面布置与其符合性分析见表</w:t>
      </w:r>
      <w:r>
        <w:rPr>
          <w:rFonts w:ascii="Times New Roman" w:eastAsia="Times New Roman"/>
        </w:rPr>
        <w:t>3.1-12</w:t>
      </w:r>
      <w:r>
        <w:t>。</w:t>
      </w:r>
    </w:p>
    <w:p>
      <w:pPr>
        <w:pStyle w:val="7"/>
        <w:spacing w:before="11"/>
        <w:ind w:left="0"/>
        <w:jc w:val="center"/>
        <w:rPr>
          <w:b/>
          <w:sz w:val="4"/>
        </w:rPr>
      </w:pPr>
      <w:r>
        <w:t>表</w:t>
      </w:r>
      <w:r>
        <w:rPr>
          <w:rFonts w:ascii="Times New Roman" w:eastAsia="Times New Roman"/>
        </w:rPr>
        <w:t>3.1-12</w:t>
      </w:r>
      <w:r>
        <w:rPr>
          <w:rFonts w:ascii="Times New Roman" w:eastAsia="Times New Roman"/>
        </w:rPr>
        <w:tab/>
      </w:r>
      <w:r>
        <w:t>场区布局与《畜禽场场区设计技术规范》（</w:t>
      </w:r>
      <w:r>
        <w:rPr>
          <w:rFonts w:ascii="Times New Roman" w:eastAsia="Times New Roman"/>
        </w:rPr>
        <w:t>NY/T682-2003</w:t>
      </w:r>
      <w:r>
        <w:t>）符合性</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4095"/>
        <w:gridCol w:w="2704"/>
        <w:gridCol w:w="1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dxa"/>
          </w:tcPr>
          <w:p>
            <w:pPr>
              <w:pStyle w:val="18"/>
              <w:spacing w:before="35"/>
              <w:ind w:left="103" w:right="95"/>
              <w:rPr>
                <w:b/>
                <w:sz w:val="21"/>
              </w:rPr>
            </w:pPr>
            <w:r>
              <w:rPr>
                <w:b/>
                <w:sz w:val="21"/>
              </w:rPr>
              <w:t>序号</w:t>
            </w:r>
          </w:p>
        </w:tc>
        <w:tc>
          <w:tcPr>
            <w:tcW w:w="4095" w:type="dxa"/>
          </w:tcPr>
          <w:p>
            <w:pPr>
              <w:pStyle w:val="18"/>
              <w:spacing w:before="35"/>
              <w:ind w:left="262"/>
              <w:jc w:val="left"/>
              <w:rPr>
                <w:b/>
                <w:sz w:val="21"/>
              </w:rPr>
            </w:pPr>
            <w:r>
              <w:rPr>
                <w:b/>
                <w:sz w:val="21"/>
              </w:rPr>
              <w:t>《畜禽场场区设计技术规范》有关要求</w:t>
            </w:r>
          </w:p>
        </w:tc>
        <w:tc>
          <w:tcPr>
            <w:tcW w:w="2704" w:type="dxa"/>
          </w:tcPr>
          <w:p>
            <w:pPr>
              <w:pStyle w:val="18"/>
              <w:spacing w:before="35"/>
              <w:ind w:left="616"/>
              <w:jc w:val="left"/>
              <w:rPr>
                <w:b/>
                <w:sz w:val="21"/>
              </w:rPr>
            </w:pPr>
            <w:r>
              <w:rPr>
                <w:b/>
                <w:sz w:val="21"/>
              </w:rPr>
              <w:t>本项目场区布局</w:t>
            </w:r>
          </w:p>
        </w:tc>
        <w:tc>
          <w:tcPr>
            <w:tcW w:w="1005" w:type="dxa"/>
          </w:tcPr>
          <w:p>
            <w:pPr>
              <w:pStyle w:val="18"/>
              <w:spacing w:before="35"/>
              <w:ind w:left="164" w:right="157"/>
              <w:rPr>
                <w:b/>
                <w:sz w:val="21"/>
              </w:rPr>
            </w:pPr>
            <w:r>
              <w:rPr>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24" w:type="dxa"/>
          </w:tcPr>
          <w:p>
            <w:pPr>
              <w:pStyle w:val="18"/>
              <w:jc w:val="left"/>
              <w:rPr>
                <w:b/>
                <w:sz w:val="22"/>
              </w:rPr>
            </w:pPr>
          </w:p>
          <w:p>
            <w:pPr>
              <w:pStyle w:val="18"/>
              <w:spacing w:before="197"/>
              <w:ind w:left="9"/>
              <w:rPr>
                <w:rFonts w:ascii="Times New Roman"/>
                <w:sz w:val="21"/>
              </w:rPr>
            </w:pPr>
            <w:r>
              <w:rPr>
                <w:rFonts w:ascii="Times New Roman"/>
                <w:w w:val="99"/>
                <w:sz w:val="21"/>
              </w:rPr>
              <w:t>1</w:t>
            </w:r>
          </w:p>
        </w:tc>
        <w:tc>
          <w:tcPr>
            <w:tcW w:w="4095" w:type="dxa"/>
          </w:tcPr>
          <w:p>
            <w:pPr>
              <w:pStyle w:val="18"/>
              <w:spacing w:before="1" w:line="240" w:lineRule="exact"/>
              <w:ind w:left="108" w:right="95"/>
              <w:jc w:val="both"/>
              <w:rPr>
                <w:sz w:val="21"/>
              </w:rPr>
            </w:pPr>
            <w:r>
              <w:rPr>
                <w:w w:val="95"/>
                <w:sz w:val="21"/>
              </w:rPr>
              <w:t>根据畜禽场的生产工艺要求，按功能分区布置各个建（构）筑物的位置，为畜禽生产提供一个良好的生产环境。畜禽场一般应划分为生活管理区、辅助生产区、生产</w:t>
            </w:r>
            <w:r>
              <w:rPr>
                <w:sz w:val="21"/>
              </w:rPr>
              <w:t>区和隔离区</w:t>
            </w:r>
          </w:p>
        </w:tc>
        <w:tc>
          <w:tcPr>
            <w:tcW w:w="2704" w:type="dxa"/>
          </w:tcPr>
          <w:p>
            <w:pPr>
              <w:pStyle w:val="18"/>
              <w:spacing w:before="126" w:line="213" w:lineRule="auto"/>
              <w:ind w:left="107" w:right="97"/>
              <w:jc w:val="both"/>
              <w:rPr>
                <w:sz w:val="21"/>
              </w:rPr>
            </w:pPr>
            <w:r>
              <w:rPr>
                <w:spacing w:val="-5"/>
                <w:sz w:val="21"/>
              </w:rPr>
              <w:t>本项目分为养殖区、辅助生</w:t>
            </w:r>
            <w:r>
              <w:rPr>
                <w:spacing w:val="13"/>
                <w:sz w:val="21"/>
              </w:rPr>
              <w:t>产区和粪污治理区三个功</w:t>
            </w:r>
            <w:r>
              <w:rPr>
                <w:spacing w:val="-7"/>
                <w:sz w:val="21"/>
              </w:rPr>
              <w:t>能区，提供了良好的畜禽生</w:t>
            </w:r>
            <w:r>
              <w:rPr>
                <w:sz w:val="21"/>
              </w:rPr>
              <w:t>产场所</w:t>
            </w:r>
          </w:p>
        </w:tc>
        <w:tc>
          <w:tcPr>
            <w:tcW w:w="1005" w:type="dxa"/>
          </w:tcPr>
          <w:p>
            <w:pPr>
              <w:pStyle w:val="18"/>
              <w:jc w:val="left"/>
              <w:rPr>
                <w:b/>
                <w:sz w:val="20"/>
              </w:rPr>
            </w:pPr>
          </w:p>
          <w:p>
            <w:pPr>
              <w:pStyle w:val="18"/>
              <w:spacing w:before="1"/>
              <w:jc w:val="left"/>
              <w:rPr>
                <w:b/>
                <w:sz w:val="16"/>
              </w:rPr>
            </w:pPr>
          </w:p>
          <w:p>
            <w:pPr>
              <w:pStyle w:val="18"/>
              <w:spacing w:before="1"/>
              <w:ind w:left="162" w:right="157"/>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24" w:type="dxa"/>
          </w:tcPr>
          <w:p>
            <w:pPr>
              <w:pStyle w:val="18"/>
              <w:spacing w:before="7"/>
              <w:jc w:val="left"/>
              <w:rPr>
                <w:b/>
                <w:sz w:val="18"/>
              </w:rPr>
            </w:pPr>
          </w:p>
          <w:p>
            <w:pPr>
              <w:pStyle w:val="18"/>
              <w:ind w:left="9"/>
              <w:rPr>
                <w:rFonts w:ascii="Times New Roman"/>
                <w:sz w:val="21"/>
              </w:rPr>
            </w:pPr>
            <w:r>
              <w:rPr>
                <w:rFonts w:ascii="Times New Roman"/>
                <w:w w:val="99"/>
                <w:sz w:val="21"/>
              </w:rPr>
              <w:t>2</w:t>
            </w:r>
          </w:p>
        </w:tc>
        <w:tc>
          <w:tcPr>
            <w:tcW w:w="4095" w:type="dxa"/>
          </w:tcPr>
          <w:p>
            <w:pPr>
              <w:pStyle w:val="18"/>
              <w:spacing w:before="5" w:line="213" w:lineRule="auto"/>
              <w:ind w:left="108" w:right="95"/>
              <w:jc w:val="left"/>
              <w:rPr>
                <w:sz w:val="21"/>
              </w:rPr>
            </w:pPr>
            <w:r>
              <w:rPr>
                <w:w w:val="95"/>
                <w:sz w:val="21"/>
              </w:rPr>
              <w:t>生活管理区一般应位于场区全年主导风向上风向或侧风向处，并应在紧邻场区大门</w:t>
            </w:r>
          </w:p>
          <w:p>
            <w:pPr>
              <w:pStyle w:val="18"/>
              <w:spacing w:line="215" w:lineRule="exact"/>
              <w:ind w:left="108"/>
              <w:jc w:val="left"/>
              <w:rPr>
                <w:sz w:val="21"/>
              </w:rPr>
            </w:pPr>
            <w:r>
              <w:rPr>
                <w:sz w:val="21"/>
              </w:rPr>
              <w:t>内侧集中布置</w:t>
            </w:r>
          </w:p>
        </w:tc>
        <w:tc>
          <w:tcPr>
            <w:tcW w:w="2704" w:type="dxa"/>
          </w:tcPr>
          <w:p>
            <w:pPr>
              <w:pStyle w:val="18"/>
              <w:spacing w:before="5" w:line="213" w:lineRule="auto"/>
              <w:ind w:left="107" w:right="42"/>
              <w:jc w:val="left"/>
              <w:rPr>
                <w:sz w:val="21"/>
              </w:rPr>
            </w:pPr>
            <w:r>
              <w:rPr>
                <w:sz w:val="21"/>
              </w:rPr>
              <w:t>生活管理区位于场区全年主导风向的侧风向处，并靠</w:t>
            </w:r>
          </w:p>
          <w:p>
            <w:pPr>
              <w:pStyle w:val="18"/>
              <w:spacing w:line="215" w:lineRule="exact"/>
              <w:ind w:left="107"/>
              <w:jc w:val="left"/>
              <w:rPr>
                <w:sz w:val="21"/>
              </w:rPr>
            </w:pPr>
            <w:r>
              <w:rPr>
                <w:sz w:val="21"/>
              </w:rPr>
              <w:t>近场区大门集中布置</w:t>
            </w:r>
          </w:p>
        </w:tc>
        <w:tc>
          <w:tcPr>
            <w:tcW w:w="1005" w:type="dxa"/>
          </w:tcPr>
          <w:p>
            <w:pPr>
              <w:pStyle w:val="18"/>
              <w:spacing w:before="3"/>
              <w:jc w:val="left"/>
              <w:rPr>
                <w:b/>
                <w:sz w:val="17"/>
              </w:rPr>
            </w:pPr>
          </w:p>
          <w:p>
            <w:pPr>
              <w:pStyle w:val="18"/>
              <w:spacing w:before="1"/>
              <w:ind w:left="162" w:right="157"/>
              <w:rPr>
                <w:sz w:val="21"/>
              </w:rPr>
            </w:pPr>
            <w:r>
              <w:rPr>
                <w:sz w:val="21"/>
              </w:rPr>
              <w:t>符合</w:t>
            </w:r>
          </w:p>
        </w:tc>
      </w:tr>
    </w:tbl>
    <w:p>
      <w:pPr>
        <w:pStyle w:val="7"/>
        <w:spacing w:before="6"/>
        <w:ind w:left="0"/>
        <w:rPr>
          <w:b/>
          <w:sz w:val="13"/>
        </w:rPr>
      </w:pPr>
    </w:p>
    <w:p>
      <w:pPr>
        <w:pStyle w:val="7"/>
        <w:spacing w:before="66"/>
        <w:ind w:left="1020"/>
      </w:pPr>
      <w:r>
        <w:t>因此，本项目场区平面布置符合《畜禽场场区设计技术规范》</w:t>
      </w:r>
    </w:p>
    <w:p>
      <w:pPr>
        <w:pStyle w:val="7"/>
        <w:spacing w:before="160"/>
      </w:pPr>
      <w:r>
        <w:t>（</w:t>
      </w:r>
      <w:r>
        <w:rPr>
          <w:rFonts w:ascii="Times New Roman" w:eastAsia="Times New Roman"/>
        </w:rPr>
        <w:t>NY/T682-2003</w:t>
      </w:r>
      <w:r>
        <w:t>）中相关要求。</w:t>
      </w:r>
    </w:p>
    <w:p>
      <w:pPr>
        <w:pStyle w:val="7"/>
        <w:spacing w:before="161" w:line="364" w:lineRule="auto"/>
        <w:ind w:right="457" w:firstLine="480"/>
      </w:pPr>
      <w:r>
        <w:rPr>
          <w:spacing w:val="-16"/>
        </w:rPr>
        <w:t>综上所述，本项目总平面布置功能分区明确，合理规划布局，工艺流程顺畅；</w:t>
      </w:r>
      <w:r>
        <w:rPr>
          <w:spacing w:val="-7"/>
        </w:rPr>
        <w:t>净道和污道分开设置，减少不必要的交叉，切断疫病的传播途径；在羊舍周围和</w:t>
      </w:r>
      <w:r>
        <w:rPr>
          <w:spacing w:val="-13"/>
        </w:rPr>
        <w:t>道路两边栽种树木，有利于净化空气，绿化环境。同时，场区布局符合《畜禽养</w:t>
      </w:r>
      <w:r>
        <w:rPr>
          <w:spacing w:val="19"/>
        </w:rPr>
        <w:t>殖业污染防治技术规范》</w:t>
      </w:r>
      <w:r>
        <w:t>（</w:t>
      </w:r>
      <w:r>
        <w:rPr>
          <w:rFonts w:ascii="Times New Roman" w:eastAsia="Times New Roman"/>
          <w:spacing w:val="2"/>
        </w:rPr>
        <w:t>HJ/T81-2001</w:t>
      </w:r>
      <w:r>
        <w:rPr>
          <w:spacing w:val="2"/>
        </w:rPr>
        <w:t>）</w:t>
      </w:r>
      <w:r>
        <w:rPr>
          <w:spacing w:val="17"/>
        </w:rPr>
        <w:t>和《畜禽场场区设计技术规范》</w:t>
      </w:r>
    </w:p>
    <w:p>
      <w:pPr>
        <w:pStyle w:val="7"/>
        <w:spacing w:before="2"/>
      </w:pPr>
      <w:r>
        <w:t>（</w:t>
      </w:r>
      <w:r>
        <w:rPr>
          <w:rFonts w:ascii="Times New Roman" w:eastAsia="Times New Roman"/>
        </w:rPr>
        <w:t>NY/T682-2003</w:t>
      </w:r>
      <w:r>
        <w:t>）等法规要求，从环保角度而言，本项目总平面布置是合理的。</w:t>
      </w:r>
    </w:p>
    <w:p>
      <w:pPr>
        <w:pStyle w:val="7"/>
        <w:spacing w:before="5"/>
        <w:ind w:left="0"/>
        <w:rPr>
          <w:sz w:val="21"/>
        </w:rPr>
      </w:pPr>
    </w:p>
    <w:p>
      <w:pPr>
        <w:pStyle w:val="5"/>
        <w:numPr>
          <w:ilvl w:val="2"/>
          <w:numId w:val="16"/>
        </w:numPr>
        <w:tabs>
          <w:tab w:val="left" w:pos="1364"/>
        </w:tabs>
        <w:spacing w:before="0" w:after="0" w:line="240" w:lineRule="auto"/>
        <w:ind w:left="1363" w:right="0" w:hanging="824"/>
        <w:jc w:val="left"/>
      </w:pPr>
      <w:bookmarkStart w:id="149" w:name="3.1.11 卫生防疫"/>
      <w:bookmarkEnd w:id="149"/>
      <w:bookmarkStart w:id="150" w:name="3.1.11 卫生防疫"/>
      <w:bookmarkEnd w:id="150"/>
      <w:r>
        <w:rPr>
          <w:spacing w:val="-1"/>
          <w:w w:val="95"/>
        </w:rPr>
        <w:t>卫生防疫</w:t>
      </w:r>
    </w:p>
    <w:p>
      <w:pPr>
        <w:pStyle w:val="7"/>
        <w:spacing w:before="2"/>
        <w:ind w:left="0"/>
        <w:rPr>
          <w:b/>
          <w:sz w:val="22"/>
        </w:rPr>
      </w:pPr>
    </w:p>
    <w:p>
      <w:pPr>
        <w:pStyle w:val="17"/>
        <w:numPr>
          <w:ilvl w:val="3"/>
          <w:numId w:val="24"/>
        </w:numPr>
        <w:tabs>
          <w:tab w:val="left" w:pos="1431"/>
        </w:tabs>
        <w:spacing w:before="0" w:after="0" w:line="240" w:lineRule="auto"/>
        <w:ind w:left="1430" w:right="0" w:hanging="891"/>
        <w:jc w:val="left"/>
        <w:rPr>
          <w:sz w:val="24"/>
        </w:rPr>
      </w:pPr>
      <w:bookmarkStart w:id="151" w:name="3.1.11.1 疫病防治"/>
      <w:bookmarkEnd w:id="151"/>
      <w:bookmarkStart w:id="152" w:name="3.1.11.1 疫病防治"/>
      <w:bookmarkEnd w:id="152"/>
      <w:r>
        <w:rPr>
          <w:sz w:val="24"/>
        </w:rPr>
        <w:t>疫病防治</w:t>
      </w:r>
    </w:p>
    <w:p>
      <w:pPr>
        <w:pStyle w:val="7"/>
        <w:spacing w:before="168"/>
        <w:ind w:left="1020"/>
      </w:pPr>
      <w:r>
        <w:t>采取预防为主措施，要把饲养管理与防病治病结合起来。</w:t>
      </w:r>
    </w:p>
    <w:p>
      <w:pPr>
        <w:pStyle w:val="7"/>
        <w:spacing w:before="160" w:line="364" w:lineRule="auto"/>
        <w:ind w:right="577" w:firstLine="480"/>
        <w:jc w:val="both"/>
      </w:pPr>
      <w:r>
        <w:rPr>
          <w:spacing w:val="-1"/>
        </w:rPr>
        <w:t>①要做好饲养卫生和消毒工作。日常喂给的饲料、饮水必须保持清洁。不</w:t>
      </w:r>
      <w:r>
        <w:rPr>
          <w:spacing w:val="-11"/>
        </w:rPr>
        <w:t>喂发霉、变质、有毒及夹杂异物的饲料。饲喂用具经常保持干净。畜禽舍、运动</w:t>
      </w:r>
      <w:r>
        <w:t>场要经常打扫，并定期消毒。</w:t>
      </w:r>
    </w:p>
    <w:p>
      <w:pPr>
        <w:pStyle w:val="7"/>
        <w:spacing w:before="2" w:line="364" w:lineRule="auto"/>
        <w:ind w:right="577" w:firstLine="480"/>
        <w:jc w:val="both"/>
      </w:pPr>
      <w:r>
        <w:t>②要严格检疫制度，至少经过</w:t>
      </w:r>
      <w:r>
        <w:rPr>
          <w:rFonts w:ascii="Times New Roman" w:hAnsi="Times New Roman" w:eastAsia="Times New Roman"/>
        </w:rPr>
        <w:t>10-15</w:t>
      </w:r>
      <w:r>
        <w:t>小时隔离观察，并经兽医检查确认无病后方可合群。</w:t>
      </w:r>
    </w:p>
    <w:p>
      <w:pPr>
        <w:pStyle w:val="7"/>
        <w:spacing w:before="1" w:line="364" w:lineRule="auto"/>
        <w:ind w:right="580" w:firstLine="480"/>
        <w:jc w:val="both"/>
      </w:pPr>
      <w:r>
        <w:t>③定期进行预防注射，要注射口蹄疫等疫苗，注射时要逐只点清，做好查漏补注。</w:t>
      </w:r>
    </w:p>
    <w:p>
      <w:pPr>
        <w:pStyle w:val="7"/>
        <w:spacing w:before="2" w:line="364" w:lineRule="auto"/>
        <w:ind w:right="577" w:firstLine="480"/>
        <w:jc w:val="both"/>
      </w:pPr>
      <w:r>
        <w:rPr>
          <w:spacing w:val="-1"/>
        </w:rPr>
        <w:t>④要定期驱虫，每年春秋两季要对羊驱虫一次。育肥期间，由于牲畜活动</w:t>
      </w:r>
      <w:r>
        <w:rPr>
          <w:spacing w:val="-10"/>
        </w:rPr>
        <w:t>范围变小，容易造成圈舍的潮湿和环境不良，往往会引起寄生虫病的发生，因此</w:t>
      </w:r>
      <w:r>
        <w:t>要注意畜禽舍的环境卫生、通风和防潮，做好寄生虫病的防治。</w:t>
      </w:r>
    </w:p>
    <w:p>
      <w:pPr>
        <w:pStyle w:val="7"/>
        <w:spacing w:before="1" w:line="364" w:lineRule="auto"/>
        <w:ind w:right="485" w:firstLine="480"/>
        <w:jc w:val="both"/>
      </w:pPr>
      <w:r>
        <w:t>⑤坚持健康检查，在日常饲养管理中，注意观察每只畜禽的精神、食欲、</w:t>
      </w:r>
      <w:r>
        <w:rPr>
          <w:spacing w:val="-10"/>
        </w:rPr>
        <w:t>运动、呼吸、粪便等状况，发现异常及时检查，如有疾病，及时治疗。当发生传</w:t>
      </w:r>
      <w:r>
        <w:rPr>
          <w:spacing w:val="-11"/>
        </w:rPr>
        <w:t>染病或疑似传染病时，应立即隔离，观察治疗并根据疫情和流行范围采取封锁、隔离、消毒等紧急措施，对尸体要妥善处理，深埋或焚烧，做到切断病原，控制</w:t>
      </w:r>
      <w:r>
        <w:t>流行及时扑灭。</w:t>
      </w:r>
    </w:p>
    <w:p>
      <w:pPr>
        <w:pStyle w:val="7"/>
        <w:spacing w:before="1" w:line="364" w:lineRule="auto"/>
        <w:ind w:right="455" w:firstLine="480"/>
      </w:pPr>
      <w:r>
        <w:rPr>
          <w:spacing w:val="-7"/>
        </w:rPr>
        <w:t>⑥严格遵守《畜禽养殖业污染物排放标准</w:t>
      </w:r>
      <w:r>
        <w:t>（</w:t>
      </w:r>
      <w:r>
        <w:rPr>
          <w:rFonts w:ascii="Times New Roman" w:hAnsi="Times New Roman" w:eastAsia="Times New Roman"/>
        </w:rPr>
        <w:t>GB 18596-2001</w:t>
      </w:r>
      <w:r>
        <w:t>）</w:t>
      </w:r>
      <w:r>
        <w:rPr>
          <w:spacing w:val="-8"/>
        </w:rPr>
        <w:t>》要求，虽然</w:t>
      </w:r>
      <w:r>
        <w:rPr>
          <w:spacing w:val="-12"/>
        </w:rPr>
        <w:t>本项目污染物排放标准不在强制排放等级内，但为了保护环境，必须合理处理粪</w:t>
      </w:r>
      <w:r>
        <w:rPr>
          <w:spacing w:val="-17"/>
        </w:rPr>
        <w:t>污。因育肥畜为草食，小区内的粪尿以固体为主，采用生物自然堆盖腐熟的方法。</w:t>
      </w:r>
      <w:r>
        <w:t>要求在堆肥前的预处理过程中掺入锯末、碎草、泥碳等，以调整水分和碳氮比，</w:t>
      </w:r>
      <w:r>
        <w:rPr>
          <w:spacing w:val="-7"/>
        </w:rPr>
        <w:t>并使粪尿疏松、易通气，在</w:t>
      </w:r>
      <w:r>
        <w:rPr>
          <w:rFonts w:ascii="Times New Roman" w:hAnsi="Times New Roman" w:eastAsia="Times New Roman"/>
        </w:rPr>
        <w:t>20</w:t>
      </w:r>
      <w:r>
        <w:rPr>
          <w:spacing w:val="-2"/>
        </w:rPr>
        <w:t>℃、</w:t>
      </w:r>
      <w:r>
        <w:rPr>
          <w:rFonts w:ascii="Times New Roman" w:hAnsi="Times New Roman" w:eastAsia="Times New Roman"/>
        </w:rPr>
        <w:t>15-20</w:t>
      </w:r>
      <w:r>
        <w:rPr>
          <w:spacing w:val="-6"/>
        </w:rPr>
        <w:t>天的腐熟期内，翻倒</w:t>
      </w:r>
      <w:r>
        <w:rPr>
          <w:rFonts w:ascii="Times New Roman" w:hAnsi="Times New Roman" w:eastAsia="Times New Roman"/>
        </w:rPr>
        <w:t>1-2</w:t>
      </w:r>
      <w:r>
        <w:rPr>
          <w:spacing w:val="-2"/>
        </w:rPr>
        <w:t>次，待完全腐熟后送至田间作农家肥料。</w:t>
      </w:r>
    </w:p>
    <w:p>
      <w:pPr>
        <w:pStyle w:val="17"/>
        <w:numPr>
          <w:ilvl w:val="3"/>
          <w:numId w:val="24"/>
        </w:numPr>
        <w:tabs>
          <w:tab w:val="left" w:pos="1431"/>
        </w:tabs>
        <w:spacing w:before="13" w:after="0" w:line="240" w:lineRule="auto"/>
        <w:ind w:left="1430" w:right="0" w:hanging="891"/>
        <w:jc w:val="left"/>
        <w:rPr>
          <w:sz w:val="24"/>
        </w:rPr>
      </w:pPr>
      <w:bookmarkStart w:id="153" w:name="3.1.11.2 防疫技术设施与保障体系"/>
      <w:bookmarkEnd w:id="153"/>
      <w:bookmarkStart w:id="154" w:name="3.1.11.2 防疫技术设施与保障体系"/>
      <w:bookmarkEnd w:id="154"/>
      <w:r>
        <w:rPr>
          <w:sz w:val="24"/>
        </w:rPr>
        <w:t>防疫技术设施与保障体系</w:t>
      </w:r>
    </w:p>
    <w:p>
      <w:pPr>
        <w:pStyle w:val="17"/>
        <w:numPr>
          <w:ilvl w:val="4"/>
          <w:numId w:val="24"/>
        </w:numPr>
        <w:tabs>
          <w:tab w:val="left" w:pos="1730"/>
          <w:tab w:val="left" w:pos="1731"/>
        </w:tabs>
        <w:spacing w:before="168" w:after="0" w:line="240" w:lineRule="auto"/>
        <w:ind w:left="1730" w:right="0" w:hanging="1191"/>
        <w:jc w:val="left"/>
        <w:rPr>
          <w:sz w:val="24"/>
        </w:rPr>
      </w:pPr>
      <w:r>
        <w:rPr>
          <w:sz w:val="24"/>
        </w:rPr>
        <w:t>防疫体系的建设目标</w:t>
      </w:r>
    </w:p>
    <w:p>
      <w:pPr>
        <w:pStyle w:val="7"/>
        <w:spacing w:before="160" w:line="364" w:lineRule="auto"/>
        <w:ind w:right="577" w:firstLine="480"/>
      </w:pPr>
      <w:r>
        <w:rPr>
          <w:spacing w:val="-5"/>
        </w:rPr>
        <w:t>本项目防疫技术设施和保障体系的建设目标是通过兽医卫生防疫体系，达到</w:t>
      </w:r>
      <w:r>
        <w:t>健康养殖的目标，提高羊的繁殖性能，保证生产质量安全，具体包括：</w:t>
      </w:r>
    </w:p>
    <w:p>
      <w:pPr>
        <w:pStyle w:val="17"/>
        <w:numPr>
          <w:ilvl w:val="5"/>
          <w:numId w:val="24"/>
        </w:numPr>
        <w:tabs>
          <w:tab w:val="left" w:pos="1621"/>
        </w:tabs>
        <w:spacing w:before="2" w:after="0" w:line="364" w:lineRule="auto"/>
        <w:ind w:left="540" w:right="577" w:firstLine="480"/>
        <w:jc w:val="both"/>
        <w:rPr>
          <w:sz w:val="24"/>
        </w:rPr>
      </w:pPr>
      <w:r>
        <w:rPr>
          <w:spacing w:val="-1"/>
          <w:sz w:val="24"/>
        </w:rPr>
        <w:t>根据动物防疫法规定，完善兽医防疫体系的软硬件建设，按照标准化</w:t>
      </w:r>
      <w:r>
        <w:rPr>
          <w:spacing w:val="-10"/>
          <w:sz w:val="24"/>
        </w:rPr>
        <w:t>养殖，合理匹配防疫机构、设施、设备和人员等基础条件。完善机构运转制度建</w:t>
      </w:r>
      <w:r>
        <w:rPr>
          <w:sz w:val="24"/>
        </w:rPr>
        <w:t>设，加强专业技术队伍的培养与建设，依法管理动物弊病预防工作。</w:t>
      </w:r>
    </w:p>
    <w:p>
      <w:pPr>
        <w:pStyle w:val="17"/>
        <w:numPr>
          <w:ilvl w:val="5"/>
          <w:numId w:val="24"/>
        </w:numPr>
        <w:tabs>
          <w:tab w:val="left" w:pos="1621"/>
        </w:tabs>
        <w:spacing w:before="1" w:after="0" w:line="364" w:lineRule="auto"/>
        <w:ind w:left="540" w:right="577" w:firstLine="480"/>
        <w:jc w:val="both"/>
        <w:rPr>
          <w:sz w:val="24"/>
        </w:rPr>
      </w:pPr>
      <w:r>
        <w:rPr>
          <w:spacing w:val="-1"/>
          <w:sz w:val="24"/>
        </w:rPr>
        <w:t>建立预防疾控体系、动物检疫监督体系、动物疫情监测预警体系、防</w:t>
      </w:r>
      <w:r>
        <w:rPr>
          <w:spacing w:val="-8"/>
          <w:sz w:val="24"/>
        </w:rPr>
        <w:t>疫技术支撑体系等，形成重大动物疫病的快速诊断、预警、防控和应急四大保障</w:t>
      </w:r>
      <w:r>
        <w:rPr>
          <w:sz w:val="24"/>
        </w:rPr>
        <w:t>能力。</w:t>
      </w:r>
    </w:p>
    <w:p>
      <w:pPr>
        <w:pStyle w:val="17"/>
        <w:numPr>
          <w:ilvl w:val="5"/>
          <w:numId w:val="24"/>
        </w:numPr>
        <w:tabs>
          <w:tab w:val="left" w:pos="1621"/>
        </w:tabs>
        <w:spacing w:before="2" w:after="0" w:line="240" w:lineRule="auto"/>
        <w:ind w:left="1621" w:right="0" w:hanging="601"/>
        <w:jc w:val="left"/>
        <w:rPr>
          <w:sz w:val="24"/>
        </w:rPr>
      </w:pPr>
      <w:r>
        <w:rPr>
          <w:sz w:val="24"/>
        </w:rPr>
        <w:t>确保常年无重大疫情发生，减少常规疫病的发生率。</w:t>
      </w:r>
    </w:p>
    <w:p>
      <w:pPr>
        <w:pStyle w:val="17"/>
        <w:numPr>
          <w:ilvl w:val="4"/>
          <w:numId w:val="24"/>
        </w:numPr>
        <w:tabs>
          <w:tab w:val="left" w:pos="1611"/>
        </w:tabs>
        <w:spacing w:before="161" w:after="0" w:line="240" w:lineRule="auto"/>
        <w:ind w:left="1610" w:right="0" w:hanging="1071"/>
        <w:jc w:val="left"/>
        <w:rPr>
          <w:sz w:val="24"/>
        </w:rPr>
      </w:pPr>
      <w:r>
        <w:rPr>
          <w:sz w:val="24"/>
        </w:rPr>
        <w:t>防疫体系的构建</w:t>
      </w:r>
    </w:p>
    <w:p>
      <w:pPr>
        <w:pStyle w:val="7"/>
        <w:spacing w:before="160" w:line="364" w:lineRule="auto"/>
        <w:ind w:right="575" w:firstLine="480"/>
        <w:jc w:val="both"/>
      </w:pPr>
      <w:r>
        <w:t>根据</w:t>
      </w:r>
      <w:r>
        <w:rPr>
          <w:rFonts w:ascii="Times New Roman" w:eastAsia="Times New Roman"/>
        </w:rPr>
        <w:t>NY/T 1596-2007</w:t>
      </w:r>
      <w:r>
        <w:t>《畜禽养殖场质量管理体系建设通则》的要求建立完整的养殖档案和管理制度。</w:t>
      </w:r>
    </w:p>
    <w:p>
      <w:pPr>
        <w:pStyle w:val="7"/>
        <w:spacing w:before="1" w:line="364" w:lineRule="auto"/>
        <w:ind w:right="577" w:firstLine="480"/>
        <w:jc w:val="both"/>
      </w:pPr>
      <w:r>
        <w:rPr>
          <w:spacing w:val="-11"/>
        </w:rPr>
        <w:t>防疫机构的建设：充分发挥</w:t>
      </w:r>
      <w:r>
        <w:rPr>
          <w:rFonts w:hint="eastAsia"/>
          <w:spacing w:val="-11"/>
          <w:lang w:val="en-US" w:eastAsia="zh-CN"/>
        </w:rPr>
        <w:t>莎车</w:t>
      </w:r>
      <w:r>
        <w:rPr>
          <w:spacing w:val="-11"/>
        </w:rPr>
        <w:t>县农业农村局和项目所在乡镇兽医站以及村</w:t>
      </w:r>
      <w:r>
        <w:rPr>
          <w:spacing w:val="-7"/>
        </w:rPr>
        <w:t>级防疫中在养殖工作的作用，负责标准化羊产业养殖场的日常防疫工作；</w:t>
      </w:r>
      <w:r>
        <w:rPr>
          <w:rFonts w:hint="eastAsia"/>
          <w:spacing w:val="-7"/>
          <w:lang w:eastAsia="zh-CN"/>
        </w:rPr>
        <w:t>莎车</w:t>
      </w:r>
      <w:r>
        <w:rPr>
          <w:spacing w:val="-7"/>
        </w:rPr>
        <w:t>县</w:t>
      </w:r>
      <w:r>
        <w:t>农业农村局作为技术指导单位，负责羊产业养殖场的全局防疫工作。</w:t>
      </w:r>
    </w:p>
    <w:p>
      <w:pPr>
        <w:pStyle w:val="17"/>
        <w:numPr>
          <w:ilvl w:val="0"/>
          <w:numId w:val="25"/>
        </w:numPr>
        <w:tabs>
          <w:tab w:val="left" w:pos="1621"/>
        </w:tabs>
        <w:spacing w:before="2" w:after="0" w:line="240" w:lineRule="auto"/>
        <w:ind w:left="1621" w:right="0" w:hanging="601"/>
        <w:jc w:val="left"/>
        <w:rPr>
          <w:sz w:val="24"/>
        </w:rPr>
      </w:pPr>
      <w:r>
        <w:rPr>
          <w:sz w:val="24"/>
        </w:rPr>
        <w:t>设立疫病防控中心</w:t>
      </w:r>
    </w:p>
    <w:p>
      <w:pPr>
        <w:pStyle w:val="7"/>
        <w:spacing w:before="161"/>
        <w:ind w:left="1020"/>
      </w:pPr>
      <w:r>
        <w:t>人员配置：高级兽医师</w:t>
      </w:r>
      <w:r>
        <w:rPr>
          <w:rFonts w:ascii="Times New Roman" w:eastAsia="Times New Roman"/>
        </w:rPr>
        <w:t>1</w:t>
      </w:r>
      <w:r>
        <w:t>人，兽医师</w:t>
      </w:r>
      <w:r>
        <w:rPr>
          <w:rFonts w:ascii="Times New Roman" w:eastAsia="Times New Roman"/>
        </w:rPr>
        <w:t>1</w:t>
      </w:r>
      <w:r>
        <w:t>人，防疫员</w:t>
      </w:r>
      <w:r>
        <w:rPr>
          <w:rFonts w:ascii="Times New Roman" w:eastAsia="Times New Roman"/>
        </w:rPr>
        <w:t>3</w:t>
      </w:r>
      <w:r>
        <w:t>人。</w:t>
      </w:r>
    </w:p>
    <w:p>
      <w:pPr>
        <w:pStyle w:val="7"/>
        <w:spacing w:before="143" w:line="364" w:lineRule="auto"/>
        <w:ind w:right="485" w:firstLine="480"/>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防疫技术人员队伍的建设</w:t>
      </w:r>
    </w:p>
    <w:p>
      <w:pPr>
        <w:pStyle w:val="7"/>
        <w:spacing w:before="143" w:line="364" w:lineRule="auto"/>
        <w:ind w:right="485" w:firstLine="480"/>
      </w:pPr>
      <w:r>
        <w:rPr>
          <w:rFonts w:hint="eastAsia"/>
          <w:lang w:val="en-US" w:eastAsia="zh-CN"/>
        </w:rPr>
        <w:t>莎车</w:t>
      </w:r>
      <w:r>
        <w:t>县农业农村局隶属</w:t>
      </w:r>
      <w:r>
        <w:rPr>
          <w:rFonts w:hint="eastAsia"/>
          <w:lang w:eastAsia="zh-CN"/>
        </w:rPr>
        <w:t>莎车</w:t>
      </w:r>
      <w:r>
        <w:t>县人民政府，为全县农业、畜牧业生产的政府职能部门。设行政办公室、党组办公室、农业办公室、农村能源办公室、项目办、检疫化验室、财务室。</w:t>
      </w:r>
    </w:p>
    <w:p>
      <w:pPr>
        <w:pStyle w:val="17"/>
        <w:numPr>
          <w:ilvl w:val="4"/>
          <w:numId w:val="24"/>
        </w:numPr>
        <w:tabs>
          <w:tab w:val="left" w:pos="1611"/>
        </w:tabs>
        <w:spacing w:before="2" w:after="0" w:line="240" w:lineRule="auto"/>
        <w:ind w:left="1610" w:right="0" w:hanging="1071"/>
        <w:jc w:val="left"/>
        <w:rPr>
          <w:sz w:val="24"/>
        </w:rPr>
      </w:pPr>
      <w:r>
        <w:rPr>
          <w:sz w:val="24"/>
        </w:rPr>
        <w:t>卫生防疫</w:t>
      </w:r>
    </w:p>
    <w:p>
      <w:pPr>
        <w:pStyle w:val="7"/>
        <w:spacing w:before="160" w:line="364" w:lineRule="auto"/>
        <w:ind w:right="577" w:firstLine="480"/>
      </w:pPr>
      <w:r>
        <w:rPr>
          <w:spacing w:val="-6"/>
        </w:rPr>
        <w:t>羊产业养殖场的有效防疫至关重要，它不仅关系养殖基地的安全生产，也关</w:t>
      </w:r>
      <w:r>
        <w:t>系着产品的市场竞争力，是养殖成败的关键。</w:t>
      </w:r>
    </w:p>
    <w:p>
      <w:pPr>
        <w:pStyle w:val="7"/>
        <w:spacing w:before="1" w:line="364" w:lineRule="auto"/>
        <w:ind w:right="577" w:firstLine="480"/>
        <w:jc w:val="both"/>
      </w:pPr>
      <w:r>
        <w:rPr>
          <w:spacing w:val="-10"/>
        </w:rPr>
        <w:t>从工艺流程、基地规划及圈舍的环境管理设施均有利于防疫，诸如分批次的</w:t>
      </w:r>
      <w:r>
        <w:rPr>
          <w:spacing w:val="-9"/>
        </w:rPr>
        <w:t>周转工艺流程，按批次对分区空舍冲洗消毒，场区周边及场区空地充分绿化，粪</w:t>
      </w:r>
      <w:r>
        <w:rPr>
          <w:spacing w:val="-5"/>
        </w:rPr>
        <w:t>场位于场区下风口，并将其高度低于场内污道末端</w:t>
      </w:r>
      <w:r>
        <w:rPr>
          <w:rFonts w:ascii="Times New Roman" w:eastAsia="Times New Roman"/>
        </w:rPr>
        <w:t>1.5</w:t>
      </w:r>
      <w:r>
        <w:rPr>
          <w:spacing w:val="-6"/>
        </w:rPr>
        <w:t>米，生产区进口处设车轮</w:t>
      </w:r>
      <w:r>
        <w:rPr>
          <w:spacing w:val="-7"/>
        </w:rPr>
        <w:t>消毒池及进场消毒更衣室，以便饲养工作人员出入养殖区彻底消毒；使养殖场经</w:t>
      </w:r>
      <w:r>
        <w:t>常处于对安全生产有利的工作环境。</w:t>
      </w:r>
    </w:p>
    <w:p>
      <w:pPr>
        <w:pStyle w:val="17"/>
        <w:numPr>
          <w:ilvl w:val="0"/>
          <w:numId w:val="26"/>
        </w:numPr>
        <w:tabs>
          <w:tab w:val="left" w:pos="1621"/>
        </w:tabs>
        <w:spacing w:before="3" w:after="0" w:line="364" w:lineRule="auto"/>
        <w:ind w:left="540" w:right="577" w:firstLine="480"/>
        <w:jc w:val="both"/>
        <w:rPr>
          <w:sz w:val="24"/>
        </w:rPr>
      </w:pPr>
      <w:r>
        <w:rPr>
          <w:spacing w:val="-1"/>
          <w:sz w:val="24"/>
        </w:rPr>
        <w:t>养殖场分隔：养殖区以地势及风向分区规划，以有利于防疫要求为原</w:t>
      </w:r>
      <w:r>
        <w:rPr>
          <w:spacing w:val="-10"/>
          <w:sz w:val="24"/>
        </w:rPr>
        <w:t>则，圈舍布置是以突出防疫安排的，对生产有危险性的粪污场设在下风向。使生</w:t>
      </w:r>
      <w:r>
        <w:rPr>
          <w:sz w:val="24"/>
        </w:rPr>
        <w:t>产区处于有利的防疫分割，形成阻隔传播的工程防疫条件，有利于环境净化。</w:t>
      </w:r>
    </w:p>
    <w:p>
      <w:pPr>
        <w:pStyle w:val="17"/>
        <w:numPr>
          <w:ilvl w:val="0"/>
          <w:numId w:val="26"/>
        </w:numPr>
        <w:tabs>
          <w:tab w:val="left" w:pos="1621"/>
        </w:tabs>
        <w:spacing w:before="2" w:after="0" w:line="364" w:lineRule="auto"/>
        <w:ind w:left="540" w:right="580" w:firstLine="480"/>
        <w:jc w:val="left"/>
        <w:rPr>
          <w:sz w:val="24"/>
        </w:rPr>
      </w:pPr>
      <w:r>
        <w:rPr>
          <w:spacing w:val="-1"/>
          <w:sz w:val="24"/>
        </w:rPr>
        <w:t>培训有能力农户饲养：以乡镇为饲养单位，选择具有养殖能力的贫困</w:t>
      </w:r>
      <w:r>
        <w:rPr>
          <w:sz w:val="24"/>
        </w:rPr>
        <w:t>对象进行饲养，减少死亡率。</w:t>
      </w:r>
    </w:p>
    <w:p>
      <w:pPr>
        <w:pStyle w:val="17"/>
        <w:numPr>
          <w:ilvl w:val="0"/>
          <w:numId w:val="26"/>
        </w:numPr>
        <w:tabs>
          <w:tab w:val="left" w:pos="1621"/>
        </w:tabs>
        <w:spacing w:before="1" w:after="0" w:line="364" w:lineRule="auto"/>
        <w:ind w:left="540" w:right="580" w:firstLine="480"/>
        <w:jc w:val="left"/>
        <w:rPr>
          <w:sz w:val="24"/>
        </w:rPr>
      </w:pPr>
      <w:r>
        <w:rPr>
          <w:spacing w:val="-1"/>
          <w:sz w:val="24"/>
        </w:rPr>
        <w:t>供水、排水系统对两套分流严格区分，饮用水、冲洗水各成系统；地</w:t>
      </w:r>
      <w:r>
        <w:rPr>
          <w:sz w:val="24"/>
        </w:rPr>
        <w:t>面径流与生产废水分别排放，经过物理、生物等处理达标后加以循环利用。</w:t>
      </w:r>
    </w:p>
    <w:p>
      <w:pPr>
        <w:pStyle w:val="17"/>
        <w:numPr>
          <w:ilvl w:val="0"/>
          <w:numId w:val="26"/>
        </w:numPr>
        <w:tabs>
          <w:tab w:val="left" w:pos="1621"/>
        </w:tabs>
        <w:spacing w:before="1" w:after="0" w:line="240" w:lineRule="auto"/>
        <w:ind w:left="1621" w:right="0" w:hanging="601"/>
        <w:jc w:val="left"/>
        <w:rPr>
          <w:sz w:val="24"/>
        </w:rPr>
      </w:pPr>
      <w:r>
        <w:rPr>
          <w:sz w:val="24"/>
        </w:rPr>
        <w:t>生产流程为单向流程的工艺流程，防止逆向迂回。</w:t>
      </w:r>
    </w:p>
    <w:p>
      <w:pPr>
        <w:pStyle w:val="17"/>
        <w:numPr>
          <w:ilvl w:val="0"/>
          <w:numId w:val="26"/>
        </w:numPr>
        <w:tabs>
          <w:tab w:val="left" w:pos="1621"/>
        </w:tabs>
        <w:spacing w:before="161" w:after="0" w:line="240" w:lineRule="auto"/>
        <w:ind w:left="1621" w:right="0" w:hanging="601"/>
        <w:jc w:val="left"/>
        <w:rPr>
          <w:sz w:val="24"/>
        </w:rPr>
      </w:pPr>
      <w:r>
        <w:rPr>
          <w:sz w:val="24"/>
        </w:rPr>
        <w:t>道路和出口严格分工，净污分道，防止交叉，各有出口。</w:t>
      </w:r>
    </w:p>
    <w:p>
      <w:pPr>
        <w:pStyle w:val="17"/>
        <w:numPr>
          <w:ilvl w:val="0"/>
          <w:numId w:val="26"/>
        </w:numPr>
        <w:tabs>
          <w:tab w:val="left" w:pos="1621"/>
        </w:tabs>
        <w:spacing w:before="160" w:after="0" w:line="240" w:lineRule="auto"/>
        <w:ind w:left="1621" w:right="0" w:hanging="601"/>
        <w:jc w:val="left"/>
        <w:rPr>
          <w:sz w:val="24"/>
        </w:rPr>
      </w:pPr>
      <w:r>
        <w:rPr>
          <w:spacing w:val="-5"/>
          <w:sz w:val="24"/>
        </w:rPr>
        <w:t>干粪堆放场设于污道出口处、堆肥厂地标高低于污道末端，形成落差。</w:t>
      </w:r>
    </w:p>
    <w:p>
      <w:pPr>
        <w:pStyle w:val="17"/>
        <w:numPr>
          <w:ilvl w:val="4"/>
          <w:numId w:val="24"/>
        </w:numPr>
        <w:tabs>
          <w:tab w:val="left" w:pos="1611"/>
        </w:tabs>
        <w:spacing w:before="161" w:after="0" w:line="240" w:lineRule="auto"/>
        <w:ind w:left="1610" w:right="0" w:hanging="1071"/>
        <w:jc w:val="left"/>
        <w:rPr>
          <w:sz w:val="24"/>
        </w:rPr>
      </w:pPr>
      <w:r>
        <w:rPr>
          <w:sz w:val="24"/>
        </w:rPr>
        <w:t>疫病防控措施</w:t>
      </w:r>
    </w:p>
    <w:p>
      <w:pPr>
        <w:pStyle w:val="17"/>
        <w:numPr>
          <w:ilvl w:val="0"/>
          <w:numId w:val="27"/>
        </w:numPr>
        <w:tabs>
          <w:tab w:val="left" w:pos="1621"/>
        </w:tabs>
        <w:spacing w:before="160" w:after="0" w:line="240" w:lineRule="auto"/>
        <w:ind w:left="1621" w:right="0" w:hanging="601"/>
        <w:jc w:val="left"/>
        <w:rPr>
          <w:sz w:val="24"/>
        </w:rPr>
      </w:pPr>
      <w:r>
        <w:rPr>
          <w:sz w:val="24"/>
        </w:rPr>
        <w:t>养殖场入场须知</w:t>
      </w:r>
    </w:p>
    <w:p>
      <w:pPr>
        <w:pStyle w:val="7"/>
        <w:spacing w:before="161" w:line="364" w:lineRule="auto"/>
        <w:ind w:right="577" w:firstLine="480"/>
      </w:pPr>
      <w:r>
        <w:rPr>
          <w:spacing w:val="-6"/>
        </w:rPr>
        <w:t>为确保羊产业养殖场的防疫安全和环境卫生，凡需进入养殖场的人员和车辆</w:t>
      </w:r>
      <w:r>
        <w:t>必须遵守以下规定要求：</w:t>
      </w:r>
    </w:p>
    <w:p>
      <w:pPr>
        <w:pStyle w:val="7"/>
        <w:spacing w:before="1" w:line="364" w:lineRule="auto"/>
        <w:ind w:right="580" w:firstLine="480"/>
      </w:pPr>
      <w:r>
        <w:t>①本养殖场分为工作、生活区和养殖区，来访人员统一在工作、生活区开展相关活动。</w:t>
      </w:r>
    </w:p>
    <w:p>
      <w:pPr>
        <w:pStyle w:val="7"/>
        <w:spacing w:before="143" w:line="364" w:lineRule="auto"/>
        <w:ind w:right="457" w:firstLine="480"/>
      </w:pPr>
      <w:r>
        <w:t>②因工作需要进入养殖区的，必须向养殖场工作人员请批。③在进入养殖场入口处设消毒池及消毒、更衣间。经批准进入的，车辆应</w:t>
      </w:r>
      <w:r>
        <w:rPr>
          <w:spacing w:val="-16"/>
        </w:rPr>
        <w:t>经过消毒池，对整车时行全面消毒，人员也要进行全身消毒处理，更换进场衣物。</w:t>
      </w:r>
    </w:p>
    <w:p>
      <w:pPr>
        <w:pStyle w:val="7"/>
        <w:spacing w:before="1" w:line="364" w:lineRule="auto"/>
        <w:ind w:right="580" w:firstLine="480"/>
      </w:pPr>
      <w:r>
        <w:t>④非养殖场工作人员在养殖区工作结束应立即按照指示路线离开，不得逗留。</w:t>
      </w:r>
    </w:p>
    <w:p>
      <w:pPr>
        <w:pStyle w:val="7"/>
        <w:spacing w:before="1" w:line="364" w:lineRule="auto"/>
        <w:ind w:right="457" w:firstLine="480"/>
      </w:pPr>
      <w:r>
        <w:rPr>
          <w:spacing w:val="-7"/>
        </w:rPr>
        <w:t>⑤未经同意批准或者私自进入养殖区的人员、车辆若引发动物疾病或疫情，</w:t>
      </w:r>
      <w:r>
        <w:t>除经济处罚外，还将追究法律责任。</w:t>
      </w:r>
    </w:p>
    <w:p>
      <w:pPr>
        <w:pStyle w:val="7"/>
        <w:spacing w:before="1" w:line="364" w:lineRule="auto"/>
        <w:ind w:right="577" w:firstLine="480"/>
        <w:jc w:val="both"/>
      </w:pPr>
      <w:r>
        <w:rPr>
          <w:spacing w:val="-1"/>
        </w:rPr>
        <w:t>⑥养殖场的员工也不得随便出入，特别是饲养人员、技术人员、直接管理</w:t>
      </w:r>
      <w:r>
        <w:rPr>
          <w:spacing w:val="-11"/>
        </w:rPr>
        <w:t>人员，因事外出回来时，仍须经过严格消毒防疫处理，到生活区换上专用工作服</w:t>
      </w:r>
      <w:r>
        <w:t>后，方可上岗工作。</w:t>
      </w:r>
    </w:p>
    <w:p>
      <w:pPr>
        <w:pStyle w:val="7"/>
        <w:spacing w:before="2" w:line="364" w:lineRule="auto"/>
        <w:ind w:right="580" w:firstLine="480"/>
        <w:jc w:val="both"/>
      </w:pPr>
      <w:r>
        <w:t>⑦进入养殖场的人员不得随意丢弃垃圾及其他废弃物，确保良繁中心环境卫生安全。</w:t>
      </w:r>
    </w:p>
    <w:p>
      <w:pPr>
        <w:pStyle w:val="17"/>
        <w:numPr>
          <w:ilvl w:val="0"/>
          <w:numId w:val="27"/>
        </w:numPr>
        <w:tabs>
          <w:tab w:val="left" w:pos="1621"/>
        </w:tabs>
        <w:spacing w:before="1" w:after="0" w:line="240" w:lineRule="auto"/>
        <w:ind w:left="1621" w:right="0" w:hanging="601"/>
        <w:jc w:val="left"/>
        <w:rPr>
          <w:sz w:val="24"/>
        </w:rPr>
      </w:pPr>
      <w:r>
        <w:rPr>
          <w:sz w:val="24"/>
        </w:rPr>
        <w:t>养殖场消毒要求</w:t>
      </w:r>
    </w:p>
    <w:p>
      <w:pPr>
        <w:pStyle w:val="7"/>
        <w:spacing w:before="161"/>
        <w:ind w:left="1020"/>
      </w:pPr>
      <w:r>
        <w:t>①羊舍内地面、墙壁、顶棚消毒</w:t>
      </w:r>
    </w:p>
    <w:p>
      <w:pPr>
        <w:pStyle w:val="7"/>
        <w:spacing w:before="160" w:line="364" w:lineRule="auto"/>
        <w:ind w:right="457" w:firstLine="480"/>
      </w:pPr>
      <w:r>
        <w:rPr>
          <w:spacing w:val="-16"/>
        </w:rPr>
        <w:t>羊舍内地面、墙壁和顶棚必须保持清洁卫生。饲养员每天必须至少清扫一次，</w:t>
      </w:r>
      <w:r>
        <w:rPr>
          <w:spacing w:val="-5"/>
        </w:rPr>
        <w:t>地面可以用清水进行冲洗，将粪尿、污物以及杂物等冲洗干净。然后每周用</w:t>
      </w:r>
      <w:r>
        <w:rPr>
          <w:rFonts w:ascii="Times New Roman" w:eastAsia="Times New Roman"/>
        </w:rPr>
        <w:t>2</w:t>
      </w:r>
      <w:r>
        <w:t>％</w:t>
      </w:r>
      <w:r>
        <w:rPr>
          <w:spacing w:val="-8"/>
        </w:rPr>
        <w:t>氢氧化钠水溶液进行喷洒消毒一次。如果带羊消毒，可用</w:t>
      </w:r>
      <w:r>
        <w:rPr>
          <w:rFonts w:ascii="Times New Roman" w:eastAsia="Times New Roman"/>
        </w:rPr>
        <w:t>0.1</w:t>
      </w:r>
      <w:r>
        <w:rPr>
          <w:spacing w:val="-9"/>
        </w:rPr>
        <w:t>％过氧乙酸或</w:t>
      </w:r>
      <w:r>
        <w:rPr>
          <w:rFonts w:ascii="Times New Roman" w:eastAsia="Times New Roman"/>
        </w:rPr>
        <w:t>0.1</w:t>
      </w:r>
      <w:r>
        <w:t>％</w:t>
      </w:r>
      <w:r>
        <w:rPr>
          <w:spacing w:val="-4"/>
        </w:rPr>
        <w:t>百毒杀溶液等进行喷洒消毒，每周</w:t>
      </w:r>
      <w:r>
        <w:rPr>
          <w:rFonts w:ascii="Times New Roman" w:eastAsia="Times New Roman"/>
        </w:rPr>
        <w:t>1</w:t>
      </w:r>
      <w:r>
        <w:t>～</w:t>
      </w:r>
      <w:r>
        <w:rPr>
          <w:rFonts w:ascii="Times New Roman" w:eastAsia="Times New Roman"/>
        </w:rPr>
        <w:t>2</w:t>
      </w:r>
      <w:r>
        <w:t>次。</w:t>
      </w:r>
    </w:p>
    <w:p>
      <w:pPr>
        <w:pStyle w:val="7"/>
        <w:spacing w:before="3"/>
        <w:ind w:left="1020"/>
      </w:pPr>
      <w:r>
        <w:t>②水、料槽、草架的消毒</w:t>
      </w:r>
    </w:p>
    <w:p>
      <w:pPr>
        <w:pStyle w:val="7"/>
        <w:spacing w:before="160" w:line="364" w:lineRule="auto"/>
        <w:ind w:right="523" w:firstLine="480"/>
      </w:pPr>
      <w:r>
        <w:t>水、料槽、草架必须定期清洗消毒，保持清洁。一般可用</w:t>
      </w:r>
      <w:r>
        <w:rPr>
          <w:rFonts w:ascii="Times New Roman" w:eastAsia="Times New Roman"/>
        </w:rPr>
        <w:t>0.1</w:t>
      </w:r>
      <w:r>
        <w:t>％高锰酸钾溶液进行浸泡</w:t>
      </w:r>
      <w:r>
        <w:rPr>
          <w:rFonts w:ascii="Times New Roman" w:eastAsia="Times New Roman"/>
        </w:rPr>
        <w:t>5</w:t>
      </w:r>
      <w:r>
        <w:t>～</w:t>
      </w:r>
      <w:r>
        <w:rPr>
          <w:rFonts w:ascii="Times New Roman" w:eastAsia="Times New Roman"/>
        </w:rPr>
        <w:t>15min</w:t>
      </w:r>
      <w:r>
        <w:t>，每两周消毒一次。</w:t>
      </w:r>
    </w:p>
    <w:p>
      <w:pPr>
        <w:pStyle w:val="7"/>
        <w:spacing w:before="1"/>
        <w:ind w:left="1020"/>
      </w:pPr>
      <w:r>
        <w:t>③羊舍内空气清洁、消毒</w:t>
      </w:r>
    </w:p>
    <w:p>
      <w:pPr>
        <w:pStyle w:val="7"/>
        <w:spacing w:before="161" w:line="364" w:lineRule="auto"/>
        <w:ind w:right="577" w:firstLine="480"/>
      </w:pPr>
      <w:r>
        <w:t>羊舍内空气的洁净程度对羊的健康会产生很大影响，必须对空气进行定期清洁消毒。具体如下：</w:t>
      </w:r>
    </w:p>
    <w:p>
      <w:pPr>
        <w:pStyle w:val="7"/>
        <w:spacing w:before="1" w:line="364" w:lineRule="auto"/>
        <w:ind w:right="485" w:firstLine="480"/>
      </w:pPr>
      <w:r>
        <w:rPr>
          <w:rFonts w:ascii="Times New Roman" w:eastAsia="Times New Roman"/>
        </w:rPr>
        <w:t>a</w:t>
      </w:r>
      <w:r>
        <w:t>、通风换气。在羊舍内必须留有充足的通风口，将通风口留在背风处以防止强风进入。羊舍较大的要安装排风扇，定时定点开启排风扇，进行通风换气。特别在冬季夜间，更要做好通风换气工作。</w:t>
      </w:r>
    </w:p>
    <w:p>
      <w:pPr>
        <w:pStyle w:val="7"/>
        <w:spacing w:before="2" w:line="364" w:lineRule="auto"/>
        <w:ind w:right="457" w:firstLine="480"/>
        <w:jc w:val="both"/>
        <w:rPr>
          <w:sz w:val="9"/>
        </w:rPr>
      </w:pPr>
      <w:r>
        <w:rPr>
          <w:rFonts w:ascii="Times New Roman" w:eastAsia="Times New Roman"/>
        </w:rPr>
        <w:t>b</w:t>
      </w:r>
      <w:r>
        <w:rPr>
          <w:spacing w:val="-12"/>
        </w:rPr>
        <w:t>、水雾洗涤。向羊舍空气中喷洒水雾，一方面可以减少舍内空气中的尘埃，</w:t>
      </w:r>
      <w:r>
        <w:t>使舍内空气清洁；另一方面还可以降温和增加空气湿度，特别是在炎热的夏季，通过增加舍内湿度以防止过于干燥而导致呼吸道疾病发生。</w:t>
      </w:r>
    </w:p>
    <w:p>
      <w:pPr>
        <w:pStyle w:val="7"/>
        <w:spacing w:before="74"/>
        <w:ind w:left="1020"/>
      </w:pPr>
      <w:r>
        <w:rPr>
          <w:rFonts w:ascii="Times New Roman" w:eastAsia="Times New Roman"/>
        </w:rPr>
        <w:t>c</w:t>
      </w:r>
      <w:r>
        <w:t>、过道、走廊、庭院、路面消毒</w:t>
      </w:r>
    </w:p>
    <w:p>
      <w:pPr>
        <w:pStyle w:val="7"/>
        <w:spacing w:before="154" w:line="357" w:lineRule="auto"/>
        <w:ind w:right="577" w:firstLine="480"/>
        <w:jc w:val="both"/>
      </w:pPr>
      <w:r>
        <w:rPr>
          <w:spacing w:val="-6"/>
        </w:rPr>
        <w:t>为了防止外界病原微生物进入羊舍，应对过道、走廊、庭院、路面等地点应</w:t>
      </w:r>
      <w:r>
        <w:t>该定期进行消毒。一般可用生石灰消毒或用</w:t>
      </w:r>
      <w:r>
        <w:rPr>
          <w:rFonts w:ascii="Times New Roman" w:eastAsia="Times New Roman"/>
          <w:spacing w:val="7"/>
        </w:rPr>
        <w:t>2</w:t>
      </w:r>
      <w:r>
        <w:rPr>
          <w:spacing w:val="3"/>
        </w:rPr>
        <w:t>％氢氧化钠溶液进行喷洒效果很</w:t>
      </w:r>
      <w:r>
        <w:rPr>
          <w:spacing w:val="-13"/>
        </w:rPr>
        <w:t>好，每</w:t>
      </w:r>
      <w:r>
        <w:rPr>
          <w:rFonts w:ascii="Times New Roman" w:eastAsia="Times New Roman"/>
        </w:rPr>
        <w:t>2</w:t>
      </w:r>
      <w:r>
        <w:t>周一次。</w:t>
      </w:r>
    </w:p>
    <w:p>
      <w:pPr>
        <w:pStyle w:val="7"/>
        <w:spacing w:before="5"/>
        <w:ind w:left="1020"/>
      </w:pPr>
      <w:r>
        <w:rPr>
          <w:rFonts w:ascii="Times New Roman" w:eastAsia="Times New Roman"/>
        </w:rPr>
        <w:t>d</w:t>
      </w:r>
      <w:r>
        <w:t>、进场、羊舍人员及车辆消毒</w:t>
      </w:r>
    </w:p>
    <w:p>
      <w:pPr>
        <w:pStyle w:val="7"/>
        <w:spacing w:before="154" w:line="357" w:lineRule="auto"/>
        <w:ind w:right="575" w:firstLine="480"/>
        <w:jc w:val="both"/>
      </w:pPr>
      <w:r>
        <w:rPr>
          <w:spacing w:val="-8"/>
        </w:rPr>
        <w:t>进入羊舍</w:t>
      </w:r>
      <w:r>
        <w:t>（生产区</w:t>
      </w:r>
      <w:r>
        <w:rPr>
          <w:spacing w:val="-32"/>
        </w:rPr>
        <w:t>）</w:t>
      </w:r>
      <w:r>
        <w:rPr>
          <w:spacing w:val="-4"/>
        </w:rPr>
        <w:t>的工作人员必须经过消毒更衣室，更换已消过毒的工作</w:t>
      </w:r>
      <w:r>
        <w:rPr>
          <w:spacing w:val="-12"/>
        </w:rPr>
        <w:t>服、卫生帽和胶鞋，严禁不换衣服而进入生产区。饲养人员的工作服必须保持清</w:t>
      </w:r>
      <w:r>
        <w:rPr>
          <w:spacing w:val="-5"/>
        </w:rPr>
        <w:t>洁卫生，定期洗涤，洗净后用</w:t>
      </w:r>
      <w:r>
        <w:rPr>
          <w:rFonts w:ascii="Times New Roman" w:eastAsia="Times New Roman"/>
        </w:rPr>
        <w:t>0.1</w:t>
      </w:r>
      <w:r>
        <w:rPr>
          <w:spacing w:val="-4"/>
        </w:rPr>
        <w:t>％新洁尔灭等消毒液进行浸泡</w:t>
      </w:r>
      <w:r>
        <w:rPr>
          <w:rFonts w:ascii="Times New Roman" w:eastAsia="Times New Roman"/>
        </w:rPr>
        <w:t>20min</w:t>
      </w:r>
      <w:r>
        <w:rPr>
          <w:spacing w:val="-4"/>
        </w:rPr>
        <w:t>后捞出晾</w:t>
      </w:r>
      <w:r>
        <w:rPr>
          <w:spacing w:val="-5"/>
        </w:rPr>
        <w:t>干。一般每周洗涤、消毒</w:t>
      </w:r>
      <w:r>
        <w:rPr>
          <w:rFonts w:ascii="Times New Roman" w:eastAsia="Times New Roman"/>
        </w:rPr>
        <w:t>1</w:t>
      </w:r>
      <w:r>
        <w:t>～</w:t>
      </w:r>
      <w:r>
        <w:rPr>
          <w:rFonts w:ascii="Times New Roman" w:eastAsia="Times New Roman"/>
        </w:rPr>
        <w:t>2</w:t>
      </w:r>
      <w:r>
        <w:t>次。在消毒更衣室地面必须放置浸满消毒液的消毒垫，用于胶鞋底的消毒。</w:t>
      </w:r>
    </w:p>
    <w:p>
      <w:pPr>
        <w:pStyle w:val="7"/>
        <w:spacing w:before="8" w:line="360" w:lineRule="auto"/>
        <w:ind w:right="577" w:firstLine="480"/>
        <w:jc w:val="both"/>
      </w:pPr>
      <w:r>
        <w:rPr>
          <w:spacing w:val="-5"/>
        </w:rPr>
        <w:t>外来人员进入场区，必须经过场区大门旁侧的消毒室进行消毒</w:t>
      </w:r>
      <w:r>
        <w:t>（</w:t>
      </w:r>
      <w:r>
        <w:rPr>
          <w:spacing w:val="-11"/>
        </w:rPr>
        <w:t>方法：可用</w:t>
      </w:r>
      <w:r>
        <w:rPr>
          <w:spacing w:val="-3"/>
        </w:rPr>
        <w:t>紫外线照射</w:t>
      </w:r>
      <w:r>
        <w:rPr>
          <w:rFonts w:ascii="Times New Roman" w:eastAsia="Times New Roman"/>
        </w:rPr>
        <w:t>5</w:t>
      </w:r>
      <w:r>
        <w:t>～</w:t>
      </w:r>
      <w:r>
        <w:rPr>
          <w:rFonts w:ascii="Times New Roman" w:eastAsia="Times New Roman"/>
        </w:rPr>
        <w:t>15min</w:t>
      </w:r>
      <w:r>
        <w:t>，脚底踏踩消毒垫）后方可进入，但绝对禁止未经消毒更</w:t>
      </w:r>
      <w:r>
        <w:rPr>
          <w:spacing w:val="-8"/>
        </w:rPr>
        <w:t>衣人员进入生产区。禁止一切外来车辆进入生产区，进入场区的外来车辆，必须</w:t>
      </w:r>
      <w:r>
        <w:rPr>
          <w:spacing w:val="-5"/>
        </w:rPr>
        <w:t>经过大门门下置满消毒液的消毒池，对轮胎进行消毒，车体可用</w:t>
      </w:r>
      <w:r>
        <w:rPr>
          <w:rFonts w:ascii="Times New Roman" w:eastAsia="Times New Roman"/>
        </w:rPr>
        <w:t>2</w:t>
      </w:r>
      <w:r>
        <w:rPr>
          <w:spacing w:val="-3"/>
        </w:rPr>
        <w:t>％氢氧化钠或</w:t>
      </w:r>
      <w:r>
        <w:rPr>
          <w:rFonts w:ascii="Times New Roman" w:eastAsia="Times New Roman"/>
        </w:rPr>
        <w:t>0.1</w:t>
      </w:r>
      <w:r>
        <w:t>％过氧乙酸等进行喷雾消毒后方可进入。</w:t>
      </w:r>
    </w:p>
    <w:p>
      <w:pPr>
        <w:pStyle w:val="17"/>
        <w:numPr>
          <w:ilvl w:val="0"/>
          <w:numId w:val="27"/>
        </w:numPr>
        <w:tabs>
          <w:tab w:val="left" w:pos="1621"/>
        </w:tabs>
        <w:spacing w:before="0" w:after="0" w:line="300" w:lineRule="exact"/>
        <w:ind w:left="1621" w:right="0" w:hanging="601"/>
        <w:jc w:val="left"/>
        <w:rPr>
          <w:sz w:val="24"/>
        </w:rPr>
      </w:pPr>
      <w:r>
        <w:rPr>
          <w:sz w:val="24"/>
        </w:rPr>
        <w:t>养殖场防疫要求</w:t>
      </w:r>
    </w:p>
    <w:p>
      <w:pPr>
        <w:pStyle w:val="7"/>
        <w:spacing w:before="153"/>
        <w:ind w:left="1020"/>
      </w:pPr>
      <w:r>
        <w:t>①严格投入品控制</w:t>
      </w:r>
    </w:p>
    <w:p>
      <w:pPr>
        <w:pStyle w:val="7"/>
        <w:spacing w:before="153" w:line="357" w:lineRule="auto"/>
        <w:ind w:right="485" w:firstLine="480"/>
      </w:pPr>
      <w:r>
        <w:rPr>
          <w:spacing w:val="-7"/>
        </w:rPr>
        <w:t>要根据羊只不同品种、年龄、用途喂给全价配合饲料，蛋白质、维生素、微</w:t>
      </w:r>
      <w:r>
        <w:rPr>
          <w:spacing w:val="-12"/>
        </w:rPr>
        <w:t>量元素等营养成分要满足羊只生长、发育、繁殖等需要，饮水要充足、清洁、卫</w:t>
      </w:r>
      <w:r>
        <w:rPr>
          <w:spacing w:val="-11"/>
        </w:rPr>
        <w:t>生。同时，可以在饲料中添加微生态制剂等绿色饲料添加剂来提高羊只自身免疫</w:t>
      </w:r>
      <w:r>
        <w:rPr>
          <w:spacing w:val="-12"/>
        </w:rPr>
        <w:t>力和抗病力。还可以适当投放一些预防性药物，对羊群进行疫病的预防和控制，</w:t>
      </w:r>
      <w:r>
        <w:t>如利用恩诺沙星或环内沙星可有效预防羔羊腹泻等。</w:t>
      </w:r>
    </w:p>
    <w:p>
      <w:pPr>
        <w:pStyle w:val="7"/>
        <w:spacing w:before="9"/>
        <w:ind w:left="1020"/>
      </w:pPr>
      <w:r>
        <w:t>②落实隔离制度</w:t>
      </w:r>
    </w:p>
    <w:p>
      <w:pPr>
        <w:pStyle w:val="7"/>
        <w:spacing w:before="153" w:line="360" w:lineRule="auto"/>
        <w:ind w:right="455" w:firstLine="480"/>
      </w:pPr>
      <w:r>
        <w:rPr>
          <w:spacing w:val="-6"/>
        </w:rPr>
        <w:t>如需外购羔羊补栏或种羊，要严格隔离饲养观察，严禁从疫区购买羊只。在</w:t>
      </w:r>
      <w:r>
        <w:rPr>
          <w:spacing w:val="-16"/>
        </w:rPr>
        <w:t>此期间进行临床和实验室检查，确认健康无病后，再经预防接种、驱虫、消毒后，</w:t>
      </w:r>
      <w:r>
        <w:rPr>
          <w:spacing w:val="-8"/>
        </w:rPr>
        <w:t>才可进入生产区。不同批次、不同种源场的羔羊尽量分舍独立饲养，降低疫病互相传染的风险。</w:t>
      </w:r>
    </w:p>
    <w:p>
      <w:pPr>
        <w:pStyle w:val="7"/>
        <w:spacing w:line="301" w:lineRule="exact"/>
        <w:ind w:left="1020"/>
      </w:pPr>
      <w:r>
        <w:t>③完善免疫程序</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48" w:firstLineChars="200"/>
        <w:jc w:val="both"/>
        <w:textAlignment w:val="auto"/>
        <w:rPr>
          <w:spacing w:val="-9"/>
        </w:rPr>
      </w:pPr>
      <w:r>
        <w:rPr>
          <w:spacing w:val="-8"/>
        </w:rPr>
        <w:t>制定完善羊场免疫程序，加强规模羊场防疫技术指导，规模羊场要结合本场</w:t>
      </w:r>
      <w:r>
        <w:rPr>
          <w:spacing w:val="-9"/>
        </w:rPr>
        <w:t>羊只</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44" w:firstLineChars="200"/>
        <w:jc w:val="both"/>
        <w:textAlignment w:val="auto"/>
        <w:rPr>
          <w:sz w:val="9"/>
        </w:rPr>
      </w:pPr>
      <w:r>
        <w:rPr>
          <w:spacing w:val="-9"/>
        </w:rPr>
        <w:t>发病特点、羊只年龄、品种等实际情况，优化免疫程序，严格配合各级动物</w:t>
      </w:r>
    </w:p>
    <w:p>
      <w:pPr>
        <w:pStyle w:val="7"/>
        <w:spacing w:before="66" w:line="360" w:lineRule="auto"/>
        <w:ind w:right="577"/>
      </w:pPr>
      <w:r>
        <w:rPr>
          <w:spacing w:val="-10"/>
        </w:rPr>
        <w:t>防疫机构，做好羊群免疫接种及补防工作，确保免疫效果。一般每年的春秋两季</w:t>
      </w:r>
      <w:r>
        <w:t>对全群羊只进行疫苗免疫注射，重点预防口蹄疫、羊痘、小反刍兽疫等疫病。</w:t>
      </w:r>
    </w:p>
    <w:p>
      <w:pPr>
        <w:pStyle w:val="7"/>
        <w:spacing w:line="307" w:lineRule="exact"/>
        <w:ind w:left="1020"/>
      </w:pPr>
      <w:r>
        <w:t>④开展动物检疫</w:t>
      </w:r>
    </w:p>
    <w:p>
      <w:pPr>
        <w:pStyle w:val="7"/>
        <w:spacing w:before="151" w:line="360" w:lineRule="auto"/>
        <w:ind w:right="485" w:firstLine="480"/>
      </w:pPr>
      <w:r>
        <w:t>从外地购买羔羊补栏或种羊时，必须首先调查了解产地羊传染病流行情况，经当地动物检疫机构检疫合格后方可启运回场。尤其是对一些危害较大和一些新的疫病如羊口蹄疫、羊痘、小反刍兽疫等更要严格检疫。</w:t>
      </w:r>
    </w:p>
    <w:p>
      <w:pPr>
        <w:pStyle w:val="7"/>
        <w:spacing w:line="304" w:lineRule="exact"/>
        <w:ind w:left="1020"/>
      </w:pPr>
      <w:r>
        <w:t>⑤强化驱虫制度</w:t>
      </w:r>
    </w:p>
    <w:p>
      <w:pPr>
        <w:pStyle w:val="7"/>
        <w:spacing w:before="154" w:line="360" w:lineRule="auto"/>
        <w:ind w:right="577" w:firstLine="480"/>
        <w:jc w:val="both"/>
      </w:pPr>
      <w:r>
        <w:rPr>
          <w:spacing w:val="-8"/>
        </w:rPr>
        <w:t>驱虫分体内驱虫、体外驱虫及环境灭虫，羊场要遵循“强化虫检、适时驱虫</w:t>
      </w:r>
      <w:r>
        <w:rPr>
          <w:spacing w:val="-7"/>
        </w:rPr>
        <w:t>“的原则做好此项工作。体内驱虫主要驱除山羊体内绦虫、球虫等寄生虫，常用</w:t>
      </w:r>
      <w:r>
        <w:rPr>
          <w:spacing w:val="-10"/>
        </w:rPr>
        <w:t>左旋咪唑、丙硫苯咪唑等驱虫药。体外驱虫主要驱除山羊体表的螨虫、虱子等寄生虫，常用药物有敌百虫、螨净等。同时要定期对整个圈舍、粪池及周围环境进</w:t>
      </w:r>
      <w:r>
        <w:t>行喷药灭虫。</w:t>
      </w:r>
    </w:p>
    <w:p>
      <w:pPr>
        <w:pStyle w:val="7"/>
        <w:spacing w:line="300" w:lineRule="exact"/>
        <w:ind w:left="1020"/>
        <w:jc w:val="both"/>
      </w:pPr>
      <w:r>
        <w:t>⑥加强诊疗控制</w:t>
      </w:r>
    </w:p>
    <w:p>
      <w:pPr>
        <w:pStyle w:val="7"/>
        <w:spacing w:before="153" w:line="360" w:lineRule="auto"/>
        <w:ind w:right="455" w:firstLine="480"/>
      </w:pPr>
      <w:r>
        <w:rPr>
          <w:spacing w:val="-7"/>
        </w:rPr>
        <w:t>发现羊只传染病、疑似传染病时，要做好患病和疑似羊只隔离工作，并立即</w:t>
      </w:r>
      <w:r>
        <w:rPr>
          <w:spacing w:val="-13"/>
        </w:rPr>
        <w:t>向当地动物防疫机构报告，采取防制措施。对有治疗价值的患病羊只，及时对症</w:t>
      </w:r>
      <w:r>
        <w:rPr>
          <w:spacing w:val="-15"/>
        </w:rPr>
        <w:t>治疗；没有治疗价值或烈性传染病的患病羊只，按照“早、快、严、小”的原则，</w:t>
      </w:r>
      <w:r>
        <w:t>迅速采取封锁措施，以防止传染病向安全地区传播蔓延。</w:t>
      </w:r>
    </w:p>
    <w:p>
      <w:pPr>
        <w:pStyle w:val="7"/>
        <w:spacing w:line="303" w:lineRule="exact"/>
        <w:ind w:left="1020"/>
      </w:pPr>
      <w:r>
        <w:t>⑦严格落实无害化处理制度</w:t>
      </w:r>
    </w:p>
    <w:p>
      <w:pPr>
        <w:pStyle w:val="7"/>
        <w:spacing w:before="151" w:line="360" w:lineRule="auto"/>
        <w:ind w:right="575" w:firstLine="480"/>
        <w:jc w:val="both"/>
      </w:pPr>
      <w:r>
        <w:rPr>
          <w:spacing w:val="-9"/>
        </w:rPr>
        <w:t>病死羊及羊粪、污水需进行无害化处理，以消灭依附其中的病原微生物、寄</w:t>
      </w:r>
      <w:r>
        <w:rPr>
          <w:spacing w:val="-11"/>
        </w:rPr>
        <w:t>生虫等。羊粪一般采用生物热消毒法，利用堆积发酵时产生的生物热杀灭病原微</w:t>
      </w:r>
      <w:r>
        <w:rPr>
          <w:spacing w:val="-10"/>
        </w:rPr>
        <w:t>生物和虫卵，然后用作有机肥还田。污水一般采用沉淀法、过滤法和化学品处理法，比较实用的是化学药品处理法，污水池内加入漂白粉或生石灰进行消毒。病</w:t>
      </w:r>
      <w:r>
        <w:t>死羊无害化处理一般有化制、掩埋、焚烧三种方式。</w:t>
      </w:r>
    </w:p>
    <w:p>
      <w:pPr>
        <w:pStyle w:val="5"/>
        <w:numPr>
          <w:ilvl w:val="2"/>
          <w:numId w:val="16"/>
        </w:numPr>
        <w:tabs>
          <w:tab w:val="left" w:pos="1380"/>
        </w:tabs>
        <w:spacing w:before="61" w:after="0" w:line="240" w:lineRule="auto"/>
        <w:ind w:left="1380" w:right="0" w:hanging="840"/>
        <w:jc w:val="left"/>
      </w:pPr>
      <w:bookmarkStart w:id="155" w:name="3.1.12 施工组织方案"/>
      <w:bookmarkEnd w:id="155"/>
      <w:bookmarkStart w:id="156" w:name="3.1.12 施工组织方案"/>
      <w:bookmarkEnd w:id="156"/>
      <w:r>
        <w:t>施工组织方案</w:t>
      </w:r>
    </w:p>
    <w:p>
      <w:pPr>
        <w:pStyle w:val="7"/>
        <w:spacing w:before="1"/>
        <w:ind w:left="0"/>
        <w:rPr>
          <w:b/>
          <w:sz w:val="22"/>
        </w:rPr>
      </w:pPr>
    </w:p>
    <w:p>
      <w:pPr>
        <w:pStyle w:val="17"/>
        <w:numPr>
          <w:ilvl w:val="3"/>
          <w:numId w:val="28"/>
        </w:numPr>
        <w:tabs>
          <w:tab w:val="left" w:pos="1440"/>
        </w:tabs>
        <w:spacing w:before="1" w:after="0" w:line="240" w:lineRule="auto"/>
        <w:ind w:left="1440" w:right="0" w:hanging="900"/>
        <w:jc w:val="left"/>
        <w:rPr>
          <w:sz w:val="24"/>
        </w:rPr>
      </w:pPr>
      <w:bookmarkStart w:id="157" w:name="3.1.12.1 总体施工方案"/>
      <w:bookmarkEnd w:id="157"/>
      <w:bookmarkStart w:id="158" w:name="3.1.12.1 总体施工方案"/>
      <w:bookmarkEnd w:id="158"/>
      <w:r>
        <w:rPr>
          <w:sz w:val="24"/>
        </w:rPr>
        <w:t>总体施工方案</w:t>
      </w:r>
    </w:p>
    <w:p>
      <w:pPr>
        <w:pStyle w:val="7"/>
        <w:spacing w:before="167"/>
        <w:ind w:left="1020"/>
      </w:pPr>
      <w:r>
        <w:t>本项目由</w:t>
      </w:r>
      <w:r>
        <w:rPr>
          <w:rFonts w:hint="eastAsia"/>
          <w:lang w:val="en-US" w:eastAsia="zh-CN"/>
        </w:rPr>
        <w:t>8</w:t>
      </w:r>
      <w:r>
        <w:t>栋羊舍及以及相应的附属配套设施设备组成。</w:t>
      </w:r>
    </w:p>
    <w:p>
      <w:pPr>
        <w:pStyle w:val="17"/>
        <w:numPr>
          <w:ilvl w:val="3"/>
          <w:numId w:val="28"/>
        </w:numPr>
        <w:tabs>
          <w:tab w:val="left" w:pos="1440"/>
        </w:tabs>
        <w:spacing w:before="168" w:after="0" w:line="240" w:lineRule="auto"/>
        <w:ind w:left="1440" w:right="0" w:hanging="900"/>
        <w:jc w:val="left"/>
        <w:rPr>
          <w:sz w:val="24"/>
        </w:rPr>
      </w:pPr>
      <w:bookmarkStart w:id="159" w:name="3.1.12.2 主要施工工序安排"/>
      <w:bookmarkEnd w:id="159"/>
      <w:bookmarkStart w:id="160" w:name="3.1.12.2 主要施工工序安排"/>
      <w:bookmarkEnd w:id="160"/>
      <w:r>
        <w:rPr>
          <w:sz w:val="24"/>
        </w:rPr>
        <w:t>主要施工工序安排</w:t>
      </w:r>
    </w:p>
    <w:p>
      <w:pPr>
        <w:pStyle w:val="7"/>
        <w:spacing w:before="168"/>
        <w:ind w:left="1020"/>
      </w:pPr>
      <w:r>
        <w:t>①工程基础施工完毕后进行基础隐蔽验收备案；</w:t>
      </w:r>
    </w:p>
    <w:p>
      <w:pPr>
        <w:pStyle w:val="7"/>
        <w:spacing w:before="160"/>
        <w:ind w:left="1020"/>
      </w:pPr>
      <w:r>
        <w:t>②主体结构完成后进行主体结构隐蔽验收备案。</w:t>
      </w:r>
    </w:p>
    <w:p>
      <w:pPr>
        <w:pStyle w:val="7"/>
        <w:spacing w:before="143"/>
        <w:ind w:left="1020"/>
      </w:pPr>
      <w:r>
        <w:t>③屋顶施工完后从上至下进行外墙装饰。</w:t>
      </w:r>
    </w:p>
    <w:p>
      <w:pPr>
        <w:pStyle w:val="7"/>
        <w:spacing w:before="160"/>
        <w:ind w:left="1020"/>
      </w:pPr>
      <w:r>
        <w:t>④内墙抹灰需待屋顶施工完后方能进行，楼地面紧随内墙抹灰施工。</w:t>
      </w:r>
    </w:p>
    <w:p>
      <w:pPr>
        <w:pStyle w:val="7"/>
        <w:spacing w:before="161"/>
        <w:ind w:left="1020"/>
      </w:pPr>
      <w:r>
        <w:t>⑤室外工程如场地硬化、等池待外装饰完工后再施工。</w:t>
      </w:r>
    </w:p>
    <w:p>
      <w:pPr>
        <w:pStyle w:val="7"/>
        <w:spacing w:before="160"/>
        <w:ind w:left="1020"/>
      </w:pPr>
      <w:r>
        <w:t>⑥安装工程应随主体结构施工进度进行配合预留、预埋。</w:t>
      </w:r>
    </w:p>
    <w:p>
      <w:pPr>
        <w:pStyle w:val="17"/>
        <w:numPr>
          <w:ilvl w:val="3"/>
          <w:numId w:val="28"/>
        </w:numPr>
        <w:tabs>
          <w:tab w:val="left" w:pos="1440"/>
        </w:tabs>
        <w:spacing w:before="170" w:after="0" w:line="240" w:lineRule="auto"/>
        <w:ind w:left="1440" w:right="0" w:hanging="900"/>
        <w:jc w:val="left"/>
        <w:rPr>
          <w:sz w:val="24"/>
        </w:rPr>
      </w:pPr>
      <w:bookmarkStart w:id="161" w:name="3.1.12.3 工程方案"/>
      <w:bookmarkEnd w:id="161"/>
      <w:bookmarkStart w:id="162" w:name="3.1.12.3 工程方案"/>
      <w:bookmarkEnd w:id="162"/>
      <w:r>
        <w:rPr>
          <w:sz w:val="24"/>
        </w:rPr>
        <w:t>工程方案</w:t>
      </w:r>
    </w:p>
    <w:p>
      <w:pPr>
        <w:pStyle w:val="7"/>
        <w:spacing w:before="168" w:line="364" w:lineRule="auto"/>
        <w:ind w:right="577" w:firstLine="480"/>
      </w:pPr>
      <w:r>
        <w:t>基础工程按照土方开挖</w:t>
      </w:r>
      <w:r>
        <w:rPr>
          <w:rFonts w:ascii="Times New Roman" w:hAnsi="Times New Roman" w:eastAsia="Times New Roman"/>
        </w:rPr>
        <w:t>→</w:t>
      </w:r>
      <w:r>
        <w:t>清底</w:t>
      </w:r>
      <w:r>
        <w:rPr>
          <w:rFonts w:ascii="Times New Roman" w:hAnsi="Times New Roman" w:eastAsia="Times New Roman"/>
        </w:rPr>
        <w:t>→</w:t>
      </w:r>
      <w:r>
        <w:rPr>
          <w:spacing w:val="-9"/>
        </w:rPr>
        <w:t>勘察、设计、监理等部门验槽</w:t>
      </w:r>
      <w:r>
        <w:rPr>
          <w:rFonts w:ascii="Times New Roman" w:hAnsi="Times New Roman" w:eastAsia="Times New Roman"/>
        </w:rPr>
        <w:t>→</w:t>
      </w:r>
      <w:r>
        <w:rPr>
          <w:spacing w:val="-11"/>
        </w:rPr>
        <w:t>砼、水泥土</w:t>
      </w:r>
      <w:r>
        <w:t>垫层</w:t>
      </w:r>
      <w:r>
        <w:rPr>
          <w:rFonts w:ascii="Times New Roman" w:hAnsi="Times New Roman" w:eastAsia="Times New Roman"/>
        </w:rPr>
        <w:t>→</w:t>
      </w:r>
      <w:r>
        <w:t>土方回填顺序进行。</w:t>
      </w:r>
    </w:p>
    <w:p>
      <w:pPr>
        <w:pStyle w:val="7"/>
        <w:spacing w:before="1" w:line="364" w:lineRule="auto"/>
        <w:ind w:right="455" w:firstLine="480"/>
      </w:pPr>
      <w:r>
        <w:t>主体结构中使用的钢筋运到工地后，必须严格按分批同等级、牌号、直径、长度分别挂牌堆放，不得混淆，存放钢筋场地要进行平整夯实，并作硬化处理。</w:t>
      </w:r>
      <w:r>
        <w:rPr>
          <w:spacing w:val="-6"/>
        </w:rPr>
        <w:t>由专业人员进行钢筋翻样，完成配筋料表，配筋料表要经过技术负责人审核，项</w:t>
      </w:r>
      <w:r>
        <w:rPr>
          <w:spacing w:val="-11"/>
        </w:rPr>
        <w:t>目技术负责人审批后才能允许加工。钢筋加工成型严格按《混凝土结构工程施工</w:t>
      </w:r>
      <w:r>
        <w:rPr>
          <w:spacing w:val="-16"/>
        </w:rPr>
        <w:t>质量验收规范》</w:t>
      </w:r>
      <w:r>
        <w:t>（</w:t>
      </w:r>
      <w:r>
        <w:rPr>
          <w:rFonts w:ascii="Times New Roman" w:eastAsia="Times New Roman"/>
        </w:rPr>
        <w:t xml:space="preserve">GB </w:t>
      </w:r>
      <w:r>
        <w:rPr>
          <w:rFonts w:ascii="Times New Roman" w:eastAsia="Times New Roman"/>
          <w:spacing w:val="-3"/>
        </w:rPr>
        <w:t>50204-2002</w:t>
      </w:r>
      <w:r>
        <w:rPr>
          <w:spacing w:val="-3"/>
        </w:rPr>
        <w:t>）</w:t>
      </w:r>
      <w:r>
        <w:rPr>
          <w:spacing w:val="-4"/>
        </w:rPr>
        <w:t>和设计要求执行。现场建立严格的钢筋生产、</w:t>
      </w:r>
      <w:r>
        <w:t>质量检验制度、安全管理制度，并制定节约措施，降低材料损耗。</w:t>
      </w:r>
    </w:p>
    <w:p>
      <w:pPr>
        <w:pStyle w:val="7"/>
        <w:spacing w:before="4" w:line="364" w:lineRule="auto"/>
        <w:ind w:right="577" w:firstLine="480"/>
        <w:jc w:val="both"/>
      </w:pPr>
      <w:r>
        <w:rPr>
          <w:spacing w:val="-9"/>
        </w:rPr>
        <w:t>钢筋的锚固长度、搭接长度应符合结构施工总说明的要求。现场不能长期堆</w:t>
      </w:r>
      <w:r>
        <w:rPr>
          <w:spacing w:val="-10"/>
        </w:rPr>
        <w:t>放钢筋，钢筋原材料按计划分批进场，加工成型经检验合格后，并及时运到需要部位，避免钢筋在场地内长期堆放。下雨时半成品钢筋不应暴露在外，已绑扎好</w:t>
      </w:r>
      <w:r>
        <w:t>的钢筋要及浇筑混凝土。</w:t>
      </w:r>
    </w:p>
    <w:p>
      <w:pPr>
        <w:pStyle w:val="7"/>
        <w:spacing w:before="2"/>
        <w:ind w:left="1020"/>
      </w:pPr>
      <w:r>
        <w:t>混凝土工程按照砼运输</w:t>
      </w:r>
      <w:r>
        <w:rPr>
          <w:rFonts w:ascii="Times New Roman" w:hAnsi="Times New Roman" w:eastAsia="Times New Roman"/>
        </w:rPr>
        <w:t>→</w:t>
      </w:r>
      <w:r>
        <w:t>砼浇筑及振捣</w:t>
      </w:r>
      <w:r>
        <w:rPr>
          <w:rFonts w:ascii="Times New Roman" w:hAnsi="Times New Roman" w:eastAsia="Times New Roman"/>
        </w:rPr>
        <w:t>→</w:t>
      </w:r>
      <w:r>
        <w:t>养护顺序进行。</w:t>
      </w:r>
    </w:p>
    <w:p>
      <w:pPr>
        <w:pStyle w:val="7"/>
        <w:spacing w:before="161" w:line="364" w:lineRule="auto"/>
        <w:ind w:right="577" w:firstLine="480"/>
        <w:jc w:val="both"/>
      </w:pPr>
      <w:r>
        <w:rPr>
          <w:spacing w:val="-9"/>
        </w:rPr>
        <w:t>砼浇灌前应对模板、钢筋、预留洞的位置、标高、轴线、数量及模板系统牢固情况和各种管道、线路安装预埋，进行综合检查，并认为合格后，请质监、监</w:t>
      </w:r>
      <w:r>
        <w:rPr>
          <w:spacing w:val="-10"/>
        </w:rPr>
        <w:t>理、建设单位代表进行隐蔽验收，办理隐蔽验收记录后，方可浇筑砼。并作自检</w:t>
      </w:r>
      <w:r>
        <w:t>和工序交接记录。钢筋上的泥土、模板内的垃圾、杂物应清除干净。</w:t>
      </w:r>
    </w:p>
    <w:p>
      <w:pPr>
        <w:pStyle w:val="7"/>
        <w:spacing w:before="2" w:line="364" w:lineRule="auto"/>
        <w:ind w:right="575" w:firstLine="480"/>
        <w:jc w:val="both"/>
      </w:pPr>
      <w:r>
        <w:rPr>
          <w:spacing w:val="-1"/>
        </w:rPr>
        <w:t>砼浇筑应连续，以保证结构有良好的整体性，间歇时间不超过</w:t>
      </w:r>
      <w:r>
        <w:rPr>
          <w:rFonts w:ascii="Times New Roman" w:eastAsia="Times New Roman"/>
        </w:rPr>
        <w:t>180min</w:t>
      </w:r>
      <w:r>
        <w:t>。如</w:t>
      </w:r>
      <w:r>
        <w:rPr>
          <w:spacing w:val="-9"/>
        </w:rPr>
        <w:t>必须留设施工缝，其留置位置应在浇筑前确定，并应留设在结构受剪力较小且便</w:t>
      </w:r>
      <w:r>
        <w:rPr>
          <w:spacing w:val="10"/>
        </w:rPr>
        <w:t>于施工的部位。在施工缝处继续浇筑砼时，已浇筑的砼，其抗压强度不小于</w:t>
      </w:r>
      <w:r>
        <w:rPr>
          <w:rFonts w:ascii="Times New Roman" w:eastAsia="Times New Roman"/>
          <w:spacing w:val="10"/>
        </w:rPr>
        <w:t>12MPA</w:t>
      </w:r>
      <w:r>
        <w:rPr>
          <w:spacing w:val="-3"/>
        </w:rPr>
        <w:t>，浇筑砼前先在施工缝处铺一层与砼配合比成份相同的水泥砂浆，仔细振</w:t>
      </w:r>
      <w:r>
        <w:rPr>
          <w:spacing w:val="-11"/>
        </w:rPr>
        <w:t>捣，使新旧砼紧密结合。砼灌注后采用插入式振动器振捣，板采用平板振动器振</w:t>
      </w:r>
      <w:r>
        <w:rPr>
          <w:spacing w:val="-6"/>
        </w:rPr>
        <w:t>捣。在砼浇筑完毕后的</w:t>
      </w:r>
      <w:r>
        <w:rPr>
          <w:rFonts w:ascii="Times New Roman" w:eastAsia="Times New Roman"/>
        </w:rPr>
        <w:t>12h</w:t>
      </w:r>
      <w:r>
        <w:t>以内对砼加以覆盖和浇水养护。</w:t>
      </w:r>
    </w:p>
    <w:p>
      <w:pPr>
        <w:pStyle w:val="7"/>
        <w:spacing w:before="4"/>
        <w:ind w:left="1020"/>
        <w:rPr>
          <w:rFonts w:ascii="Times New Roman" w:hAnsi="Times New Roman" w:eastAsia="Times New Roman"/>
        </w:rPr>
      </w:pPr>
      <w:r>
        <w:t>墙体砌筑按照抄平、放线</w:t>
      </w:r>
      <w:r>
        <w:rPr>
          <w:rFonts w:ascii="Times New Roman" w:hAnsi="Times New Roman" w:eastAsia="Times New Roman"/>
        </w:rPr>
        <w:t>→</w:t>
      </w:r>
      <w:r>
        <w:t>立皮数杆</w:t>
      </w:r>
      <w:r>
        <w:rPr>
          <w:rFonts w:ascii="Times New Roman" w:hAnsi="Times New Roman" w:eastAsia="Times New Roman"/>
        </w:rPr>
        <w:t>→</w:t>
      </w:r>
      <w:r>
        <w:t>排砖撂底</w:t>
      </w:r>
      <w:r>
        <w:rPr>
          <w:rFonts w:ascii="Times New Roman" w:hAnsi="Times New Roman" w:eastAsia="Times New Roman"/>
        </w:rPr>
        <w:t>→</w:t>
      </w:r>
      <w:r>
        <w:t>盘角、挂线</w:t>
      </w:r>
      <w:r>
        <w:rPr>
          <w:rFonts w:ascii="Times New Roman" w:hAnsi="Times New Roman" w:eastAsia="Times New Roman"/>
        </w:rPr>
        <w:t>→</w:t>
      </w:r>
      <w:r>
        <w:t>铺灰砌砖</w:t>
      </w:r>
      <w:r>
        <w:rPr>
          <w:rFonts w:ascii="Times New Roman" w:hAnsi="Times New Roman" w:eastAsia="Times New Roman"/>
        </w:rPr>
        <w:t>→</w:t>
      </w:r>
    </w:p>
    <w:p>
      <w:pPr>
        <w:pStyle w:val="7"/>
        <w:spacing w:before="143"/>
      </w:pPr>
      <w:r>
        <w:t>修缝、清理顺序进行。</w:t>
      </w:r>
    </w:p>
    <w:p>
      <w:pPr>
        <w:pStyle w:val="7"/>
        <w:spacing w:before="160" w:line="364" w:lineRule="auto"/>
        <w:ind w:right="581" w:firstLine="480"/>
      </w:pPr>
      <w:r>
        <w:t>装修工程按照基层处理</w:t>
      </w:r>
      <w:r>
        <w:rPr>
          <w:rFonts w:ascii="Times New Roman" w:hAnsi="Times New Roman" w:eastAsia="Times New Roman"/>
        </w:rPr>
        <w:t>→</w:t>
      </w:r>
      <w:r>
        <w:t>湿润墙面</w:t>
      </w:r>
      <w:r>
        <w:rPr>
          <w:rFonts w:ascii="Times New Roman" w:hAnsi="Times New Roman" w:eastAsia="Times New Roman"/>
        </w:rPr>
        <w:t>→</w:t>
      </w:r>
      <w:r>
        <w:t>打巴冲筋</w:t>
      </w:r>
      <w:r>
        <w:rPr>
          <w:rFonts w:ascii="Times New Roman" w:hAnsi="Times New Roman" w:eastAsia="Times New Roman"/>
        </w:rPr>
        <w:t>→</w:t>
      </w:r>
      <w:r>
        <w:t>抹底层砂浆</w:t>
      </w:r>
      <w:r>
        <w:rPr>
          <w:rFonts w:ascii="Times New Roman" w:hAnsi="Times New Roman" w:eastAsia="Times New Roman"/>
        </w:rPr>
        <w:t>→</w:t>
      </w:r>
      <w:r>
        <w:t>抹中层灰</w:t>
      </w:r>
      <w:r>
        <w:rPr>
          <w:rFonts w:ascii="Times New Roman" w:hAnsi="Times New Roman" w:eastAsia="Times New Roman"/>
        </w:rPr>
        <w:t>→</w:t>
      </w:r>
      <w:r>
        <w:t>抹面层砂浆</w:t>
      </w:r>
      <w:r>
        <w:rPr>
          <w:rFonts w:ascii="Times New Roman" w:hAnsi="Times New Roman" w:eastAsia="Times New Roman"/>
        </w:rPr>
        <w:t>→</w:t>
      </w:r>
      <w:r>
        <w:t>质量自检进行。</w:t>
      </w:r>
    </w:p>
    <w:p>
      <w:pPr>
        <w:pStyle w:val="7"/>
        <w:spacing w:before="1"/>
        <w:ind w:left="1020"/>
      </w:pPr>
      <w:r>
        <w:t>基层处理：清除墙面的灰尘、污垢、砂浆块等附着物，要撒水浸湿。</w:t>
      </w:r>
    </w:p>
    <w:p>
      <w:pPr>
        <w:pStyle w:val="7"/>
        <w:spacing w:before="161" w:line="364" w:lineRule="auto"/>
        <w:ind w:right="457" w:firstLine="480"/>
      </w:pPr>
      <w:r>
        <w:rPr>
          <w:spacing w:val="-16"/>
        </w:rPr>
        <w:t>套方、吊直、做灰饼：抹底层灰前必须先找好规矩，即四角规方，横线找平，</w:t>
      </w:r>
      <w:r>
        <w:rPr>
          <w:spacing w:val="-9"/>
        </w:rPr>
        <w:t>立线吊直，弹出基准线、踢脚线板。可先用靠尺检查墙面平整、垂直程度，并在</w:t>
      </w:r>
      <w:r>
        <w:rPr>
          <w:spacing w:val="-11"/>
        </w:rPr>
        <w:t>控制阳角方正过曲的情况下大致确定抹灰厚度后进行挂线“打巴”</w:t>
      </w:r>
      <w:r>
        <w:rPr>
          <w:spacing w:val="-32"/>
        </w:rPr>
        <w:t>（</w:t>
      </w:r>
      <w:r>
        <w:t>打巴的厚度应不包括面层）。</w:t>
      </w:r>
    </w:p>
    <w:p>
      <w:pPr>
        <w:pStyle w:val="7"/>
        <w:spacing w:before="2" w:line="364" w:lineRule="auto"/>
        <w:ind w:right="577" w:firstLine="480"/>
        <w:jc w:val="both"/>
      </w:pPr>
      <w:r>
        <w:rPr>
          <w:spacing w:val="-10"/>
        </w:rPr>
        <w:t>墙面冲筋：待砂浆灰饼结硬后，使用与抹灰层相同的砂浆，在上下砂浆墩之间做砂浆带，以上下砂浆灰饼为准用压尺推平，冲筋完成后应待其稍干后才能进</w:t>
      </w:r>
      <w:r>
        <w:t>行墙面底层抹灰作业。</w:t>
      </w:r>
    </w:p>
    <w:p>
      <w:pPr>
        <w:pStyle w:val="7"/>
        <w:spacing w:before="2" w:line="364" w:lineRule="auto"/>
        <w:ind w:right="577" w:firstLine="480"/>
        <w:jc w:val="right"/>
      </w:pPr>
      <w:r>
        <w:rPr>
          <w:spacing w:val="-10"/>
        </w:rPr>
        <w:t>做护角：根据砂浆灰饼和门框边离墙面的空隙，用方尺规方后，分别在阳角</w:t>
      </w:r>
      <w:r>
        <w:rPr>
          <w:spacing w:val="-7"/>
        </w:rPr>
        <w:t>两边吊直和固定好靠尺，抹出水泥砂浆护角，并用阳角抹子推出小圆角，最后利</w:t>
      </w:r>
      <w:r>
        <w:rPr>
          <w:spacing w:val="-6"/>
        </w:rPr>
        <w:t>用靠尺板，在阳角两边</w:t>
      </w:r>
      <w:r>
        <w:rPr>
          <w:rFonts w:ascii="Times New Roman" w:eastAsia="Times New Roman"/>
        </w:rPr>
        <w:t>50mm</w:t>
      </w:r>
      <w:r>
        <w:rPr>
          <w:spacing w:val="-9"/>
        </w:rPr>
        <w:t>以外位置，以</w:t>
      </w:r>
      <w:r>
        <w:rPr>
          <w:rFonts w:ascii="Times New Roman" w:eastAsia="Times New Roman"/>
        </w:rPr>
        <w:t>40</w:t>
      </w:r>
      <w:r>
        <w:t>度斜角将多余砂浆切除、清挣。</w:t>
      </w:r>
    </w:p>
    <w:p>
      <w:pPr>
        <w:pStyle w:val="7"/>
        <w:spacing w:before="2" w:line="364" w:lineRule="auto"/>
        <w:ind w:right="577" w:firstLine="480"/>
        <w:jc w:val="right"/>
      </w:pPr>
      <w:r>
        <w:rPr>
          <w:spacing w:val="-7"/>
        </w:rPr>
        <w:t>抹底层灰和中层灰：在墙体湿润的情况下抹底层灰。待底层灰稍干后，再抹</w:t>
      </w:r>
    </w:p>
    <w:p>
      <w:pPr>
        <w:pStyle w:val="7"/>
        <w:spacing w:before="3" w:line="364" w:lineRule="auto"/>
        <w:ind w:right="485"/>
      </w:pPr>
      <w:r>
        <w:rPr>
          <w:spacing w:val="-1"/>
        </w:rPr>
        <w:t>中层灰。然后以冲筋为准，用压尺刮平，中层灰抹完后，应全面检查其垂直度，</w:t>
      </w:r>
      <w:r>
        <w:rPr>
          <w:spacing w:val="-11"/>
        </w:rPr>
        <w:t>平整度、阴阳角是否方正、顺直，对于后做踢脚线的上口及管道背后位置等应及时清理干净。</w:t>
      </w:r>
    </w:p>
    <w:p>
      <w:pPr>
        <w:pStyle w:val="17"/>
        <w:numPr>
          <w:ilvl w:val="3"/>
          <w:numId w:val="28"/>
        </w:numPr>
        <w:tabs>
          <w:tab w:val="left" w:pos="1440"/>
        </w:tabs>
        <w:spacing w:before="11" w:after="0" w:line="240" w:lineRule="auto"/>
        <w:ind w:left="1440" w:right="0" w:hanging="900"/>
        <w:jc w:val="left"/>
        <w:rPr>
          <w:sz w:val="24"/>
        </w:rPr>
      </w:pPr>
      <w:bookmarkStart w:id="163" w:name="3.1.12.4 劳动力分配"/>
      <w:bookmarkEnd w:id="163"/>
      <w:bookmarkStart w:id="164" w:name="3.1.12.4 劳动力分配"/>
      <w:bookmarkEnd w:id="164"/>
      <w:r>
        <w:rPr>
          <w:sz w:val="24"/>
        </w:rPr>
        <w:t>劳动力分配</w:t>
      </w:r>
    </w:p>
    <w:p>
      <w:pPr>
        <w:pStyle w:val="7"/>
        <w:spacing w:before="168" w:line="364" w:lineRule="auto"/>
        <w:ind w:right="485" w:firstLine="480"/>
      </w:pPr>
      <w:r>
        <w:rPr>
          <w:spacing w:val="-6"/>
        </w:rPr>
        <w:t>施工中根据工程需要配置木工</w:t>
      </w:r>
      <w:r>
        <w:t>（</w:t>
      </w:r>
      <w:r>
        <w:rPr>
          <w:spacing w:val="-8"/>
        </w:rPr>
        <w:t>模板制作安装、屋架制作安装</w:t>
      </w:r>
      <w:r>
        <w:rPr>
          <w:spacing w:val="-70"/>
        </w:rPr>
        <w:t>）</w:t>
      </w:r>
      <w:r>
        <w:rPr>
          <w:spacing w:val="-32"/>
        </w:rPr>
        <w:t>、钢筋工</w:t>
      </w:r>
      <w:r>
        <w:t>（钢筋制作、安装、绑扎等）、架工（脚手架搭设、拆除）、泥工（</w:t>
      </w:r>
      <w:r>
        <w:rPr>
          <w:spacing w:val="-3"/>
        </w:rPr>
        <w:t>砼浇筑、砌砖、</w:t>
      </w:r>
      <w:r>
        <w:t>抹灰</w:t>
      </w:r>
      <w:r>
        <w:rPr>
          <w:spacing w:val="-10"/>
        </w:rPr>
        <w:t>）</w:t>
      </w:r>
      <w:r>
        <w:rPr>
          <w:spacing w:val="-6"/>
        </w:rPr>
        <w:t>、普工</w:t>
      </w:r>
      <w:r>
        <w:t>（</w:t>
      </w:r>
      <w:r>
        <w:rPr>
          <w:spacing w:val="-7"/>
        </w:rPr>
        <w:t>挖土，材料、砼、砂浆运输，养护，淋砖等</w:t>
      </w:r>
      <w:r>
        <w:rPr>
          <w:spacing w:val="-8"/>
        </w:rPr>
        <w:t>）</w:t>
      </w:r>
      <w:r>
        <w:rPr>
          <w:spacing w:val="-5"/>
        </w:rPr>
        <w:t>、水电工</w:t>
      </w:r>
      <w:r>
        <w:rPr>
          <w:spacing w:val="-3"/>
        </w:rPr>
        <w:t>（</w:t>
      </w:r>
      <w:r>
        <w:t>临时用</w:t>
      </w:r>
      <w:r>
        <w:rPr>
          <w:spacing w:val="-6"/>
        </w:rPr>
        <w:t>水用电、管道预埋、水电安装</w:t>
      </w:r>
      <w:r>
        <w:rPr>
          <w:spacing w:val="-17"/>
        </w:rPr>
        <w:t>）</w:t>
      </w:r>
      <w:r>
        <w:rPr>
          <w:spacing w:val="-7"/>
        </w:rPr>
        <w:t>等。每个工种按数量组成班组，每个班组由一名具有协调能力、技术能力及经验丰富的工人担任组长。</w:t>
      </w:r>
    </w:p>
    <w:p>
      <w:pPr>
        <w:pStyle w:val="4"/>
        <w:numPr>
          <w:ilvl w:val="1"/>
          <w:numId w:val="29"/>
        </w:numPr>
        <w:tabs>
          <w:tab w:val="left" w:pos="1100"/>
        </w:tabs>
        <w:spacing w:before="153" w:after="0" w:line="240" w:lineRule="auto"/>
        <w:ind w:left="1099" w:right="0" w:hanging="560"/>
        <w:jc w:val="left"/>
        <w:outlineLvl w:val="1"/>
      </w:pPr>
      <w:bookmarkStart w:id="165" w:name="_bookmark18"/>
      <w:bookmarkEnd w:id="165"/>
      <w:bookmarkStart w:id="166" w:name="3.2 工程分析"/>
      <w:bookmarkEnd w:id="166"/>
      <w:bookmarkStart w:id="167" w:name="_Toc23621"/>
      <w:r>
        <w:t>工程分析</w:t>
      </w:r>
      <w:bookmarkEnd w:id="167"/>
    </w:p>
    <w:p>
      <w:pPr>
        <w:pStyle w:val="7"/>
        <w:spacing w:before="6"/>
        <w:ind w:left="0"/>
        <w:rPr>
          <w:b/>
          <w:sz w:val="28"/>
        </w:rPr>
      </w:pPr>
    </w:p>
    <w:p>
      <w:pPr>
        <w:pStyle w:val="5"/>
        <w:numPr>
          <w:ilvl w:val="2"/>
          <w:numId w:val="29"/>
        </w:numPr>
        <w:tabs>
          <w:tab w:val="left" w:pos="1241"/>
        </w:tabs>
        <w:spacing w:before="0" w:after="0" w:line="240" w:lineRule="auto"/>
        <w:ind w:left="1240" w:right="0" w:hanging="701"/>
        <w:jc w:val="left"/>
        <w:outlineLvl w:val="2"/>
      </w:pPr>
      <w:bookmarkStart w:id="168" w:name="3.2.1 施工期工程分析"/>
      <w:bookmarkEnd w:id="168"/>
      <w:bookmarkStart w:id="169" w:name="3.2.1 施工期工程分析"/>
      <w:bookmarkEnd w:id="169"/>
      <w:bookmarkStart w:id="170" w:name="_Toc20510"/>
      <w:r>
        <w:t>施工期工程分析</w:t>
      </w:r>
      <w:bookmarkEnd w:id="170"/>
    </w:p>
    <w:p>
      <w:pPr>
        <w:pStyle w:val="7"/>
        <w:spacing w:line="364" w:lineRule="auto"/>
        <w:ind w:right="575" w:firstLine="480"/>
        <w:jc w:val="right"/>
      </w:pPr>
      <w:r>
        <w:rPr>
          <w:spacing w:val="-8"/>
        </w:rPr>
        <w:t>本项目施工期建设主要包括羊舍、饲料库房、青储窖、堆肥厂及相关配套设</w:t>
      </w:r>
      <w:r>
        <w:rPr>
          <w:spacing w:val="-12"/>
        </w:rPr>
        <w:t>等备。施工过程分为土方阶段</w:t>
      </w:r>
      <w:r>
        <w:rPr>
          <w:spacing w:val="-3"/>
        </w:rPr>
        <w:t>（</w:t>
      </w:r>
      <w:r>
        <w:rPr>
          <w:spacing w:val="-7"/>
        </w:rPr>
        <w:t>包括场地平整、开挖土石方</w:t>
      </w:r>
      <w:r>
        <w:rPr>
          <w:spacing w:val="-58"/>
        </w:rPr>
        <w:t>）</w:t>
      </w:r>
      <w:r>
        <w:rPr>
          <w:spacing w:val="-16"/>
        </w:rPr>
        <w:t>、基础施工阶段</w:t>
      </w:r>
      <w:r>
        <w:t>（</w:t>
      </w:r>
      <w:r>
        <w:rPr>
          <w:spacing w:val="-14"/>
        </w:rPr>
        <w:t>包</w:t>
      </w:r>
      <w:r>
        <w:rPr>
          <w:spacing w:val="-6"/>
        </w:rPr>
        <w:t>括打桩，构筑基础等</w:t>
      </w:r>
      <w:r>
        <w:rPr>
          <w:spacing w:val="-36"/>
        </w:rPr>
        <w:t>）</w:t>
      </w:r>
      <w:r>
        <w:rPr>
          <w:spacing w:val="-11"/>
        </w:rPr>
        <w:t>、主体工程阶段</w:t>
      </w:r>
      <w:r>
        <w:t>（</w:t>
      </w:r>
      <w:r>
        <w:rPr>
          <w:spacing w:val="-9"/>
        </w:rPr>
        <w:t>包括钢筋、砖混结构施工、管线施工等</w:t>
      </w:r>
      <w:r>
        <w:rPr>
          <w:spacing w:val="-17"/>
        </w:rPr>
        <w:t>）</w:t>
      </w:r>
      <w:r>
        <w:t>及装修阶段、场地清理（包括回填土石方、修路、清理场地等）。</w:t>
      </w:r>
    </w:p>
    <w:p>
      <w:pPr>
        <w:pStyle w:val="7"/>
        <w:spacing w:before="1"/>
        <w:ind w:left="1020"/>
      </w:pPr>
      <w:r>
        <w:t>本项目施工期工艺流程及产污节点间图</w:t>
      </w:r>
      <w:r>
        <w:rPr>
          <w:rFonts w:ascii="Times New Roman" w:eastAsia="Times New Roman"/>
        </w:rPr>
        <w:t>3.2-1</w:t>
      </w:r>
      <w:r>
        <w:t>。</w:t>
      </w:r>
    </w:p>
    <w:p>
      <w:pPr>
        <w:pStyle w:val="7"/>
        <w:spacing w:before="5"/>
        <w:ind w:left="0"/>
        <w:rPr>
          <w:sz w:val="15"/>
        </w:rPr>
      </w:pPr>
    </w:p>
    <w:p>
      <w:pPr>
        <w:spacing w:after="0"/>
        <w:rPr>
          <w:sz w:val="15"/>
        </w:rPr>
        <w:sectPr>
          <w:footerReference r:id="rId13"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0"/>
        <w:ind w:left="0"/>
        <w:rPr>
          <w:sz w:val="29"/>
        </w:rPr>
      </w:pPr>
    </w:p>
    <w:p>
      <w:pPr>
        <w:spacing w:before="1" w:line="231" w:lineRule="exact"/>
        <w:ind w:left="0" w:right="70" w:firstLine="0"/>
        <w:jc w:val="right"/>
        <w:rPr>
          <w:sz w:val="21"/>
        </w:rPr>
      </w:pPr>
      <w:r>
        <w:rPr>
          <w:w w:val="95"/>
          <w:sz w:val="21"/>
        </w:rPr>
        <w:t>土石方</w:t>
      </w:r>
    </w:p>
    <w:p>
      <w:pPr>
        <w:tabs>
          <w:tab w:val="left" w:pos="1819"/>
        </w:tabs>
        <w:spacing w:before="0" w:line="312" w:lineRule="exact"/>
        <w:ind w:left="669" w:right="0" w:firstLine="0"/>
        <w:jc w:val="left"/>
        <w:rPr>
          <w:sz w:val="21"/>
        </w:rPr>
      </w:pPr>
      <w:r>
        <w:rPr>
          <w:position w:val="12"/>
          <w:sz w:val="21"/>
        </w:rPr>
        <w:t>场地</w:t>
      </w:r>
      <w:r>
        <w:rPr>
          <w:position w:val="12"/>
          <w:sz w:val="21"/>
        </w:rPr>
        <w:tab/>
      </w:r>
      <w:r>
        <w:rPr>
          <w:sz w:val="21"/>
        </w:rPr>
        <w:t>开挖</w:t>
      </w:r>
      <w:r>
        <w:rPr>
          <w:spacing w:val="-68"/>
          <w:sz w:val="21"/>
        </w:rPr>
        <w:t>、</w:t>
      </w:r>
      <w:r>
        <w:rPr>
          <w:spacing w:val="-19"/>
          <w:sz w:val="21"/>
        </w:rPr>
        <w:t>打</w:t>
      </w:r>
    </w:p>
    <w:p>
      <w:pPr>
        <w:tabs>
          <w:tab w:val="left" w:pos="1819"/>
        </w:tabs>
        <w:spacing w:before="41" w:line="312" w:lineRule="exact"/>
        <w:ind w:left="1994" w:right="0" w:hanging="1325"/>
        <w:jc w:val="left"/>
        <w:rPr>
          <w:sz w:val="21"/>
        </w:rPr>
      </w:pPr>
      <w:r>
        <w:rPr>
          <w:position w:val="12"/>
          <w:sz w:val="21"/>
        </w:rPr>
        <w:t>平整</w:t>
      </w:r>
      <w:r>
        <w:rPr>
          <w:position w:val="12"/>
          <w:sz w:val="21"/>
        </w:rPr>
        <w:tab/>
      </w:r>
      <w:r>
        <w:rPr>
          <w:sz w:val="21"/>
        </w:rPr>
        <w:t>桩</w:t>
      </w:r>
      <w:r>
        <w:rPr>
          <w:spacing w:val="-68"/>
          <w:sz w:val="21"/>
        </w:rPr>
        <w:t>、</w:t>
      </w:r>
      <w:r>
        <w:rPr>
          <w:sz w:val="21"/>
        </w:rPr>
        <w:t>构</w:t>
      </w:r>
      <w:r>
        <w:rPr>
          <w:spacing w:val="-19"/>
          <w:sz w:val="21"/>
        </w:rPr>
        <w:t>筑</w:t>
      </w:r>
      <w:r>
        <w:rPr>
          <w:sz w:val="21"/>
        </w:rPr>
        <w:t>基础</w:t>
      </w:r>
    </w:p>
    <w:p>
      <w:pPr>
        <w:pStyle w:val="7"/>
        <w:spacing w:before="11"/>
        <w:ind w:left="0"/>
        <w:rPr>
          <w:sz w:val="28"/>
        </w:rPr>
      </w:pPr>
      <w:r>
        <w:br w:type="column"/>
      </w:r>
    </w:p>
    <w:p>
      <w:pPr>
        <w:pStyle w:val="7"/>
        <w:bidi w:val="0"/>
        <w:rPr>
          <w:sz w:val="21"/>
        </w:rPr>
      </w:pPr>
      <w:bookmarkStart w:id="171" w:name="_Toc10196"/>
      <w:r>
        <w:rPr>
          <w:sz w:val="21"/>
        </w:rPr>
        <w:t>主体工</w:t>
      </w:r>
      <w:r>
        <w:rPr>
          <w:spacing w:val="-5"/>
          <w:sz w:val="21"/>
        </w:rPr>
        <w:t>程钢筋、</w:t>
      </w:r>
      <w:r>
        <w:rPr>
          <w:sz w:val="21"/>
        </w:rPr>
        <w:t>砖混结构施工</w:t>
      </w:r>
      <w:bookmarkEnd w:id="171"/>
    </w:p>
    <w:p>
      <w:pPr>
        <w:pStyle w:val="7"/>
        <w:ind w:left="0"/>
        <w:rPr>
          <w:sz w:val="20"/>
        </w:rPr>
      </w:pPr>
      <w:r>
        <w:br w:type="column"/>
      </w:r>
    </w:p>
    <w:p>
      <w:pPr>
        <w:pStyle w:val="7"/>
        <w:spacing w:before="2"/>
        <w:ind w:left="0"/>
        <w:rPr>
          <w:sz w:val="25"/>
        </w:rPr>
      </w:pPr>
    </w:p>
    <w:p>
      <w:pPr>
        <w:spacing w:before="0" w:line="278" w:lineRule="auto"/>
        <w:ind w:left="562" w:right="38" w:firstLine="0"/>
        <w:jc w:val="left"/>
        <w:rPr>
          <w:sz w:val="21"/>
        </w:rPr>
      </w:pPr>
      <w:r>
        <w:rPr>
          <w:sz w:val="21"/>
        </w:rPr>
        <w:t>配套设施建设</w:t>
      </w:r>
    </w:p>
    <w:p>
      <w:pPr>
        <w:pStyle w:val="7"/>
        <w:ind w:left="0"/>
        <w:rPr>
          <w:sz w:val="20"/>
        </w:rPr>
      </w:pPr>
      <w:r>
        <w:br w:type="column"/>
      </w:r>
    </w:p>
    <w:p>
      <w:pPr>
        <w:pStyle w:val="7"/>
        <w:spacing w:before="8"/>
        <w:ind w:left="0"/>
        <w:rPr>
          <w:sz w:val="21"/>
        </w:rPr>
      </w:pPr>
    </w:p>
    <w:p>
      <w:pPr>
        <w:spacing w:before="0" w:line="278" w:lineRule="auto"/>
        <w:ind w:left="775" w:right="38" w:hanging="106"/>
        <w:jc w:val="left"/>
        <w:rPr>
          <w:sz w:val="21"/>
        </w:rPr>
      </w:pPr>
      <w:r>
        <w:rPr>
          <w:sz w:val="21"/>
        </w:rPr>
        <w:t>土石方回填</w:t>
      </w:r>
    </w:p>
    <w:p>
      <w:pPr>
        <w:spacing w:before="70"/>
        <w:ind w:left="669" w:right="0" w:firstLine="0"/>
        <w:jc w:val="left"/>
        <w:rPr>
          <w:sz w:val="21"/>
        </w:rPr>
      </w:pPr>
      <w:r>
        <w:br w:type="column"/>
      </w:r>
      <w:r>
        <w:rPr>
          <w:sz w:val="21"/>
        </w:rPr>
        <w:t>装修</w:t>
      </w:r>
    </w:p>
    <w:p>
      <w:pPr>
        <w:spacing w:before="125" w:line="278" w:lineRule="auto"/>
        <w:ind w:left="1166" w:right="102" w:firstLine="0"/>
        <w:jc w:val="left"/>
        <w:rPr>
          <w:sz w:val="21"/>
        </w:rPr>
      </w:pPr>
      <w:r>
        <w:drawing>
          <wp:anchor distT="0" distB="0" distL="0" distR="0" simplePos="0" relativeHeight="232311808" behindDoc="1" locked="0" layoutInCell="1" allowOverlap="1">
            <wp:simplePos x="0" y="0"/>
            <wp:positionH relativeFrom="page">
              <wp:posOffset>1080135</wp:posOffset>
            </wp:positionH>
            <wp:positionV relativeFrom="paragraph">
              <wp:posOffset>-242570</wp:posOffset>
            </wp:positionV>
            <wp:extent cx="5431790" cy="1443990"/>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pic:cNvPicPr>
                      <a:picLocks noChangeAspect="1"/>
                    </pic:cNvPicPr>
                  </pic:nvPicPr>
                  <pic:blipFill>
                    <a:blip r:embed="rId38" cstate="print"/>
                    <a:stretch>
                      <a:fillRect/>
                    </a:stretch>
                  </pic:blipFill>
                  <pic:spPr>
                    <a:xfrm>
                      <a:off x="0" y="0"/>
                      <a:ext cx="5431789" cy="1444091"/>
                    </a:xfrm>
                    <a:prstGeom prst="rect">
                      <a:avLst/>
                    </a:prstGeom>
                  </pic:spPr>
                </pic:pic>
              </a:graphicData>
            </a:graphic>
          </wp:anchor>
        </w:drawing>
      </w:r>
      <w:r>
        <w:rPr>
          <w:sz w:val="21"/>
        </w:rPr>
        <w:t>噪声、固废、废气</w:t>
      </w:r>
    </w:p>
    <w:p>
      <w:pPr>
        <w:spacing w:after="0" w:line="278" w:lineRule="auto"/>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5">
            <w:col w:w="2590" w:space="40"/>
            <w:col w:w="1477" w:space="39"/>
            <w:col w:w="1232" w:space="42"/>
            <w:col w:w="1339" w:space="558"/>
            <w:col w:w="2113"/>
          </w:cols>
        </w:sectPr>
      </w:pPr>
    </w:p>
    <w:p>
      <w:pPr>
        <w:spacing w:before="0" w:line="224" w:lineRule="exact"/>
        <w:ind w:left="115" w:right="0" w:firstLine="0"/>
        <w:jc w:val="left"/>
        <w:rPr>
          <w:sz w:val="21"/>
        </w:rPr>
      </w:pPr>
      <w:r>
        <w:rPr>
          <w:spacing w:val="-20"/>
          <w:w w:val="95"/>
          <w:sz w:val="21"/>
        </w:rPr>
        <w:t>扬尘、噪</w:t>
      </w:r>
    </w:p>
    <w:p>
      <w:pPr>
        <w:spacing w:before="43" w:line="232" w:lineRule="exact"/>
        <w:ind w:left="115" w:right="0" w:firstLine="0"/>
        <w:jc w:val="left"/>
        <w:rPr>
          <w:sz w:val="21"/>
        </w:rPr>
      </w:pPr>
      <w:r>
        <w:rPr>
          <w:spacing w:val="-21"/>
          <w:w w:val="95"/>
          <w:sz w:val="21"/>
        </w:rPr>
        <w:t>声、燃油</w:t>
      </w:r>
    </w:p>
    <w:p>
      <w:pPr>
        <w:tabs>
          <w:tab w:val="left" w:pos="1324"/>
        </w:tabs>
        <w:spacing w:before="0" w:line="187" w:lineRule="auto"/>
        <w:ind w:left="285" w:right="0" w:firstLine="0"/>
        <w:jc w:val="left"/>
        <w:rPr>
          <w:sz w:val="21"/>
        </w:rPr>
      </w:pPr>
      <w:r>
        <w:rPr>
          <w:position w:val="-11"/>
          <w:sz w:val="21"/>
        </w:rPr>
        <w:t>废气</w:t>
      </w:r>
      <w:r>
        <w:rPr>
          <w:position w:val="-11"/>
          <w:sz w:val="21"/>
        </w:rPr>
        <w:tab/>
      </w:r>
      <w:r>
        <w:rPr>
          <w:sz w:val="21"/>
        </w:rPr>
        <w:t>扬尘、噪</w:t>
      </w:r>
    </w:p>
    <w:p>
      <w:pPr>
        <w:spacing w:before="0" w:line="231" w:lineRule="exact"/>
        <w:ind w:left="1288" w:right="0" w:firstLine="0"/>
        <w:jc w:val="left"/>
        <w:rPr>
          <w:sz w:val="21"/>
        </w:rPr>
      </w:pPr>
      <w:r>
        <w:rPr>
          <w:sz w:val="21"/>
        </w:rPr>
        <w:t>声、固废、</w:t>
      </w:r>
    </w:p>
    <w:p>
      <w:pPr>
        <w:spacing w:before="25"/>
        <w:ind w:left="1324" w:right="0" w:firstLine="0"/>
        <w:jc w:val="left"/>
        <w:rPr>
          <w:sz w:val="21"/>
        </w:rPr>
      </w:pPr>
      <w:r>
        <w:rPr>
          <w:sz w:val="21"/>
        </w:rPr>
        <w:t>燃油废气</w:t>
      </w:r>
    </w:p>
    <w:p>
      <w:pPr>
        <w:pStyle w:val="7"/>
        <w:ind w:left="0"/>
        <w:rPr>
          <w:sz w:val="20"/>
        </w:rPr>
      </w:pPr>
      <w:r>
        <w:br w:type="column"/>
      </w:r>
    </w:p>
    <w:p>
      <w:pPr>
        <w:pStyle w:val="7"/>
        <w:spacing w:before="9"/>
        <w:ind w:left="0"/>
        <w:rPr>
          <w:sz w:val="28"/>
        </w:rPr>
      </w:pPr>
    </w:p>
    <w:p>
      <w:pPr>
        <w:pStyle w:val="7"/>
        <w:bidi w:val="0"/>
        <w:rPr>
          <w:sz w:val="21"/>
        </w:rPr>
      </w:pPr>
      <w:bookmarkStart w:id="172" w:name="_Toc4451"/>
      <w:r>
        <w:rPr>
          <w:sz w:val="21"/>
        </w:rPr>
        <w:t>扬尘、噪</w:t>
      </w:r>
      <w:r>
        <w:rPr>
          <w:spacing w:val="-4"/>
          <w:sz w:val="21"/>
        </w:rPr>
        <w:t>声、固废、</w:t>
      </w:r>
      <w:r>
        <w:rPr>
          <w:sz w:val="21"/>
        </w:rPr>
        <w:t>燃油废气</w:t>
      </w:r>
      <w:bookmarkEnd w:id="172"/>
    </w:p>
    <w:p>
      <w:pPr>
        <w:pStyle w:val="7"/>
        <w:ind w:left="0"/>
        <w:rPr>
          <w:sz w:val="20"/>
        </w:rPr>
      </w:pPr>
      <w:r>
        <w:br w:type="column"/>
      </w:r>
    </w:p>
    <w:p>
      <w:pPr>
        <w:pStyle w:val="7"/>
        <w:spacing w:before="6"/>
        <w:ind w:left="0"/>
        <w:rPr>
          <w:sz w:val="17"/>
        </w:rPr>
      </w:pPr>
    </w:p>
    <w:p>
      <w:pPr>
        <w:pStyle w:val="7"/>
        <w:bidi w:val="0"/>
        <w:rPr>
          <w:sz w:val="21"/>
        </w:rPr>
      </w:pPr>
      <w:bookmarkStart w:id="173" w:name="_Toc9044"/>
      <w:r>
        <w:rPr>
          <w:sz w:val="21"/>
        </w:rPr>
        <w:t>扬尘、噪</w:t>
      </w:r>
      <w:r>
        <w:rPr>
          <w:spacing w:val="-4"/>
          <w:sz w:val="21"/>
        </w:rPr>
        <w:t>声、固废、</w:t>
      </w:r>
      <w:r>
        <w:rPr>
          <w:sz w:val="21"/>
        </w:rPr>
        <w:t>燃油废气</w:t>
      </w:r>
      <w:bookmarkEnd w:id="173"/>
    </w:p>
    <w:p>
      <w:pPr>
        <w:pStyle w:val="7"/>
        <w:ind w:left="0"/>
        <w:rPr>
          <w:sz w:val="20"/>
        </w:rPr>
      </w:pPr>
      <w:r>
        <w:br w:type="column"/>
      </w:r>
    </w:p>
    <w:p>
      <w:pPr>
        <w:pStyle w:val="7"/>
        <w:spacing w:before="6"/>
        <w:ind w:left="0"/>
        <w:rPr>
          <w:sz w:val="17"/>
        </w:rPr>
      </w:pPr>
    </w:p>
    <w:p>
      <w:pPr>
        <w:pStyle w:val="7"/>
        <w:bidi w:val="0"/>
        <w:rPr>
          <w:sz w:val="21"/>
        </w:rPr>
      </w:pPr>
      <w:bookmarkStart w:id="174" w:name="_Toc24469"/>
      <w:r>
        <w:rPr>
          <w:sz w:val="21"/>
        </w:rPr>
        <w:t>扬尘、噪</w:t>
      </w:r>
      <w:r>
        <w:rPr>
          <w:spacing w:val="-4"/>
          <w:sz w:val="21"/>
        </w:rPr>
        <w:t>声、固废、</w:t>
      </w:r>
      <w:r>
        <w:rPr>
          <w:sz w:val="21"/>
        </w:rPr>
        <w:t>燃油废气</w:t>
      </w:r>
      <w:bookmarkEnd w:id="174"/>
    </w:p>
    <w:p>
      <w:pPr>
        <w:spacing w:before="0" w:line="236" w:lineRule="exact"/>
        <w:ind w:left="115" w:right="0" w:firstLine="0"/>
        <w:jc w:val="left"/>
        <w:rPr>
          <w:sz w:val="21"/>
        </w:rPr>
      </w:pPr>
      <w:r>
        <w:br w:type="column"/>
      </w:r>
      <w:r>
        <w:rPr>
          <w:sz w:val="21"/>
        </w:rPr>
        <w:t>公共绿化</w:t>
      </w:r>
    </w:p>
    <w:p>
      <w:pPr>
        <w:spacing w:after="0" w:line="236" w:lineRule="exact"/>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5">
            <w:col w:w="2347" w:space="245"/>
            <w:col w:w="1205" w:space="600"/>
            <w:col w:w="1205" w:space="250"/>
            <w:col w:w="1205" w:space="808"/>
            <w:col w:w="1565"/>
          </w:cols>
        </w:sectPr>
      </w:pPr>
    </w:p>
    <w:p>
      <w:pPr>
        <w:pStyle w:val="7"/>
        <w:bidi w:val="0"/>
        <w:jc w:val="center"/>
      </w:pPr>
      <w:r>
        <w:t>图</w:t>
      </w:r>
      <w:r>
        <w:rPr>
          <w:rFonts w:ascii="Times New Roman" w:eastAsia="Times New Roman"/>
        </w:rPr>
        <w:t>3.2-1</w:t>
      </w:r>
      <w:r>
        <w:rPr>
          <w:rFonts w:ascii="Times New Roman" w:eastAsia="Times New Roman"/>
        </w:rPr>
        <w:tab/>
      </w:r>
      <w:r>
        <w:t>施工期工艺流程及产污节点图</w:t>
      </w:r>
    </w:p>
    <w:p>
      <w:pPr>
        <w:pStyle w:val="7"/>
        <w:spacing w:before="5"/>
        <w:ind w:left="0"/>
        <w:rPr>
          <w:b/>
          <w:sz w:val="21"/>
        </w:rPr>
      </w:pPr>
    </w:p>
    <w:p>
      <w:pPr>
        <w:pStyle w:val="17"/>
        <w:numPr>
          <w:ilvl w:val="2"/>
          <w:numId w:val="29"/>
        </w:numPr>
        <w:tabs>
          <w:tab w:val="left" w:pos="1241"/>
        </w:tabs>
        <w:spacing w:before="0" w:after="0" w:line="240" w:lineRule="auto"/>
        <w:ind w:left="1240" w:right="0" w:hanging="701"/>
        <w:jc w:val="left"/>
        <w:outlineLvl w:val="2"/>
        <w:rPr>
          <w:b/>
          <w:sz w:val="28"/>
        </w:rPr>
      </w:pPr>
      <w:bookmarkStart w:id="175" w:name="3.2.2 施工期污染源分析"/>
      <w:bookmarkEnd w:id="175"/>
      <w:bookmarkStart w:id="176" w:name="3.2.2 施工期污染源分析"/>
      <w:bookmarkEnd w:id="176"/>
      <w:bookmarkStart w:id="177" w:name="_Toc31431"/>
      <w:r>
        <w:rPr>
          <w:b/>
          <w:sz w:val="28"/>
        </w:rPr>
        <w:t>施工期污染源分析</w:t>
      </w:r>
      <w:bookmarkEnd w:id="177"/>
    </w:p>
    <w:p>
      <w:pPr>
        <w:pStyle w:val="7"/>
        <w:spacing w:before="1"/>
        <w:ind w:left="0"/>
        <w:rPr>
          <w:b/>
          <w:sz w:val="22"/>
        </w:rPr>
      </w:pPr>
    </w:p>
    <w:p>
      <w:pPr>
        <w:pStyle w:val="17"/>
        <w:numPr>
          <w:ilvl w:val="3"/>
          <w:numId w:val="29"/>
        </w:numPr>
        <w:tabs>
          <w:tab w:val="left" w:pos="1320"/>
        </w:tabs>
        <w:spacing w:before="1" w:after="0" w:line="240" w:lineRule="auto"/>
        <w:ind w:left="1320" w:right="0" w:hanging="780"/>
        <w:jc w:val="left"/>
        <w:rPr>
          <w:sz w:val="24"/>
        </w:rPr>
      </w:pPr>
      <w:bookmarkStart w:id="178" w:name="3.2.2.1 大气污染物"/>
      <w:bookmarkEnd w:id="178"/>
      <w:bookmarkStart w:id="179" w:name="3.2.2.1 大气污染物"/>
      <w:bookmarkEnd w:id="179"/>
      <w:r>
        <w:rPr>
          <w:sz w:val="24"/>
        </w:rPr>
        <w:t>大气污染物</w:t>
      </w:r>
    </w:p>
    <w:p>
      <w:pPr>
        <w:pStyle w:val="7"/>
        <w:spacing w:before="167" w:line="364" w:lineRule="auto"/>
        <w:ind w:right="577" w:firstLine="480"/>
      </w:pPr>
      <w:r>
        <w:rPr>
          <w:spacing w:val="-5"/>
        </w:rPr>
        <w:t>施工期间影响环境空气质量的主要污染物是施工扬尘、运送施工材料、设施</w:t>
      </w:r>
      <w:r>
        <w:t>的车辆，施工机械运行时排产生的废气。</w:t>
      </w:r>
    </w:p>
    <w:p>
      <w:pPr>
        <w:pStyle w:val="17"/>
        <w:numPr>
          <w:ilvl w:val="4"/>
          <w:numId w:val="29"/>
        </w:numPr>
        <w:tabs>
          <w:tab w:val="left" w:pos="1621"/>
        </w:tabs>
        <w:spacing w:before="1" w:after="0" w:line="240" w:lineRule="auto"/>
        <w:ind w:left="1621" w:right="0" w:hanging="601"/>
        <w:jc w:val="left"/>
        <w:rPr>
          <w:sz w:val="24"/>
        </w:rPr>
      </w:pPr>
      <w:r>
        <w:rPr>
          <w:sz w:val="24"/>
        </w:rPr>
        <w:t>施工扬尘</w:t>
      </w:r>
    </w:p>
    <w:p>
      <w:pPr>
        <w:pStyle w:val="7"/>
        <w:spacing w:before="161" w:line="364" w:lineRule="auto"/>
        <w:ind w:right="365" w:firstLine="480"/>
      </w:pPr>
      <w:r>
        <w:rPr>
          <w:spacing w:val="-9"/>
        </w:rPr>
        <w:t>主体工程、辅助工程、公用工程基础施工、环保工程等的土建挖取土</w:t>
      </w:r>
      <w:r>
        <w:t>（石</w:t>
      </w:r>
      <w:r>
        <w:rPr>
          <w:spacing w:val="-24"/>
        </w:rPr>
        <w:t>）</w:t>
      </w:r>
      <w:r>
        <w:rPr>
          <w:spacing w:val="-19"/>
        </w:rPr>
        <w:t>、</w:t>
      </w:r>
      <w:r>
        <w:rPr>
          <w:spacing w:val="-10"/>
        </w:rPr>
        <w:t>推土、场地平整、施工沙石材料等的装卸、运输过程中有扬尘产生，另外土石方</w:t>
      </w:r>
      <w:r>
        <w:rPr>
          <w:spacing w:val="-14"/>
        </w:rPr>
        <w:t>的临时堆放过程中也将有扬尘产生。扬尘产生的大小与施工管理、气象</w:t>
      </w:r>
      <w:r>
        <w:rPr>
          <w:spacing w:val="-3"/>
        </w:rPr>
        <w:t>（</w:t>
      </w:r>
      <w:r>
        <w:t>特别是风速）条件等密切相关，也与扬尘本身沉降速度有关。</w:t>
      </w:r>
    </w:p>
    <w:p>
      <w:pPr>
        <w:pStyle w:val="7"/>
        <w:spacing w:before="2"/>
        <w:ind w:left="1020"/>
      </w:pPr>
      <w:r>
        <w:t>①土石方施工及堆放扬尘</w:t>
      </w:r>
    </w:p>
    <w:p>
      <w:pPr>
        <w:pStyle w:val="7"/>
        <w:spacing w:before="161" w:line="364" w:lineRule="auto"/>
        <w:ind w:right="485" w:firstLine="480"/>
      </w:pPr>
      <w:r>
        <w:rPr>
          <w:spacing w:val="-4"/>
        </w:rPr>
        <w:t>项目施工期间静态起尘主要是土石方施工及堆放过程中土方开挖、回填过程</w:t>
      </w:r>
      <w:r>
        <w:rPr>
          <w:spacing w:val="-5"/>
        </w:rPr>
        <w:t>中产生的扬尘以及临时土石方、建筑垃圾等堆放过程中因风力作用引起的扬尘，</w:t>
      </w:r>
      <w:r>
        <w:rPr>
          <w:spacing w:val="-9"/>
        </w:rPr>
        <w:t>另外，在施工时地表清理、施工后临时土石方、弃方清理后将造成地表裸露，在</w:t>
      </w:r>
      <w:r>
        <w:rPr>
          <w:spacing w:val="-13"/>
        </w:rPr>
        <w:t>风力作用下，亦可产生扬尘。由前述可知，此类扬尘产生量与气象风速、扬尘沉</w:t>
      </w:r>
      <w:r>
        <w:rPr>
          <w:spacing w:val="-16"/>
        </w:rPr>
        <w:t>降速度有关，不同粒径扬尘的沉降速度见表</w:t>
      </w:r>
      <w:r>
        <w:rPr>
          <w:rFonts w:ascii="Times New Roman" w:eastAsia="Times New Roman"/>
        </w:rPr>
        <w:t>3.2-1</w:t>
      </w:r>
      <w:r>
        <w:t>。</w:t>
      </w:r>
    </w:p>
    <w:p>
      <w:pPr>
        <w:pStyle w:val="7"/>
        <w:bidi w:val="0"/>
        <w:jc w:val="center"/>
      </w:pPr>
      <w:r>
        <w:t>表</w:t>
      </w:r>
      <w:r>
        <w:rPr>
          <w:rFonts w:ascii="Times New Roman" w:eastAsia="Times New Roman"/>
        </w:rPr>
        <w:t>3.2-1</w:t>
      </w:r>
      <w:r>
        <w:rPr>
          <w:rFonts w:ascii="Times New Roman" w:eastAsia="Times New Roman"/>
        </w:rPr>
        <w:tab/>
      </w:r>
      <w:r>
        <w:t>不同粒径扬尘沉降速度一览表</w:t>
      </w:r>
    </w:p>
    <w:tbl>
      <w:tblPr>
        <w:tblStyle w:val="14"/>
        <w:tblW w:w="0" w:type="auto"/>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9"/>
        <w:gridCol w:w="859"/>
        <w:gridCol w:w="914"/>
        <w:gridCol w:w="900"/>
        <w:gridCol w:w="941"/>
        <w:gridCol w:w="873"/>
        <w:gridCol w:w="886"/>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8"/>
              <w:spacing w:before="35"/>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8"/>
              <w:spacing w:before="48"/>
              <w:ind w:left="171" w:right="162"/>
              <w:rPr>
                <w:rFonts w:ascii="Times New Roman"/>
                <w:sz w:val="21"/>
              </w:rPr>
            </w:pPr>
            <w:r>
              <w:rPr>
                <w:rFonts w:ascii="Times New Roman"/>
                <w:sz w:val="21"/>
              </w:rPr>
              <w:t>10</w:t>
            </w:r>
          </w:p>
        </w:tc>
        <w:tc>
          <w:tcPr>
            <w:tcW w:w="914" w:type="dxa"/>
          </w:tcPr>
          <w:p>
            <w:pPr>
              <w:pStyle w:val="18"/>
              <w:spacing w:before="48"/>
              <w:ind w:left="198" w:right="190"/>
              <w:rPr>
                <w:rFonts w:ascii="Times New Roman"/>
                <w:sz w:val="21"/>
              </w:rPr>
            </w:pPr>
            <w:r>
              <w:rPr>
                <w:rFonts w:ascii="Times New Roman"/>
                <w:sz w:val="21"/>
              </w:rPr>
              <w:t>20</w:t>
            </w:r>
          </w:p>
        </w:tc>
        <w:tc>
          <w:tcPr>
            <w:tcW w:w="900" w:type="dxa"/>
          </w:tcPr>
          <w:p>
            <w:pPr>
              <w:pStyle w:val="18"/>
              <w:spacing w:before="48"/>
              <w:ind w:left="111" w:right="103"/>
              <w:rPr>
                <w:rFonts w:ascii="Times New Roman"/>
                <w:sz w:val="21"/>
              </w:rPr>
            </w:pPr>
            <w:r>
              <w:rPr>
                <w:rFonts w:ascii="Times New Roman"/>
                <w:sz w:val="21"/>
              </w:rPr>
              <w:t>30</w:t>
            </w:r>
          </w:p>
        </w:tc>
        <w:tc>
          <w:tcPr>
            <w:tcW w:w="941" w:type="dxa"/>
          </w:tcPr>
          <w:p>
            <w:pPr>
              <w:pStyle w:val="18"/>
              <w:spacing w:before="48"/>
              <w:ind w:left="90" w:right="80"/>
              <w:rPr>
                <w:rFonts w:ascii="Times New Roman"/>
                <w:sz w:val="21"/>
              </w:rPr>
            </w:pPr>
            <w:r>
              <w:rPr>
                <w:rFonts w:ascii="Times New Roman"/>
                <w:sz w:val="21"/>
              </w:rPr>
              <w:t>40</w:t>
            </w:r>
          </w:p>
        </w:tc>
        <w:tc>
          <w:tcPr>
            <w:tcW w:w="873" w:type="dxa"/>
          </w:tcPr>
          <w:p>
            <w:pPr>
              <w:pStyle w:val="18"/>
              <w:spacing w:before="48"/>
              <w:ind w:left="72" w:right="66"/>
              <w:rPr>
                <w:rFonts w:ascii="Times New Roman"/>
                <w:sz w:val="21"/>
              </w:rPr>
            </w:pPr>
            <w:r>
              <w:rPr>
                <w:rFonts w:ascii="Times New Roman"/>
                <w:sz w:val="21"/>
              </w:rPr>
              <w:t>50</w:t>
            </w:r>
          </w:p>
        </w:tc>
        <w:tc>
          <w:tcPr>
            <w:tcW w:w="886" w:type="dxa"/>
          </w:tcPr>
          <w:p>
            <w:pPr>
              <w:pStyle w:val="18"/>
              <w:spacing w:before="48"/>
              <w:ind w:left="184" w:right="176"/>
              <w:rPr>
                <w:rFonts w:ascii="Times New Roman"/>
                <w:sz w:val="21"/>
              </w:rPr>
            </w:pPr>
            <w:r>
              <w:rPr>
                <w:rFonts w:ascii="Times New Roman"/>
                <w:sz w:val="21"/>
              </w:rPr>
              <w:t>60</w:t>
            </w:r>
          </w:p>
        </w:tc>
        <w:tc>
          <w:tcPr>
            <w:tcW w:w="724" w:type="dxa"/>
          </w:tcPr>
          <w:p>
            <w:pPr>
              <w:pStyle w:val="18"/>
              <w:spacing w:before="48"/>
              <w:ind w:left="106" w:right="95"/>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249" w:type="dxa"/>
          </w:tcPr>
          <w:p>
            <w:pPr>
              <w:pStyle w:val="18"/>
              <w:spacing w:before="35"/>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8"/>
              <w:spacing w:before="49"/>
              <w:ind w:left="171" w:right="162"/>
              <w:rPr>
                <w:rFonts w:ascii="Times New Roman"/>
                <w:sz w:val="21"/>
              </w:rPr>
            </w:pPr>
            <w:r>
              <w:rPr>
                <w:rFonts w:ascii="Times New Roman"/>
                <w:sz w:val="21"/>
              </w:rPr>
              <w:t>0.003</w:t>
            </w:r>
          </w:p>
        </w:tc>
        <w:tc>
          <w:tcPr>
            <w:tcW w:w="914" w:type="dxa"/>
          </w:tcPr>
          <w:p>
            <w:pPr>
              <w:pStyle w:val="18"/>
              <w:spacing w:before="49"/>
              <w:ind w:left="200" w:right="190"/>
              <w:rPr>
                <w:rFonts w:ascii="Times New Roman"/>
                <w:sz w:val="21"/>
              </w:rPr>
            </w:pPr>
            <w:r>
              <w:rPr>
                <w:rFonts w:ascii="Times New Roman"/>
                <w:sz w:val="21"/>
              </w:rPr>
              <w:t>0.012</w:t>
            </w:r>
          </w:p>
        </w:tc>
        <w:tc>
          <w:tcPr>
            <w:tcW w:w="900" w:type="dxa"/>
          </w:tcPr>
          <w:p>
            <w:pPr>
              <w:pStyle w:val="18"/>
              <w:spacing w:before="49"/>
              <w:ind w:left="113" w:right="103"/>
              <w:rPr>
                <w:rFonts w:ascii="Times New Roman"/>
                <w:sz w:val="21"/>
              </w:rPr>
            </w:pPr>
            <w:r>
              <w:rPr>
                <w:rFonts w:ascii="Times New Roman"/>
                <w:sz w:val="21"/>
              </w:rPr>
              <w:t>0.027</w:t>
            </w:r>
          </w:p>
        </w:tc>
        <w:tc>
          <w:tcPr>
            <w:tcW w:w="941" w:type="dxa"/>
          </w:tcPr>
          <w:p>
            <w:pPr>
              <w:pStyle w:val="18"/>
              <w:spacing w:before="49"/>
              <w:ind w:left="90" w:right="80"/>
              <w:rPr>
                <w:rFonts w:ascii="Times New Roman"/>
                <w:sz w:val="21"/>
              </w:rPr>
            </w:pPr>
            <w:r>
              <w:rPr>
                <w:rFonts w:ascii="Times New Roman"/>
                <w:sz w:val="21"/>
              </w:rPr>
              <w:t>0.048</w:t>
            </w:r>
          </w:p>
        </w:tc>
        <w:tc>
          <w:tcPr>
            <w:tcW w:w="873" w:type="dxa"/>
          </w:tcPr>
          <w:p>
            <w:pPr>
              <w:pStyle w:val="18"/>
              <w:spacing w:before="49"/>
              <w:ind w:left="73" w:right="62"/>
              <w:rPr>
                <w:rFonts w:ascii="Times New Roman"/>
                <w:sz w:val="21"/>
              </w:rPr>
            </w:pPr>
            <w:r>
              <w:rPr>
                <w:rFonts w:ascii="Times New Roman"/>
                <w:sz w:val="21"/>
              </w:rPr>
              <w:t>0.075</w:t>
            </w:r>
          </w:p>
        </w:tc>
        <w:tc>
          <w:tcPr>
            <w:tcW w:w="886" w:type="dxa"/>
          </w:tcPr>
          <w:p>
            <w:pPr>
              <w:pStyle w:val="18"/>
              <w:spacing w:before="49"/>
              <w:ind w:left="187" w:right="176"/>
              <w:rPr>
                <w:rFonts w:ascii="Times New Roman"/>
                <w:sz w:val="21"/>
              </w:rPr>
            </w:pPr>
            <w:r>
              <w:rPr>
                <w:rFonts w:ascii="Times New Roman"/>
                <w:sz w:val="21"/>
              </w:rPr>
              <w:t>0.108</w:t>
            </w:r>
          </w:p>
        </w:tc>
        <w:tc>
          <w:tcPr>
            <w:tcW w:w="724" w:type="dxa"/>
          </w:tcPr>
          <w:p>
            <w:pPr>
              <w:pStyle w:val="18"/>
              <w:spacing w:before="49"/>
              <w:ind w:left="106" w:right="95"/>
              <w:rPr>
                <w:rFonts w:ascii="Times New Roman"/>
                <w:sz w:val="21"/>
              </w:rPr>
            </w:pPr>
            <w:r>
              <w:rPr>
                <w:rFonts w:ascii="Times New Roman"/>
                <w:sz w:val="21"/>
              </w:rPr>
              <w:t>0.147</w:t>
            </w:r>
          </w:p>
        </w:tc>
      </w:tr>
    </w:tbl>
    <w:p>
      <w:pPr>
        <w:pStyle w:val="7"/>
        <w:spacing w:before="11"/>
        <w:ind w:left="0"/>
        <w:rPr>
          <w:b/>
          <w:sz w:val="4"/>
        </w:rPr>
      </w:pPr>
    </w:p>
    <w:tbl>
      <w:tblPr>
        <w:tblStyle w:val="14"/>
        <w:tblW w:w="0" w:type="auto"/>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9"/>
        <w:gridCol w:w="859"/>
        <w:gridCol w:w="914"/>
        <w:gridCol w:w="900"/>
        <w:gridCol w:w="941"/>
        <w:gridCol w:w="873"/>
        <w:gridCol w:w="886"/>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8"/>
              <w:spacing w:before="35"/>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8"/>
              <w:spacing w:before="49"/>
              <w:ind w:left="171" w:right="162"/>
              <w:rPr>
                <w:rFonts w:ascii="Times New Roman"/>
                <w:sz w:val="21"/>
              </w:rPr>
            </w:pPr>
            <w:r>
              <w:rPr>
                <w:rFonts w:ascii="Times New Roman"/>
                <w:sz w:val="21"/>
              </w:rPr>
              <w:t>80</w:t>
            </w:r>
          </w:p>
        </w:tc>
        <w:tc>
          <w:tcPr>
            <w:tcW w:w="914" w:type="dxa"/>
          </w:tcPr>
          <w:p>
            <w:pPr>
              <w:pStyle w:val="18"/>
              <w:spacing w:before="49"/>
              <w:ind w:left="198" w:right="190"/>
              <w:rPr>
                <w:rFonts w:ascii="Times New Roman"/>
                <w:sz w:val="21"/>
              </w:rPr>
            </w:pPr>
            <w:r>
              <w:rPr>
                <w:rFonts w:ascii="Times New Roman"/>
                <w:sz w:val="21"/>
              </w:rPr>
              <w:t>90</w:t>
            </w:r>
          </w:p>
        </w:tc>
        <w:tc>
          <w:tcPr>
            <w:tcW w:w="900" w:type="dxa"/>
          </w:tcPr>
          <w:p>
            <w:pPr>
              <w:pStyle w:val="18"/>
              <w:spacing w:before="49"/>
              <w:ind w:left="111" w:right="103"/>
              <w:rPr>
                <w:rFonts w:ascii="Times New Roman"/>
                <w:sz w:val="21"/>
              </w:rPr>
            </w:pPr>
            <w:r>
              <w:rPr>
                <w:rFonts w:ascii="Times New Roman"/>
                <w:sz w:val="21"/>
              </w:rPr>
              <w:t>100</w:t>
            </w:r>
          </w:p>
        </w:tc>
        <w:tc>
          <w:tcPr>
            <w:tcW w:w="941" w:type="dxa"/>
          </w:tcPr>
          <w:p>
            <w:pPr>
              <w:pStyle w:val="18"/>
              <w:spacing w:before="49"/>
              <w:ind w:left="90" w:right="80"/>
              <w:rPr>
                <w:rFonts w:ascii="Times New Roman"/>
                <w:sz w:val="21"/>
              </w:rPr>
            </w:pPr>
            <w:r>
              <w:rPr>
                <w:rFonts w:ascii="Times New Roman"/>
                <w:sz w:val="21"/>
              </w:rPr>
              <w:t>150</w:t>
            </w:r>
          </w:p>
        </w:tc>
        <w:tc>
          <w:tcPr>
            <w:tcW w:w="873" w:type="dxa"/>
          </w:tcPr>
          <w:p>
            <w:pPr>
              <w:pStyle w:val="18"/>
              <w:spacing w:before="49"/>
              <w:ind w:left="73" w:right="62"/>
              <w:rPr>
                <w:rFonts w:ascii="Times New Roman"/>
                <w:sz w:val="21"/>
              </w:rPr>
            </w:pPr>
            <w:r>
              <w:rPr>
                <w:rFonts w:ascii="Times New Roman"/>
                <w:sz w:val="21"/>
              </w:rPr>
              <w:t>200</w:t>
            </w:r>
          </w:p>
        </w:tc>
        <w:tc>
          <w:tcPr>
            <w:tcW w:w="886" w:type="dxa"/>
          </w:tcPr>
          <w:p>
            <w:pPr>
              <w:pStyle w:val="18"/>
              <w:spacing w:before="49"/>
              <w:ind w:left="184" w:right="176"/>
              <w:rPr>
                <w:rFonts w:ascii="Times New Roman"/>
                <w:sz w:val="21"/>
              </w:rPr>
            </w:pPr>
            <w:r>
              <w:rPr>
                <w:rFonts w:ascii="Times New Roman"/>
                <w:sz w:val="21"/>
              </w:rPr>
              <w:t>250</w:t>
            </w:r>
          </w:p>
        </w:tc>
        <w:tc>
          <w:tcPr>
            <w:tcW w:w="724" w:type="dxa"/>
          </w:tcPr>
          <w:p>
            <w:pPr>
              <w:pStyle w:val="18"/>
              <w:spacing w:before="49"/>
              <w:ind w:left="101" w:right="95"/>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8"/>
              <w:spacing w:before="36"/>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8"/>
              <w:spacing w:before="50"/>
              <w:ind w:left="171" w:right="162"/>
              <w:rPr>
                <w:rFonts w:ascii="Times New Roman"/>
                <w:sz w:val="21"/>
              </w:rPr>
            </w:pPr>
            <w:r>
              <w:rPr>
                <w:rFonts w:ascii="Times New Roman"/>
                <w:sz w:val="21"/>
              </w:rPr>
              <w:t>0.158</w:t>
            </w:r>
          </w:p>
        </w:tc>
        <w:tc>
          <w:tcPr>
            <w:tcW w:w="914" w:type="dxa"/>
          </w:tcPr>
          <w:p>
            <w:pPr>
              <w:pStyle w:val="18"/>
              <w:spacing w:before="50"/>
              <w:ind w:left="200" w:right="190"/>
              <w:rPr>
                <w:rFonts w:ascii="Times New Roman"/>
                <w:sz w:val="21"/>
              </w:rPr>
            </w:pPr>
            <w:r>
              <w:rPr>
                <w:rFonts w:ascii="Times New Roman"/>
                <w:sz w:val="21"/>
              </w:rPr>
              <w:t>0.170</w:t>
            </w:r>
          </w:p>
        </w:tc>
        <w:tc>
          <w:tcPr>
            <w:tcW w:w="900" w:type="dxa"/>
          </w:tcPr>
          <w:p>
            <w:pPr>
              <w:pStyle w:val="18"/>
              <w:spacing w:before="50"/>
              <w:ind w:left="113" w:right="103"/>
              <w:rPr>
                <w:rFonts w:ascii="Times New Roman"/>
                <w:sz w:val="21"/>
              </w:rPr>
            </w:pPr>
            <w:r>
              <w:rPr>
                <w:rFonts w:ascii="Times New Roman"/>
                <w:sz w:val="21"/>
              </w:rPr>
              <w:t>0.182</w:t>
            </w:r>
          </w:p>
        </w:tc>
        <w:tc>
          <w:tcPr>
            <w:tcW w:w="941" w:type="dxa"/>
          </w:tcPr>
          <w:p>
            <w:pPr>
              <w:pStyle w:val="18"/>
              <w:spacing w:before="50"/>
              <w:ind w:left="90" w:right="80"/>
              <w:rPr>
                <w:rFonts w:ascii="Times New Roman"/>
                <w:sz w:val="21"/>
              </w:rPr>
            </w:pPr>
            <w:r>
              <w:rPr>
                <w:rFonts w:ascii="Times New Roman"/>
                <w:sz w:val="21"/>
              </w:rPr>
              <w:t>0.239</w:t>
            </w:r>
          </w:p>
        </w:tc>
        <w:tc>
          <w:tcPr>
            <w:tcW w:w="873" w:type="dxa"/>
          </w:tcPr>
          <w:p>
            <w:pPr>
              <w:pStyle w:val="18"/>
              <w:spacing w:before="50"/>
              <w:ind w:left="73" w:right="62"/>
              <w:rPr>
                <w:rFonts w:ascii="Times New Roman"/>
                <w:sz w:val="21"/>
              </w:rPr>
            </w:pPr>
            <w:r>
              <w:rPr>
                <w:rFonts w:ascii="Times New Roman"/>
                <w:sz w:val="21"/>
              </w:rPr>
              <w:t>0.804</w:t>
            </w:r>
          </w:p>
        </w:tc>
        <w:tc>
          <w:tcPr>
            <w:tcW w:w="886" w:type="dxa"/>
          </w:tcPr>
          <w:p>
            <w:pPr>
              <w:pStyle w:val="18"/>
              <w:spacing w:before="50"/>
              <w:ind w:left="187" w:right="176"/>
              <w:rPr>
                <w:rFonts w:ascii="Times New Roman"/>
                <w:sz w:val="21"/>
              </w:rPr>
            </w:pPr>
            <w:r>
              <w:rPr>
                <w:rFonts w:ascii="Times New Roman"/>
                <w:sz w:val="21"/>
              </w:rPr>
              <w:t>1.005</w:t>
            </w:r>
          </w:p>
        </w:tc>
        <w:tc>
          <w:tcPr>
            <w:tcW w:w="724" w:type="dxa"/>
          </w:tcPr>
          <w:p>
            <w:pPr>
              <w:pStyle w:val="18"/>
              <w:spacing w:before="50"/>
              <w:ind w:left="106" w:right="95"/>
              <w:rPr>
                <w:rFonts w:ascii="Times New Roman"/>
                <w:sz w:val="21"/>
              </w:rPr>
            </w:pPr>
            <w:r>
              <w:rPr>
                <w:rFonts w:ascii="Times New Roman"/>
                <w:sz w:val="21"/>
              </w:rPr>
              <w:t>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8"/>
              <w:spacing w:before="34"/>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8"/>
              <w:spacing w:before="48"/>
              <w:ind w:left="171" w:right="162"/>
              <w:rPr>
                <w:rFonts w:ascii="Times New Roman"/>
                <w:sz w:val="21"/>
              </w:rPr>
            </w:pPr>
            <w:r>
              <w:rPr>
                <w:rFonts w:ascii="Times New Roman"/>
                <w:sz w:val="21"/>
              </w:rPr>
              <w:t>450</w:t>
            </w:r>
          </w:p>
        </w:tc>
        <w:tc>
          <w:tcPr>
            <w:tcW w:w="914" w:type="dxa"/>
          </w:tcPr>
          <w:p>
            <w:pPr>
              <w:pStyle w:val="18"/>
              <w:spacing w:before="48"/>
              <w:ind w:left="198" w:right="190"/>
              <w:rPr>
                <w:rFonts w:ascii="Times New Roman"/>
                <w:sz w:val="21"/>
              </w:rPr>
            </w:pPr>
            <w:r>
              <w:rPr>
                <w:rFonts w:ascii="Times New Roman"/>
                <w:sz w:val="21"/>
              </w:rPr>
              <w:t>550</w:t>
            </w:r>
          </w:p>
        </w:tc>
        <w:tc>
          <w:tcPr>
            <w:tcW w:w="900" w:type="dxa"/>
          </w:tcPr>
          <w:p>
            <w:pPr>
              <w:pStyle w:val="18"/>
              <w:spacing w:before="48"/>
              <w:ind w:left="111" w:right="103"/>
              <w:rPr>
                <w:rFonts w:ascii="Times New Roman"/>
                <w:sz w:val="21"/>
              </w:rPr>
            </w:pPr>
            <w:r>
              <w:rPr>
                <w:rFonts w:ascii="Times New Roman"/>
                <w:sz w:val="21"/>
              </w:rPr>
              <w:t>650</w:t>
            </w:r>
          </w:p>
        </w:tc>
        <w:tc>
          <w:tcPr>
            <w:tcW w:w="941" w:type="dxa"/>
          </w:tcPr>
          <w:p>
            <w:pPr>
              <w:pStyle w:val="18"/>
              <w:spacing w:before="48"/>
              <w:ind w:left="90" w:right="80"/>
              <w:rPr>
                <w:rFonts w:ascii="Times New Roman"/>
                <w:sz w:val="21"/>
              </w:rPr>
            </w:pPr>
            <w:r>
              <w:rPr>
                <w:rFonts w:ascii="Times New Roman"/>
                <w:sz w:val="21"/>
              </w:rPr>
              <w:t>750</w:t>
            </w:r>
          </w:p>
        </w:tc>
        <w:tc>
          <w:tcPr>
            <w:tcW w:w="873" w:type="dxa"/>
          </w:tcPr>
          <w:p>
            <w:pPr>
              <w:pStyle w:val="18"/>
              <w:spacing w:before="48"/>
              <w:ind w:left="73" w:right="62"/>
              <w:rPr>
                <w:rFonts w:ascii="Times New Roman"/>
                <w:sz w:val="21"/>
              </w:rPr>
            </w:pPr>
            <w:r>
              <w:rPr>
                <w:rFonts w:ascii="Times New Roman"/>
                <w:sz w:val="21"/>
              </w:rPr>
              <w:t>850</w:t>
            </w:r>
          </w:p>
        </w:tc>
        <w:tc>
          <w:tcPr>
            <w:tcW w:w="886" w:type="dxa"/>
          </w:tcPr>
          <w:p>
            <w:pPr>
              <w:pStyle w:val="18"/>
              <w:spacing w:before="48"/>
              <w:ind w:left="184" w:right="176"/>
              <w:rPr>
                <w:rFonts w:ascii="Times New Roman"/>
                <w:sz w:val="21"/>
              </w:rPr>
            </w:pPr>
            <w:r>
              <w:rPr>
                <w:rFonts w:ascii="Times New Roman"/>
                <w:sz w:val="21"/>
              </w:rPr>
              <w:t>950</w:t>
            </w:r>
          </w:p>
        </w:tc>
        <w:tc>
          <w:tcPr>
            <w:tcW w:w="724" w:type="dxa"/>
          </w:tcPr>
          <w:p>
            <w:pPr>
              <w:pStyle w:val="18"/>
              <w:spacing w:before="48"/>
              <w:ind w:left="106" w:right="95"/>
              <w:rPr>
                <w:rFonts w:ascii="Times New Roman"/>
                <w:sz w:val="21"/>
              </w:rPr>
            </w:pPr>
            <w:r>
              <w:rPr>
                <w:rFonts w:ascii="Times New Roman"/>
                <w:sz w:val="21"/>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8"/>
              <w:spacing w:before="34"/>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8"/>
              <w:spacing w:before="48"/>
              <w:ind w:left="172" w:right="160"/>
              <w:rPr>
                <w:rFonts w:ascii="Times New Roman"/>
                <w:sz w:val="21"/>
              </w:rPr>
            </w:pPr>
            <w:r>
              <w:rPr>
                <w:rFonts w:ascii="Times New Roman"/>
                <w:sz w:val="21"/>
              </w:rPr>
              <w:t>2.211</w:t>
            </w:r>
          </w:p>
        </w:tc>
        <w:tc>
          <w:tcPr>
            <w:tcW w:w="914" w:type="dxa"/>
          </w:tcPr>
          <w:p>
            <w:pPr>
              <w:pStyle w:val="18"/>
              <w:spacing w:before="48"/>
              <w:ind w:left="200" w:right="190"/>
              <w:rPr>
                <w:rFonts w:ascii="Times New Roman"/>
                <w:sz w:val="21"/>
              </w:rPr>
            </w:pPr>
            <w:r>
              <w:rPr>
                <w:rFonts w:ascii="Times New Roman"/>
                <w:sz w:val="21"/>
              </w:rPr>
              <w:t>2.614</w:t>
            </w:r>
          </w:p>
        </w:tc>
        <w:tc>
          <w:tcPr>
            <w:tcW w:w="900" w:type="dxa"/>
          </w:tcPr>
          <w:p>
            <w:pPr>
              <w:pStyle w:val="18"/>
              <w:spacing w:before="48"/>
              <w:ind w:left="113" w:right="103"/>
              <w:rPr>
                <w:rFonts w:ascii="Times New Roman"/>
                <w:sz w:val="21"/>
              </w:rPr>
            </w:pPr>
            <w:r>
              <w:rPr>
                <w:rFonts w:ascii="Times New Roman"/>
                <w:sz w:val="21"/>
              </w:rPr>
              <w:t>3.016</w:t>
            </w:r>
          </w:p>
        </w:tc>
        <w:tc>
          <w:tcPr>
            <w:tcW w:w="941" w:type="dxa"/>
          </w:tcPr>
          <w:p>
            <w:pPr>
              <w:pStyle w:val="18"/>
              <w:spacing w:before="48"/>
              <w:ind w:left="90" w:right="80"/>
              <w:rPr>
                <w:rFonts w:ascii="Times New Roman"/>
                <w:sz w:val="21"/>
              </w:rPr>
            </w:pPr>
            <w:r>
              <w:rPr>
                <w:rFonts w:ascii="Times New Roman"/>
                <w:sz w:val="21"/>
              </w:rPr>
              <w:t>3.418</w:t>
            </w:r>
          </w:p>
        </w:tc>
        <w:tc>
          <w:tcPr>
            <w:tcW w:w="873" w:type="dxa"/>
          </w:tcPr>
          <w:p>
            <w:pPr>
              <w:pStyle w:val="18"/>
              <w:spacing w:before="48"/>
              <w:ind w:left="73" w:right="62"/>
              <w:rPr>
                <w:rFonts w:ascii="Times New Roman"/>
                <w:sz w:val="21"/>
              </w:rPr>
            </w:pPr>
            <w:r>
              <w:rPr>
                <w:rFonts w:ascii="Times New Roman"/>
                <w:sz w:val="21"/>
              </w:rPr>
              <w:t>3.820</w:t>
            </w:r>
          </w:p>
        </w:tc>
        <w:tc>
          <w:tcPr>
            <w:tcW w:w="886" w:type="dxa"/>
          </w:tcPr>
          <w:p>
            <w:pPr>
              <w:pStyle w:val="18"/>
              <w:spacing w:before="48"/>
              <w:ind w:left="187" w:right="176"/>
              <w:rPr>
                <w:rFonts w:ascii="Times New Roman"/>
                <w:sz w:val="21"/>
              </w:rPr>
            </w:pPr>
            <w:r>
              <w:rPr>
                <w:rFonts w:ascii="Times New Roman"/>
                <w:sz w:val="21"/>
              </w:rPr>
              <w:t>4.222</w:t>
            </w:r>
          </w:p>
        </w:tc>
        <w:tc>
          <w:tcPr>
            <w:tcW w:w="724" w:type="dxa"/>
          </w:tcPr>
          <w:p>
            <w:pPr>
              <w:pStyle w:val="18"/>
              <w:spacing w:before="48"/>
              <w:ind w:left="106" w:right="95"/>
              <w:rPr>
                <w:rFonts w:ascii="Times New Roman"/>
                <w:sz w:val="21"/>
              </w:rPr>
            </w:pPr>
            <w:r>
              <w:rPr>
                <w:rFonts w:ascii="Times New Roman"/>
                <w:sz w:val="21"/>
              </w:rPr>
              <w:t>4.624</w:t>
            </w:r>
          </w:p>
        </w:tc>
      </w:tr>
    </w:tbl>
    <w:p>
      <w:pPr>
        <w:pStyle w:val="7"/>
        <w:spacing w:before="8"/>
        <w:ind w:left="0"/>
        <w:rPr>
          <w:b/>
          <w:sz w:val="12"/>
        </w:rPr>
      </w:pPr>
    </w:p>
    <w:p>
      <w:pPr>
        <w:pStyle w:val="7"/>
        <w:spacing w:before="76" w:line="364" w:lineRule="auto"/>
        <w:ind w:right="455" w:firstLine="480"/>
      </w:pPr>
      <w:r>
        <w:rPr>
          <w:spacing w:val="-21"/>
        </w:rPr>
        <w:t>由表</w:t>
      </w:r>
      <w:r>
        <w:rPr>
          <w:rFonts w:ascii="Times New Roman" w:hAnsi="Times New Roman" w:eastAsia="Times New Roman"/>
        </w:rPr>
        <w:t>3.2-1</w:t>
      </w:r>
      <w:r>
        <w:rPr>
          <w:spacing w:val="-19"/>
        </w:rPr>
        <w:t>可知，粉尘的沉降速度随粒径的增大而迅速增大。当粒径为</w:t>
      </w:r>
      <w:r>
        <w:rPr>
          <w:rFonts w:ascii="Times New Roman" w:hAnsi="Times New Roman" w:eastAsia="Times New Roman"/>
        </w:rPr>
        <w:t>250μm</w:t>
      </w:r>
      <w:r>
        <w:rPr>
          <w:spacing w:val="-7"/>
        </w:rPr>
        <w:t>时，沉降速度为</w:t>
      </w:r>
      <w:r>
        <w:rPr>
          <w:rFonts w:ascii="Times New Roman" w:hAnsi="Times New Roman" w:eastAsia="Times New Roman"/>
        </w:rPr>
        <w:t>1.005m/s</w:t>
      </w:r>
      <w:r>
        <w:rPr>
          <w:spacing w:val="-4"/>
        </w:rPr>
        <w:t>，因此可以认为当粒径大于</w:t>
      </w:r>
      <w:r>
        <w:rPr>
          <w:rFonts w:ascii="Times New Roman" w:hAnsi="Times New Roman" w:eastAsia="Times New Roman"/>
        </w:rPr>
        <w:t>250μm</w:t>
      </w:r>
      <w:r>
        <w:t>时，主要影响范围</w:t>
      </w:r>
      <w:r>
        <w:rPr>
          <w:spacing w:val="-7"/>
        </w:rPr>
        <w:t>在扬尘点下风向近距离范围内，本项目评价范围内大气环境敏感点主要是项目区</w:t>
      </w:r>
      <w:r>
        <w:rPr>
          <w:spacing w:val="-25"/>
        </w:rPr>
        <w:t>西侧</w:t>
      </w:r>
      <w:r>
        <w:rPr>
          <w:rFonts w:ascii="Times New Roman" w:hAnsi="Times New Roman" w:eastAsia="Times New Roman"/>
        </w:rPr>
        <w:t>2.5km</w:t>
      </w:r>
      <w:r>
        <w:rPr>
          <w:spacing w:val="-11"/>
        </w:rPr>
        <w:t>处村庄，其位于项目所在区域主导风向</w:t>
      </w:r>
      <w:r>
        <w:t>（西北偏北风</w:t>
      </w:r>
      <w:r>
        <w:rPr>
          <w:spacing w:val="-56"/>
        </w:rPr>
        <w:t>）</w:t>
      </w:r>
      <w:r>
        <w:rPr>
          <w:spacing w:val="-11"/>
        </w:rPr>
        <w:t>侧风向，因此，</w:t>
      </w:r>
      <w:r>
        <w:rPr>
          <w:spacing w:val="-4"/>
        </w:rPr>
        <w:t>此类扬尘可造成施工区域附近</w:t>
      </w:r>
      <w:r>
        <w:rPr>
          <w:rFonts w:ascii="Times New Roman" w:hAnsi="Times New Roman" w:eastAsia="Times New Roman"/>
        </w:rPr>
        <w:t>TSP</w:t>
      </w:r>
      <w:r>
        <w:t>浓度暂时升高，对项目区周边评价范围内大气环境敏感点影响不大。</w:t>
      </w:r>
    </w:p>
    <w:p>
      <w:pPr>
        <w:pStyle w:val="7"/>
        <w:spacing w:before="4"/>
        <w:ind w:left="1020"/>
      </w:pPr>
      <w:r>
        <w:t>②车辆运输扬尘</w:t>
      </w:r>
    </w:p>
    <w:p>
      <w:pPr>
        <w:pStyle w:val="7"/>
        <w:spacing w:before="160" w:line="364" w:lineRule="auto"/>
        <w:ind w:right="577" w:firstLine="480"/>
        <w:jc w:val="both"/>
      </w:pPr>
      <w:r>
        <w:rPr>
          <w:spacing w:val="-7"/>
        </w:rPr>
        <w:t>本项目动态起尘主要是各类施工机械、运输车辆在项目区内外来往形成的地</w:t>
      </w:r>
      <w:r>
        <w:rPr>
          <w:spacing w:val="-11"/>
        </w:rPr>
        <w:t>面扬尘，据有关文献资料显示，在施工过程中，车辆行驶产生的扬尘占总扬尘量</w:t>
      </w:r>
      <w:r>
        <w:rPr>
          <w:spacing w:val="-21"/>
        </w:rPr>
        <w:t>的</w:t>
      </w:r>
      <w:r>
        <w:rPr>
          <w:rFonts w:ascii="Times New Roman" w:eastAsia="Times New Roman"/>
        </w:rPr>
        <w:t>60%</w:t>
      </w:r>
      <w:r>
        <w:t>以上。车辆机械行驶产生的扬尘量与路面清洁程度以及车辆行驶速度有</w:t>
      </w:r>
      <w:r>
        <w:rPr>
          <w:spacing w:val="-9"/>
        </w:rPr>
        <w:t>关，具体见表</w:t>
      </w:r>
      <w:r>
        <w:rPr>
          <w:rFonts w:ascii="Times New Roman" w:eastAsia="Times New Roman"/>
        </w:rPr>
        <w:t>3.2-2</w:t>
      </w:r>
      <w:r>
        <w:t>。</w:t>
      </w:r>
    </w:p>
    <w:p>
      <w:pPr>
        <w:pStyle w:val="7"/>
        <w:bidi w:val="0"/>
        <w:jc w:val="center"/>
        <w:rPr>
          <w:rFonts w:ascii="Times New Roman" w:hAnsi="Times New Roman" w:eastAsia="Times New Roman"/>
        </w:rPr>
      </w:pPr>
      <w:r>
        <w:rPr>
          <w:spacing w:val="-31"/>
        </w:rPr>
        <w:t>表</w:t>
      </w:r>
      <w:r>
        <w:rPr>
          <w:rFonts w:ascii="Times New Roman" w:hAnsi="Times New Roman" w:eastAsia="Times New Roman"/>
        </w:rPr>
        <w:t>3.2-2</w:t>
      </w:r>
      <w:r>
        <w:rPr>
          <w:spacing w:val="3"/>
        </w:rPr>
        <w:t>不同车速和地面清洁程度的汽车扬尘单位：</w:t>
      </w:r>
      <w:r>
        <w:rPr>
          <w:rFonts w:ascii="Times New Roman" w:hAnsi="Times New Roman" w:eastAsia="Times New Roman"/>
        </w:rPr>
        <w:t>kg/</w:t>
      </w:r>
      <w:r>
        <w:t>辆</w:t>
      </w:r>
      <w:r>
        <w:rPr>
          <w:rFonts w:ascii="Times New Roman" w:hAnsi="Times New Roman" w:eastAsia="Times New Roman"/>
        </w:rPr>
        <w:t>·km</w:t>
      </w:r>
    </w:p>
    <w:tbl>
      <w:tblPr>
        <w:tblStyle w:val="14"/>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5"/>
        <w:gridCol w:w="1101"/>
        <w:gridCol w:w="1186"/>
        <w:gridCol w:w="1187"/>
        <w:gridCol w:w="1187"/>
        <w:gridCol w:w="1187"/>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5" w:type="dxa"/>
          </w:tcPr>
          <w:p>
            <w:pPr>
              <w:pStyle w:val="18"/>
              <w:spacing w:before="39" w:line="244" w:lineRule="auto"/>
              <w:ind w:left="181" w:right="169" w:firstLine="211"/>
              <w:jc w:val="left"/>
              <w:rPr>
                <w:b/>
                <w:sz w:val="21"/>
              </w:rPr>
            </w:pPr>
            <w:r>
              <w:rPr>
                <w:b/>
                <w:sz w:val="21"/>
              </w:rPr>
              <w:t>车速路面粉尘</w:t>
            </w:r>
          </w:p>
        </w:tc>
        <w:tc>
          <w:tcPr>
            <w:tcW w:w="1101" w:type="dxa"/>
          </w:tcPr>
          <w:p>
            <w:pPr>
              <w:pStyle w:val="18"/>
              <w:spacing w:before="34"/>
              <w:ind w:left="29" w:right="20"/>
              <w:rPr>
                <w:rFonts w:ascii="Times New Roman"/>
                <w:b/>
                <w:sz w:val="21"/>
              </w:rPr>
            </w:pPr>
            <w:r>
              <w:rPr>
                <w:rFonts w:ascii="Times New Roman"/>
                <w:b/>
                <w:sz w:val="21"/>
              </w:rPr>
              <w:t>0.1</w:t>
            </w:r>
          </w:p>
          <w:p>
            <w:pPr>
              <w:pStyle w:val="18"/>
              <w:spacing w:before="56"/>
              <w:ind w:left="88" w:right="20"/>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6" w:type="dxa"/>
          </w:tcPr>
          <w:p>
            <w:pPr>
              <w:pStyle w:val="18"/>
              <w:spacing w:before="34"/>
              <w:ind w:left="101" w:right="89"/>
              <w:rPr>
                <w:rFonts w:ascii="Times New Roman"/>
                <w:b/>
                <w:sz w:val="21"/>
              </w:rPr>
            </w:pPr>
            <w:r>
              <w:rPr>
                <w:rFonts w:ascii="Times New Roman"/>
                <w:b/>
                <w:sz w:val="21"/>
              </w:rPr>
              <w:t>0.2</w:t>
            </w:r>
          </w:p>
          <w:p>
            <w:pPr>
              <w:pStyle w:val="18"/>
              <w:spacing w:before="56"/>
              <w:ind w:left="101" w:right="93"/>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8"/>
              <w:spacing w:before="34"/>
              <w:ind w:left="102" w:right="92"/>
              <w:rPr>
                <w:rFonts w:ascii="Times New Roman"/>
                <w:b/>
                <w:sz w:val="21"/>
              </w:rPr>
            </w:pPr>
            <w:r>
              <w:rPr>
                <w:rFonts w:ascii="Times New Roman"/>
                <w:b/>
                <w:sz w:val="21"/>
              </w:rPr>
              <w:t>0.3</w:t>
            </w:r>
          </w:p>
          <w:p>
            <w:pPr>
              <w:pStyle w:val="18"/>
              <w:spacing w:before="56"/>
              <w:ind w:left="102" w:right="91"/>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8"/>
              <w:spacing w:before="34"/>
              <w:ind w:left="99" w:right="92"/>
              <w:rPr>
                <w:rFonts w:ascii="Times New Roman"/>
                <w:b/>
                <w:sz w:val="21"/>
              </w:rPr>
            </w:pPr>
            <w:r>
              <w:rPr>
                <w:rFonts w:ascii="Times New Roman"/>
                <w:b/>
                <w:sz w:val="21"/>
              </w:rPr>
              <w:t>0.4</w:t>
            </w:r>
          </w:p>
          <w:p>
            <w:pPr>
              <w:pStyle w:val="18"/>
              <w:spacing w:before="56"/>
              <w:ind w:left="102" w:right="91"/>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8"/>
              <w:spacing w:before="34"/>
              <w:ind w:left="101" w:right="92"/>
              <w:rPr>
                <w:rFonts w:ascii="Times New Roman"/>
                <w:b/>
                <w:sz w:val="21"/>
              </w:rPr>
            </w:pPr>
            <w:r>
              <w:rPr>
                <w:rFonts w:ascii="Times New Roman"/>
                <w:b/>
                <w:sz w:val="21"/>
              </w:rPr>
              <w:t>0.5</w:t>
            </w:r>
          </w:p>
          <w:p>
            <w:pPr>
              <w:pStyle w:val="18"/>
              <w:spacing w:before="56"/>
              <w:ind w:left="102" w:right="92"/>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461" w:type="dxa"/>
          </w:tcPr>
          <w:p>
            <w:pPr>
              <w:pStyle w:val="18"/>
              <w:spacing w:before="34"/>
              <w:ind w:left="239" w:right="228"/>
              <w:rPr>
                <w:rFonts w:ascii="Times New Roman"/>
                <w:b/>
                <w:sz w:val="21"/>
              </w:rPr>
            </w:pPr>
            <w:r>
              <w:rPr>
                <w:rFonts w:ascii="Times New Roman"/>
                <w:b/>
                <w:sz w:val="21"/>
              </w:rPr>
              <w:t>0.6</w:t>
            </w:r>
          </w:p>
          <w:p>
            <w:pPr>
              <w:pStyle w:val="18"/>
              <w:spacing w:before="56"/>
              <w:ind w:left="239" w:right="230"/>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8"/>
              <w:spacing w:before="34"/>
              <w:ind w:left="123"/>
              <w:jc w:val="left"/>
              <w:rPr>
                <w:sz w:val="21"/>
              </w:rPr>
            </w:pPr>
            <w:r>
              <w:rPr>
                <w:rFonts w:ascii="Times New Roman" w:eastAsia="Times New Roman"/>
                <w:sz w:val="21"/>
              </w:rPr>
              <w:t>5</w:t>
            </w:r>
            <w:r>
              <w:rPr>
                <w:sz w:val="21"/>
              </w:rPr>
              <w:t>（</w:t>
            </w:r>
            <w:r>
              <w:rPr>
                <w:rFonts w:ascii="Times New Roman" w:eastAsia="Times New Roman"/>
                <w:sz w:val="21"/>
              </w:rPr>
              <w:t>km/h</w:t>
            </w:r>
            <w:r>
              <w:rPr>
                <w:sz w:val="21"/>
              </w:rPr>
              <w:t>）</w:t>
            </w:r>
          </w:p>
        </w:tc>
        <w:tc>
          <w:tcPr>
            <w:tcW w:w="1101" w:type="dxa"/>
          </w:tcPr>
          <w:p>
            <w:pPr>
              <w:pStyle w:val="18"/>
              <w:spacing w:before="48"/>
              <w:ind w:left="29" w:right="20"/>
              <w:rPr>
                <w:rFonts w:ascii="Times New Roman"/>
                <w:sz w:val="21"/>
              </w:rPr>
            </w:pPr>
            <w:r>
              <w:rPr>
                <w:rFonts w:ascii="Times New Roman"/>
                <w:sz w:val="21"/>
              </w:rPr>
              <w:t>0.007</w:t>
            </w:r>
          </w:p>
        </w:tc>
        <w:tc>
          <w:tcPr>
            <w:tcW w:w="1186" w:type="dxa"/>
          </w:tcPr>
          <w:p>
            <w:pPr>
              <w:pStyle w:val="18"/>
              <w:spacing w:before="48"/>
              <w:ind w:left="356"/>
              <w:jc w:val="left"/>
              <w:rPr>
                <w:rFonts w:ascii="Times New Roman"/>
                <w:sz w:val="21"/>
              </w:rPr>
            </w:pPr>
            <w:r>
              <w:rPr>
                <w:rFonts w:ascii="Times New Roman"/>
                <w:sz w:val="21"/>
              </w:rPr>
              <w:t>0.012</w:t>
            </w:r>
          </w:p>
        </w:tc>
        <w:tc>
          <w:tcPr>
            <w:tcW w:w="1187" w:type="dxa"/>
          </w:tcPr>
          <w:p>
            <w:pPr>
              <w:pStyle w:val="18"/>
              <w:spacing w:before="48"/>
              <w:ind w:left="102" w:right="92"/>
              <w:rPr>
                <w:rFonts w:ascii="Times New Roman"/>
                <w:sz w:val="21"/>
              </w:rPr>
            </w:pPr>
            <w:r>
              <w:rPr>
                <w:rFonts w:ascii="Times New Roman"/>
                <w:sz w:val="21"/>
              </w:rPr>
              <w:t>0.017</w:t>
            </w:r>
          </w:p>
        </w:tc>
        <w:tc>
          <w:tcPr>
            <w:tcW w:w="1187" w:type="dxa"/>
          </w:tcPr>
          <w:p>
            <w:pPr>
              <w:pStyle w:val="18"/>
              <w:spacing w:before="48"/>
              <w:ind w:right="345"/>
              <w:jc w:val="right"/>
              <w:rPr>
                <w:rFonts w:ascii="Times New Roman"/>
                <w:sz w:val="21"/>
              </w:rPr>
            </w:pPr>
            <w:r>
              <w:rPr>
                <w:rFonts w:ascii="Times New Roman"/>
                <w:w w:val="95"/>
                <w:sz w:val="21"/>
              </w:rPr>
              <w:t>0.021</w:t>
            </w:r>
          </w:p>
        </w:tc>
        <w:tc>
          <w:tcPr>
            <w:tcW w:w="1187" w:type="dxa"/>
          </w:tcPr>
          <w:p>
            <w:pPr>
              <w:pStyle w:val="18"/>
              <w:spacing w:before="48"/>
              <w:ind w:right="344"/>
              <w:jc w:val="right"/>
              <w:rPr>
                <w:rFonts w:ascii="Times New Roman"/>
                <w:sz w:val="21"/>
              </w:rPr>
            </w:pPr>
            <w:r>
              <w:rPr>
                <w:rFonts w:ascii="Times New Roman"/>
                <w:sz w:val="21"/>
              </w:rPr>
              <w:t>0.025</w:t>
            </w:r>
          </w:p>
        </w:tc>
        <w:tc>
          <w:tcPr>
            <w:tcW w:w="1461" w:type="dxa"/>
          </w:tcPr>
          <w:p>
            <w:pPr>
              <w:pStyle w:val="18"/>
              <w:spacing w:before="48"/>
              <w:ind w:left="239" w:right="228"/>
              <w:rPr>
                <w:rFonts w:ascii="Times New Roman"/>
                <w:sz w:val="21"/>
              </w:rPr>
            </w:pPr>
            <w:r>
              <w:rPr>
                <w:rFonts w:ascii="Times New Roman"/>
                <w:sz w:val="21"/>
              </w:rPr>
              <w:t>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8"/>
              <w:spacing w:before="34"/>
              <w:ind w:left="106"/>
              <w:jc w:val="left"/>
              <w:rPr>
                <w:sz w:val="21"/>
              </w:rPr>
            </w:pPr>
            <w:r>
              <w:rPr>
                <w:rFonts w:ascii="Times New Roman" w:eastAsia="Times New Roman"/>
                <w:sz w:val="21"/>
              </w:rPr>
              <w:t>10</w:t>
            </w:r>
            <w:r>
              <w:rPr>
                <w:sz w:val="21"/>
              </w:rPr>
              <w:t>（</w:t>
            </w:r>
            <w:r>
              <w:rPr>
                <w:rFonts w:ascii="Times New Roman" w:eastAsia="Times New Roman"/>
                <w:sz w:val="21"/>
              </w:rPr>
              <w:t>km/h</w:t>
            </w:r>
            <w:r>
              <w:rPr>
                <w:sz w:val="21"/>
              </w:rPr>
              <w:t>）</w:t>
            </w:r>
          </w:p>
        </w:tc>
        <w:tc>
          <w:tcPr>
            <w:tcW w:w="1101" w:type="dxa"/>
          </w:tcPr>
          <w:p>
            <w:pPr>
              <w:pStyle w:val="18"/>
              <w:spacing w:before="48"/>
              <w:ind w:left="29" w:right="20"/>
              <w:rPr>
                <w:rFonts w:ascii="Times New Roman"/>
                <w:sz w:val="21"/>
              </w:rPr>
            </w:pPr>
            <w:r>
              <w:rPr>
                <w:rFonts w:ascii="Times New Roman"/>
                <w:sz w:val="21"/>
              </w:rPr>
              <w:t>0.015</w:t>
            </w:r>
          </w:p>
        </w:tc>
        <w:tc>
          <w:tcPr>
            <w:tcW w:w="1186" w:type="dxa"/>
          </w:tcPr>
          <w:p>
            <w:pPr>
              <w:pStyle w:val="18"/>
              <w:spacing w:before="48"/>
              <w:ind w:left="356"/>
              <w:jc w:val="left"/>
              <w:rPr>
                <w:rFonts w:ascii="Times New Roman"/>
                <w:sz w:val="21"/>
              </w:rPr>
            </w:pPr>
            <w:r>
              <w:rPr>
                <w:rFonts w:ascii="Times New Roman"/>
                <w:sz w:val="21"/>
              </w:rPr>
              <w:t>0.025</w:t>
            </w:r>
          </w:p>
        </w:tc>
        <w:tc>
          <w:tcPr>
            <w:tcW w:w="1187" w:type="dxa"/>
          </w:tcPr>
          <w:p>
            <w:pPr>
              <w:pStyle w:val="18"/>
              <w:spacing w:before="48"/>
              <w:ind w:left="102" w:right="92"/>
              <w:rPr>
                <w:rFonts w:ascii="Times New Roman"/>
                <w:sz w:val="21"/>
              </w:rPr>
            </w:pPr>
            <w:r>
              <w:rPr>
                <w:rFonts w:ascii="Times New Roman"/>
                <w:sz w:val="21"/>
              </w:rPr>
              <w:t>0.033</w:t>
            </w:r>
          </w:p>
        </w:tc>
        <w:tc>
          <w:tcPr>
            <w:tcW w:w="1187" w:type="dxa"/>
          </w:tcPr>
          <w:p>
            <w:pPr>
              <w:pStyle w:val="18"/>
              <w:spacing w:before="48"/>
              <w:ind w:right="345"/>
              <w:jc w:val="right"/>
              <w:rPr>
                <w:rFonts w:ascii="Times New Roman"/>
                <w:sz w:val="21"/>
              </w:rPr>
            </w:pPr>
            <w:r>
              <w:rPr>
                <w:rFonts w:ascii="Times New Roman"/>
                <w:w w:val="95"/>
                <w:sz w:val="21"/>
              </w:rPr>
              <w:t>0.042</w:t>
            </w:r>
          </w:p>
        </w:tc>
        <w:tc>
          <w:tcPr>
            <w:tcW w:w="1187" w:type="dxa"/>
          </w:tcPr>
          <w:p>
            <w:pPr>
              <w:pStyle w:val="18"/>
              <w:spacing w:before="48"/>
              <w:ind w:right="344"/>
              <w:jc w:val="right"/>
              <w:rPr>
                <w:rFonts w:ascii="Times New Roman"/>
                <w:sz w:val="21"/>
              </w:rPr>
            </w:pPr>
            <w:r>
              <w:rPr>
                <w:rFonts w:ascii="Times New Roman"/>
                <w:sz w:val="21"/>
              </w:rPr>
              <w:t>0.049</w:t>
            </w:r>
          </w:p>
        </w:tc>
        <w:tc>
          <w:tcPr>
            <w:tcW w:w="1461" w:type="dxa"/>
          </w:tcPr>
          <w:p>
            <w:pPr>
              <w:pStyle w:val="18"/>
              <w:spacing w:before="48"/>
              <w:ind w:left="239" w:right="228"/>
              <w:rPr>
                <w:rFonts w:ascii="Times New Roman"/>
                <w:sz w:val="21"/>
              </w:rPr>
            </w:pPr>
            <w:r>
              <w:rPr>
                <w:rFonts w:ascii="Times New Roman"/>
                <w:sz w:val="21"/>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05" w:type="dxa"/>
          </w:tcPr>
          <w:p>
            <w:pPr>
              <w:pStyle w:val="18"/>
              <w:spacing w:before="35"/>
              <w:ind w:left="106"/>
              <w:jc w:val="left"/>
              <w:rPr>
                <w:sz w:val="21"/>
              </w:rPr>
            </w:pPr>
            <w:r>
              <w:rPr>
                <w:rFonts w:ascii="Times New Roman" w:eastAsia="Times New Roman"/>
                <w:sz w:val="21"/>
              </w:rPr>
              <w:t>15</w:t>
            </w:r>
            <w:r>
              <w:rPr>
                <w:sz w:val="21"/>
              </w:rPr>
              <w:t>（</w:t>
            </w:r>
            <w:r>
              <w:rPr>
                <w:rFonts w:ascii="Times New Roman" w:eastAsia="Times New Roman"/>
                <w:sz w:val="21"/>
              </w:rPr>
              <w:t>km/h</w:t>
            </w:r>
            <w:r>
              <w:rPr>
                <w:sz w:val="21"/>
              </w:rPr>
              <w:t>）</w:t>
            </w:r>
          </w:p>
        </w:tc>
        <w:tc>
          <w:tcPr>
            <w:tcW w:w="1101" w:type="dxa"/>
          </w:tcPr>
          <w:p>
            <w:pPr>
              <w:pStyle w:val="18"/>
              <w:spacing w:before="48"/>
              <w:ind w:left="29" w:right="20"/>
              <w:rPr>
                <w:rFonts w:ascii="Times New Roman"/>
                <w:sz w:val="21"/>
              </w:rPr>
            </w:pPr>
            <w:r>
              <w:rPr>
                <w:rFonts w:ascii="Times New Roman"/>
                <w:sz w:val="21"/>
              </w:rPr>
              <w:t>0.022</w:t>
            </w:r>
          </w:p>
        </w:tc>
        <w:tc>
          <w:tcPr>
            <w:tcW w:w="1186" w:type="dxa"/>
          </w:tcPr>
          <w:p>
            <w:pPr>
              <w:pStyle w:val="18"/>
              <w:spacing w:before="48"/>
              <w:ind w:left="356"/>
              <w:jc w:val="left"/>
              <w:rPr>
                <w:rFonts w:ascii="Times New Roman"/>
                <w:sz w:val="21"/>
              </w:rPr>
            </w:pPr>
            <w:r>
              <w:rPr>
                <w:rFonts w:ascii="Times New Roman"/>
                <w:sz w:val="21"/>
              </w:rPr>
              <w:t>0.037</w:t>
            </w:r>
          </w:p>
        </w:tc>
        <w:tc>
          <w:tcPr>
            <w:tcW w:w="1187" w:type="dxa"/>
          </w:tcPr>
          <w:p>
            <w:pPr>
              <w:pStyle w:val="18"/>
              <w:spacing w:before="48"/>
              <w:ind w:left="102" w:right="92"/>
              <w:rPr>
                <w:rFonts w:ascii="Times New Roman"/>
                <w:sz w:val="21"/>
              </w:rPr>
            </w:pPr>
            <w:r>
              <w:rPr>
                <w:rFonts w:ascii="Times New Roman"/>
                <w:sz w:val="21"/>
              </w:rPr>
              <w:t>0.050</w:t>
            </w:r>
          </w:p>
        </w:tc>
        <w:tc>
          <w:tcPr>
            <w:tcW w:w="1187" w:type="dxa"/>
          </w:tcPr>
          <w:p>
            <w:pPr>
              <w:pStyle w:val="18"/>
              <w:spacing w:before="48"/>
              <w:ind w:right="345"/>
              <w:jc w:val="right"/>
              <w:rPr>
                <w:rFonts w:ascii="Times New Roman"/>
                <w:sz w:val="21"/>
              </w:rPr>
            </w:pPr>
            <w:r>
              <w:rPr>
                <w:rFonts w:ascii="Times New Roman"/>
                <w:w w:val="95"/>
                <w:sz w:val="21"/>
              </w:rPr>
              <w:t>0.063</w:t>
            </w:r>
          </w:p>
        </w:tc>
        <w:tc>
          <w:tcPr>
            <w:tcW w:w="1187" w:type="dxa"/>
          </w:tcPr>
          <w:p>
            <w:pPr>
              <w:pStyle w:val="18"/>
              <w:spacing w:before="48"/>
              <w:ind w:right="344"/>
              <w:jc w:val="right"/>
              <w:rPr>
                <w:rFonts w:ascii="Times New Roman"/>
                <w:sz w:val="21"/>
              </w:rPr>
            </w:pPr>
            <w:r>
              <w:rPr>
                <w:rFonts w:ascii="Times New Roman"/>
                <w:sz w:val="21"/>
              </w:rPr>
              <w:t>0.074</w:t>
            </w:r>
          </w:p>
        </w:tc>
        <w:tc>
          <w:tcPr>
            <w:tcW w:w="1461" w:type="dxa"/>
          </w:tcPr>
          <w:p>
            <w:pPr>
              <w:pStyle w:val="18"/>
              <w:spacing w:before="48"/>
              <w:ind w:left="239" w:right="228"/>
              <w:rPr>
                <w:rFonts w:ascii="Times New Roman"/>
                <w:sz w:val="21"/>
              </w:rPr>
            </w:pPr>
            <w:r>
              <w:rPr>
                <w:rFonts w:ascii="Times New Roman"/>
                <w:sz w:val="21"/>
              </w:rPr>
              <w:t>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8"/>
              <w:spacing w:before="35"/>
              <w:ind w:left="106"/>
              <w:jc w:val="left"/>
              <w:rPr>
                <w:sz w:val="21"/>
              </w:rPr>
            </w:pPr>
            <w:r>
              <w:rPr>
                <w:rFonts w:ascii="Times New Roman" w:eastAsia="Times New Roman"/>
                <w:sz w:val="21"/>
              </w:rPr>
              <w:t>20</w:t>
            </w:r>
            <w:r>
              <w:rPr>
                <w:sz w:val="21"/>
              </w:rPr>
              <w:t>（</w:t>
            </w:r>
            <w:r>
              <w:rPr>
                <w:rFonts w:ascii="Times New Roman" w:eastAsia="Times New Roman"/>
                <w:sz w:val="21"/>
              </w:rPr>
              <w:t>km/h</w:t>
            </w:r>
            <w:r>
              <w:rPr>
                <w:sz w:val="21"/>
              </w:rPr>
              <w:t>）</w:t>
            </w:r>
          </w:p>
        </w:tc>
        <w:tc>
          <w:tcPr>
            <w:tcW w:w="1101" w:type="dxa"/>
          </w:tcPr>
          <w:p>
            <w:pPr>
              <w:pStyle w:val="18"/>
              <w:spacing w:before="49"/>
              <w:ind w:left="29" w:right="20"/>
              <w:rPr>
                <w:rFonts w:ascii="Times New Roman"/>
                <w:sz w:val="21"/>
              </w:rPr>
            </w:pPr>
            <w:r>
              <w:rPr>
                <w:rFonts w:ascii="Times New Roman"/>
                <w:sz w:val="21"/>
              </w:rPr>
              <w:t>0.030</w:t>
            </w:r>
          </w:p>
        </w:tc>
        <w:tc>
          <w:tcPr>
            <w:tcW w:w="1186" w:type="dxa"/>
          </w:tcPr>
          <w:p>
            <w:pPr>
              <w:pStyle w:val="18"/>
              <w:spacing w:before="49"/>
              <w:ind w:left="356"/>
              <w:jc w:val="left"/>
              <w:rPr>
                <w:rFonts w:ascii="Times New Roman"/>
                <w:sz w:val="21"/>
              </w:rPr>
            </w:pPr>
            <w:r>
              <w:rPr>
                <w:rFonts w:ascii="Times New Roman"/>
                <w:sz w:val="21"/>
              </w:rPr>
              <w:t>0.049</w:t>
            </w:r>
          </w:p>
        </w:tc>
        <w:tc>
          <w:tcPr>
            <w:tcW w:w="1187" w:type="dxa"/>
          </w:tcPr>
          <w:p>
            <w:pPr>
              <w:pStyle w:val="18"/>
              <w:spacing w:before="49"/>
              <w:ind w:left="102" w:right="92"/>
              <w:rPr>
                <w:rFonts w:ascii="Times New Roman"/>
                <w:sz w:val="21"/>
              </w:rPr>
            </w:pPr>
            <w:r>
              <w:rPr>
                <w:rFonts w:ascii="Times New Roman"/>
                <w:sz w:val="21"/>
              </w:rPr>
              <w:t>0.050</w:t>
            </w:r>
          </w:p>
        </w:tc>
        <w:tc>
          <w:tcPr>
            <w:tcW w:w="1187" w:type="dxa"/>
          </w:tcPr>
          <w:p>
            <w:pPr>
              <w:pStyle w:val="18"/>
              <w:spacing w:before="49"/>
              <w:ind w:right="345"/>
              <w:jc w:val="right"/>
              <w:rPr>
                <w:rFonts w:ascii="Times New Roman"/>
                <w:sz w:val="21"/>
              </w:rPr>
            </w:pPr>
            <w:r>
              <w:rPr>
                <w:rFonts w:ascii="Times New Roman"/>
                <w:w w:val="95"/>
                <w:sz w:val="21"/>
              </w:rPr>
              <w:t>0.084</w:t>
            </w:r>
          </w:p>
        </w:tc>
        <w:tc>
          <w:tcPr>
            <w:tcW w:w="1187" w:type="dxa"/>
          </w:tcPr>
          <w:p>
            <w:pPr>
              <w:pStyle w:val="18"/>
              <w:spacing w:before="49"/>
              <w:ind w:right="344"/>
              <w:jc w:val="right"/>
              <w:rPr>
                <w:rFonts w:ascii="Times New Roman"/>
                <w:sz w:val="21"/>
              </w:rPr>
            </w:pPr>
            <w:r>
              <w:rPr>
                <w:rFonts w:ascii="Times New Roman"/>
                <w:sz w:val="21"/>
              </w:rPr>
              <w:t>0.098</w:t>
            </w:r>
          </w:p>
        </w:tc>
        <w:tc>
          <w:tcPr>
            <w:tcW w:w="1461" w:type="dxa"/>
          </w:tcPr>
          <w:p>
            <w:pPr>
              <w:pStyle w:val="18"/>
              <w:spacing w:before="49"/>
              <w:ind w:left="239" w:right="226"/>
              <w:rPr>
                <w:rFonts w:ascii="Times New Roman"/>
                <w:sz w:val="21"/>
              </w:rPr>
            </w:pPr>
            <w:r>
              <w:rPr>
                <w:rFonts w:ascii="Times New Roman"/>
                <w:sz w:val="21"/>
              </w:rPr>
              <w:t>0.11</w:t>
            </w:r>
          </w:p>
        </w:tc>
      </w:tr>
    </w:tbl>
    <w:p>
      <w:pPr>
        <w:pStyle w:val="7"/>
        <w:spacing w:before="1"/>
        <w:ind w:left="0"/>
        <w:rPr>
          <w:rFonts w:ascii="Times New Roman"/>
          <w:b/>
        </w:rPr>
      </w:pPr>
    </w:p>
    <w:p>
      <w:pPr>
        <w:pStyle w:val="7"/>
        <w:spacing w:line="350" w:lineRule="auto"/>
        <w:ind w:right="577" w:firstLine="480"/>
        <w:jc w:val="both"/>
      </w:pPr>
      <w:r>
        <w:rPr>
          <w:spacing w:val="-20"/>
        </w:rPr>
        <w:t>由表</w:t>
      </w:r>
      <w:r>
        <w:rPr>
          <w:rFonts w:ascii="Times New Roman" w:eastAsia="Times New Roman"/>
        </w:rPr>
        <w:t>3.2-2</w:t>
      </w:r>
      <w:r>
        <w:rPr>
          <w:spacing w:val="-1"/>
        </w:rPr>
        <w:t>可知，通过相同长度的路面，在同样路面清洁程度状况下，车辆</w:t>
      </w:r>
      <w:r>
        <w:rPr>
          <w:spacing w:val="-10"/>
        </w:rPr>
        <w:t>速度越快，扬尘量越大，而在同样车速情况下，路面越脏，扬尘量越大。本项目</w:t>
      </w:r>
      <w:r>
        <w:rPr>
          <w:spacing w:val="-4"/>
        </w:rPr>
        <w:t>主要大气环境敏感点在项目区西侧</w:t>
      </w:r>
      <w:r>
        <w:rPr>
          <w:rFonts w:ascii="Times New Roman" w:eastAsia="Times New Roman"/>
        </w:rPr>
        <w:t>2.5km</w:t>
      </w:r>
      <w:r>
        <w:rPr>
          <w:spacing w:val="-12"/>
        </w:rPr>
        <w:t>以外，车辆引起的路面扬尘主要影响区</w:t>
      </w:r>
      <w:r>
        <w:t>域在施工区以及运输途径路面。</w:t>
      </w:r>
    </w:p>
    <w:p>
      <w:pPr>
        <w:pStyle w:val="17"/>
        <w:numPr>
          <w:ilvl w:val="4"/>
          <w:numId w:val="29"/>
        </w:numPr>
        <w:tabs>
          <w:tab w:val="left" w:pos="1621"/>
        </w:tabs>
        <w:spacing w:before="4" w:after="0" w:line="240" w:lineRule="auto"/>
        <w:ind w:left="1621" w:right="0" w:hanging="601"/>
        <w:jc w:val="left"/>
        <w:rPr>
          <w:sz w:val="24"/>
        </w:rPr>
      </w:pPr>
      <w:r>
        <w:rPr>
          <w:sz w:val="24"/>
        </w:rPr>
        <w:t>燃油机械及机动车废气</w:t>
      </w:r>
    </w:p>
    <w:p>
      <w:pPr>
        <w:pStyle w:val="7"/>
        <w:keepNext w:val="0"/>
        <w:keepLines w:val="0"/>
        <w:pageBreakBefore w:val="0"/>
        <w:widowControl w:val="0"/>
        <w:kinsoku/>
        <w:wordWrap/>
        <w:overflowPunct/>
        <w:topLinePunct w:val="0"/>
        <w:autoSpaceDE w:val="0"/>
        <w:autoSpaceDN w:val="0"/>
        <w:bidi w:val="0"/>
        <w:adjustRightInd/>
        <w:snapToGrid/>
        <w:spacing w:before="144" w:line="360" w:lineRule="auto"/>
        <w:ind w:left="567" w:right="575" w:firstLine="480"/>
        <w:jc w:val="both"/>
        <w:textAlignment w:val="auto"/>
        <w:rPr>
          <w:sz w:val="9"/>
        </w:rPr>
      </w:pPr>
      <w:r>
        <w:rPr>
          <w:spacing w:val="2"/>
        </w:rPr>
        <w:t>施工燃油机械及机动车废气主要是施工现场施工机械和运输车辆因内燃机</w:t>
      </w:r>
      <w:r>
        <w:rPr>
          <w:spacing w:val="-7"/>
        </w:rPr>
        <w:t>燃烧排放的尾气，集中在土石方挖掘、场地平整和建筑物结构施工阶段，主要污</w:t>
      </w:r>
      <w:r>
        <w:rPr>
          <w:spacing w:val="-16"/>
          <w:position w:val="2"/>
        </w:rPr>
        <w:t>染物是</w:t>
      </w:r>
      <w:r>
        <w:rPr>
          <w:rFonts w:ascii="Times New Roman" w:eastAsia="Times New Roman"/>
          <w:position w:val="2"/>
        </w:rPr>
        <w:t>NO</w:t>
      </w:r>
      <w:r>
        <w:rPr>
          <w:rFonts w:ascii="Times New Roman" w:eastAsia="Times New Roman"/>
          <w:position w:val="2"/>
          <w:vertAlign w:val="subscript"/>
        </w:rPr>
        <w:t>x</w:t>
      </w:r>
      <w:r>
        <w:rPr>
          <w:spacing w:val="-12"/>
          <w:position w:val="2"/>
          <w:vertAlign w:val="baseline"/>
        </w:rPr>
        <w:t>、</w:t>
      </w:r>
      <w:r>
        <w:rPr>
          <w:rFonts w:ascii="Times New Roman" w:eastAsia="Times New Roman"/>
          <w:position w:val="2"/>
          <w:vertAlign w:val="baseline"/>
        </w:rPr>
        <w:t>CO</w:t>
      </w:r>
      <w:r>
        <w:rPr>
          <w:spacing w:val="-10"/>
          <w:position w:val="2"/>
          <w:vertAlign w:val="baseline"/>
        </w:rPr>
        <w:t>、</w:t>
      </w:r>
      <w:r>
        <w:rPr>
          <w:rFonts w:ascii="Times New Roman" w:eastAsia="Times New Roman"/>
          <w:position w:val="2"/>
          <w:vertAlign w:val="baseline"/>
        </w:rPr>
        <w:t>HC</w:t>
      </w:r>
      <w:r>
        <w:rPr>
          <w:spacing w:val="-5"/>
          <w:position w:val="2"/>
          <w:vertAlign w:val="baseline"/>
        </w:rPr>
        <w:t>。虽然尾气污染源在整个施工期一直存在，其源强大小取</w:t>
      </w:r>
      <w:r>
        <w:rPr>
          <w:spacing w:val="-6"/>
          <w:vertAlign w:val="baseline"/>
        </w:rPr>
        <w:t>决于施工机械维护保养和作业机械的数量及密度。但一般情况下，由于施工机械</w:t>
      </w:r>
      <w:r>
        <w:rPr>
          <w:spacing w:val="-11"/>
          <w:vertAlign w:val="baseline"/>
        </w:rPr>
        <w:t>作业的流动性、阶段性和间断性的特点，施工场地平均单位时间排放的尾气污染</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left="567"/>
        <w:jc w:val="both"/>
        <w:textAlignment w:val="auto"/>
      </w:pPr>
      <w:r>
        <w:t>物总量并不大。</w:t>
      </w:r>
    </w:p>
    <w:p>
      <w:pPr>
        <w:pStyle w:val="17"/>
        <w:numPr>
          <w:ilvl w:val="3"/>
          <w:numId w:val="29"/>
        </w:numPr>
        <w:tabs>
          <w:tab w:val="left" w:pos="1320"/>
        </w:tabs>
        <w:spacing w:before="110" w:after="0" w:line="240" w:lineRule="auto"/>
        <w:ind w:left="1320" w:right="0" w:hanging="780"/>
        <w:jc w:val="left"/>
        <w:rPr>
          <w:sz w:val="24"/>
        </w:rPr>
      </w:pPr>
      <w:bookmarkStart w:id="180" w:name="3.2.2.2 废水"/>
      <w:bookmarkEnd w:id="180"/>
      <w:bookmarkStart w:id="181" w:name="3.2.2.2 废水"/>
      <w:bookmarkEnd w:id="181"/>
      <w:r>
        <w:rPr>
          <w:sz w:val="24"/>
        </w:rPr>
        <w:t>废水</w:t>
      </w:r>
    </w:p>
    <w:p>
      <w:pPr>
        <w:pStyle w:val="7"/>
        <w:spacing w:before="209"/>
        <w:ind w:left="1020"/>
      </w:pPr>
      <w:r>
        <w:t>本项目施工期排放废水主要是施工废水和施工人员的日常生活废水。</w:t>
      </w:r>
    </w:p>
    <w:p>
      <w:pPr>
        <w:pStyle w:val="17"/>
        <w:numPr>
          <w:ilvl w:val="0"/>
          <w:numId w:val="30"/>
        </w:numPr>
        <w:tabs>
          <w:tab w:val="left" w:pos="1621"/>
        </w:tabs>
        <w:spacing w:before="141" w:after="0" w:line="240" w:lineRule="auto"/>
        <w:ind w:left="1621" w:right="0" w:hanging="601"/>
        <w:jc w:val="left"/>
        <w:rPr>
          <w:sz w:val="24"/>
        </w:rPr>
      </w:pPr>
      <w:r>
        <w:rPr>
          <w:sz w:val="24"/>
        </w:rPr>
        <w:t>施工废水</w:t>
      </w:r>
    </w:p>
    <w:p>
      <w:pPr>
        <w:pStyle w:val="7"/>
        <w:spacing w:before="144" w:line="350" w:lineRule="auto"/>
        <w:ind w:right="577" w:firstLine="480"/>
        <w:jc w:val="both"/>
      </w:pPr>
      <w:r>
        <w:rPr>
          <w:spacing w:val="-8"/>
        </w:rPr>
        <w:t>施工废水主要包括混凝土废水、泥浆废水、混凝土保养时排放的废水以及机</w:t>
      </w:r>
      <w:r>
        <w:rPr>
          <w:spacing w:val="-2"/>
        </w:rPr>
        <w:t>械和车辆冲洗废水，主要污染因子为</w:t>
      </w:r>
      <w:r>
        <w:rPr>
          <w:rFonts w:ascii="Times New Roman" w:eastAsia="Times New Roman"/>
        </w:rPr>
        <w:t>SS</w:t>
      </w:r>
      <w:r>
        <w:t>，含一定量的泥沙、少量水泥和油污，</w:t>
      </w:r>
      <w:r>
        <w:rPr>
          <w:spacing w:val="-7"/>
        </w:rPr>
        <w:t>随工程进度不同产生情况不同，也与操作人员的经验、素质等因素有关，产生量</w:t>
      </w:r>
      <w:r>
        <w:rPr>
          <w:spacing w:val="-9"/>
        </w:rPr>
        <w:t>与排放量较难估算，在施工现场设置简易沉淀池沉淀后回用于生产，项目产生的</w:t>
      </w:r>
      <w:r>
        <w:t>施工废水均不外排。</w:t>
      </w:r>
    </w:p>
    <w:p>
      <w:pPr>
        <w:pStyle w:val="17"/>
        <w:numPr>
          <w:ilvl w:val="0"/>
          <w:numId w:val="30"/>
        </w:numPr>
        <w:tabs>
          <w:tab w:val="left" w:pos="1621"/>
        </w:tabs>
        <w:spacing w:before="4" w:after="0" w:line="240" w:lineRule="auto"/>
        <w:ind w:left="1621" w:right="0" w:hanging="601"/>
        <w:jc w:val="left"/>
        <w:rPr>
          <w:sz w:val="24"/>
        </w:rPr>
      </w:pPr>
      <w:r>
        <w:rPr>
          <w:sz w:val="24"/>
        </w:rPr>
        <w:t>生活污水</w:t>
      </w:r>
    </w:p>
    <w:p>
      <w:pPr>
        <w:pStyle w:val="7"/>
        <w:spacing w:before="144" w:line="350" w:lineRule="auto"/>
        <w:ind w:right="457" w:firstLine="480"/>
      </w:pPr>
      <w:r>
        <w:rPr>
          <w:spacing w:val="-6"/>
        </w:rPr>
        <w:t>本项目施工期施工人员约</w:t>
      </w:r>
      <w:r>
        <w:rPr>
          <w:rFonts w:ascii="Times New Roman" w:eastAsia="Times New Roman"/>
        </w:rPr>
        <w:t>120</w:t>
      </w:r>
      <w:r>
        <w:rPr>
          <w:spacing w:val="-16"/>
        </w:rPr>
        <w:t>人，均为附近村镇居民，均不在项目区内食宿，</w:t>
      </w:r>
      <w:r>
        <w:t>施工场地内不设置施工营地，无生活污水产生，施工场地设置临时环保厕所。</w:t>
      </w:r>
    </w:p>
    <w:p>
      <w:pPr>
        <w:pStyle w:val="17"/>
        <w:numPr>
          <w:ilvl w:val="3"/>
          <w:numId w:val="29"/>
        </w:numPr>
        <w:tabs>
          <w:tab w:val="left" w:pos="1320"/>
        </w:tabs>
        <w:spacing w:before="0" w:after="0" w:line="276" w:lineRule="exact"/>
        <w:ind w:left="1320" w:right="0" w:hanging="780"/>
        <w:jc w:val="left"/>
        <w:rPr>
          <w:sz w:val="24"/>
        </w:rPr>
      </w:pPr>
      <w:bookmarkStart w:id="182" w:name="3.2.2.3 噪声"/>
      <w:bookmarkEnd w:id="182"/>
      <w:bookmarkStart w:id="183" w:name="3.2.2.3 噪声"/>
      <w:bookmarkEnd w:id="183"/>
      <w:r>
        <w:rPr>
          <w:sz w:val="24"/>
        </w:rPr>
        <w:t>噪声</w:t>
      </w:r>
    </w:p>
    <w:p>
      <w:pPr>
        <w:pStyle w:val="7"/>
        <w:spacing w:before="208" w:line="350" w:lineRule="auto"/>
        <w:ind w:right="457" w:firstLine="480"/>
      </w:pPr>
      <w:r>
        <w:rPr>
          <w:spacing w:val="-4"/>
        </w:rPr>
        <w:t>本项目施工噪声主要来源于施工中各类施工机械和运输车辆，施工机械和运</w:t>
      </w:r>
      <w:r>
        <w:rPr>
          <w:spacing w:val="-8"/>
        </w:rPr>
        <w:t>输车辆的单体声功率级一般均在</w:t>
      </w:r>
      <w:r>
        <w:rPr>
          <w:rFonts w:ascii="Times New Roman" w:eastAsia="Times New Roman"/>
        </w:rPr>
        <w:t>100dB</w:t>
      </w:r>
      <w:r>
        <w:t>（</w:t>
      </w:r>
      <w:r>
        <w:rPr>
          <w:rFonts w:ascii="Times New Roman" w:eastAsia="Times New Roman"/>
        </w:rPr>
        <w:t>A</w:t>
      </w:r>
      <w:r>
        <w:t>）以上，其中声级最大的是打桩机，</w:t>
      </w:r>
      <w:r>
        <w:rPr>
          <w:spacing w:val="-10"/>
        </w:rPr>
        <w:t>声级可达到</w:t>
      </w:r>
      <w:r>
        <w:rPr>
          <w:rFonts w:ascii="Times New Roman" w:eastAsia="Times New Roman"/>
          <w:spacing w:val="-7"/>
        </w:rPr>
        <w:t>120dB</w:t>
      </w:r>
      <w:r>
        <w:rPr>
          <w:spacing w:val="-14"/>
        </w:rPr>
        <w:t>，施工机械主要有推土机、挖掘机、打桩机、装载机、振捣棒、</w:t>
      </w:r>
      <w:r>
        <w:rPr>
          <w:spacing w:val="-6"/>
        </w:rPr>
        <w:t>电锯等，声功率级见表</w:t>
      </w:r>
      <w:r>
        <w:rPr>
          <w:rFonts w:ascii="Times New Roman" w:eastAsia="Times New Roman"/>
        </w:rPr>
        <w:t>3.2-3</w:t>
      </w:r>
      <w:r>
        <w:t>。</w:t>
      </w:r>
    </w:p>
    <w:p>
      <w:pPr>
        <w:pStyle w:val="7"/>
        <w:bidi w:val="0"/>
        <w:jc w:val="center"/>
      </w:pPr>
      <w:bookmarkStart w:id="184" w:name="3.2.3 运营期污染源分析"/>
      <w:bookmarkEnd w:id="184"/>
      <w:bookmarkStart w:id="185" w:name="3.2.3 运营期污染源分析"/>
      <w:bookmarkEnd w:id="185"/>
      <w:r>
        <w:t>表</w:t>
      </w:r>
      <w:r>
        <w:rPr>
          <w:rFonts w:ascii="Times New Roman" w:eastAsia="Times New Roman"/>
        </w:rPr>
        <w:t>3.2-3</w:t>
      </w:r>
      <w:r>
        <w:rPr>
          <w:rFonts w:ascii="Times New Roman" w:eastAsia="Times New Roman"/>
        </w:rPr>
        <w:tab/>
      </w:r>
      <w:r>
        <w:t>施工机械声功率级一览表</w:t>
      </w:r>
      <w:r>
        <w:tab/>
      </w:r>
      <w:r>
        <w:t>单位：</w:t>
      </w:r>
      <w:r>
        <w:rPr>
          <w:rFonts w:ascii="Times New Roman" w:eastAsia="Times New Roman"/>
        </w:rPr>
        <w:t>dB</w:t>
      </w:r>
      <w:r>
        <w:t>（</w:t>
      </w:r>
      <w:r>
        <w:rPr>
          <w:rFonts w:ascii="Times New Roman" w:eastAsia="Times New Roman"/>
        </w:rPr>
        <w:t>A</w:t>
      </w:r>
      <w:r>
        <w:t>）</w:t>
      </w:r>
    </w:p>
    <w:tbl>
      <w:tblPr>
        <w:tblStyle w:val="14"/>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2032"/>
        <w:gridCol w:w="2591"/>
        <w:gridCol w:w="2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29"/>
              <w:ind w:left="259" w:right="253"/>
              <w:rPr>
                <w:b/>
                <w:sz w:val="21"/>
              </w:rPr>
            </w:pPr>
            <w:r>
              <w:rPr>
                <w:b/>
                <w:sz w:val="21"/>
              </w:rPr>
              <w:t>序号</w:t>
            </w:r>
          </w:p>
        </w:tc>
        <w:tc>
          <w:tcPr>
            <w:tcW w:w="2032" w:type="dxa"/>
          </w:tcPr>
          <w:p>
            <w:pPr>
              <w:pStyle w:val="18"/>
              <w:spacing w:before="29"/>
              <w:ind w:left="596"/>
              <w:jc w:val="left"/>
              <w:rPr>
                <w:b/>
                <w:sz w:val="21"/>
              </w:rPr>
            </w:pPr>
            <w:r>
              <w:rPr>
                <w:b/>
                <w:sz w:val="21"/>
              </w:rPr>
              <w:t>施工阶段</w:t>
            </w:r>
          </w:p>
        </w:tc>
        <w:tc>
          <w:tcPr>
            <w:tcW w:w="2591" w:type="dxa"/>
          </w:tcPr>
          <w:p>
            <w:pPr>
              <w:pStyle w:val="18"/>
              <w:spacing w:before="29"/>
              <w:ind w:left="749" w:right="736"/>
              <w:rPr>
                <w:b/>
                <w:sz w:val="21"/>
              </w:rPr>
            </w:pPr>
            <w:r>
              <w:rPr>
                <w:b/>
                <w:sz w:val="21"/>
              </w:rPr>
              <w:t>机械名称</w:t>
            </w:r>
          </w:p>
        </w:tc>
        <w:tc>
          <w:tcPr>
            <w:tcW w:w="2755" w:type="dxa"/>
          </w:tcPr>
          <w:p>
            <w:pPr>
              <w:pStyle w:val="18"/>
              <w:spacing w:before="29"/>
              <w:ind w:left="111" w:right="-15"/>
              <w:jc w:val="left"/>
              <w:rPr>
                <w:b/>
                <w:sz w:val="21"/>
              </w:rPr>
            </w:pPr>
            <w:r>
              <w:rPr>
                <w:b/>
                <w:spacing w:val="-1"/>
                <w:sz w:val="21"/>
              </w:rPr>
              <w:t>最大声功率级</w:t>
            </w:r>
            <w:r>
              <w:rPr>
                <w:b/>
                <w:sz w:val="21"/>
              </w:rPr>
              <w:t>（</w:t>
            </w:r>
            <w:r>
              <w:rPr>
                <w:b/>
                <w:spacing w:val="-15"/>
                <w:sz w:val="21"/>
              </w:rPr>
              <w:t>距声源</w:t>
            </w:r>
            <w:r>
              <w:rPr>
                <w:rFonts w:ascii="Times New Roman" w:eastAsia="Times New Roman"/>
                <w:b/>
                <w:spacing w:val="-4"/>
                <w:sz w:val="21"/>
              </w:rPr>
              <w:t>1m</w:t>
            </w:r>
            <w:r>
              <w:rPr>
                <w:b/>
                <w:spacing w:val="-4"/>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4"/>
              <w:ind w:left="7"/>
              <w:rPr>
                <w:rFonts w:ascii="Times New Roman"/>
                <w:sz w:val="21"/>
              </w:rPr>
            </w:pPr>
            <w:r>
              <w:rPr>
                <w:rFonts w:ascii="Times New Roman"/>
                <w:w w:val="99"/>
                <w:sz w:val="21"/>
              </w:rPr>
              <w:t>1</w:t>
            </w:r>
          </w:p>
        </w:tc>
        <w:tc>
          <w:tcPr>
            <w:tcW w:w="2032" w:type="dxa"/>
            <w:vMerge w:val="restart"/>
          </w:tcPr>
          <w:p>
            <w:pPr>
              <w:pStyle w:val="18"/>
              <w:jc w:val="left"/>
              <w:rPr>
                <w:b/>
                <w:sz w:val="20"/>
              </w:rPr>
            </w:pPr>
          </w:p>
          <w:p>
            <w:pPr>
              <w:pStyle w:val="18"/>
              <w:spacing w:before="1"/>
              <w:jc w:val="left"/>
              <w:rPr>
                <w:b/>
                <w:sz w:val="22"/>
              </w:rPr>
            </w:pPr>
          </w:p>
          <w:p>
            <w:pPr>
              <w:pStyle w:val="18"/>
              <w:ind w:left="596"/>
              <w:jc w:val="left"/>
              <w:rPr>
                <w:sz w:val="21"/>
              </w:rPr>
            </w:pPr>
            <w:r>
              <w:rPr>
                <w:sz w:val="21"/>
              </w:rPr>
              <w:t>土方阶段</w:t>
            </w:r>
          </w:p>
        </w:tc>
        <w:tc>
          <w:tcPr>
            <w:tcW w:w="2591" w:type="dxa"/>
          </w:tcPr>
          <w:p>
            <w:pPr>
              <w:pStyle w:val="18"/>
              <w:spacing w:before="30"/>
              <w:ind w:left="746" w:right="741"/>
              <w:rPr>
                <w:sz w:val="21"/>
              </w:rPr>
            </w:pPr>
            <w:r>
              <w:rPr>
                <w:sz w:val="21"/>
              </w:rPr>
              <w:t>推土机</w:t>
            </w:r>
          </w:p>
        </w:tc>
        <w:tc>
          <w:tcPr>
            <w:tcW w:w="2755" w:type="dxa"/>
          </w:tcPr>
          <w:p>
            <w:pPr>
              <w:pStyle w:val="18"/>
              <w:spacing w:before="44"/>
              <w:ind w:left="1200" w:right="1187"/>
              <w:rPr>
                <w:rFonts w:ascii="Times New Roman"/>
                <w:sz w:val="21"/>
              </w:rPr>
            </w:pPr>
            <w:r>
              <w:rPr>
                <w:rFonts w:ascii="Times New Roman"/>
                <w:sz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2</w:t>
            </w:r>
          </w:p>
        </w:tc>
        <w:tc>
          <w:tcPr>
            <w:tcW w:w="2032" w:type="dxa"/>
            <w:vMerge w:val="continue"/>
            <w:tcBorders>
              <w:top w:val="nil"/>
            </w:tcBorders>
          </w:tcPr>
          <w:p>
            <w:pPr>
              <w:rPr>
                <w:sz w:val="2"/>
                <w:szCs w:val="2"/>
              </w:rPr>
            </w:pPr>
          </w:p>
        </w:tc>
        <w:tc>
          <w:tcPr>
            <w:tcW w:w="2591" w:type="dxa"/>
          </w:tcPr>
          <w:p>
            <w:pPr>
              <w:pStyle w:val="18"/>
              <w:spacing w:before="29"/>
              <w:ind w:left="746" w:right="741"/>
              <w:rPr>
                <w:sz w:val="21"/>
              </w:rPr>
            </w:pPr>
            <w:r>
              <w:rPr>
                <w:sz w:val="21"/>
              </w:rPr>
              <w:t>装载机</w:t>
            </w:r>
          </w:p>
        </w:tc>
        <w:tc>
          <w:tcPr>
            <w:tcW w:w="2755" w:type="dxa"/>
          </w:tcPr>
          <w:p>
            <w:pPr>
              <w:pStyle w:val="18"/>
              <w:spacing w:before="43"/>
              <w:ind w:left="1198" w:right="1188"/>
              <w:rPr>
                <w:rFonts w:ascii="Times New Roman"/>
                <w:sz w:val="21"/>
              </w:rPr>
            </w:pPr>
            <w:r>
              <w:rPr>
                <w:rFonts w:ascii="Times New Roman"/>
                <w:sz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3</w:t>
            </w:r>
          </w:p>
        </w:tc>
        <w:tc>
          <w:tcPr>
            <w:tcW w:w="2032" w:type="dxa"/>
            <w:vMerge w:val="continue"/>
            <w:tcBorders>
              <w:top w:val="nil"/>
            </w:tcBorders>
          </w:tcPr>
          <w:p>
            <w:pPr>
              <w:rPr>
                <w:sz w:val="2"/>
                <w:szCs w:val="2"/>
              </w:rPr>
            </w:pPr>
          </w:p>
        </w:tc>
        <w:tc>
          <w:tcPr>
            <w:tcW w:w="2591" w:type="dxa"/>
          </w:tcPr>
          <w:p>
            <w:pPr>
              <w:pStyle w:val="18"/>
              <w:spacing w:before="29"/>
              <w:ind w:left="746" w:right="741"/>
              <w:rPr>
                <w:sz w:val="21"/>
              </w:rPr>
            </w:pPr>
            <w:r>
              <w:rPr>
                <w:sz w:val="21"/>
              </w:rPr>
              <w:t>挖掘机</w:t>
            </w:r>
          </w:p>
        </w:tc>
        <w:tc>
          <w:tcPr>
            <w:tcW w:w="2755" w:type="dxa"/>
          </w:tcPr>
          <w:p>
            <w:pPr>
              <w:pStyle w:val="18"/>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4"/>
              <w:ind w:left="7"/>
              <w:rPr>
                <w:rFonts w:ascii="Times New Roman"/>
                <w:sz w:val="21"/>
              </w:rPr>
            </w:pPr>
            <w:r>
              <w:rPr>
                <w:rFonts w:ascii="Times New Roman"/>
                <w:w w:val="99"/>
                <w:sz w:val="21"/>
              </w:rPr>
              <w:t>4</w:t>
            </w:r>
          </w:p>
        </w:tc>
        <w:tc>
          <w:tcPr>
            <w:tcW w:w="2032" w:type="dxa"/>
            <w:vMerge w:val="continue"/>
            <w:tcBorders>
              <w:top w:val="nil"/>
            </w:tcBorders>
          </w:tcPr>
          <w:p>
            <w:pPr>
              <w:rPr>
                <w:sz w:val="2"/>
                <w:szCs w:val="2"/>
              </w:rPr>
            </w:pPr>
          </w:p>
        </w:tc>
        <w:tc>
          <w:tcPr>
            <w:tcW w:w="2591" w:type="dxa"/>
          </w:tcPr>
          <w:p>
            <w:pPr>
              <w:pStyle w:val="18"/>
              <w:spacing w:before="30"/>
              <w:ind w:left="749" w:right="741"/>
              <w:rPr>
                <w:sz w:val="21"/>
              </w:rPr>
            </w:pPr>
            <w:r>
              <w:rPr>
                <w:sz w:val="21"/>
              </w:rPr>
              <w:t>自卸卡车</w:t>
            </w:r>
          </w:p>
        </w:tc>
        <w:tc>
          <w:tcPr>
            <w:tcW w:w="2755" w:type="dxa"/>
          </w:tcPr>
          <w:p>
            <w:pPr>
              <w:pStyle w:val="18"/>
              <w:spacing w:before="44"/>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5</w:t>
            </w:r>
          </w:p>
        </w:tc>
        <w:tc>
          <w:tcPr>
            <w:tcW w:w="2032" w:type="dxa"/>
            <w:vMerge w:val="restart"/>
          </w:tcPr>
          <w:p>
            <w:pPr>
              <w:pStyle w:val="18"/>
              <w:spacing w:before="7"/>
              <w:jc w:val="left"/>
              <w:rPr>
                <w:b/>
                <w:sz w:val="15"/>
              </w:rPr>
            </w:pPr>
          </w:p>
          <w:p>
            <w:pPr>
              <w:pStyle w:val="18"/>
              <w:ind w:left="385"/>
              <w:jc w:val="left"/>
              <w:rPr>
                <w:sz w:val="21"/>
              </w:rPr>
            </w:pPr>
            <w:r>
              <w:rPr>
                <w:sz w:val="21"/>
              </w:rPr>
              <w:t>基础施工阶段</w:t>
            </w:r>
          </w:p>
        </w:tc>
        <w:tc>
          <w:tcPr>
            <w:tcW w:w="2591" w:type="dxa"/>
          </w:tcPr>
          <w:p>
            <w:pPr>
              <w:pStyle w:val="18"/>
              <w:spacing w:before="29"/>
              <w:ind w:left="746" w:right="741"/>
              <w:rPr>
                <w:sz w:val="21"/>
              </w:rPr>
            </w:pPr>
            <w:r>
              <w:rPr>
                <w:sz w:val="21"/>
              </w:rPr>
              <w:t>打桩机</w:t>
            </w:r>
          </w:p>
        </w:tc>
        <w:tc>
          <w:tcPr>
            <w:tcW w:w="2755" w:type="dxa"/>
          </w:tcPr>
          <w:p>
            <w:pPr>
              <w:pStyle w:val="18"/>
              <w:spacing w:before="43"/>
              <w:ind w:left="1198" w:right="1188"/>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6</w:t>
            </w:r>
          </w:p>
        </w:tc>
        <w:tc>
          <w:tcPr>
            <w:tcW w:w="2032" w:type="dxa"/>
            <w:vMerge w:val="continue"/>
            <w:tcBorders>
              <w:top w:val="nil"/>
            </w:tcBorders>
          </w:tcPr>
          <w:p>
            <w:pPr>
              <w:rPr>
                <w:sz w:val="2"/>
                <w:szCs w:val="2"/>
              </w:rPr>
            </w:pPr>
          </w:p>
        </w:tc>
        <w:tc>
          <w:tcPr>
            <w:tcW w:w="2591" w:type="dxa"/>
          </w:tcPr>
          <w:p>
            <w:pPr>
              <w:pStyle w:val="18"/>
              <w:spacing w:before="30"/>
              <w:ind w:left="746" w:right="741"/>
              <w:rPr>
                <w:sz w:val="21"/>
              </w:rPr>
            </w:pPr>
            <w:r>
              <w:rPr>
                <w:sz w:val="21"/>
              </w:rPr>
              <w:t>空压机</w:t>
            </w:r>
          </w:p>
        </w:tc>
        <w:tc>
          <w:tcPr>
            <w:tcW w:w="2755" w:type="dxa"/>
          </w:tcPr>
          <w:p>
            <w:pPr>
              <w:pStyle w:val="18"/>
              <w:spacing w:before="43"/>
              <w:ind w:left="1200" w:right="1187"/>
              <w:rPr>
                <w:rFonts w:ascii="Times New Roman"/>
                <w:sz w:val="21"/>
              </w:rPr>
            </w:pPr>
            <w:r>
              <w:rPr>
                <w:rFonts w:ascii="Times New Roman"/>
                <w:sz w:val="21"/>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4"/>
              <w:ind w:left="7"/>
              <w:rPr>
                <w:rFonts w:ascii="Times New Roman"/>
                <w:sz w:val="21"/>
              </w:rPr>
            </w:pPr>
            <w:r>
              <w:rPr>
                <w:rFonts w:ascii="Times New Roman"/>
                <w:w w:val="99"/>
                <w:sz w:val="21"/>
              </w:rPr>
              <w:t>7</w:t>
            </w:r>
          </w:p>
        </w:tc>
        <w:tc>
          <w:tcPr>
            <w:tcW w:w="2032" w:type="dxa"/>
            <w:vMerge w:val="restart"/>
          </w:tcPr>
          <w:p>
            <w:pPr>
              <w:pStyle w:val="18"/>
              <w:spacing w:before="8"/>
              <w:jc w:val="left"/>
              <w:rPr>
                <w:b/>
                <w:sz w:val="15"/>
              </w:rPr>
            </w:pPr>
          </w:p>
          <w:p>
            <w:pPr>
              <w:pStyle w:val="18"/>
              <w:spacing w:before="1"/>
              <w:ind w:left="176"/>
              <w:jc w:val="left"/>
              <w:rPr>
                <w:sz w:val="21"/>
              </w:rPr>
            </w:pPr>
            <w:r>
              <w:rPr>
                <w:sz w:val="21"/>
              </w:rPr>
              <w:t>主体结构施工阶段</w:t>
            </w:r>
          </w:p>
        </w:tc>
        <w:tc>
          <w:tcPr>
            <w:tcW w:w="2591" w:type="dxa"/>
          </w:tcPr>
          <w:p>
            <w:pPr>
              <w:pStyle w:val="18"/>
              <w:spacing w:before="30"/>
              <w:ind w:left="749" w:right="741"/>
              <w:rPr>
                <w:sz w:val="21"/>
              </w:rPr>
            </w:pPr>
            <w:r>
              <w:rPr>
                <w:sz w:val="21"/>
              </w:rPr>
              <w:t>电锯、电刨</w:t>
            </w:r>
          </w:p>
        </w:tc>
        <w:tc>
          <w:tcPr>
            <w:tcW w:w="2755" w:type="dxa"/>
          </w:tcPr>
          <w:p>
            <w:pPr>
              <w:pStyle w:val="18"/>
              <w:spacing w:before="44"/>
              <w:ind w:left="1200" w:right="1187"/>
              <w:rPr>
                <w:rFonts w:ascii="Times New Roman"/>
                <w:sz w:val="21"/>
              </w:rPr>
            </w:pPr>
            <w:r>
              <w:rPr>
                <w:rFonts w:ascii="Times New Roman"/>
                <w:sz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8</w:t>
            </w:r>
          </w:p>
        </w:tc>
        <w:tc>
          <w:tcPr>
            <w:tcW w:w="2032" w:type="dxa"/>
            <w:vMerge w:val="continue"/>
            <w:tcBorders>
              <w:top w:val="nil"/>
            </w:tcBorders>
          </w:tcPr>
          <w:p>
            <w:pPr>
              <w:rPr>
                <w:sz w:val="2"/>
                <w:szCs w:val="2"/>
              </w:rPr>
            </w:pPr>
          </w:p>
        </w:tc>
        <w:tc>
          <w:tcPr>
            <w:tcW w:w="2591" w:type="dxa"/>
          </w:tcPr>
          <w:p>
            <w:pPr>
              <w:pStyle w:val="18"/>
              <w:spacing w:before="29"/>
              <w:ind w:left="746" w:right="741"/>
              <w:rPr>
                <w:sz w:val="21"/>
              </w:rPr>
            </w:pPr>
            <w:r>
              <w:rPr>
                <w:sz w:val="21"/>
              </w:rPr>
              <w:t>振捣棒</w:t>
            </w:r>
          </w:p>
        </w:tc>
        <w:tc>
          <w:tcPr>
            <w:tcW w:w="2755" w:type="dxa"/>
          </w:tcPr>
          <w:p>
            <w:pPr>
              <w:pStyle w:val="18"/>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3"/>
              <w:ind w:left="7"/>
              <w:rPr>
                <w:rFonts w:ascii="Times New Roman"/>
                <w:sz w:val="21"/>
              </w:rPr>
            </w:pPr>
            <w:r>
              <w:rPr>
                <w:rFonts w:ascii="Times New Roman"/>
                <w:w w:val="99"/>
                <w:sz w:val="21"/>
              </w:rPr>
              <w:t>9</w:t>
            </w:r>
          </w:p>
        </w:tc>
        <w:tc>
          <w:tcPr>
            <w:tcW w:w="2032" w:type="dxa"/>
            <w:vMerge w:val="restart"/>
          </w:tcPr>
          <w:p>
            <w:pPr>
              <w:pStyle w:val="18"/>
              <w:spacing w:before="8"/>
              <w:jc w:val="left"/>
              <w:rPr>
                <w:b/>
                <w:sz w:val="15"/>
              </w:rPr>
            </w:pPr>
          </w:p>
          <w:p>
            <w:pPr>
              <w:pStyle w:val="18"/>
              <w:ind w:left="385"/>
              <w:jc w:val="left"/>
              <w:rPr>
                <w:sz w:val="21"/>
              </w:rPr>
            </w:pPr>
            <w:r>
              <w:rPr>
                <w:sz w:val="21"/>
              </w:rPr>
              <w:t>装修施工阶段</w:t>
            </w:r>
          </w:p>
        </w:tc>
        <w:tc>
          <w:tcPr>
            <w:tcW w:w="2591" w:type="dxa"/>
          </w:tcPr>
          <w:p>
            <w:pPr>
              <w:pStyle w:val="18"/>
              <w:spacing w:before="30"/>
              <w:ind w:left="746" w:right="741"/>
              <w:rPr>
                <w:sz w:val="21"/>
              </w:rPr>
            </w:pPr>
            <w:r>
              <w:rPr>
                <w:sz w:val="21"/>
              </w:rPr>
              <w:t>卷扬机</w:t>
            </w:r>
          </w:p>
        </w:tc>
        <w:tc>
          <w:tcPr>
            <w:tcW w:w="2755" w:type="dxa"/>
          </w:tcPr>
          <w:p>
            <w:pPr>
              <w:pStyle w:val="18"/>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8"/>
              <w:spacing w:before="44"/>
              <w:ind w:left="259" w:right="252"/>
              <w:rPr>
                <w:rFonts w:ascii="Times New Roman"/>
                <w:sz w:val="21"/>
              </w:rPr>
            </w:pPr>
            <w:r>
              <w:rPr>
                <w:rFonts w:ascii="Times New Roman"/>
                <w:sz w:val="21"/>
              </w:rPr>
              <w:t>10</w:t>
            </w:r>
          </w:p>
        </w:tc>
        <w:tc>
          <w:tcPr>
            <w:tcW w:w="2032" w:type="dxa"/>
            <w:vMerge w:val="continue"/>
            <w:tcBorders>
              <w:top w:val="nil"/>
            </w:tcBorders>
          </w:tcPr>
          <w:p>
            <w:pPr>
              <w:rPr>
                <w:sz w:val="2"/>
                <w:szCs w:val="2"/>
              </w:rPr>
            </w:pPr>
          </w:p>
        </w:tc>
        <w:tc>
          <w:tcPr>
            <w:tcW w:w="2591" w:type="dxa"/>
          </w:tcPr>
          <w:p>
            <w:pPr>
              <w:pStyle w:val="18"/>
              <w:spacing w:before="30"/>
              <w:ind w:left="746" w:right="741"/>
              <w:rPr>
                <w:sz w:val="21"/>
              </w:rPr>
            </w:pPr>
            <w:r>
              <w:rPr>
                <w:sz w:val="21"/>
              </w:rPr>
              <w:t>切割机</w:t>
            </w:r>
          </w:p>
        </w:tc>
        <w:tc>
          <w:tcPr>
            <w:tcW w:w="2755" w:type="dxa"/>
          </w:tcPr>
          <w:p>
            <w:pPr>
              <w:pStyle w:val="18"/>
              <w:spacing w:before="44"/>
              <w:ind w:left="1200" w:right="1187"/>
              <w:rPr>
                <w:rFonts w:ascii="Times New Roman"/>
                <w:sz w:val="21"/>
              </w:rPr>
            </w:pPr>
            <w:r>
              <w:rPr>
                <w:rFonts w:ascii="Times New Roman"/>
                <w:sz w:val="21"/>
              </w:rPr>
              <w:t>110</w:t>
            </w:r>
          </w:p>
        </w:tc>
      </w:tr>
    </w:tbl>
    <w:p>
      <w:pPr>
        <w:pStyle w:val="7"/>
        <w:spacing w:before="2"/>
        <w:ind w:left="0"/>
        <w:rPr>
          <w:b/>
          <w:sz w:val="19"/>
        </w:rPr>
      </w:pPr>
    </w:p>
    <w:p>
      <w:pPr>
        <w:pStyle w:val="17"/>
        <w:numPr>
          <w:ilvl w:val="3"/>
          <w:numId w:val="29"/>
        </w:numPr>
        <w:tabs>
          <w:tab w:val="left" w:pos="1320"/>
        </w:tabs>
        <w:spacing w:before="1" w:after="0" w:line="240" w:lineRule="auto"/>
        <w:ind w:left="1320" w:right="0" w:hanging="780"/>
        <w:jc w:val="left"/>
        <w:rPr>
          <w:sz w:val="24"/>
        </w:rPr>
      </w:pPr>
      <w:bookmarkStart w:id="186" w:name="3.2.2.4 固体废物"/>
      <w:bookmarkEnd w:id="186"/>
      <w:bookmarkStart w:id="187" w:name="3.2.2.4 固体废物"/>
      <w:bookmarkEnd w:id="187"/>
      <w:r>
        <w:rPr>
          <w:sz w:val="24"/>
        </w:rPr>
        <w:t>固体废物</w:t>
      </w:r>
    </w:p>
    <w:p>
      <w:pPr>
        <w:pStyle w:val="7"/>
        <w:spacing w:before="165" w:line="364" w:lineRule="auto"/>
        <w:ind w:right="577" w:firstLine="480"/>
        <w:jc w:val="both"/>
        <w:rPr>
          <w:spacing w:val="1"/>
        </w:rPr>
      </w:pPr>
      <w:r>
        <w:rPr>
          <w:spacing w:val="-6"/>
        </w:rPr>
        <w:t>本项目施工期产生的土石方全部回填和筑路，无弃土产生，施工期间固体废</w:t>
      </w:r>
      <w:r>
        <w:t>物主要源于施工人员生活垃圾和施工场地产生的建筑垃圾</w:t>
      </w:r>
      <w:r>
        <w:rPr>
          <w:spacing w:val="4"/>
        </w:rPr>
        <w:t>（</w:t>
      </w:r>
      <w:r>
        <w:rPr>
          <w:spacing w:val="1"/>
        </w:rPr>
        <w:t>废弃砖块、废钢筋等）。</w:t>
      </w:r>
    </w:p>
    <w:p>
      <w:pPr>
        <w:pStyle w:val="7"/>
        <w:keepNext w:val="0"/>
        <w:keepLines w:val="0"/>
        <w:pageBreakBefore w:val="0"/>
        <w:widowControl w:val="0"/>
        <w:kinsoku/>
        <w:wordWrap/>
        <w:overflowPunct/>
        <w:topLinePunct w:val="0"/>
        <w:autoSpaceDE w:val="0"/>
        <w:autoSpaceDN w:val="0"/>
        <w:bidi w:val="0"/>
        <w:adjustRightInd/>
        <w:snapToGrid/>
        <w:spacing w:before="0" w:line="365" w:lineRule="auto"/>
        <w:ind w:left="539" w:right="578" w:firstLine="482"/>
        <w:jc w:val="both"/>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建筑垃圾</w:t>
      </w:r>
    </w:p>
    <w:p>
      <w:pPr>
        <w:pStyle w:val="7"/>
        <w:spacing w:before="160" w:line="364" w:lineRule="auto"/>
        <w:ind w:right="577" w:firstLine="480"/>
        <w:jc w:val="both"/>
      </w:pPr>
      <w:r>
        <w:rPr>
          <w:spacing w:val="-8"/>
        </w:rPr>
        <w:t>建筑施工中会产生碎砖块、砂浆、桩头、水泥、钢筋、涂料和包装材料等建</w:t>
      </w:r>
      <w:r>
        <w:rPr>
          <w:spacing w:val="-10"/>
        </w:rPr>
        <w:t>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w:t>
      </w:r>
      <w:r>
        <w:t>的生活垃圾和建筑垃圾不得随意倾倒。</w:t>
      </w:r>
    </w:p>
    <w:p>
      <w:pPr>
        <w:pStyle w:val="17"/>
        <w:numPr>
          <w:ilvl w:val="0"/>
          <w:numId w:val="0"/>
        </w:numPr>
        <w:tabs>
          <w:tab w:val="left" w:pos="1621"/>
        </w:tabs>
        <w:spacing w:before="3" w:after="0" w:line="240" w:lineRule="auto"/>
        <w:ind w:left="1020" w:leftChars="0" w:right="0" w:rightChars="0"/>
        <w:jc w:val="left"/>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生活垃圾</w:t>
      </w:r>
    </w:p>
    <w:p>
      <w:pPr>
        <w:pStyle w:val="7"/>
        <w:spacing w:before="161" w:line="364" w:lineRule="auto"/>
        <w:ind w:right="577" w:firstLine="480"/>
      </w:pPr>
      <w:r>
        <w:rPr>
          <w:spacing w:val="-5"/>
        </w:rPr>
        <w:t>本项目施工期施工人员约</w:t>
      </w:r>
      <w:r>
        <w:rPr>
          <w:rFonts w:ascii="Times New Roman" w:eastAsia="Times New Roman"/>
        </w:rPr>
        <w:t>120</w:t>
      </w:r>
      <w:r>
        <w:rPr>
          <w:spacing w:val="-12"/>
        </w:rPr>
        <w:t>人，均为当地村民，均不在项目区内食宿，施</w:t>
      </w:r>
      <w:r>
        <w:t>工场地内不设置施工营地，无生活垃圾产生。</w:t>
      </w:r>
    </w:p>
    <w:p>
      <w:pPr>
        <w:pStyle w:val="7"/>
        <w:spacing w:before="1" w:line="364" w:lineRule="auto"/>
        <w:ind w:right="577" w:firstLine="480"/>
      </w:pPr>
      <w:r>
        <w:rPr>
          <w:spacing w:val="-6"/>
        </w:rPr>
        <w:t>施工期项目的固体废弃物排放是暂时的，随着施工的结束而减小，通过积极</w:t>
      </w:r>
      <w:r>
        <w:t>有效的施工管理，施工期固体废弃物对环境造成的影响不大。</w:t>
      </w:r>
    </w:p>
    <w:p>
      <w:pPr>
        <w:pStyle w:val="7"/>
        <w:spacing w:before="2"/>
        <w:ind w:left="0"/>
        <w:rPr>
          <w:sz w:val="21"/>
        </w:rPr>
      </w:pPr>
    </w:p>
    <w:p>
      <w:pPr>
        <w:pStyle w:val="5"/>
        <w:numPr>
          <w:ilvl w:val="2"/>
          <w:numId w:val="29"/>
        </w:numPr>
        <w:tabs>
          <w:tab w:val="left" w:pos="1241"/>
        </w:tabs>
        <w:spacing w:before="0" w:after="0" w:line="240" w:lineRule="auto"/>
        <w:ind w:left="1240" w:right="0" w:hanging="701"/>
        <w:jc w:val="left"/>
        <w:outlineLvl w:val="2"/>
      </w:pPr>
      <w:bookmarkStart w:id="188" w:name="_Toc1731"/>
      <w:r>
        <w:t>运营期污染源分析</w:t>
      </w:r>
      <w:bookmarkEnd w:id="188"/>
    </w:p>
    <w:p>
      <w:pPr>
        <w:pStyle w:val="7"/>
        <w:spacing w:before="1"/>
        <w:ind w:left="0"/>
        <w:rPr>
          <w:b/>
          <w:sz w:val="22"/>
        </w:rPr>
      </w:pPr>
    </w:p>
    <w:p>
      <w:pPr>
        <w:pStyle w:val="17"/>
        <w:numPr>
          <w:ilvl w:val="3"/>
          <w:numId w:val="29"/>
        </w:numPr>
        <w:tabs>
          <w:tab w:val="left" w:pos="1320"/>
        </w:tabs>
        <w:spacing w:before="0" w:after="0" w:line="240" w:lineRule="auto"/>
        <w:ind w:left="1320" w:right="0" w:hanging="780"/>
        <w:jc w:val="left"/>
        <w:rPr>
          <w:sz w:val="24"/>
        </w:rPr>
      </w:pPr>
      <w:bookmarkStart w:id="189" w:name="3.2.3.1 运营期大气污染源分析"/>
      <w:bookmarkEnd w:id="189"/>
      <w:bookmarkStart w:id="190" w:name="3.2.3.1 运营期大气污染源分析"/>
      <w:bookmarkEnd w:id="190"/>
      <w:r>
        <w:rPr>
          <w:sz w:val="24"/>
        </w:rPr>
        <w:t>运营期大气污染源分析</w:t>
      </w:r>
    </w:p>
    <w:p>
      <w:pPr>
        <w:pStyle w:val="7"/>
        <w:spacing w:before="168" w:line="364" w:lineRule="auto"/>
        <w:ind w:right="577" w:firstLine="480"/>
      </w:pPr>
      <w:r>
        <w:rPr>
          <w:spacing w:val="-11"/>
        </w:rPr>
        <w:t>本项目采用电采暖。因此，营运期产生的主要大气污染物为养殖区圈舍和堆</w:t>
      </w:r>
      <w:r>
        <w:t>肥厂的恶臭，还有病死羊无害化处理化制废气。</w:t>
      </w:r>
    </w:p>
    <w:p>
      <w:pPr>
        <w:pStyle w:val="17"/>
        <w:numPr>
          <w:ilvl w:val="0"/>
          <w:numId w:val="31"/>
        </w:numPr>
        <w:tabs>
          <w:tab w:val="left" w:pos="1621"/>
        </w:tabs>
        <w:spacing w:before="1" w:after="0" w:line="240" w:lineRule="auto"/>
        <w:ind w:left="1621" w:right="0" w:hanging="601"/>
        <w:jc w:val="left"/>
        <w:rPr>
          <w:sz w:val="24"/>
        </w:rPr>
      </w:pPr>
      <w:r>
        <w:rPr>
          <w:sz w:val="24"/>
        </w:rPr>
        <w:t>羊舍恶臭</w:t>
      </w:r>
    </w:p>
    <w:p>
      <w:pPr>
        <w:pStyle w:val="7"/>
        <w:spacing w:before="161"/>
        <w:ind w:left="1020"/>
      </w:pPr>
      <w:r>
        <w:t>①来源及组成</w:t>
      </w:r>
    </w:p>
    <w:p>
      <w:pPr>
        <w:pStyle w:val="7"/>
        <w:spacing w:before="160"/>
        <w:ind w:left="1020"/>
      </w:pPr>
      <w:r>
        <w:t>本项目羊养殖过程中恶臭气体主要来源于羊圈舍和堆肥厂。</w:t>
      </w:r>
    </w:p>
    <w:p>
      <w:pPr>
        <w:pStyle w:val="7"/>
        <w:spacing w:before="161" w:line="364" w:lineRule="auto"/>
        <w:ind w:right="485" w:firstLine="480"/>
      </w:pPr>
      <w:r>
        <w:t>恶臭是各种气体（异味）</w:t>
      </w:r>
      <w:r>
        <w:rPr>
          <w:spacing w:val="-1"/>
        </w:rPr>
        <w:t>的总称，长期受恶臭污染，会刺激人、畜呼吸道，</w:t>
      </w:r>
      <w:r>
        <w:rPr>
          <w:spacing w:val="-7"/>
        </w:rPr>
        <w:t>可引起呼吸道疾病；恶臭气体使人产生不愉快的感觉，影响人的工作效率，可引起母羊生产力下降。恶臭主要产生类型包括：</w:t>
      </w:r>
    </w:p>
    <w:p>
      <w:pPr>
        <w:pStyle w:val="7"/>
        <w:spacing w:before="2" w:line="362" w:lineRule="auto"/>
        <w:ind w:right="577" w:firstLine="480"/>
      </w:pPr>
      <w:r>
        <w:rPr>
          <w:rFonts w:ascii="Times New Roman" w:eastAsia="Times New Roman"/>
        </w:rPr>
        <w:t>a</w:t>
      </w:r>
      <w:r>
        <w:t>、动物本身：包括羊皮脂腺的分泌物、体外激素、黏附在体表的污物、呼</w:t>
      </w:r>
      <w:r>
        <w:rPr>
          <w:position w:val="2"/>
        </w:rPr>
        <w:t>出气中的</w:t>
      </w:r>
      <w:r>
        <w:rPr>
          <w:rFonts w:ascii="Times New Roman" w:eastAsia="Times New Roman"/>
          <w:position w:val="2"/>
        </w:rPr>
        <w:t>CO</w:t>
      </w:r>
      <w:r>
        <w:rPr>
          <w:rFonts w:ascii="Times New Roman" w:eastAsia="Times New Roman"/>
          <w:position w:val="2"/>
          <w:vertAlign w:val="subscript"/>
        </w:rPr>
        <w:t>2</w:t>
      </w:r>
      <w:r>
        <w:rPr>
          <w:position w:val="2"/>
          <w:vertAlign w:val="baseline"/>
        </w:rPr>
        <w:t>（含量比大气约高</w:t>
      </w:r>
      <w:r>
        <w:rPr>
          <w:rFonts w:ascii="Times New Roman" w:eastAsia="Times New Roman"/>
          <w:position w:val="2"/>
          <w:vertAlign w:val="baseline"/>
        </w:rPr>
        <w:t>100</w:t>
      </w:r>
      <w:r>
        <w:rPr>
          <w:position w:val="2"/>
          <w:vertAlign w:val="baseline"/>
        </w:rPr>
        <w:t>倍）等都会散发出难闻的气味等；</w:t>
      </w:r>
    </w:p>
    <w:p>
      <w:pPr>
        <w:pStyle w:val="7"/>
        <w:spacing w:before="3" w:line="364" w:lineRule="auto"/>
        <w:ind w:right="580" w:firstLine="480"/>
      </w:pPr>
      <w:r>
        <w:rPr>
          <w:rFonts w:ascii="Times New Roman" w:eastAsia="Times New Roman"/>
        </w:rPr>
        <w:t>b</w:t>
      </w:r>
      <w:r>
        <w:t>、饲料：饲料中纤维分解时产生的甲烷、饲料在羊消化道内经过各种消化酶、肠道细菌的作用，会产生吲哚、粪臭素、硫化氢等使粪有臭味的气体；</w:t>
      </w:r>
    </w:p>
    <w:p>
      <w:pPr>
        <w:pStyle w:val="7"/>
        <w:spacing w:before="143" w:line="364" w:lineRule="auto"/>
        <w:ind w:right="457" w:firstLine="480"/>
        <w:jc w:val="both"/>
        <w:rPr>
          <w:vertAlign w:val="baseline"/>
        </w:rPr>
      </w:pPr>
      <w:r>
        <w:rPr>
          <w:rFonts w:ascii="Times New Roman" w:eastAsia="Times New Roman"/>
        </w:rPr>
        <w:t>c</w:t>
      </w:r>
      <w:r>
        <w:t>、粪尿的臭味：羊舍中刚排泄出的粪尿有氨、硫化氢、胺等有害气体，进</w:t>
      </w:r>
      <w:r>
        <w:rPr>
          <w:spacing w:val="-10"/>
        </w:rPr>
        <w:t>而产生甲硫醇、多胺、脂肪酸、吲哚等，在高温季节尤为明显；此外，粪尿在羊</w:t>
      </w:r>
      <w:r>
        <w:rPr>
          <w:spacing w:val="-10"/>
          <w:position w:val="2"/>
        </w:rPr>
        <w:t>舍地下的粪沟内停留，形成厌氧发酵，产生大量的有害气体，如</w:t>
      </w:r>
      <w:r>
        <w:rPr>
          <w:rFonts w:ascii="Times New Roman" w:eastAsia="Times New Roman"/>
          <w:position w:val="2"/>
        </w:rPr>
        <w:t>NH</w:t>
      </w:r>
      <w:r>
        <w:rPr>
          <w:rFonts w:ascii="Times New Roman" w:eastAsia="Times New Roman"/>
          <w:position w:val="2"/>
          <w:vertAlign w:val="subscript"/>
        </w:rPr>
        <w:t>3</w:t>
      </w:r>
      <w:r>
        <w:rPr>
          <w:spacing w:val="-34"/>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34"/>
          <w:position w:val="2"/>
          <w:vertAlign w:val="baseline"/>
        </w:rPr>
        <w:t>、</w:t>
      </w:r>
      <w:r>
        <w:rPr>
          <w:rFonts w:ascii="Times New Roman" w:eastAsia="Times New Roman"/>
          <w:spacing w:val="-8"/>
          <w:position w:val="2"/>
          <w:vertAlign w:val="baseline"/>
        </w:rPr>
        <w:t>CH</w:t>
      </w:r>
      <w:r>
        <w:rPr>
          <w:rFonts w:ascii="Times New Roman" w:eastAsia="Times New Roman"/>
          <w:spacing w:val="-8"/>
          <w:position w:val="2"/>
          <w:vertAlign w:val="subscript"/>
        </w:rPr>
        <w:t>4</w:t>
      </w:r>
      <w:r>
        <w:rPr>
          <w:vertAlign w:val="baseline"/>
        </w:rPr>
        <w:t>等恶化室内空气环境；</w:t>
      </w:r>
    </w:p>
    <w:p>
      <w:pPr>
        <w:pStyle w:val="7"/>
        <w:spacing w:before="143" w:line="364" w:lineRule="auto"/>
        <w:ind w:right="457" w:firstLine="480"/>
        <w:jc w:val="both"/>
      </w:pPr>
      <w:r>
        <w:rPr>
          <w:spacing w:val="2"/>
        </w:rPr>
        <w:t>恶臭主要由羊排泄物引发，羊排泄物组成主要包括碳水化合物和含氮化合</w:t>
      </w:r>
      <w:r>
        <w:rPr>
          <w:spacing w:val="-10"/>
        </w:rPr>
        <w:t>物，它们在有氧条件下会彻底氧化，不会产生恶臭。绝大部分恶臭均是这些有机</w:t>
      </w:r>
      <w:r>
        <w:rPr>
          <w:spacing w:val="-8"/>
        </w:rPr>
        <w:t>物在合适的条件下经过慢性厌氧发酵而形成的。研究表明，排泄物在</w:t>
      </w:r>
      <w:r>
        <w:rPr>
          <w:rFonts w:ascii="Times New Roman" w:hAnsi="Times New Roman" w:eastAsia="Times New Roman"/>
        </w:rPr>
        <w:t>18</w:t>
      </w:r>
      <w:r>
        <w:t>℃的情</w:t>
      </w:r>
      <w:r>
        <w:rPr>
          <w:spacing w:val="-13"/>
        </w:rPr>
        <w:t>况下经</w:t>
      </w:r>
      <w:r>
        <w:rPr>
          <w:rFonts w:ascii="Times New Roman" w:hAnsi="Times New Roman" w:eastAsia="Times New Roman"/>
        </w:rPr>
        <w:t>70d</w:t>
      </w:r>
      <w:r>
        <w:rPr>
          <w:spacing w:val="-11"/>
        </w:rPr>
        <w:t>以后，有</w:t>
      </w:r>
      <w:r>
        <w:rPr>
          <w:rFonts w:ascii="Times New Roman" w:hAnsi="Times New Roman" w:eastAsia="Times New Roman"/>
        </w:rPr>
        <w:t>24%</w:t>
      </w:r>
      <w:r>
        <w:rPr>
          <w:spacing w:val="-6"/>
        </w:rPr>
        <w:t>的植物纤维片段和</w:t>
      </w:r>
      <w:r>
        <w:rPr>
          <w:rFonts w:ascii="Times New Roman" w:hAnsi="Times New Roman" w:eastAsia="Times New Roman"/>
        </w:rPr>
        <w:t>43%</w:t>
      </w:r>
      <w:r>
        <w:t>的粗蛋白发生降解，碳水化合</w:t>
      </w:r>
      <w:r>
        <w:rPr>
          <w:spacing w:val="-6"/>
        </w:rPr>
        <w:t>物会转化成挥发性脂肪酸、醇类及二氧化碳等，这些物质略带臭味和酸味。含氮</w:t>
      </w:r>
      <w:r>
        <w:rPr>
          <w:spacing w:val="-13"/>
        </w:rPr>
        <w:t>化合物会转化生成氨、硫酸、乙烯醇、二甲基硫醚、硫化氢、三甲胺等，这些气</w:t>
      </w:r>
      <w:r>
        <w:rPr>
          <w:spacing w:val="-15"/>
        </w:rPr>
        <w:t>体有的具有腐败洋葱臭，有的具有腐败的蛋臭、鱼臭等。各种具有不同的气味的气体混合在一起，也即人们常说的恶臭。恶臭的成分复杂，现已鉴定出的恶臭成</w:t>
      </w:r>
      <w:r>
        <w:rPr>
          <w:spacing w:val="-21"/>
        </w:rPr>
        <w:t>分在羊粪尿中有</w:t>
      </w:r>
      <w:r>
        <w:rPr>
          <w:rFonts w:ascii="Times New Roman" w:hAnsi="Times New Roman" w:eastAsia="Times New Roman"/>
        </w:rPr>
        <w:t>94</w:t>
      </w:r>
      <w:r>
        <w:rPr>
          <w:spacing w:val="-9"/>
        </w:rPr>
        <w:t>种，这些恶臭成分可分为挥发性脂肪酸、醇类、酚类、酸类、</w:t>
      </w:r>
    </w:p>
    <w:p>
      <w:pPr>
        <w:pStyle w:val="7"/>
        <w:spacing w:before="5" w:line="364" w:lineRule="auto"/>
        <w:ind w:right="577"/>
        <w:jc w:val="both"/>
      </w:pPr>
      <w:r>
        <w:rPr>
          <w:spacing w:val="-13"/>
        </w:rPr>
        <w:t>醛类、酮类、胺类、硫醇类，以及含氮杂环化合物等</w:t>
      </w:r>
      <w:r>
        <w:rPr>
          <w:rFonts w:ascii="Times New Roman" w:eastAsia="Times New Roman"/>
        </w:rPr>
        <w:t>9</w:t>
      </w:r>
      <w:r>
        <w:rPr>
          <w:spacing w:val="-4"/>
        </w:rPr>
        <w:t>类有机化合物和氨、硫化</w:t>
      </w:r>
      <w:r>
        <w:t>氢两种无机物。</w:t>
      </w:r>
    </w:p>
    <w:p>
      <w:pPr>
        <w:pStyle w:val="7"/>
        <w:spacing w:before="1"/>
        <w:ind w:left="1020"/>
        <w:jc w:val="both"/>
      </w:pPr>
      <w:r>
        <w:t>几种主要恶臭物质的理化性质见表</w:t>
      </w:r>
      <w:r>
        <w:rPr>
          <w:rFonts w:ascii="Times New Roman" w:eastAsia="Times New Roman"/>
        </w:rPr>
        <w:t>3.2-4</w:t>
      </w:r>
      <w:r>
        <w:t>：</w:t>
      </w:r>
    </w:p>
    <w:p>
      <w:pPr>
        <w:pStyle w:val="7"/>
        <w:spacing w:before="9"/>
        <w:ind w:left="0"/>
        <w:rPr>
          <w:sz w:val="18"/>
        </w:rPr>
      </w:pPr>
    </w:p>
    <w:p>
      <w:pPr>
        <w:pStyle w:val="7"/>
        <w:bidi w:val="0"/>
        <w:jc w:val="center"/>
      </w:pPr>
      <w:r>
        <w:t>表</w:t>
      </w:r>
      <w:r>
        <w:rPr>
          <w:rFonts w:ascii="Times New Roman" w:eastAsia="Times New Roman"/>
        </w:rPr>
        <w:t>3.2-4</w:t>
      </w:r>
      <w:r>
        <w:rPr>
          <w:rFonts w:ascii="Times New Roman" w:eastAsia="Times New Roman"/>
        </w:rPr>
        <w:tab/>
      </w:r>
      <w:r>
        <w:t>主要恶臭物质理化性质</w:t>
      </w:r>
    </w:p>
    <w:tbl>
      <w:tblPr>
        <w:tblStyle w:val="14"/>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2"/>
        <w:gridCol w:w="2132"/>
        <w:gridCol w:w="2132"/>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8"/>
              <w:spacing w:before="35"/>
              <w:ind w:left="315" w:right="303"/>
              <w:rPr>
                <w:b/>
                <w:sz w:val="21"/>
              </w:rPr>
            </w:pPr>
            <w:r>
              <w:rPr>
                <w:b/>
                <w:sz w:val="21"/>
              </w:rPr>
              <w:t>恶臭物质</w:t>
            </w:r>
          </w:p>
        </w:tc>
        <w:tc>
          <w:tcPr>
            <w:tcW w:w="2132" w:type="dxa"/>
          </w:tcPr>
          <w:p>
            <w:pPr>
              <w:pStyle w:val="18"/>
              <w:spacing w:before="35"/>
              <w:ind w:left="314" w:right="304"/>
              <w:rPr>
                <w:b/>
                <w:sz w:val="21"/>
              </w:rPr>
            </w:pPr>
            <w:r>
              <w:rPr>
                <w:b/>
                <w:sz w:val="21"/>
              </w:rPr>
              <w:t>分子式</w:t>
            </w:r>
          </w:p>
        </w:tc>
        <w:tc>
          <w:tcPr>
            <w:tcW w:w="2132" w:type="dxa"/>
          </w:tcPr>
          <w:p>
            <w:pPr>
              <w:pStyle w:val="18"/>
              <w:spacing w:before="35"/>
              <w:ind w:left="315" w:right="304"/>
              <w:rPr>
                <w:b/>
                <w:sz w:val="21"/>
              </w:rPr>
            </w:pPr>
            <w:r>
              <w:rPr>
                <w:b/>
                <w:sz w:val="21"/>
              </w:rPr>
              <w:t>臭阈值（</w:t>
            </w:r>
            <w:r>
              <w:rPr>
                <w:rFonts w:ascii="Times New Roman" w:eastAsia="Times New Roman"/>
                <w:b/>
                <w:sz w:val="21"/>
              </w:rPr>
              <w:t>ppm</w:t>
            </w:r>
            <w:r>
              <w:rPr>
                <w:b/>
                <w:sz w:val="21"/>
              </w:rPr>
              <w:t>）</w:t>
            </w:r>
          </w:p>
        </w:tc>
        <w:tc>
          <w:tcPr>
            <w:tcW w:w="2132" w:type="dxa"/>
          </w:tcPr>
          <w:p>
            <w:pPr>
              <w:pStyle w:val="18"/>
              <w:spacing w:before="35"/>
              <w:ind w:left="315" w:right="303"/>
              <w:rPr>
                <w:b/>
                <w:sz w:val="21"/>
              </w:rPr>
            </w:pPr>
            <w:r>
              <w:rPr>
                <w:b/>
                <w:sz w:val="21"/>
              </w:rPr>
              <w:t>臭气特征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8"/>
              <w:spacing w:before="36"/>
              <w:ind w:left="314" w:right="304"/>
              <w:rPr>
                <w:sz w:val="21"/>
              </w:rPr>
            </w:pPr>
            <w:r>
              <w:rPr>
                <w:sz w:val="21"/>
              </w:rPr>
              <w:t>三甲胺</w:t>
            </w:r>
          </w:p>
        </w:tc>
        <w:tc>
          <w:tcPr>
            <w:tcW w:w="2132" w:type="dxa"/>
          </w:tcPr>
          <w:p>
            <w:pPr>
              <w:pStyle w:val="18"/>
              <w:spacing w:before="46"/>
              <w:ind w:left="314" w:right="304"/>
              <w:rPr>
                <w:rFonts w:ascii="Times New Roman"/>
                <w:sz w:val="21"/>
              </w:rPr>
            </w:pPr>
            <w:r>
              <w:rPr>
                <w:rFonts w:ascii="Times New Roman"/>
                <w:position w:val="2"/>
                <w:sz w:val="21"/>
              </w:rPr>
              <w:t>C</w:t>
            </w:r>
            <w:r>
              <w:rPr>
                <w:rFonts w:ascii="Times New Roman"/>
                <w:position w:val="2"/>
                <w:sz w:val="21"/>
                <w:vertAlign w:val="subscript"/>
              </w:rPr>
              <w:t>3</w:t>
            </w:r>
            <w:r>
              <w:rPr>
                <w:rFonts w:ascii="Times New Roman"/>
                <w:position w:val="2"/>
                <w:sz w:val="21"/>
                <w:vertAlign w:val="baseline"/>
              </w:rPr>
              <w:t>H</w:t>
            </w:r>
            <w:r>
              <w:rPr>
                <w:rFonts w:ascii="Times New Roman"/>
                <w:position w:val="2"/>
                <w:sz w:val="21"/>
                <w:vertAlign w:val="subscript"/>
              </w:rPr>
              <w:t>9</w:t>
            </w:r>
            <w:r>
              <w:rPr>
                <w:rFonts w:ascii="Times New Roman"/>
                <w:position w:val="2"/>
                <w:sz w:val="21"/>
                <w:vertAlign w:val="baseline"/>
              </w:rPr>
              <w:t>N</w:t>
            </w:r>
          </w:p>
        </w:tc>
        <w:tc>
          <w:tcPr>
            <w:tcW w:w="2132" w:type="dxa"/>
          </w:tcPr>
          <w:p>
            <w:pPr>
              <w:pStyle w:val="18"/>
              <w:spacing w:before="50"/>
              <w:ind w:left="312" w:right="304"/>
              <w:rPr>
                <w:rFonts w:ascii="Times New Roman"/>
                <w:sz w:val="21"/>
              </w:rPr>
            </w:pPr>
            <w:r>
              <w:rPr>
                <w:rFonts w:ascii="Times New Roman"/>
                <w:sz w:val="21"/>
              </w:rPr>
              <w:t>0.000027</w:t>
            </w:r>
          </w:p>
        </w:tc>
        <w:tc>
          <w:tcPr>
            <w:tcW w:w="2132" w:type="dxa"/>
          </w:tcPr>
          <w:p>
            <w:pPr>
              <w:pStyle w:val="18"/>
              <w:spacing w:before="36"/>
              <w:ind w:left="311" w:right="304"/>
              <w:rPr>
                <w:sz w:val="21"/>
              </w:rPr>
            </w:pPr>
            <w:r>
              <w:rPr>
                <w:sz w:val="21"/>
              </w:rPr>
              <w:t>鱼腥恶臭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8"/>
              <w:spacing w:before="34"/>
              <w:ind w:left="7"/>
              <w:rPr>
                <w:sz w:val="21"/>
              </w:rPr>
            </w:pPr>
            <w:r>
              <w:rPr>
                <w:w w:val="99"/>
                <w:sz w:val="21"/>
              </w:rPr>
              <w:t>氨</w:t>
            </w:r>
          </w:p>
        </w:tc>
        <w:tc>
          <w:tcPr>
            <w:tcW w:w="2132" w:type="dxa"/>
          </w:tcPr>
          <w:p>
            <w:pPr>
              <w:pStyle w:val="18"/>
              <w:spacing w:before="47"/>
              <w:ind w:left="313" w:right="304"/>
              <w:rPr>
                <w:rFonts w:ascii="Times New Roman"/>
                <w:sz w:val="21"/>
              </w:rPr>
            </w:pPr>
            <w:r>
              <w:rPr>
                <w:rFonts w:ascii="Times New Roman"/>
                <w:position w:val="2"/>
                <w:sz w:val="21"/>
              </w:rPr>
              <w:t>NH</w:t>
            </w:r>
            <w:r>
              <w:rPr>
                <w:rFonts w:ascii="Times New Roman"/>
                <w:position w:val="2"/>
                <w:sz w:val="21"/>
                <w:vertAlign w:val="subscript"/>
              </w:rPr>
              <w:t>3</w:t>
            </w:r>
          </w:p>
        </w:tc>
        <w:tc>
          <w:tcPr>
            <w:tcW w:w="2132" w:type="dxa"/>
          </w:tcPr>
          <w:p>
            <w:pPr>
              <w:pStyle w:val="18"/>
              <w:spacing w:before="48"/>
              <w:ind w:left="314" w:right="304"/>
              <w:rPr>
                <w:rFonts w:ascii="Times New Roman"/>
                <w:sz w:val="21"/>
              </w:rPr>
            </w:pPr>
            <w:r>
              <w:rPr>
                <w:rFonts w:ascii="Times New Roman"/>
                <w:sz w:val="21"/>
              </w:rPr>
              <w:t>1.54</w:t>
            </w:r>
          </w:p>
        </w:tc>
        <w:tc>
          <w:tcPr>
            <w:tcW w:w="2132" w:type="dxa"/>
          </w:tcPr>
          <w:p>
            <w:pPr>
              <w:pStyle w:val="18"/>
              <w:spacing w:before="34"/>
              <w:ind w:left="311" w:right="304"/>
              <w:rPr>
                <w:sz w:val="21"/>
              </w:rPr>
            </w:pPr>
            <w:r>
              <w:rPr>
                <w:sz w:val="21"/>
              </w:rPr>
              <w:t>刺激性气味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8"/>
              <w:spacing w:before="34"/>
              <w:ind w:left="314" w:right="304"/>
              <w:rPr>
                <w:sz w:val="21"/>
              </w:rPr>
            </w:pPr>
            <w:r>
              <w:rPr>
                <w:sz w:val="21"/>
              </w:rPr>
              <w:t>硫化氢</w:t>
            </w:r>
          </w:p>
        </w:tc>
        <w:tc>
          <w:tcPr>
            <w:tcW w:w="2132" w:type="dxa"/>
          </w:tcPr>
          <w:p>
            <w:pPr>
              <w:pStyle w:val="18"/>
              <w:spacing w:before="45"/>
              <w:ind w:left="311" w:right="304"/>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2132" w:type="dxa"/>
          </w:tcPr>
          <w:p>
            <w:pPr>
              <w:pStyle w:val="18"/>
              <w:spacing w:before="48"/>
              <w:ind w:left="312" w:right="304"/>
              <w:rPr>
                <w:rFonts w:ascii="Times New Roman"/>
                <w:sz w:val="21"/>
              </w:rPr>
            </w:pPr>
            <w:r>
              <w:rPr>
                <w:rFonts w:ascii="Times New Roman"/>
                <w:sz w:val="21"/>
              </w:rPr>
              <w:t>0.0041</w:t>
            </w:r>
          </w:p>
        </w:tc>
        <w:tc>
          <w:tcPr>
            <w:tcW w:w="2132" w:type="dxa"/>
          </w:tcPr>
          <w:p>
            <w:pPr>
              <w:pStyle w:val="18"/>
              <w:spacing w:before="34"/>
              <w:ind w:left="311" w:right="304"/>
              <w:rPr>
                <w:sz w:val="21"/>
              </w:rPr>
            </w:pPr>
            <w:r>
              <w:rPr>
                <w:sz w:val="21"/>
              </w:rPr>
              <w:t>臭鸡蛋气味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8"/>
              <w:spacing w:before="34"/>
              <w:ind w:left="311" w:right="304"/>
              <w:rPr>
                <w:sz w:val="21"/>
              </w:rPr>
            </w:pPr>
            <w:r>
              <w:rPr>
                <w:sz w:val="21"/>
              </w:rPr>
              <w:t>粪臭基硫酸</w:t>
            </w:r>
          </w:p>
        </w:tc>
        <w:tc>
          <w:tcPr>
            <w:tcW w:w="2132" w:type="dxa"/>
          </w:tcPr>
          <w:p>
            <w:pPr>
              <w:pStyle w:val="18"/>
              <w:spacing w:before="48"/>
              <w:ind w:left="8"/>
              <w:rPr>
                <w:rFonts w:ascii="Times New Roman"/>
                <w:sz w:val="21"/>
              </w:rPr>
            </w:pPr>
            <w:r>
              <w:rPr>
                <w:rFonts w:ascii="Times New Roman"/>
                <w:w w:val="99"/>
                <w:sz w:val="21"/>
              </w:rPr>
              <w:t>/</w:t>
            </w:r>
          </w:p>
        </w:tc>
        <w:tc>
          <w:tcPr>
            <w:tcW w:w="2132" w:type="dxa"/>
          </w:tcPr>
          <w:p>
            <w:pPr>
              <w:pStyle w:val="18"/>
              <w:spacing w:before="48"/>
              <w:ind w:left="314" w:right="304"/>
              <w:rPr>
                <w:rFonts w:ascii="Times New Roman"/>
                <w:sz w:val="21"/>
              </w:rPr>
            </w:pPr>
            <w:r>
              <w:rPr>
                <w:rFonts w:ascii="Times New Roman"/>
                <w:sz w:val="21"/>
              </w:rPr>
              <w:t>0.0000056</w:t>
            </w:r>
          </w:p>
        </w:tc>
        <w:tc>
          <w:tcPr>
            <w:tcW w:w="2132" w:type="dxa"/>
          </w:tcPr>
          <w:p>
            <w:pPr>
              <w:pStyle w:val="18"/>
              <w:spacing w:before="34"/>
              <w:ind w:left="311" w:right="304"/>
              <w:rPr>
                <w:sz w:val="21"/>
              </w:rPr>
            </w:pPr>
            <w:r>
              <w:rPr>
                <w:sz w:val="21"/>
              </w:rPr>
              <w:t>粪便臭味</w:t>
            </w:r>
          </w:p>
        </w:tc>
      </w:tr>
    </w:tbl>
    <w:p>
      <w:pPr>
        <w:pStyle w:val="7"/>
        <w:spacing w:before="7"/>
        <w:ind w:left="0"/>
        <w:rPr>
          <w:b/>
          <w:sz w:val="18"/>
        </w:rPr>
      </w:pPr>
    </w:p>
    <w:p>
      <w:pPr>
        <w:pStyle w:val="7"/>
        <w:ind w:left="1020"/>
        <w:jc w:val="both"/>
      </w:pPr>
      <w:r>
        <w:t>②恶臭气体源强</w:t>
      </w:r>
    </w:p>
    <w:p>
      <w:pPr>
        <w:pStyle w:val="7"/>
        <w:spacing w:before="158" w:line="364" w:lineRule="auto"/>
        <w:ind w:right="575" w:firstLine="480"/>
        <w:jc w:val="both"/>
        <w:rPr>
          <w:color w:val="0000FF"/>
        </w:rPr>
      </w:pPr>
      <w:r>
        <w:rPr>
          <w:color w:val="0000FF"/>
          <w:spacing w:val="-6"/>
          <w:position w:val="2"/>
        </w:rPr>
        <w:t>本项目恶臭气体考虑</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3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6"/>
          <w:position w:val="2"/>
          <w:vertAlign w:val="baseline"/>
        </w:rPr>
        <w:t>为主要污染物，恶臭气体产生源主要为羊舍</w:t>
      </w:r>
      <w:r>
        <w:rPr>
          <w:color w:val="0000FF"/>
          <w:vertAlign w:val="baseline"/>
        </w:rPr>
        <w:t>和堆肥厂。</w:t>
      </w:r>
    </w:p>
    <w:p>
      <w:pPr>
        <w:pStyle w:val="7"/>
        <w:spacing w:line="364" w:lineRule="auto"/>
        <w:ind w:right="577" w:firstLine="480"/>
        <w:jc w:val="both"/>
        <w:rPr>
          <w:color w:val="0000FF"/>
        </w:rPr>
      </w:pPr>
      <w:r>
        <w:rPr>
          <w:color w:val="0000FF"/>
          <w:spacing w:val="-5"/>
        </w:rPr>
        <w:t>本次评价采用资料调查法参考相关文献报道确定恶臭污染物源强。按照总存</w:t>
      </w:r>
      <w:r>
        <w:rPr>
          <w:color w:val="0000FF"/>
          <w:spacing w:val="-7"/>
        </w:rPr>
        <w:t>栏量核算有粪污中挥发出的恶臭物质量，将整个养羊场作为一个面源分析预测项</w:t>
      </w:r>
      <w:r>
        <w:rPr>
          <w:color w:val="0000FF"/>
          <w:spacing w:val="-8"/>
        </w:rPr>
        <w:t>目恶臭污染物的环境影响情况，以总存栏量产生的粪污所挥发的恶臭物质总量作</w:t>
      </w:r>
      <w:r>
        <w:rPr>
          <w:color w:val="0000FF"/>
        </w:rPr>
        <w:t>为恶臭物质排放源强。</w:t>
      </w:r>
    </w:p>
    <w:p>
      <w:pPr>
        <w:pStyle w:val="7"/>
        <w:spacing w:before="33" w:line="343" w:lineRule="auto"/>
        <w:ind w:right="575" w:firstLine="480"/>
        <w:jc w:val="both"/>
        <w:rPr>
          <w:rFonts w:hint="default" w:ascii="Times New Roman" w:eastAsia="宋体"/>
          <w:color w:val="0000FF"/>
          <w:lang w:val="en-US" w:eastAsia="zh-CN"/>
        </w:rPr>
      </w:pPr>
      <w:r>
        <w:rPr>
          <w:color w:val="0000FF"/>
          <w:spacing w:val="-6"/>
        </w:rPr>
        <w:t>养羊场恶臭主要来自养羊棚舍和堆肥厂，其产生源分布面较广，均为低矮面</w:t>
      </w:r>
      <w:r>
        <w:rPr>
          <w:color w:val="0000FF"/>
          <w:spacing w:val="-4"/>
        </w:rPr>
        <w:t>源。根据《畜禽养殖业污染物排放标准》</w:t>
      </w:r>
      <w:r>
        <w:rPr>
          <w:color w:val="0000FF"/>
        </w:rPr>
        <w:t>（</w:t>
      </w:r>
      <w:r>
        <w:rPr>
          <w:rFonts w:ascii="Times New Roman" w:eastAsia="Times New Roman"/>
          <w:color w:val="0000FF"/>
        </w:rPr>
        <w:t>GB1859-2001</w:t>
      </w:r>
      <w:r>
        <w:rPr>
          <w:color w:val="0000FF"/>
        </w:rPr>
        <w:t>）</w:t>
      </w:r>
      <w:r>
        <w:rPr>
          <w:color w:val="0000FF"/>
          <w:spacing w:val="-4"/>
        </w:rPr>
        <w:t>的规定，将肉羊的养</w:t>
      </w:r>
      <w:r>
        <w:rPr>
          <w:color w:val="0000FF"/>
        </w:rPr>
        <w:t>殖量换算成猪的养殖量，换算比例为：</w:t>
      </w:r>
      <w:r>
        <w:rPr>
          <w:rFonts w:ascii="Times New Roman" w:eastAsia="Times New Roman"/>
          <w:color w:val="0000FF"/>
        </w:rPr>
        <w:t>3</w:t>
      </w:r>
      <w:r>
        <w:rPr>
          <w:color w:val="0000FF"/>
          <w:spacing w:val="-10"/>
        </w:rPr>
        <w:t>只羊换算成</w:t>
      </w:r>
      <w:r>
        <w:rPr>
          <w:rFonts w:ascii="Times New Roman" w:eastAsia="Times New Roman"/>
          <w:color w:val="0000FF"/>
        </w:rPr>
        <w:t>1</w:t>
      </w:r>
      <w:r>
        <w:rPr>
          <w:color w:val="0000FF"/>
          <w:spacing w:val="-6"/>
        </w:rPr>
        <w:t>头猪，本项目羊存栏量</w:t>
      </w:r>
      <w:r>
        <w:rPr>
          <w:rFonts w:hint="eastAsia"/>
          <w:color w:val="0000FF"/>
          <w:spacing w:val="-6"/>
          <w:lang w:val="en-US" w:eastAsia="zh-CN"/>
        </w:rPr>
        <w:t>10</w:t>
      </w:r>
    </w:p>
    <w:p>
      <w:pPr>
        <w:pStyle w:val="7"/>
        <w:spacing w:before="1" w:line="343" w:lineRule="auto"/>
        <w:ind w:right="577"/>
        <w:jc w:val="both"/>
        <w:rPr>
          <w:color w:val="0000FF"/>
        </w:rPr>
      </w:pPr>
      <w:r>
        <w:rPr>
          <w:color w:val="0000FF"/>
          <w:spacing w:val="-11"/>
        </w:rPr>
        <w:t>万只，羊换算后的量为</w:t>
      </w:r>
      <w:r>
        <w:rPr>
          <w:rFonts w:hint="eastAsia"/>
          <w:color w:val="0000FF"/>
          <w:spacing w:val="-11"/>
          <w:lang w:val="en-US" w:eastAsia="zh-CN"/>
        </w:rPr>
        <w:t>3.3</w:t>
      </w:r>
      <w:r>
        <w:rPr>
          <w:color w:val="0000FF"/>
          <w:spacing w:val="-9"/>
        </w:rPr>
        <w:t>万头猪。本次评价养羊场恶臭排放源强参照《第一次全</w:t>
      </w:r>
      <w:r>
        <w:rPr>
          <w:color w:val="0000FF"/>
          <w:spacing w:val="-5"/>
        </w:rPr>
        <w:t>国污染源普查畜禽养殖业源产排污系数手册》中猪的相关数据</w:t>
      </w:r>
      <w:r>
        <w:rPr>
          <w:color w:val="0000FF"/>
        </w:rPr>
        <w:t>（</w:t>
      </w:r>
      <w:r>
        <w:rPr>
          <w:color w:val="0000FF"/>
          <w:spacing w:val="-3"/>
        </w:rPr>
        <w:t>一头生猪一天产</w:t>
      </w:r>
      <w:r>
        <w:rPr>
          <w:color w:val="0000FF"/>
          <w:spacing w:val="-8"/>
          <w:position w:val="2"/>
        </w:rPr>
        <w:t>生的全氮为</w:t>
      </w:r>
      <w:r>
        <w:rPr>
          <w:rFonts w:ascii="Times New Roman" w:eastAsia="Times New Roman"/>
          <w:color w:val="0000FF"/>
          <w:position w:val="2"/>
        </w:rPr>
        <w:t>36.77g</w:t>
      </w:r>
      <w:r>
        <w:rPr>
          <w:color w:val="0000FF"/>
          <w:position w:val="2"/>
        </w:rPr>
        <w:t>）</w:t>
      </w:r>
      <w:r>
        <w:rPr>
          <w:color w:val="0000FF"/>
          <w:spacing w:val="-3"/>
          <w:position w:val="2"/>
        </w:rPr>
        <w:t>进行计算，恶臭无组织排放氮转化为</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挥发的比率约为</w:t>
      </w:r>
      <w:r>
        <w:rPr>
          <w:rFonts w:ascii="Times New Roman" w:eastAsia="Times New Roman"/>
          <w:color w:val="0000FF"/>
          <w:position w:val="2"/>
        </w:rPr>
        <w:t>1%</w:t>
      </w:r>
      <w:r>
        <w:rPr>
          <w:color w:val="0000FF"/>
          <w:position w:val="2"/>
        </w:rPr>
        <w:t>，</w:t>
      </w:r>
      <w:r>
        <w:rPr>
          <w:rFonts w:ascii="Times New Roman" w:eastAsia="Times New Roman"/>
          <w:color w:val="0000FF"/>
          <w:position w:val="2"/>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约为</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的</w:t>
      </w:r>
      <w:r>
        <w:rPr>
          <w:rFonts w:ascii="Times New Roman" w:eastAsia="Times New Roman"/>
          <w:color w:val="0000FF"/>
          <w:position w:val="2"/>
          <w:vertAlign w:val="baseline"/>
        </w:rPr>
        <w:t>10%</w:t>
      </w:r>
      <w:r>
        <w:rPr>
          <w:color w:val="0000FF"/>
          <w:position w:val="2"/>
          <w:vertAlign w:val="baseline"/>
        </w:rPr>
        <w:t>。项目羊存栏量</w:t>
      </w:r>
      <w:r>
        <w:rPr>
          <w:rFonts w:hint="eastAsia"/>
          <w:color w:val="0000FF"/>
          <w:position w:val="2"/>
          <w:vertAlign w:val="baseline"/>
          <w:lang w:val="en-US" w:eastAsia="zh-CN"/>
        </w:rPr>
        <w:t>10</w:t>
      </w:r>
      <w:r>
        <w:rPr>
          <w:color w:val="0000FF"/>
          <w:position w:val="2"/>
          <w:vertAlign w:val="baseline"/>
        </w:rPr>
        <w:t>万只，则项目的</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的排放量约为</w:t>
      </w:r>
    </w:p>
    <w:p>
      <w:pPr>
        <w:pStyle w:val="7"/>
        <w:spacing w:before="128" w:line="340" w:lineRule="auto"/>
        <w:ind w:right="501"/>
        <w:rPr>
          <w:color w:val="0000FF"/>
        </w:rPr>
      </w:pPr>
      <w:r>
        <w:rPr>
          <w:rFonts w:ascii="Times New Roman" w:eastAsia="Times New Roman"/>
          <w:color w:val="0000FF"/>
          <w:position w:val="2"/>
        </w:rPr>
        <w:t>0.</w:t>
      </w:r>
      <w:r>
        <w:rPr>
          <w:rFonts w:hint="eastAsia" w:ascii="Times New Roman" w:eastAsia="宋体"/>
          <w:color w:val="0000FF"/>
          <w:position w:val="2"/>
          <w:lang w:val="en-US" w:eastAsia="zh-CN"/>
        </w:rPr>
        <w:t>50949</w:t>
      </w:r>
      <w:r>
        <w:rPr>
          <w:rFonts w:ascii="Times New Roman" w:eastAsia="Times New Roman"/>
          <w:color w:val="0000FF"/>
          <w:position w:val="2"/>
        </w:rPr>
        <w:t>kg/h</w:t>
      </w:r>
      <w:r>
        <w:rPr>
          <w:color w:val="0000FF"/>
          <w:position w:val="2"/>
        </w:rPr>
        <w:t>（</w:t>
      </w:r>
      <w:r>
        <w:rPr>
          <w:rFonts w:hint="eastAsia" w:ascii="Times New Roman" w:eastAsia="宋体"/>
          <w:color w:val="0000FF"/>
          <w:position w:val="2"/>
          <w:lang w:val="en-US" w:eastAsia="zh-CN"/>
        </w:rPr>
        <w:t>4.4286</w:t>
      </w:r>
      <w:r>
        <w:rPr>
          <w:rFonts w:ascii="Times New Roman" w:eastAsia="Times New Roman"/>
          <w:color w:val="0000FF"/>
          <w:position w:val="2"/>
        </w:rPr>
        <w:t>t/a</w:t>
      </w:r>
      <w:r>
        <w:rPr>
          <w:color w:val="0000FF"/>
          <w:position w:val="2"/>
        </w:rPr>
        <w:t>），</w:t>
      </w:r>
      <w:r>
        <w:rPr>
          <w:rFonts w:ascii="Times New Roman" w:eastAsia="Times New Roman"/>
          <w:color w:val="0000FF"/>
          <w:position w:val="2"/>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的排放量约为</w:t>
      </w:r>
      <w:r>
        <w:rPr>
          <w:rFonts w:hint="eastAsia" w:ascii="Times New Roman" w:eastAsia="宋体"/>
          <w:color w:val="0000FF"/>
          <w:position w:val="2"/>
          <w:vertAlign w:val="baseline"/>
          <w:lang w:val="en-US" w:eastAsia="zh-CN"/>
        </w:rPr>
        <w:t>0.05095</w:t>
      </w:r>
      <w:r>
        <w:rPr>
          <w:rFonts w:ascii="Times New Roman" w:eastAsia="Times New Roman"/>
          <w:color w:val="0000FF"/>
          <w:position w:val="2"/>
          <w:vertAlign w:val="baseline"/>
        </w:rPr>
        <w:t>kg/h</w:t>
      </w:r>
      <w:r>
        <w:rPr>
          <w:color w:val="0000FF"/>
          <w:position w:val="2"/>
          <w:vertAlign w:val="baseline"/>
        </w:rPr>
        <w:t>（</w:t>
      </w:r>
      <w:r>
        <w:rPr>
          <w:rFonts w:hint="eastAsia" w:ascii="Times New Roman" w:eastAsia="宋体"/>
          <w:color w:val="0000FF"/>
          <w:position w:val="2"/>
          <w:vertAlign w:val="baseline"/>
          <w:lang w:val="en-US" w:eastAsia="zh-CN"/>
        </w:rPr>
        <w:t>0.4468</w:t>
      </w:r>
      <w:r>
        <w:rPr>
          <w:rFonts w:ascii="Times New Roman" w:eastAsia="Times New Roman"/>
          <w:color w:val="0000FF"/>
          <w:position w:val="2"/>
          <w:vertAlign w:val="baseline"/>
        </w:rPr>
        <w:t>t/a</w:t>
      </w:r>
      <w:r>
        <w:rPr>
          <w:color w:val="0000FF"/>
          <w:position w:val="2"/>
          <w:vertAlign w:val="baseline"/>
        </w:rPr>
        <w:t>），排放方式为</w:t>
      </w:r>
      <w:r>
        <w:rPr>
          <w:color w:val="0000FF"/>
          <w:vertAlign w:val="baseline"/>
        </w:rPr>
        <w:t>无组织排放的面源。</w:t>
      </w:r>
    </w:p>
    <w:p>
      <w:pPr>
        <w:pStyle w:val="7"/>
        <w:spacing w:line="280" w:lineRule="exact"/>
        <w:ind w:left="1020"/>
        <w:rPr>
          <w:color w:val="0000FF"/>
        </w:rPr>
      </w:pPr>
      <w:r>
        <w:rPr>
          <w:color w:val="0000FF"/>
          <w:spacing w:val="-5"/>
        </w:rPr>
        <w:t>本项目拟在羊舍设置排气扇等换气设备加强通风，并科学合理调控饲粮，合</w:t>
      </w:r>
    </w:p>
    <w:p>
      <w:pPr>
        <w:pStyle w:val="7"/>
        <w:spacing w:before="160" w:line="364" w:lineRule="auto"/>
        <w:ind w:right="455"/>
        <w:rPr>
          <w:color w:val="0000FF"/>
        </w:rPr>
      </w:pPr>
      <w:r>
        <w:rPr>
          <w:color w:val="0000FF"/>
          <w:spacing w:val="-7"/>
        </w:rPr>
        <w:t>理配置饲料成分，同时加强羊养殖场的环境跟踪和管理，对羊舍、堆肥厂定期喷</w:t>
      </w:r>
      <w:r>
        <w:rPr>
          <w:color w:val="0000FF"/>
          <w:spacing w:val="-11"/>
        </w:rPr>
        <w:t>洒除臭剂，羊舍每天定时清理羊粪，减少恶臭污染物的蓄积，经过上述综合措施</w:t>
      </w:r>
      <w:r>
        <w:rPr>
          <w:color w:val="0000FF"/>
          <w:spacing w:val="-19"/>
        </w:rPr>
        <w:t>处理后，臭气浓度排放值可满足《畜禽养殖业污染物排放标准》</w:t>
      </w:r>
      <w:r>
        <w:rPr>
          <w:color w:val="0000FF"/>
          <w:spacing w:val="-3"/>
        </w:rPr>
        <w:t>（</w:t>
      </w:r>
      <w:r>
        <w:rPr>
          <w:rFonts w:ascii="Times New Roman" w:eastAsia="Times New Roman"/>
          <w:color w:val="0000FF"/>
          <w:spacing w:val="-3"/>
        </w:rPr>
        <w:t>GB18596-2001</w:t>
      </w:r>
      <w:r>
        <w:rPr>
          <w:color w:val="0000FF"/>
          <w:spacing w:val="-3"/>
        </w:rPr>
        <w:t>）</w:t>
      </w:r>
      <w:r>
        <w:rPr>
          <w:color w:val="0000FF"/>
          <w:spacing w:val="-2"/>
        </w:rPr>
        <w:t>中限值要求，即</w:t>
      </w:r>
      <w:r>
        <w:rPr>
          <w:rFonts w:ascii="Times New Roman" w:eastAsia="Times New Roman"/>
          <w:color w:val="0000FF"/>
        </w:rPr>
        <w:t>&lt;70</w:t>
      </w:r>
      <w:r>
        <w:rPr>
          <w:color w:val="0000FF"/>
          <w:spacing w:val="-3"/>
        </w:rPr>
        <w:t>。恶臭污染去除率可达到</w:t>
      </w:r>
      <w:r>
        <w:rPr>
          <w:rFonts w:ascii="Times New Roman" w:eastAsia="Times New Roman"/>
          <w:color w:val="0000FF"/>
        </w:rPr>
        <w:t>80%</w:t>
      </w:r>
      <w:r>
        <w:rPr>
          <w:color w:val="0000FF"/>
          <w:spacing w:val="-3"/>
        </w:rPr>
        <w:t>以上，即</w:t>
      </w:r>
      <w:r>
        <w:rPr>
          <w:rFonts w:ascii="Times New Roman" w:eastAsia="Times New Roman"/>
          <w:color w:val="0000FF"/>
        </w:rPr>
        <w:t>NH</w:t>
      </w:r>
      <w:r>
        <w:rPr>
          <w:rFonts w:ascii="Times New Roman" w:eastAsia="Times New Roman"/>
          <w:color w:val="0000FF"/>
          <w:vertAlign w:val="subscript"/>
        </w:rPr>
        <w:t>3</w:t>
      </w:r>
      <w:r>
        <w:rPr>
          <w:color w:val="0000FF"/>
          <w:vertAlign w:val="baseline"/>
        </w:rPr>
        <w:t>和</w:t>
      </w:r>
      <w:r>
        <w:rPr>
          <w:rFonts w:ascii="Times New Roman" w:eastAsia="Times New Roman"/>
          <w:color w:val="0000FF"/>
          <w:vertAlign w:val="baseline"/>
        </w:rPr>
        <w:t>H</w:t>
      </w:r>
      <w:r>
        <w:rPr>
          <w:rFonts w:ascii="Times New Roman" w:eastAsia="Times New Roman"/>
          <w:color w:val="0000FF"/>
          <w:vertAlign w:val="subscript"/>
        </w:rPr>
        <w:t>2</w:t>
      </w:r>
      <w:r>
        <w:rPr>
          <w:rFonts w:ascii="Times New Roman" w:eastAsia="Times New Roman"/>
          <w:color w:val="0000FF"/>
          <w:vertAlign w:val="baseline"/>
        </w:rPr>
        <w:t>S</w:t>
      </w:r>
      <w:r>
        <w:rPr>
          <w:color w:val="0000FF"/>
          <w:vertAlign w:val="baseline"/>
        </w:rPr>
        <w:t>的降解率＞</w:t>
      </w:r>
      <w:r>
        <w:rPr>
          <w:rFonts w:ascii="Times New Roman" w:eastAsia="Times New Roman"/>
          <w:color w:val="0000FF"/>
          <w:spacing w:val="3"/>
          <w:vertAlign w:val="baseline"/>
        </w:rPr>
        <w:t>80%</w:t>
      </w:r>
      <w:r>
        <w:rPr>
          <w:color w:val="0000FF"/>
          <w:spacing w:val="4"/>
          <w:vertAlign w:val="baseline"/>
        </w:rPr>
        <w:t>，达产后养羊场恶臭污染物排放量为</w:t>
      </w:r>
      <w:r>
        <w:rPr>
          <w:rFonts w:ascii="Times New Roman" w:eastAsia="Times New Roman"/>
          <w:color w:val="0000FF"/>
          <w:vertAlign w:val="baseline"/>
        </w:rPr>
        <w:t>NH</w:t>
      </w:r>
      <w:r>
        <w:rPr>
          <w:rFonts w:ascii="Times New Roman" w:eastAsia="Times New Roman"/>
          <w:color w:val="0000FF"/>
          <w:vertAlign w:val="subscript"/>
        </w:rPr>
        <w:t>3</w:t>
      </w:r>
      <w:r>
        <w:rPr>
          <w:color w:val="0000FF"/>
          <w:vertAlign w:val="baseline"/>
        </w:rPr>
        <w:t>：</w:t>
      </w:r>
      <w:r>
        <w:rPr>
          <w:rFonts w:ascii="Times New Roman" w:eastAsia="Times New Roman"/>
          <w:color w:val="0000FF"/>
          <w:vertAlign w:val="baseline"/>
        </w:rPr>
        <w:t>0.</w:t>
      </w:r>
      <w:r>
        <w:rPr>
          <w:rFonts w:hint="eastAsia" w:ascii="Times New Roman" w:eastAsia="宋体"/>
          <w:color w:val="0000FF"/>
          <w:vertAlign w:val="baseline"/>
          <w:lang w:val="en-US" w:eastAsia="zh-CN"/>
        </w:rPr>
        <w:t>1019</w:t>
      </w:r>
      <w:r>
        <w:rPr>
          <w:rFonts w:ascii="Times New Roman" w:eastAsia="Times New Roman"/>
          <w:color w:val="0000FF"/>
          <w:vertAlign w:val="baseline"/>
        </w:rPr>
        <w:t>kg/h</w:t>
      </w:r>
      <w:r>
        <w:rPr>
          <w:color w:val="0000FF"/>
          <w:vertAlign w:val="baseline"/>
        </w:rPr>
        <w:t>（</w:t>
      </w:r>
      <w:r>
        <w:rPr>
          <w:rFonts w:ascii="Times New Roman" w:eastAsia="Times New Roman"/>
          <w:color w:val="0000FF"/>
          <w:vertAlign w:val="baseline"/>
        </w:rPr>
        <w:t>0.</w:t>
      </w:r>
      <w:r>
        <w:rPr>
          <w:rFonts w:hint="eastAsia" w:ascii="Times New Roman" w:eastAsia="宋体"/>
          <w:color w:val="0000FF"/>
          <w:vertAlign w:val="baseline"/>
          <w:lang w:val="en-US" w:eastAsia="zh-CN"/>
        </w:rPr>
        <w:t>0.0058</w:t>
      </w:r>
      <w:r>
        <w:rPr>
          <w:rFonts w:ascii="Times New Roman" w:eastAsia="Times New Roman"/>
          <w:color w:val="0000FF"/>
          <w:vertAlign w:val="baseline"/>
        </w:rPr>
        <w:t>t/a</w:t>
      </w:r>
      <w:r>
        <w:rPr>
          <w:color w:val="0000FF"/>
          <w:vertAlign w:val="baseline"/>
        </w:rPr>
        <w:t>），</w:t>
      </w:r>
      <w:r>
        <w:rPr>
          <w:rFonts w:ascii="Times New Roman" w:eastAsia="Times New Roman"/>
          <w:color w:val="0000FF"/>
          <w:vertAlign w:val="baseline"/>
        </w:rPr>
        <w:t>H</w:t>
      </w:r>
      <w:r>
        <w:rPr>
          <w:rFonts w:ascii="Times New Roman" w:eastAsia="Times New Roman"/>
          <w:color w:val="0000FF"/>
          <w:vertAlign w:val="subscript"/>
        </w:rPr>
        <w:t>2</w:t>
      </w:r>
      <w:r>
        <w:rPr>
          <w:rFonts w:ascii="Times New Roman" w:eastAsia="Times New Roman"/>
          <w:color w:val="0000FF"/>
          <w:vertAlign w:val="baseline"/>
        </w:rPr>
        <w:t>S</w:t>
      </w:r>
      <w:r>
        <w:rPr>
          <w:color w:val="0000FF"/>
          <w:vertAlign w:val="baseline"/>
        </w:rPr>
        <w:t>：</w:t>
      </w:r>
    </w:p>
    <w:p>
      <w:pPr>
        <w:pStyle w:val="7"/>
        <w:spacing w:before="3"/>
        <w:rPr>
          <w:color w:val="0000FF"/>
        </w:rPr>
      </w:pPr>
      <w:r>
        <w:rPr>
          <w:rFonts w:hint="eastAsia" w:ascii="Times New Roman" w:eastAsia="宋体"/>
          <w:color w:val="0000FF"/>
          <w:lang w:val="en-US" w:eastAsia="zh-CN"/>
        </w:rPr>
        <w:t>0.0102</w:t>
      </w:r>
      <w:r>
        <w:rPr>
          <w:rFonts w:ascii="Times New Roman" w:eastAsia="Times New Roman"/>
          <w:color w:val="0000FF"/>
        </w:rPr>
        <w:t>kg/h</w:t>
      </w:r>
      <w:r>
        <w:rPr>
          <w:color w:val="0000FF"/>
        </w:rPr>
        <w:t>（</w:t>
      </w:r>
      <w:r>
        <w:rPr>
          <w:rFonts w:hint="eastAsia"/>
          <w:color w:val="0000FF"/>
          <w:lang w:val="en-US" w:eastAsia="zh-CN"/>
        </w:rPr>
        <w:t>0.0893</w:t>
      </w:r>
      <w:r>
        <w:rPr>
          <w:rFonts w:ascii="Times New Roman" w:eastAsia="Times New Roman"/>
          <w:color w:val="0000FF"/>
        </w:rPr>
        <w:t>t/a</w:t>
      </w:r>
      <w:r>
        <w:rPr>
          <w:color w:val="0000FF"/>
        </w:rPr>
        <w:t>）。</w:t>
      </w:r>
    </w:p>
    <w:p>
      <w:pPr>
        <w:pStyle w:val="7"/>
        <w:spacing w:before="9"/>
        <w:ind w:left="0"/>
        <w:rPr>
          <w:color w:val="0000FF"/>
          <w:sz w:val="18"/>
        </w:rPr>
      </w:pPr>
    </w:p>
    <w:p>
      <w:pPr>
        <w:pStyle w:val="7"/>
        <w:bidi w:val="0"/>
        <w:jc w:val="center"/>
        <w:rPr>
          <w:color w:val="0000FF"/>
        </w:rPr>
      </w:pPr>
      <w:r>
        <w:rPr>
          <w:color w:val="0000FF"/>
        </w:rPr>
        <w:t>表</w:t>
      </w:r>
      <w:r>
        <w:rPr>
          <w:rFonts w:ascii="Times New Roman" w:eastAsia="Times New Roman"/>
          <w:color w:val="0000FF"/>
        </w:rPr>
        <w:t>3.2-5</w:t>
      </w:r>
      <w:r>
        <w:rPr>
          <w:rFonts w:ascii="Times New Roman" w:eastAsia="Times New Roman"/>
          <w:color w:val="0000FF"/>
        </w:rPr>
        <w:tab/>
      </w:r>
      <w:r>
        <w:rPr>
          <w:color w:val="0000FF"/>
        </w:rPr>
        <w:t>羊舍恶臭污染物产排情况一览表</w:t>
      </w:r>
    </w:p>
    <w:tbl>
      <w:tblPr>
        <w:tblStyle w:val="14"/>
        <w:tblW w:w="0" w:type="auto"/>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111"/>
        <w:gridCol w:w="1112"/>
        <w:gridCol w:w="3045"/>
        <w:gridCol w:w="1137"/>
        <w:gridCol w:w="1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2" w:type="dxa"/>
            <w:vMerge w:val="restart"/>
          </w:tcPr>
          <w:p>
            <w:pPr>
              <w:pStyle w:val="18"/>
              <w:spacing w:before="4"/>
              <w:jc w:val="left"/>
              <w:rPr>
                <w:b/>
                <w:color w:val="0000FF"/>
                <w:sz w:val="15"/>
              </w:rPr>
            </w:pPr>
          </w:p>
          <w:p>
            <w:pPr>
              <w:pStyle w:val="18"/>
              <w:spacing w:line="278" w:lineRule="auto"/>
              <w:ind w:left="300" w:right="184" w:hanging="106"/>
              <w:jc w:val="left"/>
              <w:rPr>
                <w:b/>
                <w:color w:val="0000FF"/>
                <w:sz w:val="21"/>
              </w:rPr>
            </w:pPr>
            <w:r>
              <w:rPr>
                <w:b/>
                <w:color w:val="0000FF"/>
                <w:sz w:val="21"/>
              </w:rPr>
              <w:t>污染物</w:t>
            </w:r>
          </w:p>
        </w:tc>
        <w:tc>
          <w:tcPr>
            <w:tcW w:w="2223" w:type="dxa"/>
            <w:gridSpan w:val="2"/>
          </w:tcPr>
          <w:p>
            <w:pPr>
              <w:pStyle w:val="18"/>
              <w:spacing w:before="35"/>
              <w:ind w:left="691"/>
              <w:jc w:val="left"/>
              <w:rPr>
                <w:b/>
                <w:color w:val="0000FF"/>
                <w:sz w:val="21"/>
              </w:rPr>
            </w:pPr>
            <w:r>
              <w:rPr>
                <w:b/>
                <w:color w:val="0000FF"/>
                <w:sz w:val="21"/>
              </w:rPr>
              <w:t>产生情况</w:t>
            </w:r>
          </w:p>
        </w:tc>
        <w:tc>
          <w:tcPr>
            <w:tcW w:w="3045" w:type="dxa"/>
            <w:vMerge w:val="restart"/>
          </w:tcPr>
          <w:p>
            <w:pPr>
              <w:pStyle w:val="18"/>
              <w:spacing w:before="6"/>
              <w:jc w:val="left"/>
              <w:rPr>
                <w:b/>
                <w:color w:val="0000FF"/>
                <w:sz w:val="27"/>
              </w:rPr>
            </w:pPr>
          </w:p>
          <w:p>
            <w:pPr>
              <w:pStyle w:val="18"/>
              <w:ind w:left="155" w:right="146"/>
              <w:rPr>
                <w:b/>
                <w:color w:val="0000FF"/>
                <w:sz w:val="21"/>
              </w:rPr>
            </w:pPr>
            <w:r>
              <w:rPr>
                <w:b/>
                <w:color w:val="0000FF"/>
                <w:sz w:val="21"/>
              </w:rPr>
              <w:t>治理措施</w:t>
            </w:r>
          </w:p>
        </w:tc>
        <w:tc>
          <w:tcPr>
            <w:tcW w:w="2275" w:type="dxa"/>
            <w:gridSpan w:val="2"/>
          </w:tcPr>
          <w:p>
            <w:pPr>
              <w:pStyle w:val="18"/>
              <w:spacing w:before="35"/>
              <w:ind w:left="717"/>
              <w:jc w:val="left"/>
              <w:rPr>
                <w:b/>
                <w:color w:val="0000FF"/>
                <w:sz w:val="21"/>
              </w:rPr>
            </w:pPr>
            <w:r>
              <w:rPr>
                <w:b/>
                <w:color w:val="0000FF"/>
                <w:sz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2" w:type="dxa"/>
            <w:vMerge w:val="continue"/>
            <w:tcBorders>
              <w:top w:val="nil"/>
            </w:tcBorders>
          </w:tcPr>
          <w:p>
            <w:pPr>
              <w:rPr>
                <w:color w:val="0000FF"/>
                <w:sz w:val="2"/>
                <w:szCs w:val="2"/>
              </w:rPr>
            </w:pPr>
          </w:p>
        </w:tc>
        <w:tc>
          <w:tcPr>
            <w:tcW w:w="1111" w:type="dxa"/>
          </w:tcPr>
          <w:p>
            <w:pPr>
              <w:pStyle w:val="18"/>
              <w:spacing w:before="21"/>
              <w:ind w:left="134"/>
              <w:jc w:val="left"/>
              <w:rPr>
                <w:b/>
                <w:color w:val="0000FF"/>
                <w:sz w:val="21"/>
              </w:rPr>
            </w:pPr>
            <w:r>
              <w:rPr>
                <w:b/>
                <w:color w:val="0000FF"/>
                <w:w w:val="95"/>
                <w:sz w:val="21"/>
              </w:rPr>
              <w:t>产生速率</w:t>
            </w:r>
          </w:p>
          <w:p>
            <w:pPr>
              <w:pStyle w:val="18"/>
              <w:spacing w:before="43"/>
              <w:ind w:left="148"/>
              <w:jc w:val="left"/>
              <w:rPr>
                <w:b/>
                <w:color w:val="0000FF"/>
                <w:sz w:val="21"/>
              </w:rPr>
            </w:pPr>
            <w:r>
              <w:rPr>
                <w:b/>
                <w:color w:val="0000FF"/>
                <w:sz w:val="21"/>
              </w:rPr>
              <w:t>（</w:t>
            </w:r>
            <w:r>
              <w:rPr>
                <w:rFonts w:ascii="Times New Roman" w:eastAsia="Times New Roman"/>
                <w:b/>
                <w:color w:val="0000FF"/>
                <w:sz w:val="21"/>
              </w:rPr>
              <w:t>kg/h</w:t>
            </w:r>
            <w:r>
              <w:rPr>
                <w:b/>
                <w:color w:val="0000FF"/>
                <w:sz w:val="21"/>
              </w:rPr>
              <w:t>）</w:t>
            </w:r>
          </w:p>
        </w:tc>
        <w:tc>
          <w:tcPr>
            <w:tcW w:w="1112" w:type="dxa"/>
          </w:tcPr>
          <w:p>
            <w:pPr>
              <w:pStyle w:val="18"/>
              <w:spacing w:before="21"/>
              <w:ind w:left="240"/>
              <w:jc w:val="left"/>
              <w:rPr>
                <w:b/>
                <w:color w:val="0000FF"/>
                <w:sz w:val="21"/>
              </w:rPr>
            </w:pPr>
            <w:r>
              <w:rPr>
                <w:b/>
                <w:color w:val="0000FF"/>
                <w:w w:val="95"/>
                <w:sz w:val="21"/>
              </w:rPr>
              <w:t>产生量</w:t>
            </w:r>
          </w:p>
          <w:p>
            <w:pPr>
              <w:pStyle w:val="18"/>
              <w:spacing w:before="43"/>
              <w:ind w:left="230"/>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c>
          <w:tcPr>
            <w:tcW w:w="3045" w:type="dxa"/>
            <w:vMerge w:val="continue"/>
            <w:tcBorders>
              <w:top w:val="nil"/>
            </w:tcBorders>
          </w:tcPr>
          <w:p>
            <w:pPr>
              <w:rPr>
                <w:color w:val="0000FF"/>
                <w:sz w:val="2"/>
                <w:szCs w:val="2"/>
              </w:rPr>
            </w:pPr>
          </w:p>
        </w:tc>
        <w:tc>
          <w:tcPr>
            <w:tcW w:w="1137" w:type="dxa"/>
          </w:tcPr>
          <w:p>
            <w:pPr>
              <w:pStyle w:val="18"/>
              <w:spacing w:before="21"/>
              <w:ind w:left="148"/>
              <w:jc w:val="left"/>
              <w:rPr>
                <w:b/>
                <w:color w:val="0000FF"/>
                <w:sz w:val="21"/>
              </w:rPr>
            </w:pPr>
            <w:r>
              <w:rPr>
                <w:b/>
                <w:color w:val="0000FF"/>
                <w:w w:val="95"/>
                <w:sz w:val="21"/>
              </w:rPr>
              <w:t>排放速率</w:t>
            </w:r>
          </w:p>
          <w:p>
            <w:pPr>
              <w:pStyle w:val="18"/>
              <w:spacing w:before="43"/>
              <w:ind w:left="160"/>
              <w:jc w:val="left"/>
              <w:rPr>
                <w:b/>
                <w:color w:val="0000FF"/>
                <w:sz w:val="21"/>
              </w:rPr>
            </w:pPr>
            <w:r>
              <w:rPr>
                <w:b/>
                <w:color w:val="0000FF"/>
                <w:sz w:val="21"/>
              </w:rPr>
              <w:t>（</w:t>
            </w:r>
            <w:r>
              <w:rPr>
                <w:rFonts w:ascii="Times New Roman" w:eastAsia="Times New Roman"/>
                <w:b/>
                <w:color w:val="0000FF"/>
                <w:sz w:val="21"/>
              </w:rPr>
              <w:t>kg/h</w:t>
            </w:r>
            <w:r>
              <w:rPr>
                <w:b/>
                <w:color w:val="0000FF"/>
                <w:sz w:val="21"/>
              </w:rPr>
              <w:t>）</w:t>
            </w:r>
          </w:p>
        </w:tc>
        <w:tc>
          <w:tcPr>
            <w:tcW w:w="1138" w:type="dxa"/>
          </w:tcPr>
          <w:p>
            <w:pPr>
              <w:pStyle w:val="18"/>
              <w:spacing w:before="21"/>
              <w:ind w:left="252"/>
              <w:jc w:val="left"/>
              <w:rPr>
                <w:b/>
                <w:color w:val="0000FF"/>
                <w:sz w:val="21"/>
              </w:rPr>
            </w:pPr>
            <w:r>
              <w:rPr>
                <w:b/>
                <w:color w:val="0000FF"/>
                <w:w w:val="95"/>
                <w:sz w:val="21"/>
              </w:rPr>
              <w:t>排放量</w:t>
            </w:r>
          </w:p>
          <w:p>
            <w:pPr>
              <w:pStyle w:val="18"/>
              <w:spacing w:before="43"/>
              <w:ind w:left="242"/>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2" w:type="dxa"/>
          </w:tcPr>
          <w:p>
            <w:pPr>
              <w:pStyle w:val="18"/>
              <w:spacing w:before="46"/>
              <w:ind w:left="221"/>
              <w:jc w:val="left"/>
              <w:rPr>
                <w:rFonts w:ascii="Times New Roman"/>
                <w:color w:val="0000FF"/>
                <w:sz w:val="21"/>
              </w:rPr>
            </w:pPr>
            <w:r>
              <w:rPr>
                <w:rFonts w:ascii="Times New Roman"/>
                <w:color w:val="0000FF"/>
                <w:position w:val="2"/>
                <w:sz w:val="21"/>
              </w:rPr>
              <w:t>NH</w:t>
            </w:r>
            <w:r>
              <w:rPr>
                <w:rFonts w:ascii="Times New Roman"/>
                <w:color w:val="0000FF"/>
                <w:position w:val="2"/>
                <w:sz w:val="21"/>
                <w:vertAlign w:val="subscript"/>
              </w:rPr>
              <w:t>3</w:t>
            </w:r>
          </w:p>
        </w:tc>
        <w:tc>
          <w:tcPr>
            <w:tcW w:w="1111" w:type="dxa"/>
          </w:tcPr>
          <w:p>
            <w:pPr>
              <w:pStyle w:val="18"/>
              <w:spacing w:before="49"/>
              <w:ind w:left="319"/>
              <w:jc w:val="left"/>
              <w:rPr>
                <w:rFonts w:hint="default" w:ascii="Times New Roman" w:eastAsia="宋体"/>
                <w:color w:val="0000FF"/>
                <w:sz w:val="21"/>
                <w:lang w:val="en-US" w:eastAsia="zh-CN"/>
              </w:rPr>
            </w:pPr>
            <w:r>
              <w:rPr>
                <w:rFonts w:hint="eastAsia" w:ascii="Times New Roman"/>
                <w:color w:val="0000FF"/>
                <w:sz w:val="21"/>
                <w:lang w:val="en-US" w:eastAsia="zh-CN"/>
              </w:rPr>
              <w:t>0.50949</w:t>
            </w:r>
          </w:p>
        </w:tc>
        <w:tc>
          <w:tcPr>
            <w:tcW w:w="1112" w:type="dxa"/>
          </w:tcPr>
          <w:p>
            <w:pPr>
              <w:pStyle w:val="18"/>
              <w:spacing w:before="49"/>
              <w:ind w:left="319"/>
              <w:jc w:val="left"/>
              <w:rPr>
                <w:rFonts w:hint="default" w:ascii="Times New Roman" w:eastAsia="宋体"/>
                <w:color w:val="0000FF"/>
                <w:sz w:val="21"/>
                <w:lang w:val="en-US" w:eastAsia="zh-CN"/>
              </w:rPr>
            </w:pPr>
            <w:r>
              <w:rPr>
                <w:rFonts w:hint="eastAsia" w:ascii="Times New Roman"/>
                <w:color w:val="0000FF"/>
                <w:sz w:val="21"/>
                <w:lang w:val="en-US" w:eastAsia="zh-CN"/>
              </w:rPr>
              <w:t>4.4286</w:t>
            </w:r>
          </w:p>
        </w:tc>
        <w:tc>
          <w:tcPr>
            <w:tcW w:w="3045" w:type="dxa"/>
            <w:vMerge w:val="restart"/>
          </w:tcPr>
          <w:p>
            <w:pPr>
              <w:pStyle w:val="18"/>
              <w:spacing w:before="1" w:line="240" w:lineRule="exact"/>
              <w:ind w:left="157" w:right="146"/>
              <w:rPr>
                <w:rFonts w:ascii="Times New Roman" w:eastAsia="Times New Roman"/>
                <w:color w:val="0000FF"/>
                <w:sz w:val="21"/>
              </w:rPr>
            </w:pPr>
            <w:r>
              <w:rPr>
                <w:color w:val="0000FF"/>
                <w:w w:val="95"/>
                <w:sz w:val="21"/>
              </w:rPr>
              <w:t>采取加强通风、合理配置饲料成分、定期喷洒除臭剂、加强清洁卫生管理等防护措施；效</w:t>
            </w:r>
            <w:r>
              <w:rPr>
                <w:color w:val="0000FF"/>
                <w:sz w:val="21"/>
              </w:rPr>
              <w:t>率</w:t>
            </w:r>
            <w:r>
              <w:rPr>
                <w:rFonts w:ascii="Times New Roman" w:eastAsia="Times New Roman"/>
                <w:color w:val="0000FF"/>
                <w:sz w:val="21"/>
              </w:rPr>
              <w:t>80%</w:t>
            </w:r>
          </w:p>
        </w:tc>
        <w:tc>
          <w:tcPr>
            <w:tcW w:w="1137" w:type="dxa"/>
          </w:tcPr>
          <w:p>
            <w:pPr>
              <w:pStyle w:val="18"/>
              <w:spacing w:before="49"/>
              <w:ind w:right="266"/>
              <w:jc w:val="right"/>
              <w:rPr>
                <w:rFonts w:hint="default" w:ascii="Times New Roman" w:eastAsia="宋体"/>
                <w:color w:val="0000FF"/>
                <w:sz w:val="21"/>
                <w:lang w:val="en-US" w:eastAsia="zh-CN"/>
              </w:rPr>
            </w:pPr>
            <w:r>
              <w:rPr>
                <w:rFonts w:hint="eastAsia" w:ascii="Times New Roman"/>
                <w:color w:val="0000FF"/>
                <w:w w:val="95"/>
                <w:sz w:val="21"/>
                <w:lang w:val="en-US" w:eastAsia="zh-CN"/>
              </w:rPr>
              <w:t>0.1019</w:t>
            </w:r>
          </w:p>
        </w:tc>
        <w:tc>
          <w:tcPr>
            <w:tcW w:w="1138" w:type="dxa"/>
          </w:tcPr>
          <w:p>
            <w:pPr>
              <w:pStyle w:val="18"/>
              <w:spacing w:before="49"/>
              <w:ind w:left="126" w:right="117"/>
              <w:rPr>
                <w:rFonts w:hint="default" w:ascii="Times New Roman" w:eastAsia="宋体"/>
                <w:color w:val="0000FF"/>
                <w:sz w:val="21"/>
                <w:lang w:val="en-US" w:eastAsia="zh-CN"/>
              </w:rPr>
            </w:pPr>
            <w:r>
              <w:rPr>
                <w:rFonts w:hint="eastAsia" w:ascii="Times New Roman"/>
                <w:color w:val="0000FF"/>
                <w:sz w:val="21"/>
                <w:lang w:val="en-US" w:eastAsia="zh-CN"/>
              </w:rPr>
              <w:t>0.8858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812" w:type="dxa"/>
          </w:tcPr>
          <w:p>
            <w:pPr>
              <w:pStyle w:val="18"/>
              <w:spacing w:before="181"/>
              <w:ind w:left="238"/>
              <w:jc w:val="left"/>
              <w:rPr>
                <w:rFonts w:ascii="Times New Roman"/>
                <w:color w:val="0000FF"/>
                <w:sz w:val="21"/>
              </w:rPr>
            </w:pPr>
            <w:r>
              <w:rPr>
                <w:rFonts w:ascii="Times New Roman"/>
                <w:color w:val="0000FF"/>
                <w:position w:val="2"/>
                <w:sz w:val="21"/>
              </w:rPr>
              <w:t>H</w:t>
            </w:r>
            <w:r>
              <w:rPr>
                <w:rFonts w:ascii="Times New Roman"/>
                <w:color w:val="0000FF"/>
                <w:position w:val="2"/>
                <w:sz w:val="21"/>
                <w:vertAlign w:val="subscript"/>
              </w:rPr>
              <w:t>2</w:t>
            </w:r>
            <w:r>
              <w:rPr>
                <w:rFonts w:ascii="Times New Roman"/>
                <w:color w:val="0000FF"/>
                <w:position w:val="2"/>
                <w:sz w:val="21"/>
                <w:vertAlign w:val="baseline"/>
              </w:rPr>
              <w:t>S</w:t>
            </w:r>
          </w:p>
        </w:tc>
        <w:tc>
          <w:tcPr>
            <w:tcW w:w="1111" w:type="dxa"/>
          </w:tcPr>
          <w:p>
            <w:pPr>
              <w:pStyle w:val="18"/>
              <w:spacing w:before="184"/>
              <w:ind w:left="266"/>
              <w:jc w:val="left"/>
              <w:rPr>
                <w:rFonts w:hint="default" w:ascii="Times New Roman" w:eastAsia="宋体"/>
                <w:color w:val="0000FF"/>
                <w:sz w:val="21"/>
                <w:lang w:val="en-US" w:eastAsia="zh-CN"/>
              </w:rPr>
            </w:pPr>
            <w:r>
              <w:rPr>
                <w:rFonts w:hint="eastAsia" w:ascii="Times New Roman"/>
                <w:color w:val="0000FF"/>
                <w:sz w:val="21"/>
                <w:lang w:val="en-US" w:eastAsia="zh-CN"/>
              </w:rPr>
              <w:t>0.05095</w:t>
            </w:r>
          </w:p>
        </w:tc>
        <w:tc>
          <w:tcPr>
            <w:tcW w:w="1112" w:type="dxa"/>
          </w:tcPr>
          <w:p>
            <w:pPr>
              <w:pStyle w:val="18"/>
              <w:spacing w:before="184"/>
              <w:ind w:left="266"/>
              <w:jc w:val="left"/>
              <w:rPr>
                <w:rFonts w:hint="default" w:ascii="Times New Roman" w:eastAsia="宋体"/>
                <w:color w:val="0000FF"/>
                <w:sz w:val="21"/>
                <w:lang w:val="en-US" w:eastAsia="zh-CN"/>
              </w:rPr>
            </w:pPr>
            <w:r>
              <w:rPr>
                <w:rFonts w:hint="eastAsia" w:ascii="Times New Roman"/>
                <w:color w:val="0000FF"/>
                <w:sz w:val="21"/>
                <w:lang w:val="en-US" w:eastAsia="zh-CN"/>
              </w:rPr>
              <w:t>0.4468</w:t>
            </w:r>
          </w:p>
        </w:tc>
        <w:tc>
          <w:tcPr>
            <w:tcW w:w="3045" w:type="dxa"/>
            <w:vMerge w:val="continue"/>
            <w:tcBorders>
              <w:top w:val="nil"/>
            </w:tcBorders>
          </w:tcPr>
          <w:p>
            <w:pPr>
              <w:rPr>
                <w:color w:val="0000FF"/>
                <w:sz w:val="2"/>
                <w:szCs w:val="2"/>
              </w:rPr>
            </w:pPr>
          </w:p>
        </w:tc>
        <w:tc>
          <w:tcPr>
            <w:tcW w:w="1137" w:type="dxa"/>
          </w:tcPr>
          <w:p>
            <w:pPr>
              <w:pStyle w:val="18"/>
              <w:spacing w:before="184"/>
              <w:ind w:right="216"/>
              <w:jc w:val="right"/>
              <w:rPr>
                <w:rFonts w:hint="default" w:ascii="Times New Roman" w:eastAsia="宋体"/>
                <w:color w:val="0000FF"/>
                <w:sz w:val="21"/>
                <w:lang w:val="en-US" w:eastAsia="zh-CN"/>
              </w:rPr>
            </w:pPr>
            <w:r>
              <w:rPr>
                <w:rFonts w:hint="eastAsia" w:ascii="Times New Roman"/>
                <w:color w:val="0000FF"/>
                <w:w w:val="95"/>
                <w:sz w:val="21"/>
                <w:lang w:val="en-US" w:eastAsia="zh-CN"/>
              </w:rPr>
              <w:t>0.0102</w:t>
            </w:r>
          </w:p>
        </w:tc>
        <w:tc>
          <w:tcPr>
            <w:tcW w:w="1138" w:type="dxa"/>
          </w:tcPr>
          <w:p>
            <w:pPr>
              <w:pStyle w:val="18"/>
              <w:spacing w:before="184"/>
              <w:ind w:left="124" w:right="117"/>
              <w:rPr>
                <w:rFonts w:hint="default" w:ascii="Times New Roman" w:eastAsia="宋体"/>
                <w:color w:val="0000FF"/>
                <w:sz w:val="21"/>
                <w:lang w:val="en-US" w:eastAsia="zh-CN"/>
              </w:rPr>
            </w:pPr>
            <w:r>
              <w:rPr>
                <w:rFonts w:ascii="Times New Roman"/>
                <w:color w:val="0000FF"/>
                <w:sz w:val="21"/>
              </w:rPr>
              <w:t>0.</w:t>
            </w:r>
            <w:r>
              <w:rPr>
                <w:rFonts w:hint="eastAsia" w:ascii="Times New Roman"/>
                <w:color w:val="0000FF"/>
                <w:sz w:val="21"/>
                <w:lang w:val="en-US" w:eastAsia="zh-CN"/>
              </w:rPr>
              <w:t>0893</w:t>
            </w:r>
          </w:p>
        </w:tc>
      </w:tr>
    </w:tbl>
    <w:p>
      <w:pPr>
        <w:pStyle w:val="7"/>
        <w:spacing w:before="7"/>
        <w:ind w:left="0"/>
        <w:rPr>
          <w:b/>
          <w:sz w:val="18"/>
        </w:rPr>
      </w:pPr>
    </w:p>
    <w:p>
      <w:pPr>
        <w:pStyle w:val="7"/>
        <w:ind w:left="1020"/>
      </w:pPr>
      <w:r>
        <w:t>无组织排放的恶臭浓度计算公式如下式：</w:t>
      </w:r>
    </w:p>
    <w:p>
      <w:pPr>
        <w:pStyle w:val="7"/>
        <w:spacing w:before="174"/>
        <w:ind w:left="0" w:right="36"/>
        <w:jc w:val="center"/>
        <w:rPr>
          <w:rFonts w:ascii="Times New Roman" w:hAnsi="Times New Roman"/>
          <w:sz w:val="15"/>
        </w:rPr>
      </w:pPr>
      <w:r>
        <w:rPr>
          <w:rFonts w:ascii="Times New Roman" w:hAnsi="Times New Roman"/>
        </w:rPr>
        <w:t>C=Q/V×10</w:t>
      </w:r>
      <w:r>
        <w:rPr>
          <w:rFonts w:ascii="Times New Roman" w:hAnsi="Times New Roman"/>
          <w:position w:val="8"/>
          <w:sz w:val="15"/>
        </w:rPr>
        <w:t>-6</w:t>
      </w:r>
    </w:p>
    <w:p>
      <w:pPr>
        <w:pStyle w:val="7"/>
        <w:spacing w:before="179"/>
        <w:ind w:left="1500"/>
      </w:pPr>
      <w:r>
        <w:t>式中：</w:t>
      </w:r>
      <w:r>
        <w:rPr>
          <w:rFonts w:ascii="Times New Roman" w:hAnsi="Times New Roman" w:eastAsia="Times New Roman"/>
        </w:rPr>
        <w:t>C</w:t>
      </w:r>
      <w:r>
        <w:t>—恶臭污染物的浓度，</w:t>
      </w:r>
      <w:r>
        <w:rPr>
          <w:rFonts w:ascii="Times New Roman" w:hAnsi="Times New Roman" w:eastAsia="Times New Roman"/>
        </w:rPr>
        <w:t>mg/m</w:t>
      </w:r>
      <w:r>
        <w:rPr>
          <w:rFonts w:ascii="Times New Roman" w:hAnsi="Times New Roman" w:eastAsia="Times New Roman"/>
          <w:position w:val="8"/>
          <w:sz w:val="15"/>
        </w:rPr>
        <w:t>3</w:t>
      </w:r>
      <w:r>
        <w:t>；</w:t>
      </w:r>
    </w:p>
    <w:p>
      <w:pPr>
        <w:pStyle w:val="7"/>
        <w:spacing w:before="160"/>
        <w:ind w:left="2220"/>
      </w:pPr>
      <w:r>
        <w:rPr>
          <w:rFonts w:ascii="Times New Roman" w:hAnsi="Times New Roman" w:eastAsia="Times New Roman"/>
        </w:rPr>
        <w:t>Q</w:t>
      </w:r>
      <w:r>
        <w:t>—恶臭污染物排放量，</w:t>
      </w:r>
      <w:r>
        <w:rPr>
          <w:rFonts w:ascii="Times New Roman" w:hAnsi="Times New Roman" w:eastAsia="Times New Roman"/>
        </w:rPr>
        <w:t>kg/h</w:t>
      </w:r>
      <w:r>
        <w:t>；</w:t>
      </w:r>
    </w:p>
    <w:p>
      <w:pPr>
        <w:pStyle w:val="7"/>
        <w:spacing w:before="161"/>
        <w:ind w:left="2220"/>
      </w:pPr>
      <w:r>
        <w:rPr>
          <w:rFonts w:ascii="Times New Roman" w:hAnsi="Times New Roman" w:eastAsia="Times New Roman"/>
        </w:rPr>
        <w:t>V</w:t>
      </w:r>
      <w:r>
        <w:t>—烟囱或排气筒的气体流量，</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/h</w:t>
      </w:r>
      <w:r>
        <w:t>。</w:t>
      </w:r>
    </w:p>
    <w:p>
      <w:pPr>
        <w:pStyle w:val="7"/>
        <w:spacing w:before="160" w:line="364" w:lineRule="auto"/>
        <w:ind w:right="575" w:firstLine="480"/>
        <w:jc w:val="both"/>
        <w:rPr>
          <w:color w:val="0000FF"/>
        </w:rPr>
      </w:pPr>
      <w:r>
        <w:rPr>
          <w:color w:val="0000FF"/>
          <w:spacing w:val="-11"/>
        </w:rPr>
        <w:t>风量：舍、羊舍为半敞开式，以自然通风为主，同时设置新风系统来持羊舍</w:t>
      </w:r>
      <w:r>
        <w:rPr>
          <w:color w:val="0000FF"/>
          <w:spacing w:val="-2"/>
        </w:rPr>
        <w:t>空气的流通和新鲜。按照羊舍的设计标准，羊舍通风量为</w:t>
      </w:r>
      <w:r>
        <w:rPr>
          <w:rFonts w:ascii="Times New Roman" w:hAnsi="Times New Roman" w:eastAsia="Times New Roman"/>
          <w:color w:val="0000FF"/>
        </w:rPr>
        <w:t>20m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（只</w:t>
      </w:r>
      <w:r>
        <w:rPr>
          <w:rFonts w:ascii="Times New Roman" w:hAnsi="Times New Roman" w:eastAsia="Times New Roman"/>
          <w:color w:val="0000FF"/>
        </w:rPr>
        <w:t>·h</w:t>
      </w:r>
      <w:r>
        <w:rPr>
          <w:color w:val="0000FF"/>
        </w:rPr>
        <w:t>），项目</w:t>
      </w:r>
      <w:r>
        <w:rPr>
          <w:color w:val="0000FF"/>
          <w:spacing w:val="-9"/>
        </w:rPr>
        <w:t>羊只存栏量为</w:t>
      </w:r>
      <w:r>
        <w:rPr>
          <w:rFonts w:hint="eastAsia" w:ascii="Times New Roman" w:hAnsi="Times New Roman" w:eastAsia="宋体"/>
          <w:color w:val="0000FF"/>
          <w:lang w:val="en-US" w:eastAsia="zh-CN"/>
        </w:rPr>
        <w:t>10</w:t>
      </w:r>
      <w:r>
        <w:rPr>
          <w:color w:val="0000FF"/>
          <w:spacing w:val="-3"/>
        </w:rPr>
        <w:t>万只，由此计算出羊舍全年小时平均排风量为</w:t>
      </w:r>
      <w:r>
        <w:rPr>
          <w:rFonts w:hint="eastAsia" w:ascii="Times New Roman" w:hAnsi="Times New Roman" w:eastAsia="宋体"/>
          <w:color w:val="0000FF"/>
          <w:lang w:val="en-US" w:eastAsia="zh-CN"/>
        </w:rPr>
        <w:t>20</w:t>
      </w:r>
      <w:r>
        <w:rPr>
          <w:rFonts w:ascii="Times New Roman" w:hAnsi="Times New Roman" w:eastAsia="Times New Roman"/>
          <w:color w:val="0000FF"/>
        </w:rPr>
        <w:t>0</w:t>
      </w:r>
      <w:r>
        <w:rPr>
          <w:color w:val="0000FF"/>
          <w:spacing w:val="-30"/>
        </w:rPr>
        <w:t>万</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/h</w:t>
      </w:r>
      <w:r>
        <w:rPr>
          <w:color w:val="0000FF"/>
        </w:rPr>
        <w:t>。</w:t>
      </w:r>
    </w:p>
    <w:p>
      <w:pPr>
        <w:tabs>
          <w:tab w:val="left" w:pos="4132"/>
        </w:tabs>
        <w:spacing w:before="2" w:line="424" w:lineRule="auto"/>
        <w:ind w:left="2613" w:right="1664" w:hanging="1594"/>
        <w:jc w:val="both"/>
        <w:rPr>
          <w:b/>
          <w:sz w:val="24"/>
        </w:rPr>
      </w:pPr>
      <w:r>
        <mc:AlternateContent>
          <mc:Choice Requires="wps">
            <w:drawing>
              <wp:anchor distT="0" distB="0" distL="114300" distR="114300" simplePos="0" relativeHeight="251735040" behindDoc="0" locked="0" layoutInCell="1" allowOverlap="1">
                <wp:simplePos x="0" y="0"/>
                <wp:positionH relativeFrom="page">
                  <wp:posOffset>1071880</wp:posOffset>
                </wp:positionH>
                <wp:positionV relativeFrom="paragraph">
                  <wp:posOffset>543560</wp:posOffset>
                </wp:positionV>
                <wp:extent cx="5419090" cy="1353820"/>
                <wp:effectExtent l="0" t="0" r="0" b="0"/>
                <wp:wrapNone/>
                <wp:docPr id="153" name="文本框 132"/>
                <wp:cNvGraphicFramePr/>
                <a:graphic xmlns:a="http://schemas.openxmlformats.org/drawingml/2006/main">
                  <a:graphicData uri="http://schemas.microsoft.com/office/word/2010/wordprocessingShape">
                    <wps:wsp>
                      <wps:cNvSpPr txBox="1"/>
                      <wps:spPr>
                        <a:xfrm>
                          <a:off x="0" y="0"/>
                          <a:ext cx="5419090" cy="1353820"/>
                        </a:xfrm>
                        <a:prstGeom prst="rect">
                          <a:avLst/>
                        </a:prstGeom>
                        <a:noFill/>
                        <a:ln>
                          <a:noFill/>
                        </a:ln>
                      </wps:spPr>
                      <wps:txbx>
                        <w:txbxContent>
                          <w:tbl>
                            <w:tblPr>
                              <w:tblStyle w:val="1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980"/>
                              <w:gridCol w:w="1172"/>
                              <w:gridCol w:w="1217"/>
                              <w:gridCol w:w="1361"/>
                              <w:gridCol w:w="134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846" w:type="dxa"/>
                                  <w:vMerge w:val="restart"/>
                                </w:tcPr>
                                <w:p>
                                  <w:pPr>
                                    <w:pStyle w:val="18"/>
                                    <w:spacing w:before="13" w:line="310" w:lineRule="atLeast"/>
                                    <w:ind w:left="317" w:right="201" w:hanging="106"/>
                                    <w:jc w:val="left"/>
                                    <w:rPr>
                                      <w:b/>
                                      <w:sz w:val="21"/>
                                    </w:rPr>
                                  </w:pPr>
                                  <w:r>
                                    <w:rPr>
                                      <w:b/>
                                      <w:sz w:val="21"/>
                                    </w:rPr>
                                    <w:t>排放源</w:t>
                                  </w:r>
                                </w:p>
                              </w:tc>
                              <w:tc>
                                <w:tcPr>
                                  <w:tcW w:w="2152" w:type="dxa"/>
                                  <w:gridSpan w:val="2"/>
                                </w:tcPr>
                                <w:p>
                                  <w:pPr>
                                    <w:pStyle w:val="18"/>
                                    <w:spacing w:before="34"/>
                                    <w:ind w:left="247"/>
                                    <w:jc w:val="left"/>
                                    <w:rPr>
                                      <w:b/>
                                      <w:sz w:val="21"/>
                                    </w:rPr>
                                  </w:pPr>
                                  <w:r>
                                    <w:rPr>
                                      <w:b/>
                                      <w:sz w:val="21"/>
                                    </w:rPr>
                                    <w:t>排放速率（</w:t>
                                  </w:r>
                                  <w:r>
                                    <w:rPr>
                                      <w:rFonts w:ascii="Times New Roman" w:eastAsia="Times New Roman"/>
                                      <w:b/>
                                      <w:sz w:val="21"/>
                                    </w:rPr>
                                    <w:t>kg/h</w:t>
                                  </w:r>
                                  <w:r>
                                    <w:rPr>
                                      <w:b/>
                                      <w:sz w:val="21"/>
                                    </w:rPr>
                                    <w:t>）</w:t>
                                  </w:r>
                                </w:p>
                              </w:tc>
                              <w:tc>
                                <w:tcPr>
                                  <w:tcW w:w="2578" w:type="dxa"/>
                                  <w:gridSpan w:val="2"/>
                                </w:tcPr>
                                <w:p>
                                  <w:pPr>
                                    <w:pStyle w:val="18"/>
                                    <w:spacing w:before="34"/>
                                    <w:ind w:left="648"/>
                                    <w:jc w:val="left"/>
                                    <w:rPr>
                                      <w:b/>
                                      <w:sz w:val="21"/>
                                    </w:rPr>
                                  </w:pPr>
                                  <w:r>
                                    <w:rPr>
                                      <w:b/>
                                      <w:sz w:val="21"/>
                                    </w:rPr>
                                    <w:t>排放量（</w:t>
                                  </w:r>
                                  <w:r>
                                    <w:rPr>
                                      <w:rFonts w:ascii="Times New Roman" w:eastAsia="Times New Roman"/>
                                      <w:b/>
                                      <w:sz w:val="21"/>
                                    </w:rPr>
                                    <w:t>t/a</w:t>
                                  </w:r>
                                  <w:r>
                                    <w:rPr>
                                      <w:b/>
                                      <w:sz w:val="21"/>
                                    </w:rPr>
                                    <w:t>）</w:t>
                                  </w:r>
                                </w:p>
                              </w:tc>
                              <w:tc>
                                <w:tcPr>
                                  <w:tcW w:w="2943" w:type="dxa"/>
                                  <w:gridSpan w:val="2"/>
                                </w:tcPr>
                                <w:p>
                                  <w:pPr>
                                    <w:pStyle w:val="18"/>
                                    <w:spacing w:before="34"/>
                                    <w:ind w:left="552"/>
                                    <w:jc w:val="left"/>
                                    <w:rPr>
                                      <w:b/>
                                      <w:sz w:val="21"/>
                                    </w:rPr>
                                  </w:pPr>
                                  <w:r>
                                    <w:rPr>
                                      <w:b/>
                                      <w:sz w:val="21"/>
                                    </w:rPr>
                                    <w:t>边界浓度（</w:t>
                                  </w:r>
                                  <w:r>
                                    <w:rPr>
                                      <w:rFonts w:ascii="Times New Roman" w:eastAsia="Times New Roman"/>
                                      <w:b/>
                                      <w:sz w:val="21"/>
                                    </w:rPr>
                                    <w:t>mg/m</w:t>
                                  </w:r>
                                  <w:r>
                                    <w:rPr>
                                      <w:rFonts w:ascii="Times New Roman" w:eastAsia="Times New Roman"/>
                                      <w:b/>
                                      <w:position w:val="7"/>
                                      <w:sz w:val="13"/>
                                    </w:rPr>
                                    <w:t>3</w:t>
                                  </w:r>
                                  <w:r>
                                    <w:rPr>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846" w:type="dxa"/>
                                  <w:vMerge w:val="continue"/>
                                </w:tcPr>
                                <w:p>
                                  <w:pPr>
                                    <w:rPr>
                                      <w:sz w:val="2"/>
                                      <w:szCs w:val="2"/>
                                    </w:rPr>
                                  </w:pPr>
                                </w:p>
                              </w:tc>
                              <w:tc>
                                <w:tcPr>
                                  <w:tcW w:w="980" w:type="dxa"/>
                                </w:tcPr>
                                <w:p>
                                  <w:pPr>
                                    <w:pStyle w:val="18"/>
                                    <w:spacing w:before="46"/>
                                    <w:ind w:left="181" w:right="171"/>
                                    <w:rPr>
                                      <w:rFonts w:ascii="Times New Roman"/>
                                      <w:sz w:val="21"/>
                                    </w:rPr>
                                  </w:pPr>
                                  <w:r>
                                    <w:rPr>
                                      <w:rFonts w:ascii="Times New Roman"/>
                                      <w:position w:val="2"/>
                                      <w:sz w:val="21"/>
                                    </w:rPr>
                                    <w:t>NH</w:t>
                                  </w:r>
                                  <w:r>
                                    <w:rPr>
                                      <w:rFonts w:ascii="Times New Roman"/>
                                      <w:position w:val="2"/>
                                      <w:sz w:val="21"/>
                                      <w:vertAlign w:val="subscript"/>
                                    </w:rPr>
                                    <w:t>3</w:t>
                                  </w:r>
                                </w:p>
                              </w:tc>
                              <w:tc>
                                <w:tcPr>
                                  <w:tcW w:w="1172" w:type="dxa"/>
                                </w:tcPr>
                                <w:p>
                                  <w:pPr>
                                    <w:pStyle w:val="18"/>
                                    <w:spacing w:before="46"/>
                                    <w:ind w:left="223" w:right="215"/>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17" w:type="dxa"/>
                                </w:tcPr>
                                <w:p>
                                  <w:pPr>
                                    <w:pStyle w:val="18"/>
                                    <w:spacing w:before="46"/>
                                    <w:ind w:left="423"/>
                                    <w:jc w:val="left"/>
                                    <w:rPr>
                                      <w:rFonts w:ascii="Times New Roman"/>
                                      <w:sz w:val="21"/>
                                    </w:rPr>
                                  </w:pPr>
                                  <w:r>
                                    <w:rPr>
                                      <w:rFonts w:ascii="Times New Roman"/>
                                      <w:position w:val="2"/>
                                      <w:sz w:val="21"/>
                                    </w:rPr>
                                    <w:t>NH</w:t>
                                  </w:r>
                                  <w:r>
                                    <w:rPr>
                                      <w:rFonts w:ascii="Times New Roman"/>
                                      <w:position w:val="2"/>
                                      <w:sz w:val="21"/>
                                      <w:vertAlign w:val="subscript"/>
                                    </w:rPr>
                                    <w:t>3</w:t>
                                  </w:r>
                                </w:p>
                              </w:tc>
                              <w:tc>
                                <w:tcPr>
                                  <w:tcW w:w="1361" w:type="dxa"/>
                                </w:tcPr>
                                <w:p>
                                  <w:pPr>
                                    <w:pStyle w:val="18"/>
                                    <w:spacing w:before="46"/>
                                    <w:ind w:left="371" w:right="36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43" w:type="dxa"/>
                                </w:tcPr>
                                <w:p>
                                  <w:pPr>
                                    <w:pStyle w:val="18"/>
                                    <w:spacing w:before="46"/>
                                    <w:ind w:left="361" w:right="353"/>
                                    <w:rPr>
                                      <w:rFonts w:ascii="Times New Roman"/>
                                      <w:sz w:val="21"/>
                                    </w:rPr>
                                  </w:pPr>
                                  <w:r>
                                    <w:rPr>
                                      <w:rFonts w:ascii="Times New Roman"/>
                                      <w:position w:val="2"/>
                                      <w:sz w:val="21"/>
                                    </w:rPr>
                                    <w:t>NH</w:t>
                                  </w:r>
                                  <w:r>
                                    <w:rPr>
                                      <w:rFonts w:ascii="Times New Roman"/>
                                      <w:position w:val="2"/>
                                      <w:sz w:val="21"/>
                                      <w:vertAlign w:val="subscript"/>
                                    </w:rPr>
                                    <w:t>3</w:t>
                                  </w:r>
                                </w:p>
                              </w:tc>
                              <w:tc>
                                <w:tcPr>
                                  <w:tcW w:w="1600" w:type="dxa"/>
                                </w:tcPr>
                                <w:p>
                                  <w:pPr>
                                    <w:pStyle w:val="18"/>
                                    <w:spacing w:before="46"/>
                                    <w:ind w:left="436" w:right="427"/>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6" w:type="dxa"/>
                                </w:tcPr>
                                <w:p>
                                  <w:pPr>
                                    <w:pStyle w:val="18"/>
                                    <w:spacing w:before="35"/>
                                    <w:ind w:left="212"/>
                                    <w:jc w:val="left"/>
                                    <w:rPr>
                                      <w:sz w:val="21"/>
                                    </w:rPr>
                                  </w:pPr>
                                  <w:r>
                                    <w:rPr>
                                      <w:sz w:val="21"/>
                                    </w:rPr>
                                    <w:t>羊舍</w:t>
                                  </w:r>
                                </w:p>
                              </w:tc>
                              <w:tc>
                                <w:tcPr>
                                  <w:tcW w:w="980" w:type="dxa"/>
                                </w:tcPr>
                                <w:p>
                                  <w:pPr>
                                    <w:pStyle w:val="18"/>
                                    <w:spacing w:before="49"/>
                                    <w:ind w:left="181" w:right="171"/>
                                    <w:rPr>
                                      <w:rFonts w:ascii="Times New Roman"/>
                                      <w:sz w:val="21"/>
                                    </w:rPr>
                                  </w:pPr>
                                  <w:r>
                                    <w:rPr>
                                      <w:rFonts w:ascii="Times New Roman"/>
                                      <w:sz w:val="21"/>
                                    </w:rPr>
                                    <w:t>0.0306</w:t>
                                  </w:r>
                                </w:p>
                              </w:tc>
                              <w:tc>
                                <w:tcPr>
                                  <w:tcW w:w="1172" w:type="dxa"/>
                                </w:tcPr>
                                <w:p>
                                  <w:pPr>
                                    <w:pStyle w:val="18"/>
                                    <w:spacing w:before="49"/>
                                    <w:ind w:left="223" w:right="215"/>
                                    <w:rPr>
                                      <w:rFonts w:ascii="Times New Roman"/>
                                      <w:sz w:val="21"/>
                                    </w:rPr>
                                  </w:pPr>
                                  <w:r>
                                    <w:rPr>
                                      <w:rFonts w:ascii="Times New Roman"/>
                                      <w:sz w:val="21"/>
                                    </w:rPr>
                                    <w:t>0.00306</w:t>
                                  </w:r>
                                </w:p>
                              </w:tc>
                              <w:tc>
                                <w:tcPr>
                                  <w:tcW w:w="1217" w:type="dxa"/>
                                </w:tcPr>
                                <w:p>
                                  <w:pPr>
                                    <w:pStyle w:val="18"/>
                                    <w:spacing w:before="49"/>
                                    <w:ind w:left="372"/>
                                    <w:jc w:val="left"/>
                                    <w:rPr>
                                      <w:rFonts w:ascii="Times New Roman"/>
                                      <w:sz w:val="21"/>
                                    </w:rPr>
                                  </w:pPr>
                                  <w:r>
                                    <w:rPr>
                                      <w:rFonts w:ascii="Times New Roman"/>
                                      <w:sz w:val="21"/>
                                    </w:rPr>
                                    <w:t>0.268</w:t>
                                  </w:r>
                                </w:p>
                              </w:tc>
                              <w:tc>
                                <w:tcPr>
                                  <w:tcW w:w="1361" w:type="dxa"/>
                                </w:tcPr>
                                <w:p>
                                  <w:pPr>
                                    <w:pStyle w:val="18"/>
                                    <w:spacing w:before="49"/>
                                    <w:ind w:left="371" w:right="362"/>
                                    <w:rPr>
                                      <w:rFonts w:ascii="Times New Roman"/>
                                      <w:sz w:val="21"/>
                                    </w:rPr>
                                  </w:pPr>
                                  <w:r>
                                    <w:rPr>
                                      <w:rFonts w:ascii="Times New Roman"/>
                                      <w:sz w:val="21"/>
                                    </w:rPr>
                                    <w:t>0.0268</w:t>
                                  </w:r>
                                </w:p>
                              </w:tc>
                              <w:tc>
                                <w:tcPr>
                                  <w:tcW w:w="1343" w:type="dxa"/>
                                </w:tcPr>
                                <w:p>
                                  <w:pPr>
                                    <w:pStyle w:val="18"/>
                                    <w:spacing w:before="49"/>
                                    <w:ind w:left="361" w:right="353"/>
                                    <w:rPr>
                                      <w:rFonts w:ascii="Times New Roman"/>
                                      <w:sz w:val="21"/>
                                    </w:rPr>
                                  </w:pPr>
                                  <w:r>
                                    <w:rPr>
                                      <w:rFonts w:ascii="Times New Roman"/>
                                      <w:sz w:val="21"/>
                                    </w:rPr>
                                    <w:t>0.0184</w:t>
                                  </w:r>
                                </w:p>
                              </w:tc>
                              <w:tc>
                                <w:tcPr>
                                  <w:tcW w:w="1600" w:type="dxa"/>
                                </w:tcPr>
                                <w:p>
                                  <w:pPr>
                                    <w:pStyle w:val="18"/>
                                    <w:spacing w:before="49"/>
                                    <w:ind w:left="439" w:right="427"/>
                                    <w:rPr>
                                      <w:rFonts w:ascii="Times New Roman"/>
                                      <w:sz w:val="21"/>
                                    </w:rPr>
                                  </w:pPr>
                                  <w:r>
                                    <w:rPr>
                                      <w:rFonts w:ascii="Times New Roman"/>
                                      <w:sz w:val="21"/>
                                    </w:rPr>
                                    <w:t>0.00184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576" w:type="dxa"/>
                                  <w:gridSpan w:val="5"/>
                                </w:tcPr>
                                <w:p>
                                  <w:pPr>
                                    <w:pStyle w:val="18"/>
                                    <w:spacing w:before="1" w:line="240" w:lineRule="exact"/>
                                    <w:ind w:left="1841" w:right="63" w:hanging="1702"/>
                                    <w:jc w:val="left"/>
                                    <w:rPr>
                                      <w:sz w:val="21"/>
                                    </w:rPr>
                                  </w:pPr>
                                  <w:r>
                                    <w:rPr>
                                      <w:sz w:val="21"/>
                                    </w:rPr>
                                    <w:t>《恶臭污染物排放标准》（</w:t>
                                  </w:r>
                                  <w:r>
                                    <w:rPr>
                                      <w:rFonts w:ascii="Times New Roman" w:eastAsia="Times New Roman"/>
                                      <w:sz w:val="21"/>
                                    </w:rPr>
                                    <w:t>GB14554-1993</w:t>
                                  </w:r>
                                  <w:r>
                                    <w:rPr>
                                      <w:sz w:val="21"/>
                                    </w:rPr>
                                    <w:t xml:space="preserve">）表 </w:t>
                                  </w:r>
                                  <w:r>
                                    <w:rPr>
                                      <w:rFonts w:ascii="Times New Roman" w:eastAsia="Times New Roman"/>
                                      <w:sz w:val="21"/>
                                    </w:rPr>
                                    <w:t xml:space="preserve">1 </w:t>
                                  </w:r>
                                  <w:r>
                                    <w:rPr>
                                      <w:sz w:val="21"/>
                                    </w:rPr>
                                    <w:t>恶臭污染物厂界标准二级标准</w:t>
                                  </w:r>
                                </w:p>
                              </w:tc>
                              <w:tc>
                                <w:tcPr>
                                  <w:tcW w:w="1343" w:type="dxa"/>
                                </w:tcPr>
                                <w:p>
                                  <w:pPr>
                                    <w:pStyle w:val="18"/>
                                    <w:spacing w:before="119"/>
                                    <w:ind w:left="361" w:right="351"/>
                                    <w:rPr>
                                      <w:rFonts w:ascii="Times New Roman"/>
                                      <w:sz w:val="21"/>
                                    </w:rPr>
                                  </w:pPr>
                                  <w:r>
                                    <w:rPr>
                                      <w:rFonts w:ascii="Times New Roman"/>
                                      <w:sz w:val="21"/>
                                    </w:rPr>
                                    <w:t>0.5</w:t>
                                  </w:r>
                                </w:p>
                              </w:tc>
                              <w:tc>
                                <w:tcPr>
                                  <w:tcW w:w="1600" w:type="dxa"/>
                                </w:tcPr>
                                <w:p>
                                  <w:pPr>
                                    <w:pStyle w:val="18"/>
                                    <w:spacing w:before="119"/>
                                    <w:ind w:left="437" w:right="427"/>
                                    <w:rPr>
                                      <w:rFonts w:ascii="Times New Roman"/>
                                      <w:sz w:val="21"/>
                                    </w:rPr>
                                  </w:pPr>
                                  <w:r>
                                    <w:rPr>
                                      <w:rFonts w:ascii="Times New Roman"/>
                                      <w:sz w:val="21"/>
                                    </w:rPr>
                                    <w:t>0.06</w:t>
                                  </w:r>
                                </w:p>
                              </w:tc>
                            </w:tr>
                          </w:tbl>
                          <w:p>
                            <w:pPr>
                              <w:pStyle w:val="7"/>
                              <w:ind w:left="0"/>
                            </w:pPr>
                          </w:p>
                        </w:txbxContent>
                      </wps:txbx>
                      <wps:bodyPr lIns="0" tIns="0" rIns="0" bIns="0" upright="1"/>
                    </wps:wsp>
                  </a:graphicData>
                </a:graphic>
              </wp:anchor>
            </w:drawing>
          </mc:Choice>
          <mc:Fallback>
            <w:pict>
              <v:shape id="文本框 132" o:spid="_x0000_s1026" o:spt="202" type="#_x0000_t202" style="position:absolute;left:0pt;margin-left:84.4pt;margin-top:42.8pt;height:106.6pt;width:426.7pt;mso-position-horizontal-relative:page;z-index:251735040;mso-width-relative:page;mso-height-relative:page;" filled="f" stroked="f" coordsize="21600,21600" o:gfxdata="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rwFgNgAAAALAQAADwAA&#10;AAAAAAABACAAAAAiAAAAZHJzL2Rvd25yZXYueG1sUEsBAhQAFAAAAAgAh07iQEHHBxSkAQAAKQMA&#10;AA4AAAAAAAAAAQAgAAAAJwEAAGRycy9lMm9Eb2MueG1sUEsFBgAAAAAGAAYAWQEAAD0FAAAAAA==&#10;">
                <v:fill on="f" focussize="0,0"/>
                <v:stroke on="f"/>
                <v:imagedata o:title=""/>
                <o:lock v:ext="edit" aspectratio="f"/>
                <v:textbox inset="0mm,0mm,0mm,0mm">
                  <w:txbxContent>
                    <w:tbl>
                      <w:tblPr>
                        <w:tblStyle w:val="1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980"/>
                        <w:gridCol w:w="1172"/>
                        <w:gridCol w:w="1217"/>
                        <w:gridCol w:w="1361"/>
                        <w:gridCol w:w="134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846" w:type="dxa"/>
                            <w:vMerge w:val="restart"/>
                          </w:tcPr>
                          <w:p>
                            <w:pPr>
                              <w:pStyle w:val="18"/>
                              <w:spacing w:before="13" w:line="310" w:lineRule="atLeast"/>
                              <w:ind w:left="317" w:right="201" w:hanging="106"/>
                              <w:jc w:val="left"/>
                              <w:rPr>
                                <w:b/>
                                <w:sz w:val="21"/>
                              </w:rPr>
                            </w:pPr>
                            <w:r>
                              <w:rPr>
                                <w:b/>
                                <w:sz w:val="21"/>
                              </w:rPr>
                              <w:t>排放源</w:t>
                            </w:r>
                          </w:p>
                        </w:tc>
                        <w:tc>
                          <w:tcPr>
                            <w:tcW w:w="2152" w:type="dxa"/>
                            <w:gridSpan w:val="2"/>
                          </w:tcPr>
                          <w:p>
                            <w:pPr>
                              <w:pStyle w:val="18"/>
                              <w:spacing w:before="34"/>
                              <w:ind w:left="247"/>
                              <w:jc w:val="left"/>
                              <w:rPr>
                                <w:b/>
                                <w:sz w:val="21"/>
                              </w:rPr>
                            </w:pPr>
                            <w:r>
                              <w:rPr>
                                <w:b/>
                                <w:sz w:val="21"/>
                              </w:rPr>
                              <w:t>排放速率（</w:t>
                            </w:r>
                            <w:r>
                              <w:rPr>
                                <w:rFonts w:ascii="Times New Roman" w:eastAsia="Times New Roman"/>
                                <w:b/>
                                <w:sz w:val="21"/>
                              </w:rPr>
                              <w:t>kg/h</w:t>
                            </w:r>
                            <w:r>
                              <w:rPr>
                                <w:b/>
                                <w:sz w:val="21"/>
                              </w:rPr>
                              <w:t>）</w:t>
                            </w:r>
                          </w:p>
                        </w:tc>
                        <w:tc>
                          <w:tcPr>
                            <w:tcW w:w="2578" w:type="dxa"/>
                            <w:gridSpan w:val="2"/>
                          </w:tcPr>
                          <w:p>
                            <w:pPr>
                              <w:pStyle w:val="18"/>
                              <w:spacing w:before="34"/>
                              <w:ind w:left="648"/>
                              <w:jc w:val="left"/>
                              <w:rPr>
                                <w:b/>
                                <w:sz w:val="21"/>
                              </w:rPr>
                            </w:pPr>
                            <w:r>
                              <w:rPr>
                                <w:b/>
                                <w:sz w:val="21"/>
                              </w:rPr>
                              <w:t>排放量（</w:t>
                            </w:r>
                            <w:r>
                              <w:rPr>
                                <w:rFonts w:ascii="Times New Roman" w:eastAsia="Times New Roman"/>
                                <w:b/>
                                <w:sz w:val="21"/>
                              </w:rPr>
                              <w:t>t/a</w:t>
                            </w:r>
                            <w:r>
                              <w:rPr>
                                <w:b/>
                                <w:sz w:val="21"/>
                              </w:rPr>
                              <w:t>）</w:t>
                            </w:r>
                          </w:p>
                        </w:tc>
                        <w:tc>
                          <w:tcPr>
                            <w:tcW w:w="2943" w:type="dxa"/>
                            <w:gridSpan w:val="2"/>
                          </w:tcPr>
                          <w:p>
                            <w:pPr>
                              <w:pStyle w:val="18"/>
                              <w:spacing w:before="34"/>
                              <w:ind w:left="552"/>
                              <w:jc w:val="left"/>
                              <w:rPr>
                                <w:b/>
                                <w:sz w:val="21"/>
                              </w:rPr>
                            </w:pPr>
                            <w:r>
                              <w:rPr>
                                <w:b/>
                                <w:sz w:val="21"/>
                              </w:rPr>
                              <w:t>边界浓度（</w:t>
                            </w:r>
                            <w:r>
                              <w:rPr>
                                <w:rFonts w:ascii="Times New Roman" w:eastAsia="Times New Roman"/>
                                <w:b/>
                                <w:sz w:val="21"/>
                              </w:rPr>
                              <w:t>mg/m</w:t>
                            </w:r>
                            <w:r>
                              <w:rPr>
                                <w:rFonts w:ascii="Times New Roman" w:eastAsia="Times New Roman"/>
                                <w:b/>
                                <w:position w:val="7"/>
                                <w:sz w:val="13"/>
                              </w:rPr>
                              <w:t>3</w:t>
                            </w:r>
                            <w:r>
                              <w:rPr>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846" w:type="dxa"/>
                            <w:vMerge w:val="continue"/>
                          </w:tcPr>
                          <w:p>
                            <w:pPr>
                              <w:rPr>
                                <w:sz w:val="2"/>
                                <w:szCs w:val="2"/>
                              </w:rPr>
                            </w:pPr>
                          </w:p>
                        </w:tc>
                        <w:tc>
                          <w:tcPr>
                            <w:tcW w:w="980" w:type="dxa"/>
                          </w:tcPr>
                          <w:p>
                            <w:pPr>
                              <w:pStyle w:val="18"/>
                              <w:spacing w:before="46"/>
                              <w:ind w:left="181" w:right="171"/>
                              <w:rPr>
                                <w:rFonts w:ascii="Times New Roman"/>
                                <w:sz w:val="21"/>
                              </w:rPr>
                            </w:pPr>
                            <w:r>
                              <w:rPr>
                                <w:rFonts w:ascii="Times New Roman"/>
                                <w:position w:val="2"/>
                                <w:sz w:val="21"/>
                              </w:rPr>
                              <w:t>NH</w:t>
                            </w:r>
                            <w:r>
                              <w:rPr>
                                <w:rFonts w:ascii="Times New Roman"/>
                                <w:position w:val="2"/>
                                <w:sz w:val="21"/>
                                <w:vertAlign w:val="subscript"/>
                              </w:rPr>
                              <w:t>3</w:t>
                            </w:r>
                          </w:p>
                        </w:tc>
                        <w:tc>
                          <w:tcPr>
                            <w:tcW w:w="1172" w:type="dxa"/>
                          </w:tcPr>
                          <w:p>
                            <w:pPr>
                              <w:pStyle w:val="18"/>
                              <w:spacing w:before="46"/>
                              <w:ind w:left="223" w:right="215"/>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17" w:type="dxa"/>
                          </w:tcPr>
                          <w:p>
                            <w:pPr>
                              <w:pStyle w:val="18"/>
                              <w:spacing w:before="46"/>
                              <w:ind w:left="423"/>
                              <w:jc w:val="left"/>
                              <w:rPr>
                                <w:rFonts w:ascii="Times New Roman"/>
                                <w:sz w:val="21"/>
                              </w:rPr>
                            </w:pPr>
                            <w:r>
                              <w:rPr>
                                <w:rFonts w:ascii="Times New Roman"/>
                                <w:position w:val="2"/>
                                <w:sz w:val="21"/>
                              </w:rPr>
                              <w:t>NH</w:t>
                            </w:r>
                            <w:r>
                              <w:rPr>
                                <w:rFonts w:ascii="Times New Roman"/>
                                <w:position w:val="2"/>
                                <w:sz w:val="21"/>
                                <w:vertAlign w:val="subscript"/>
                              </w:rPr>
                              <w:t>3</w:t>
                            </w:r>
                          </w:p>
                        </w:tc>
                        <w:tc>
                          <w:tcPr>
                            <w:tcW w:w="1361" w:type="dxa"/>
                          </w:tcPr>
                          <w:p>
                            <w:pPr>
                              <w:pStyle w:val="18"/>
                              <w:spacing w:before="46"/>
                              <w:ind w:left="371" w:right="36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43" w:type="dxa"/>
                          </w:tcPr>
                          <w:p>
                            <w:pPr>
                              <w:pStyle w:val="18"/>
                              <w:spacing w:before="46"/>
                              <w:ind w:left="361" w:right="353"/>
                              <w:rPr>
                                <w:rFonts w:ascii="Times New Roman"/>
                                <w:sz w:val="21"/>
                              </w:rPr>
                            </w:pPr>
                            <w:r>
                              <w:rPr>
                                <w:rFonts w:ascii="Times New Roman"/>
                                <w:position w:val="2"/>
                                <w:sz w:val="21"/>
                              </w:rPr>
                              <w:t>NH</w:t>
                            </w:r>
                            <w:r>
                              <w:rPr>
                                <w:rFonts w:ascii="Times New Roman"/>
                                <w:position w:val="2"/>
                                <w:sz w:val="21"/>
                                <w:vertAlign w:val="subscript"/>
                              </w:rPr>
                              <w:t>3</w:t>
                            </w:r>
                          </w:p>
                        </w:tc>
                        <w:tc>
                          <w:tcPr>
                            <w:tcW w:w="1600" w:type="dxa"/>
                          </w:tcPr>
                          <w:p>
                            <w:pPr>
                              <w:pStyle w:val="18"/>
                              <w:spacing w:before="46"/>
                              <w:ind w:left="436" w:right="427"/>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6" w:type="dxa"/>
                          </w:tcPr>
                          <w:p>
                            <w:pPr>
                              <w:pStyle w:val="18"/>
                              <w:spacing w:before="35"/>
                              <w:ind w:left="212"/>
                              <w:jc w:val="left"/>
                              <w:rPr>
                                <w:sz w:val="21"/>
                              </w:rPr>
                            </w:pPr>
                            <w:r>
                              <w:rPr>
                                <w:sz w:val="21"/>
                              </w:rPr>
                              <w:t>羊舍</w:t>
                            </w:r>
                          </w:p>
                        </w:tc>
                        <w:tc>
                          <w:tcPr>
                            <w:tcW w:w="980" w:type="dxa"/>
                          </w:tcPr>
                          <w:p>
                            <w:pPr>
                              <w:pStyle w:val="18"/>
                              <w:spacing w:before="49"/>
                              <w:ind w:left="181" w:right="171"/>
                              <w:rPr>
                                <w:rFonts w:ascii="Times New Roman"/>
                                <w:sz w:val="21"/>
                              </w:rPr>
                            </w:pPr>
                            <w:r>
                              <w:rPr>
                                <w:rFonts w:ascii="Times New Roman"/>
                                <w:sz w:val="21"/>
                              </w:rPr>
                              <w:t>0.0306</w:t>
                            </w:r>
                          </w:p>
                        </w:tc>
                        <w:tc>
                          <w:tcPr>
                            <w:tcW w:w="1172" w:type="dxa"/>
                          </w:tcPr>
                          <w:p>
                            <w:pPr>
                              <w:pStyle w:val="18"/>
                              <w:spacing w:before="49"/>
                              <w:ind w:left="223" w:right="215"/>
                              <w:rPr>
                                <w:rFonts w:ascii="Times New Roman"/>
                                <w:sz w:val="21"/>
                              </w:rPr>
                            </w:pPr>
                            <w:r>
                              <w:rPr>
                                <w:rFonts w:ascii="Times New Roman"/>
                                <w:sz w:val="21"/>
                              </w:rPr>
                              <w:t>0.00306</w:t>
                            </w:r>
                          </w:p>
                        </w:tc>
                        <w:tc>
                          <w:tcPr>
                            <w:tcW w:w="1217" w:type="dxa"/>
                          </w:tcPr>
                          <w:p>
                            <w:pPr>
                              <w:pStyle w:val="18"/>
                              <w:spacing w:before="49"/>
                              <w:ind w:left="372"/>
                              <w:jc w:val="left"/>
                              <w:rPr>
                                <w:rFonts w:ascii="Times New Roman"/>
                                <w:sz w:val="21"/>
                              </w:rPr>
                            </w:pPr>
                            <w:r>
                              <w:rPr>
                                <w:rFonts w:ascii="Times New Roman"/>
                                <w:sz w:val="21"/>
                              </w:rPr>
                              <w:t>0.268</w:t>
                            </w:r>
                          </w:p>
                        </w:tc>
                        <w:tc>
                          <w:tcPr>
                            <w:tcW w:w="1361" w:type="dxa"/>
                          </w:tcPr>
                          <w:p>
                            <w:pPr>
                              <w:pStyle w:val="18"/>
                              <w:spacing w:before="49"/>
                              <w:ind w:left="371" w:right="362"/>
                              <w:rPr>
                                <w:rFonts w:ascii="Times New Roman"/>
                                <w:sz w:val="21"/>
                              </w:rPr>
                            </w:pPr>
                            <w:r>
                              <w:rPr>
                                <w:rFonts w:ascii="Times New Roman"/>
                                <w:sz w:val="21"/>
                              </w:rPr>
                              <w:t>0.0268</w:t>
                            </w:r>
                          </w:p>
                        </w:tc>
                        <w:tc>
                          <w:tcPr>
                            <w:tcW w:w="1343" w:type="dxa"/>
                          </w:tcPr>
                          <w:p>
                            <w:pPr>
                              <w:pStyle w:val="18"/>
                              <w:spacing w:before="49"/>
                              <w:ind w:left="361" w:right="353"/>
                              <w:rPr>
                                <w:rFonts w:ascii="Times New Roman"/>
                                <w:sz w:val="21"/>
                              </w:rPr>
                            </w:pPr>
                            <w:r>
                              <w:rPr>
                                <w:rFonts w:ascii="Times New Roman"/>
                                <w:sz w:val="21"/>
                              </w:rPr>
                              <w:t>0.0184</w:t>
                            </w:r>
                          </w:p>
                        </w:tc>
                        <w:tc>
                          <w:tcPr>
                            <w:tcW w:w="1600" w:type="dxa"/>
                          </w:tcPr>
                          <w:p>
                            <w:pPr>
                              <w:pStyle w:val="18"/>
                              <w:spacing w:before="49"/>
                              <w:ind w:left="439" w:right="427"/>
                              <w:rPr>
                                <w:rFonts w:ascii="Times New Roman"/>
                                <w:sz w:val="21"/>
                              </w:rPr>
                            </w:pPr>
                            <w:r>
                              <w:rPr>
                                <w:rFonts w:ascii="Times New Roman"/>
                                <w:sz w:val="21"/>
                              </w:rPr>
                              <w:t>0.00184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576" w:type="dxa"/>
                            <w:gridSpan w:val="5"/>
                          </w:tcPr>
                          <w:p>
                            <w:pPr>
                              <w:pStyle w:val="18"/>
                              <w:spacing w:before="1" w:line="240" w:lineRule="exact"/>
                              <w:ind w:left="1841" w:right="63" w:hanging="1702"/>
                              <w:jc w:val="left"/>
                              <w:rPr>
                                <w:sz w:val="21"/>
                              </w:rPr>
                            </w:pPr>
                            <w:r>
                              <w:rPr>
                                <w:sz w:val="21"/>
                              </w:rPr>
                              <w:t>《恶臭污染物排放标准》（</w:t>
                            </w:r>
                            <w:r>
                              <w:rPr>
                                <w:rFonts w:ascii="Times New Roman" w:eastAsia="Times New Roman"/>
                                <w:sz w:val="21"/>
                              </w:rPr>
                              <w:t>GB14554-1993</w:t>
                            </w:r>
                            <w:r>
                              <w:rPr>
                                <w:sz w:val="21"/>
                              </w:rPr>
                              <w:t xml:space="preserve">）表 </w:t>
                            </w:r>
                            <w:r>
                              <w:rPr>
                                <w:rFonts w:ascii="Times New Roman" w:eastAsia="Times New Roman"/>
                                <w:sz w:val="21"/>
                              </w:rPr>
                              <w:t xml:space="preserve">1 </w:t>
                            </w:r>
                            <w:r>
                              <w:rPr>
                                <w:sz w:val="21"/>
                              </w:rPr>
                              <w:t>恶臭污染物厂界标准二级标准</w:t>
                            </w:r>
                          </w:p>
                        </w:tc>
                        <w:tc>
                          <w:tcPr>
                            <w:tcW w:w="1343" w:type="dxa"/>
                          </w:tcPr>
                          <w:p>
                            <w:pPr>
                              <w:pStyle w:val="18"/>
                              <w:spacing w:before="119"/>
                              <w:ind w:left="361" w:right="351"/>
                              <w:rPr>
                                <w:rFonts w:ascii="Times New Roman"/>
                                <w:sz w:val="21"/>
                              </w:rPr>
                            </w:pPr>
                            <w:r>
                              <w:rPr>
                                <w:rFonts w:ascii="Times New Roman"/>
                                <w:sz w:val="21"/>
                              </w:rPr>
                              <w:t>0.5</w:t>
                            </w:r>
                          </w:p>
                        </w:tc>
                        <w:tc>
                          <w:tcPr>
                            <w:tcW w:w="1600" w:type="dxa"/>
                          </w:tcPr>
                          <w:p>
                            <w:pPr>
                              <w:pStyle w:val="18"/>
                              <w:spacing w:before="119"/>
                              <w:ind w:left="437" w:right="427"/>
                              <w:rPr>
                                <w:rFonts w:ascii="Times New Roman"/>
                                <w:sz w:val="21"/>
                              </w:rPr>
                            </w:pPr>
                            <w:r>
                              <w:rPr>
                                <w:rFonts w:ascii="Times New Roman"/>
                                <w:sz w:val="21"/>
                              </w:rPr>
                              <w:t>0.06</w:t>
                            </w:r>
                          </w:p>
                        </w:tc>
                      </w:tr>
                    </w:tbl>
                    <w:p>
                      <w:pPr>
                        <w:pStyle w:val="7"/>
                        <w:ind w:left="0"/>
                      </w:pPr>
                    </w:p>
                  </w:txbxContent>
                </v:textbox>
              </v:shape>
            </w:pict>
          </mc:Fallback>
        </mc:AlternateContent>
      </w:r>
      <w:r>
        <w:rPr>
          <w:sz w:val="24"/>
        </w:rPr>
        <w:t>经计算，正常情况下恶臭气体</w:t>
      </w:r>
      <w:r>
        <w:rPr>
          <w:rFonts w:ascii="Times New Roman" w:eastAsia="Times New Roman"/>
          <w:sz w:val="24"/>
        </w:rPr>
        <w:t>H</w:t>
      </w:r>
      <w:r>
        <w:rPr>
          <w:rFonts w:ascii="Times New Roman" w:eastAsia="Times New Roman"/>
          <w:sz w:val="15"/>
        </w:rPr>
        <w:t>2</w:t>
      </w:r>
      <w:r>
        <w:rPr>
          <w:rFonts w:ascii="Times New Roman" w:eastAsia="Times New Roman"/>
          <w:sz w:val="24"/>
        </w:rPr>
        <w:t>S</w:t>
      </w:r>
      <w:r>
        <w:rPr>
          <w:sz w:val="24"/>
        </w:rPr>
        <w:t>、</w:t>
      </w:r>
      <w:r>
        <w:rPr>
          <w:rFonts w:ascii="Times New Roman" w:eastAsia="Times New Roman"/>
          <w:sz w:val="24"/>
        </w:rPr>
        <w:t>NH</w:t>
      </w:r>
      <w:r>
        <w:rPr>
          <w:rFonts w:ascii="Times New Roman" w:eastAsia="Times New Roman"/>
          <w:sz w:val="15"/>
        </w:rPr>
        <w:t>3</w:t>
      </w:r>
      <w:r>
        <w:rPr>
          <w:sz w:val="24"/>
        </w:rPr>
        <w:t>的边界浓度见表</w:t>
      </w:r>
      <w:r>
        <w:rPr>
          <w:rFonts w:ascii="Times New Roman" w:eastAsia="Times New Roman"/>
          <w:sz w:val="24"/>
        </w:rPr>
        <w:t>3.2-6</w:t>
      </w:r>
      <w:r>
        <w:rPr>
          <w:spacing w:val="-12"/>
          <w:sz w:val="24"/>
        </w:rPr>
        <w:t>。</w:t>
      </w:r>
      <w:r>
        <w:rPr>
          <w:b/>
          <w:sz w:val="24"/>
        </w:rPr>
        <w:t>表</w:t>
      </w:r>
      <w:r>
        <w:rPr>
          <w:rFonts w:ascii="Times New Roman" w:eastAsia="Times New Roman"/>
          <w:b/>
          <w:sz w:val="24"/>
        </w:rPr>
        <w:t>3.2-6</w:t>
      </w:r>
      <w:r>
        <w:rPr>
          <w:rFonts w:ascii="Times New Roman" w:eastAsia="Times New Roman"/>
          <w:b/>
          <w:sz w:val="24"/>
        </w:rPr>
        <w:tab/>
      </w:r>
      <w:r>
        <w:rPr>
          <w:b/>
          <w:sz w:val="24"/>
        </w:rPr>
        <w:t>羊圈舍恶臭气体源强计算</w:t>
      </w:r>
    </w:p>
    <w:p>
      <w:pPr>
        <w:pStyle w:val="7"/>
        <w:spacing w:before="143"/>
        <w:ind w:left="1020"/>
      </w:pPr>
    </w:p>
    <w:p>
      <w:pPr>
        <w:pStyle w:val="7"/>
        <w:spacing w:before="143"/>
        <w:ind w:left="1020"/>
      </w:pPr>
    </w:p>
    <w:p>
      <w:pPr>
        <w:pStyle w:val="7"/>
        <w:spacing w:before="143"/>
        <w:ind w:left="1020"/>
      </w:pPr>
    </w:p>
    <w:p>
      <w:pPr>
        <w:pStyle w:val="7"/>
        <w:spacing w:before="143"/>
        <w:ind w:left="0" w:leftChars="0" w:firstLine="960" w:firstLineChars="400"/>
      </w:pPr>
      <w:r>
        <w:t>③无组织排放恶臭的治理措施</w:t>
      </w:r>
    </w:p>
    <w:p>
      <w:pPr>
        <w:pStyle w:val="7"/>
        <w:spacing w:before="160" w:line="364" w:lineRule="auto"/>
        <w:ind w:right="577" w:firstLine="480"/>
      </w:pPr>
      <w:r>
        <w:rPr>
          <w:spacing w:val="-5"/>
        </w:rPr>
        <w:t>此类无组织排放恶臭的治理方法主要从减少臭气产生、防止恶臭扩散等多种</w:t>
      </w:r>
      <w:r>
        <w:t>方法并举。建设单位拟采取如下措施：</w:t>
      </w:r>
    </w:p>
    <w:p>
      <w:pPr>
        <w:pStyle w:val="7"/>
        <w:spacing w:before="1" w:line="364" w:lineRule="auto"/>
        <w:ind w:right="618" w:firstLine="480"/>
      </w:pPr>
      <w:r>
        <w:rPr>
          <w:rFonts w:ascii="Times New Roman" w:eastAsia="Times New Roman"/>
        </w:rPr>
        <w:t>a</w:t>
      </w:r>
      <w:r>
        <w:t>、本项目采取干清粪法处理羊粪便，粪便日产日清，及时运往堆肥厂，提高圈舍的环境卫生条件，以减少臭气的散发；</w:t>
      </w:r>
    </w:p>
    <w:p>
      <w:pPr>
        <w:pStyle w:val="7"/>
        <w:spacing w:before="2" w:line="364" w:lineRule="auto"/>
        <w:ind w:right="605" w:firstLine="480"/>
      </w:pPr>
      <w:r>
        <w:rPr>
          <w:rFonts w:ascii="Times New Roman" w:eastAsia="Times New Roman"/>
        </w:rPr>
        <w:t>b</w:t>
      </w:r>
      <w:r>
        <w:t>、羊舍均采用自然通风辅助机械通风方式加强通风，来保持羊舍空气的流通和新鲜。</w:t>
      </w:r>
    </w:p>
    <w:p>
      <w:pPr>
        <w:pStyle w:val="7"/>
        <w:spacing w:before="1" w:line="364" w:lineRule="auto"/>
        <w:ind w:right="618" w:firstLine="480"/>
      </w:pPr>
      <w:r>
        <w:rPr>
          <w:rFonts w:ascii="Times New Roman" w:eastAsia="Times New Roman"/>
        </w:rPr>
        <w:t>c</w:t>
      </w:r>
      <w:r>
        <w:t>、对圈舍定期清理和消毒，保持舍内、设备的清洁卫生，减少恶臭污染物的产生。</w:t>
      </w:r>
    </w:p>
    <w:p>
      <w:pPr>
        <w:pStyle w:val="7"/>
        <w:spacing w:before="1" w:line="364" w:lineRule="auto"/>
        <w:ind w:right="665" w:firstLine="480"/>
      </w:pPr>
      <w:r>
        <w:rPr>
          <w:rFonts w:ascii="Times New Roman" w:eastAsia="Times New Roman"/>
        </w:rPr>
        <w:t>d</w:t>
      </w:r>
      <w:r>
        <w:rPr>
          <w:spacing w:val="-5"/>
        </w:rPr>
        <w:t>、同时进行喷洒除臭，以</w:t>
      </w:r>
      <w:r>
        <w:rPr>
          <w:rFonts w:ascii="Times New Roman" w:eastAsia="Times New Roman"/>
        </w:rPr>
        <w:t>1</w:t>
      </w:r>
      <w:r>
        <w:t>：</w:t>
      </w:r>
      <w:r>
        <w:rPr>
          <w:rFonts w:ascii="Times New Roman" w:eastAsia="Times New Roman"/>
        </w:rPr>
        <w:t>50</w:t>
      </w:r>
      <w:r>
        <w:t>（除臭剂：消毒用水）</w:t>
      </w:r>
      <w:r>
        <w:rPr>
          <w:spacing w:val="-10"/>
        </w:rPr>
        <w:t>的除臭液每</w:t>
      </w:r>
      <w:r>
        <w:rPr>
          <w:rFonts w:ascii="Times New Roman" w:eastAsia="Times New Roman"/>
        </w:rPr>
        <w:t>7</w:t>
      </w:r>
      <w:r>
        <w:rPr>
          <w:spacing w:val="-10"/>
        </w:rPr>
        <w:t>天喷</w:t>
      </w:r>
      <w:r>
        <w:rPr>
          <w:spacing w:val="-6"/>
        </w:rPr>
        <w:t>洒一次，除臭效率约为</w:t>
      </w:r>
      <w:r>
        <w:rPr>
          <w:rFonts w:ascii="Times New Roman" w:eastAsia="Times New Roman"/>
        </w:rPr>
        <w:t>80%</w:t>
      </w:r>
      <w:r>
        <w:t>。</w:t>
      </w:r>
    </w:p>
    <w:p>
      <w:pPr>
        <w:pStyle w:val="7"/>
        <w:spacing w:before="1" w:line="364" w:lineRule="auto"/>
        <w:ind w:right="457" w:firstLine="480"/>
      </w:pPr>
      <w:r>
        <w:rPr>
          <w:rFonts w:ascii="Times New Roman" w:eastAsia="Times New Roman"/>
          <w:spacing w:val="-1"/>
        </w:rPr>
        <w:t>e</w:t>
      </w:r>
      <w:r>
        <w:rPr>
          <w:spacing w:val="-16"/>
        </w:rPr>
        <w:t>、本项目计划采用科学饲喂技术，提高饲料的利用率</w:t>
      </w:r>
      <w:r>
        <w:t>（</w:t>
      </w:r>
      <w:r>
        <w:rPr>
          <w:spacing w:val="-1"/>
        </w:rPr>
        <w:t>尤其是氮的利用率</w:t>
      </w:r>
      <w:r>
        <w:rPr>
          <w:spacing w:val="-128"/>
        </w:rPr>
        <w:t>）</w:t>
      </w:r>
      <w:r>
        <w:rPr>
          <w:spacing w:val="-8"/>
        </w:rPr>
        <w:t>，</w:t>
      </w:r>
      <w:r>
        <w:t>降低排泄物中氮的含量及恶臭气体的排放。</w:t>
      </w:r>
    </w:p>
    <w:p>
      <w:pPr>
        <w:pStyle w:val="7"/>
        <w:spacing w:before="1" w:line="364" w:lineRule="auto"/>
        <w:ind w:right="461" w:firstLine="480"/>
        <w:rPr>
          <w:color w:val="0000FF"/>
        </w:rPr>
      </w:pPr>
      <w:r>
        <w:rPr>
          <w:rFonts w:ascii="Times New Roman" w:eastAsia="Times New Roman"/>
        </w:rPr>
        <w:t>f</w:t>
      </w:r>
      <w:r>
        <w:rPr>
          <w:spacing w:val="-12"/>
        </w:rPr>
        <w:t>、</w:t>
      </w:r>
      <w:r>
        <w:rPr>
          <w:color w:val="0000FF"/>
          <w:spacing w:val="-12"/>
        </w:rPr>
        <w:t>本项目总绿化面积达到</w:t>
      </w:r>
      <w:r>
        <w:rPr>
          <w:rFonts w:hint="eastAsia"/>
          <w:color w:val="0000FF"/>
          <w:spacing w:val="-12"/>
          <w:lang w:val="en-US" w:eastAsia="zh-CN"/>
        </w:rPr>
        <w:t>3109.5</w:t>
      </w:r>
      <w:r>
        <w:rPr>
          <w:rFonts w:ascii="Times New Roman" w:eastAsia="Times New Roman"/>
          <w:color w:val="0000FF"/>
        </w:rPr>
        <w:t>m</w:t>
      </w:r>
      <w:r>
        <w:rPr>
          <w:rFonts w:ascii="Times New Roman" w:eastAsia="Times New Roman"/>
          <w:color w:val="0000FF"/>
          <w:position w:val="8"/>
          <w:sz w:val="15"/>
        </w:rPr>
        <w:t>2</w:t>
      </w:r>
      <w:r>
        <w:rPr>
          <w:color w:val="0000FF"/>
          <w:spacing w:val="-12"/>
        </w:rPr>
        <w:t>。鉴于养殖行业特殊性，在树种选择上，</w:t>
      </w:r>
      <w:r>
        <w:rPr>
          <w:color w:val="0000FF"/>
          <w:spacing w:val="-6"/>
        </w:rPr>
        <w:t>不仅要考虑美化效果，还必须考虑在除臭、防火、吸尘、杀菌等方面的作用。建议防疫隔离带选用杨树、榆树等树种或灌木；防护林选用乔木和灌木混合林带，乔木可选择大叶杨、早柳、榆树，最大限度地防止臭味对周围大气环境的影响。</w:t>
      </w:r>
    </w:p>
    <w:p>
      <w:pPr>
        <w:pStyle w:val="7"/>
        <w:spacing w:before="3" w:line="364" w:lineRule="auto"/>
        <w:ind w:right="577" w:firstLine="480"/>
      </w:pPr>
      <w:r>
        <w:rPr>
          <w:spacing w:val="-7"/>
        </w:rPr>
        <w:t>区内空地和路边尽量植树及种植花草，以最大限度地防止臭味对周围大气环</w:t>
      </w:r>
      <w:r>
        <w:t>境的影响。</w:t>
      </w:r>
    </w:p>
    <w:p>
      <w:pPr>
        <w:pStyle w:val="7"/>
        <w:spacing w:before="1" w:line="364" w:lineRule="auto"/>
        <w:ind w:right="725" w:firstLine="480"/>
      </w:pPr>
      <w:r>
        <w:rPr>
          <w:spacing w:val="-1"/>
        </w:rPr>
        <w:t>本项目运营期采取上述畜禽养殖污染预防措施和养殖场臭气污染控制措施</w:t>
      </w:r>
      <w:r>
        <w:t>后，可以大大减少恶臭气体的产生。</w:t>
      </w:r>
    </w:p>
    <w:p>
      <w:pPr>
        <w:pStyle w:val="17"/>
        <w:numPr>
          <w:ilvl w:val="0"/>
          <w:numId w:val="31"/>
        </w:numPr>
        <w:tabs>
          <w:tab w:val="left" w:pos="1621"/>
        </w:tabs>
        <w:spacing w:before="1" w:after="0" w:line="240" w:lineRule="auto"/>
        <w:ind w:left="1621" w:right="0" w:hanging="601"/>
        <w:jc w:val="left"/>
        <w:rPr>
          <w:sz w:val="24"/>
        </w:rPr>
      </w:pPr>
      <w:r>
        <w:rPr>
          <w:sz w:val="24"/>
        </w:rPr>
        <w:t>堆肥厂恶臭</w:t>
      </w:r>
    </w:p>
    <w:p>
      <w:pPr>
        <w:pStyle w:val="7"/>
        <w:spacing w:before="161"/>
        <w:ind w:left="1020"/>
      </w:pPr>
      <w:r>
        <w:t>经类比调查，养殖场恶臭排放源的源强特征见表</w:t>
      </w:r>
      <w:r>
        <w:rPr>
          <w:rFonts w:ascii="Times New Roman" w:eastAsia="Times New Roman"/>
        </w:rPr>
        <w:t>3.2-7</w:t>
      </w:r>
      <w:r>
        <w:t>为每平米排放</w:t>
      </w:r>
      <w:r>
        <w:rPr>
          <w:rFonts w:ascii="Times New Roman" w:eastAsia="Times New Roman"/>
        </w:rPr>
        <w:t>NH</w:t>
      </w:r>
      <w:r>
        <w:rPr>
          <w:rFonts w:ascii="Times New Roman" w:eastAsia="Times New Roman"/>
          <w:vertAlign w:val="subscript"/>
        </w:rPr>
        <w:t>3</w:t>
      </w:r>
      <w:r>
        <w:rPr>
          <w:vertAlign w:val="baseline"/>
        </w:rPr>
        <w:t>和</w:t>
      </w:r>
    </w:p>
    <w:p>
      <w:pPr>
        <w:pStyle w:val="7"/>
        <w:spacing w:before="176"/>
        <w:rPr>
          <w:rFonts w:ascii="Times New Roman"/>
        </w:rPr>
      </w:pPr>
      <w:r>
        <w:rPr>
          <w:rFonts w:ascii="Times New Roman"/>
        </w:rPr>
        <w:t>H</w:t>
      </w:r>
      <w:r>
        <w:rPr>
          <w:rFonts w:ascii="Times New Roman"/>
          <w:vertAlign w:val="subscript"/>
        </w:rPr>
        <w:t>2</w:t>
      </w:r>
      <w:r>
        <w:rPr>
          <w:rFonts w:ascii="Times New Roman"/>
          <w:vertAlign w:val="baseline"/>
        </w:rPr>
        <w:t>S</w:t>
      </w:r>
    </w:p>
    <w:p>
      <w:pPr>
        <w:pStyle w:val="7"/>
        <w:spacing w:before="7"/>
        <w:ind w:left="0"/>
        <w:rPr>
          <w:rFonts w:ascii="Times New Roman"/>
          <w:sz w:val="15"/>
        </w:rPr>
      </w:pPr>
    </w:p>
    <w:p>
      <w:pPr>
        <w:pStyle w:val="7"/>
        <w:bidi w:val="0"/>
        <w:jc w:val="center"/>
      </w:pPr>
      <w:r>
        <w:t>表</w:t>
      </w:r>
      <w:r>
        <w:rPr>
          <w:rFonts w:ascii="Times New Roman" w:eastAsia="Times New Roman"/>
        </w:rPr>
        <w:t>3.2-7</w:t>
      </w:r>
      <w:r>
        <w:rPr>
          <w:rFonts w:ascii="Times New Roman" w:eastAsia="Times New Roman"/>
        </w:rPr>
        <w:tab/>
      </w:r>
      <w:r>
        <w:t>堆肥厂恶臭源强一览表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1619"/>
        <w:gridCol w:w="1941"/>
        <w:gridCol w:w="3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restart"/>
          </w:tcPr>
          <w:p>
            <w:pPr>
              <w:pStyle w:val="18"/>
              <w:spacing w:before="9"/>
              <w:jc w:val="left"/>
              <w:rPr>
                <w:b/>
                <w:sz w:val="15"/>
              </w:rPr>
            </w:pPr>
          </w:p>
          <w:p>
            <w:pPr>
              <w:pStyle w:val="18"/>
              <w:ind w:left="382"/>
              <w:jc w:val="left"/>
              <w:rPr>
                <w:b/>
                <w:sz w:val="21"/>
              </w:rPr>
            </w:pPr>
            <w:r>
              <w:rPr>
                <w:b/>
                <w:sz w:val="21"/>
              </w:rPr>
              <w:t>排放源</w:t>
            </w:r>
          </w:p>
        </w:tc>
        <w:tc>
          <w:tcPr>
            <w:tcW w:w="3560" w:type="dxa"/>
            <w:gridSpan w:val="2"/>
          </w:tcPr>
          <w:p>
            <w:pPr>
              <w:pStyle w:val="18"/>
              <w:spacing w:before="31"/>
              <w:ind w:left="1338" w:right="1327"/>
              <w:rPr>
                <w:b/>
                <w:sz w:val="21"/>
              </w:rPr>
            </w:pPr>
            <w:r>
              <w:rPr>
                <w:b/>
                <w:sz w:val="21"/>
              </w:rPr>
              <w:t>排放速率</w:t>
            </w:r>
          </w:p>
        </w:tc>
        <w:tc>
          <w:tcPr>
            <w:tcW w:w="3562" w:type="dxa"/>
            <w:vMerge w:val="restart"/>
          </w:tcPr>
          <w:p>
            <w:pPr>
              <w:pStyle w:val="18"/>
              <w:spacing w:before="9"/>
              <w:jc w:val="left"/>
              <w:rPr>
                <w:b/>
                <w:sz w:val="15"/>
              </w:rPr>
            </w:pPr>
          </w:p>
          <w:p>
            <w:pPr>
              <w:pStyle w:val="18"/>
              <w:ind w:left="1548" w:right="1541"/>
              <w:rPr>
                <w:b/>
                <w:sz w:val="21"/>
              </w:rPr>
            </w:pPr>
            <w:r>
              <w:rPr>
                <w:b/>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continue"/>
            <w:tcBorders>
              <w:top w:val="nil"/>
            </w:tcBorders>
          </w:tcPr>
          <w:p>
            <w:pPr>
              <w:rPr>
                <w:sz w:val="2"/>
                <w:szCs w:val="2"/>
              </w:rPr>
            </w:pPr>
          </w:p>
        </w:tc>
        <w:tc>
          <w:tcPr>
            <w:tcW w:w="1619" w:type="dxa"/>
          </w:tcPr>
          <w:p>
            <w:pPr>
              <w:pStyle w:val="18"/>
              <w:spacing w:before="40"/>
              <w:ind w:left="258" w:right="249"/>
              <w:rPr>
                <w:rFonts w:ascii="Times New Roman"/>
                <w:sz w:val="21"/>
              </w:rPr>
            </w:pPr>
            <w:r>
              <w:rPr>
                <w:rFonts w:ascii="Times New Roman"/>
                <w:position w:val="2"/>
                <w:sz w:val="21"/>
              </w:rPr>
              <w:t>NH</w:t>
            </w:r>
            <w:r>
              <w:rPr>
                <w:rFonts w:ascii="Times New Roman"/>
                <w:position w:val="2"/>
                <w:sz w:val="21"/>
                <w:vertAlign w:val="subscript"/>
              </w:rPr>
              <w:t>3</w:t>
            </w:r>
          </w:p>
        </w:tc>
        <w:tc>
          <w:tcPr>
            <w:tcW w:w="1941" w:type="dxa"/>
          </w:tcPr>
          <w:p>
            <w:pPr>
              <w:pStyle w:val="18"/>
              <w:spacing w:before="40"/>
              <w:ind w:left="419" w:right="40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35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restart"/>
          </w:tcPr>
          <w:p>
            <w:pPr>
              <w:pStyle w:val="18"/>
              <w:spacing w:before="8"/>
              <w:jc w:val="left"/>
              <w:rPr>
                <w:b/>
                <w:sz w:val="15"/>
              </w:rPr>
            </w:pPr>
          </w:p>
          <w:p>
            <w:pPr>
              <w:pStyle w:val="18"/>
              <w:ind w:left="382"/>
              <w:jc w:val="left"/>
              <w:rPr>
                <w:sz w:val="21"/>
              </w:rPr>
            </w:pPr>
            <w:r>
              <w:rPr>
                <w:sz w:val="21"/>
              </w:rPr>
              <w:t>堆肥厂</w:t>
            </w:r>
          </w:p>
        </w:tc>
        <w:tc>
          <w:tcPr>
            <w:tcW w:w="1619" w:type="dxa"/>
          </w:tcPr>
          <w:p>
            <w:pPr>
              <w:pStyle w:val="18"/>
              <w:spacing w:before="44"/>
              <w:ind w:left="256" w:right="249"/>
              <w:rPr>
                <w:rFonts w:ascii="Times New Roman"/>
                <w:sz w:val="21"/>
              </w:rPr>
            </w:pPr>
            <w:r>
              <w:rPr>
                <w:rFonts w:ascii="Times New Roman"/>
                <w:sz w:val="21"/>
              </w:rPr>
              <w:t>0.00012</w:t>
            </w:r>
          </w:p>
        </w:tc>
        <w:tc>
          <w:tcPr>
            <w:tcW w:w="1941" w:type="dxa"/>
          </w:tcPr>
          <w:p>
            <w:pPr>
              <w:pStyle w:val="18"/>
              <w:spacing w:before="44"/>
              <w:ind w:left="417" w:right="409"/>
              <w:rPr>
                <w:rFonts w:ascii="Times New Roman"/>
                <w:sz w:val="21"/>
              </w:rPr>
            </w:pPr>
            <w:r>
              <w:rPr>
                <w:rFonts w:ascii="Times New Roman"/>
                <w:sz w:val="21"/>
              </w:rPr>
              <w:t>0.00001</w:t>
            </w:r>
          </w:p>
        </w:tc>
        <w:tc>
          <w:tcPr>
            <w:tcW w:w="3562" w:type="dxa"/>
          </w:tcPr>
          <w:p>
            <w:pPr>
              <w:pStyle w:val="18"/>
              <w:spacing w:before="30"/>
              <w:ind w:left="1214"/>
              <w:jc w:val="left"/>
              <w:rPr>
                <w:b/>
                <w:sz w:val="21"/>
              </w:rPr>
            </w:pPr>
            <w:r>
              <w:rPr>
                <w:b/>
                <w:sz w:val="21"/>
              </w:rPr>
              <w:t>（</w:t>
            </w:r>
            <w:r>
              <w:rPr>
                <w:rFonts w:ascii="Times New Roman" w:eastAsia="Times New Roman"/>
                <w:b/>
                <w:sz w:val="21"/>
              </w:rPr>
              <w:t>mg/s.m</w:t>
            </w:r>
            <w:r>
              <w:rPr>
                <w:rFonts w:ascii="Times New Roman" w:eastAsia="Times New Roman"/>
                <w:b/>
                <w:position w:val="7"/>
                <w:sz w:val="13"/>
              </w:rPr>
              <w:t>2</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continue"/>
            <w:tcBorders>
              <w:top w:val="nil"/>
            </w:tcBorders>
          </w:tcPr>
          <w:p>
            <w:pPr>
              <w:rPr>
                <w:sz w:val="2"/>
                <w:szCs w:val="2"/>
              </w:rPr>
            </w:pPr>
          </w:p>
        </w:tc>
        <w:tc>
          <w:tcPr>
            <w:tcW w:w="1619" w:type="dxa"/>
          </w:tcPr>
          <w:p>
            <w:pPr>
              <w:pStyle w:val="18"/>
              <w:spacing w:before="30"/>
              <w:ind w:left="258" w:right="249"/>
              <w:rPr>
                <w:rFonts w:ascii="Times New Roman" w:hAnsi="Times New Roman" w:eastAsia="Times New Roman"/>
                <w:sz w:val="13"/>
              </w:rPr>
            </w:pP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1"/>
                <w:w w:val="99"/>
                <w:sz w:val="21"/>
              </w:rPr>
              <w:t>43</w:t>
            </w:r>
            <w:r>
              <w:rPr>
                <w:rFonts w:ascii="Times New Roman" w:hAnsi="Times New Roman" w:eastAsia="Times New Roman"/>
                <w:spacing w:val="-2"/>
                <w:w w:val="99"/>
                <w:sz w:val="21"/>
              </w:rPr>
              <w:t>2</w:t>
            </w:r>
            <w:r>
              <w:rPr>
                <w:spacing w:val="-1"/>
                <w:w w:val="99"/>
                <w:sz w:val="21"/>
              </w:rPr>
              <w:t>×</w:t>
            </w:r>
            <w:r>
              <w:rPr>
                <w:rFonts w:ascii="Times New Roman" w:hAnsi="Times New Roman" w:eastAsia="Times New Roman"/>
                <w:spacing w:val="1"/>
                <w:w w:val="99"/>
                <w:sz w:val="21"/>
              </w:rPr>
              <w:t>10</w:t>
            </w:r>
            <w:r>
              <w:rPr>
                <w:spacing w:val="-3"/>
                <w:w w:val="106"/>
                <w:position w:val="11"/>
                <w:sz w:val="10"/>
              </w:rPr>
              <w:t>﹣</w:t>
            </w:r>
            <w:r>
              <w:rPr>
                <w:rFonts w:ascii="Times New Roman" w:hAnsi="Times New Roman" w:eastAsia="Times New Roman"/>
                <w:w w:val="105"/>
                <w:position w:val="7"/>
                <w:sz w:val="13"/>
              </w:rPr>
              <w:t>6</w:t>
            </w:r>
          </w:p>
        </w:tc>
        <w:tc>
          <w:tcPr>
            <w:tcW w:w="1941" w:type="dxa"/>
          </w:tcPr>
          <w:p>
            <w:pPr>
              <w:pStyle w:val="18"/>
              <w:spacing w:before="30"/>
              <w:ind w:left="420" w:right="409"/>
              <w:rPr>
                <w:rFonts w:ascii="Times New Roman" w:hAnsi="Times New Roman" w:eastAsia="Times New Roman"/>
                <w:sz w:val="13"/>
              </w:rPr>
            </w:pP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2"/>
                <w:w w:val="99"/>
                <w:sz w:val="21"/>
              </w:rPr>
              <w:t>0</w:t>
            </w:r>
            <w:r>
              <w:rPr>
                <w:rFonts w:ascii="Times New Roman" w:hAnsi="Times New Roman" w:eastAsia="Times New Roman"/>
                <w:spacing w:val="1"/>
                <w:w w:val="99"/>
                <w:sz w:val="21"/>
              </w:rPr>
              <w:t>3</w:t>
            </w:r>
            <w:r>
              <w:rPr>
                <w:rFonts w:ascii="Times New Roman" w:hAnsi="Times New Roman" w:eastAsia="Times New Roman"/>
                <w:spacing w:val="-2"/>
                <w:w w:val="99"/>
                <w:sz w:val="21"/>
              </w:rPr>
              <w:t>6</w:t>
            </w:r>
            <w:r>
              <w:rPr>
                <w:spacing w:val="2"/>
                <w:w w:val="99"/>
                <w:sz w:val="21"/>
              </w:rPr>
              <w:t>×</w:t>
            </w:r>
            <w:r>
              <w:rPr>
                <w:rFonts w:ascii="Times New Roman" w:hAnsi="Times New Roman" w:eastAsia="Times New Roman"/>
                <w:spacing w:val="1"/>
                <w:w w:val="99"/>
                <w:sz w:val="21"/>
              </w:rPr>
              <w:t>1</w:t>
            </w:r>
            <w:r>
              <w:rPr>
                <w:rFonts w:ascii="Times New Roman" w:hAnsi="Times New Roman" w:eastAsia="Times New Roman"/>
                <w:spacing w:val="-2"/>
                <w:w w:val="99"/>
                <w:sz w:val="21"/>
              </w:rPr>
              <w:t>0</w:t>
            </w:r>
            <w:r>
              <w:rPr>
                <w:spacing w:val="-1"/>
                <w:w w:val="106"/>
                <w:position w:val="11"/>
                <w:sz w:val="10"/>
              </w:rPr>
              <w:t>﹣</w:t>
            </w:r>
            <w:r>
              <w:rPr>
                <w:rFonts w:ascii="Times New Roman" w:hAnsi="Times New Roman" w:eastAsia="Times New Roman"/>
                <w:w w:val="105"/>
                <w:position w:val="7"/>
                <w:sz w:val="13"/>
              </w:rPr>
              <w:t>6</w:t>
            </w:r>
          </w:p>
        </w:tc>
        <w:tc>
          <w:tcPr>
            <w:tcW w:w="3562" w:type="dxa"/>
          </w:tcPr>
          <w:p>
            <w:pPr>
              <w:pStyle w:val="18"/>
              <w:spacing w:before="30"/>
              <w:ind w:left="1226"/>
              <w:jc w:val="left"/>
              <w:rPr>
                <w:b/>
                <w:sz w:val="21"/>
              </w:rPr>
            </w:pPr>
            <w:r>
              <w:rPr>
                <w:b/>
                <w:sz w:val="21"/>
              </w:rPr>
              <w:t>（</w:t>
            </w:r>
            <w:r>
              <w:rPr>
                <w:rFonts w:ascii="Times New Roman" w:eastAsia="Times New Roman"/>
                <w:b/>
                <w:sz w:val="21"/>
              </w:rPr>
              <w:t>kg/h.m</w:t>
            </w:r>
            <w:r>
              <w:rPr>
                <w:rFonts w:ascii="Times New Roman" w:eastAsia="Times New Roman"/>
                <w:b/>
                <w:position w:val="7"/>
                <w:sz w:val="13"/>
              </w:rPr>
              <w:t>2</w:t>
            </w:r>
            <w:r>
              <w:rPr>
                <w:b/>
                <w:sz w:val="21"/>
              </w:rPr>
              <w:t>）</w:t>
            </w:r>
          </w:p>
        </w:tc>
      </w:tr>
    </w:tbl>
    <w:p>
      <w:pPr>
        <w:pStyle w:val="7"/>
        <w:spacing w:before="77" w:line="362" w:lineRule="auto"/>
        <w:ind w:right="455" w:firstLine="480"/>
      </w:pPr>
      <w:r>
        <w:rPr>
          <w:spacing w:val="-8"/>
          <w:position w:val="2"/>
        </w:rPr>
        <w:t>根据堆肥厂面积计算</w:t>
      </w:r>
      <w:r>
        <w:rPr>
          <w:spacing w:val="-3"/>
          <w:position w:val="2"/>
        </w:rPr>
        <w:t>（</w:t>
      </w:r>
      <w:r>
        <w:rPr>
          <w:spacing w:val="-9"/>
          <w:position w:val="2"/>
        </w:rPr>
        <w:t>堆肥场面积</w:t>
      </w:r>
      <w:r>
        <w:rPr>
          <w:rFonts w:ascii="Times New Roman" w:eastAsia="Times New Roman"/>
          <w:spacing w:val="-15"/>
          <w:position w:val="2"/>
        </w:rPr>
        <w:t>6000m</w:t>
      </w:r>
      <w:r>
        <w:rPr>
          <w:rFonts w:ascii="Times New Roman" w:eastAsia="Times New Roman"/>
          <w:spacing w:val="-15"/>
          <w:position w:val="2"/>
          <w:vertAlign w:val="superscript"/>
        </w:rPr>
        <w:t>2</w:t>
      </w:r>
      <w:r>
        <w:rPr>
          <w:spacing w:val="-15"/>
          <w:position w:val="2"/>
          <w:vertAlign w:val="baseline"/>
        </w:rPr>
        <w:t>），</w:t>
      </w:r>
      <w:r>
        <w:rPr>
          <w:rFonts w:ascii="Times New Roman" w:eastAsia="Times New Roman"/>
          <w:spacing w:val="-15"/>
          <w:position w:val="2"/>
          <w:vertAlign w:val="baseline"/>
        </w:rPr>
        <w:t>NH</w:t>
      </w:r>
      <w:r>
        <w:rPr>
          <w:rFonts w:ascii="Times New Roman" w:eastAsia="Times New Roman"/>
          <w:spacing w:val="-15"/>
          <w:position w:val="2"/>
          <w:vertAlign w:val="subscript"/>
        </w:rPr>
        <w:t>3</w:t>
      </w:r>
      <w:r>
        <w:rPr>
          <w:spacing w:val="-8"/>
          <w:position w:val="2"/>
          <w:vertAlign w:val="baseline"/>
        </w:rPr>
        <w:t>的产生强度为</w:t>
      </w:r>
      <w:r>
        <w:rPr>
          <w:rFonts w:ascii="Times New Roman" w:eastAsia="Times New Roman"/>
          <w:spacing w:val="-3"/>
          <w:position w:val="2"/>
          <w:vertAlign w:val="baseline"/>
        </w:rPr>
        <w:t>0.0026kg/h</w:t>
      </w:r>
      <w:r>
        <w:rPr>
          <w:spacing w:val="-3"/>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的产生强度为</w:t>
      </w:r>
      <w:r>
        <w:rPr>
          <w:rFonts w:ascii="Times New Roman" w:eastAsia="Times New Roman"/>
          <w:position w:val="2"/>
          <w:vertAlign w:val="baseline"/>
        </w:rPr>
        <w:t>0.000216kg/h</w:t>
      </w:r>
      <w:r>
        <w:rPr>
          <w:position w:val="2"/>
          <w:vertAlign w:val="baseline"/>
        </w:rPr>
        <w:t>。</w:t>
      </w:r>
    </w:p>
    <w:p>
      <w:pPr>
        <w:pStyle w:val="7"/>
        <w:spacing w:before="140" w:line="362" w:lineRule="auto"/>
        <w:ind w:right="575" w:firstLine="480"/>
        <w:jc w:val="both"/>
      </w:pPr>
      <w:r>
        <w:rPr>
          <w:spacing w:val="6"/>
          <w:position w:val="2"/>
        </w:rPr>
        <w:t>经过预测，堆肥厂</w:t>
      </w:r>
      <w:r>
        <w:rPr>
          <w:rFonts w:ascii="Times New Roman" w:eastAsia="Times New Roman"/>
          <w:position w:val="2"/>
        </w:rPr>
        <w:t>NH</w:t>
      </w:r>
      <w:r>
        <w:rPr>
          <w:rFonts w:ascii="Times New Roman" w:eastAsia="Times New Roman"/>
          <w:position w:val="2"/>
          <w:vertAlign w:val="subscript"/>
        </w:rPr>
        <w:t>3</w:t>
      </w:r>
      <w:r>
        <w:rPr>
          <w:spacing w:val="4"/>
          <w:position w:val="2"/>
          <w:vertAlign w:val="baseline"/>
        </w:rPr>
        <w:t>最大浓度值为</w:t>
      </w:r>
      <w:r>
        <w:rPr>
          <w:rFonts w:ascii="Times New Roman" w:eastAsia="Times New Roman"/>
          <w:position w:val="2"/>
          <w:vertAlign w:val="baseline"/>
        </w:rPr>
        <w:t>0.00231mg/m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最大浓度值为</w:t>
      </w:r>
      <w:r>
        <w:rPr>
          <w:rFonts w:ascii="Times New Roman" w:eastAsia="Times New Roman"/>
          <w:vertAlign w:val="baseline"/>
        </w:rPr>
        <w:t>0.00019mg/m</w:t>
      </w:r>
      <w:r>
        <w:rPr>
          <w:rFonts w:ascii="Times New Roman" w:eastAsia="Times New Roman"/>
          <w:position w:val="8"/>
          <w:sz w:val="15"/>
          <w:vertAlign w:val="baseline"/>
        </w:rPr>
        <w:t>3</w:t>
      </w:r>
      <w:r>
        <w:rPr>
          <w:spacing w:val="2"/>
          <w:vertAlign w:val="baseline"/>
        </w:rPr>
        <w:t>，均小于《恶臭污染物排放标准》</w:t>
      </w:r>
      <w:r>
        <w:rPr>
          <w:vertAlign w:val="baseline"/>
        </w:rPr>
        <w:t>（</w:t>
      </w:r>
      <w:r>
        <w:rPr>
          <w:rFonts w:ascii="Times New Roman" w:eastAsia="Times New Roman"/>
          <w:vertAlign w:val="baseline"/>
        </w:rPr>
        <w:t>GB14554-93</w:t>
      </w:r>
      <w:r>
        <w:rPr>
          <w:vertAlign w:val="baseline"/>
        </w:rPr>
        <w:t>）</w:t>
      </w:r>
      <w:r>
        <w:rPr>
          <w:spacing w:val="3"/>
          <w:vertAlign w:val="baseline"/>
        </w:rPr>
        <w:t>中无组织排放</w:t>
      </w:r>
      <w:r>
        <w:rPr>
          <w:rFonts w:ascii="Times New Roman" w:eastAsia="Times New Roman"/>
          <w:spacing w:val="3"/>
          <w:position w:val="2"/>
          <w:vertAlign w:val="baseline"/>
        </w:rPr>
        <w:t>NH</w:t>
      </w:r>
      <w:r>
        <w:rPr>
          <w:rFonts w:ascii="Times New Roman" w:eastAsia="Times New Roman"/>
          <w:spacing w:val="3"/>
          <w:position w:val="2"/>
          <w:vertAlign w:val="subscript"/>
        </w:rPr>
        <w:t>3</w:t>
      </w:r>
      <w:r>
        <w:rPr>
          <w:spacing w:val="24"/>
          <w:position w:val="2"/>
          <w:vertAlign w:val="baseline"/>
        </w:rPr>
        <w:t>厂界监控浓度限值</w:t>
      </w:r>
      <w:r>
        <w:rPr>
          <w:position w:val="2"/>
          <w:vertAlign w:val="baseline"/>
        </w:rPr>
        <w:t>（</w:t>
      </w:r>
      <w:r>
        <w:rPr>
          <w:rFonts w:ascii="Times New Roman" w:eastAsia="Times New Roman"/>
          <w:position w:val="2"/>
          <w:vertAlign w:val="baseline"/>
        </w:rPr>
        <w:t>1.5mg/m</w:t>
      </w:r>
      <w:r>
        <w:rPr>
          <w:rFonts w:ascii="Times New Roman" w:eastAsia="Times New Roman"/>
          <w:position w:val="2"/>
          <w:vertAlign w:val="superscript"/>
        </w:rPr>
        <w:t>3</w:t>
      </w:r>
      <w:r>
        <w:rPr>
          <w:position w:val="2"/>
          <w:vertAlign w:val="baseline"/>
        </w:rPr>
        <w:t>）</w:t>
      </w:r>
      <w:r>
        <w:rPr>
          <w:spacing w:val="-2"/>
          <w:position w:val="2"/>
          <w:vertAlign w:val="baseline"/>
        </w:rPr>
        <w:t>和无组织排放</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18"/>
          <w:position w:val="2"/>
          <w:vertAlign w:val="baseline"/>
        </w:rPr>
        <w:t>厂界监控浓度限值</w:t>
      </w:r>
    </w:p>
    <w:p>
      <w:pPr>
        <w:pStyle w:val="7"/>
        <w:spacing w:before="5"/>
      </w:pPr>
      <w:r>
        <w:t>（</w:t>
      </w:r>
      <w:r>
        <w:rPr>
          <w:rFonts w:ascii="Times New Roman" w:eastAsia="Times New Roman"/>
        </w:rPr>
        <w:t>0.06mg/m</w:t>
      </w:r>
      <w:r>
        <w:rPr>
          <w:rFonts w:ascii="Times New Roman" w:eastAsia="Times New Roman"/>
          <w:position w:val="8"/>
          <w:sz w:val="15"/>
        </w:rPr>
        <w:t>3</w:t>
      </w:r>
      <w:r>
        <w:t>）。</w:t>
      </w:r>
    </w:p>
    <w:p>
      <w:pPr>
        <w:pStyle w:val="17"/>
        <w:numPr>
          <w:ilvl w:val="0"/>
          <w:numId w:val="31"/>
        </w:numPr>
        <w:tabs>
          <w:tab w:val="left" w:pos="1621"/>
        </w:tabs>
        <w:spacing w:before="160" w:after="0" w:line="240" w:lineRule="auto"/>
        <w:ind w:left="1621" w:right="0" w:hanging="601"/>
        <w:jc w:val="left"/>
        <w:rPr>
          <w:sz w:val="24"/>
        </w:rPr>
      </w:pPr>
      <w:r>
        <w:rPr>
          <w:sz w:val="24"/>
        </w:rPr>
        <w:t>畜禽无害化处理化制废气</w:t>
      </w:r>
    </w:p>
    <w:p>
      <w:pPr>
        <w:pStyle w:val="7"/>
        <w:spacing w:before="161" w:line="364" w:lineRule="auto"/>
        <w:ind w:right="577" w:firstLine="480"/>
      </w:pPr>
      <w:r>
        <w:rPr>
          <w:spacing w:val="-5"/>
        </w:rPr>
        <w:t>本项目病死羊废物采用干化法畜禽无害化处理方式处理。项目区拟建畜禽无</w:t>
      </w:r>
      <w:r>
        <w:rPr>
          <w:spacing w:val="-3"/>
        </w:rPr>
        <w:t>害化处理车间紧邻堆肥厂，并购进畜禽无害化处理</w:t>
      </w:r>
      <w:r>
        <w:rPr>
          <w:rFonts w:ascii="Times New Roman" w:eastAsia="Times New Roman"/>
        </w:rPr>
        <w:t>1</w:t>
      </w:r>
      <w:r>
        <w:t>吨</w:t>
      </w:r>
      <w:r>
        <w:rPr>
          <w:rFonts w:ascii="Times New Roman" w:eastAsia="Times New Roman"/>
        </w:rPr>
        <w:t>/</w:t>
      </w:r>
      <w:r>
        <w:t>次成套设备。畜禽无害</w:t>
      </w:r>
      <w:r>
        <w:rPr>
          <w:spacing w:val="-10"/>
        </w:rPr>
        <w:t>化处理过程中，化制工序高温高压杀菌工段会产生废气，主要成分为水蒸气和恶</w:t>
      </w:r>
      <w:r>
        <w:rPr>
          <w:spacing w:val="-9"/>
          <w:position w:val="2"/>
        </w:rPr>
        <w:t>臭，污染物以</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计。</w:t>
      </w:r>
    </w:p>
    <w:p>
      <w:pPr>
        <w:pStyle w:val="7"/>
        <w:spacing w:line="305" w:lineRule="exact"/>
        <w:ind w:left="1020"/>
        <w:rPr>
          <w:rFonts w:ascii="Times New Roman" w:eastAsia="Times New Roman"/>
          <w:color w:val="0000FF"/>
        </w:rPr>
      </w:pPr>
      <w:r>
        <w:rPr>
          <w:color w:val="0000FF"/>
        </w:rPr>
        <w:t>类比陆川县科环病死畜禽无害化处理公司等同工艺类型项目，年处理</w:t>
      </w:r>
      <w:r>
        <w:rPr>
          <w:rFonts w:ascii="Times New Roman" w:eastAsia="Times New Roman"/>
          <w:color w:val="0000FF"/>
        </w:rPr>
        <w:t>3000t</w:t>
      </w:r>
    </w:p>
    <w:p>
      <w:pPr>
        <w:pStyle w:val="7"/>
        <w:spacing w:before="157"/>
        <w:rPr>
          <w:color w:val="0000FF"/>
        </w:rPr>
      </w:pPr>
      <w:r>
        <w:rPr>
          <w:color w:val="0000FF"/>
          <w:position w:val="2"/>
        </w:rPr>
        <w:t>病死畜禽</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产生量为</w:t>
      </w:r>
      <w:r>
        <w:rPr>
          <w:rFonts w:ascii="Times New Roman" w:eastAsia="Times New Roman"/>
          <w:color w:val="0000FF"/>
          <w:position w:val="2"/>
          <w:vertAlign w:val="baseline"/>
        </w:rPr>
        <w:t>3t/a</w:t>
      </w:r>
      <w:r>
        <w:rPr>
          <w:color w:val="0000FF"/>
          <w:position w:val="2"/>
          <w:vertAlign w:val="baseline"/>
        </w:rPr>
        <w:t>、</w:t>
      </w:r>
      <w:r>
        <w:rPr>
          <w:rFonts w:ascii="Times New Roman" w:eastAsia="Times New Roman"/>
          <w:color w:val="0000FF"/>
          <w:position w:val="2"/>
          <w:vertAlign w:val="baseline"/>
        </w:rPr>
        <w:t>0.3t/a</w:t>
      </w:r>
      <w:r>
        <w:rPr>
          <w:color w:val="0000FF"/>
          <w:position w:val="2"/>
          <w:vertAlign w:val="baseline"/>
        </w:rPr>
        <w:t>。</w:t>
      </w:r>
    </w:p>
    <w:p>
      <w:pPr>
        <w:pStyle w:val="7"/>
        <w:spacing w:before="160" w:line="362" w:lineRule="auto"/>
        <w:ind w:right="457" w:firstLine="480"/>
        <w:rPr>
          <w:color w:val="0000FF"/>
        </w:rPr>
      </w:pPr>
      <w:r>
        <w:rPr>
          <w:color w:val="0000FF"/>
          <w:spacing w:val="-6"/>
        </w:rPr>
        <w:t>类比分析，羊的病死率按</w:t>
      </w:r>
      <w:r>
        <w:rPr>
          <w:rFonts w:ascii="Times New Roman" w:eastAsia="Times New Roman"/>
          <w:color w:val="0000FF"/>
        </w:rPr>
        <w:t>0.5%</w:t>
      </w:r>
      <w:r>
        <w:rPr>
          <w:color w:val="0000FF"/>
          <w:spacing w:val="-8"/>
        </w:rPr>
        <w:t>计，羊只出栏量</w:t>
      </w:r>
      <w:r>
        <w:rPr>
          <w:rFonts w:ascii="Times New Roman" w:eastAsia="Times New Roman"/>
          <w:color w:val="0000FF"/>
        </w:rPr>
        <w:t>4</w:t>
      </w:r>
      <w:r>
        <w:rPr>
          <w:color w:val="0000FF"/>
          <w:spacing w:val="-7"/>
        </w:rPr>
        <w:t>万只，则年死亡羊</w:t>
      </w:r>
      <w:r>
        <w:rPr>
          <w:rFonts w:hint="eastAsia"/>
          <w:color w:val="0000FF"/>
          <w:spacing w:val="-7"/>
          <w:lang w:val="en-US" w:eastAsia="zh-CN"/>
        </w:rPr>
        <w:t>200</w:t>
      </w:r>
      <w:r>
        <w:rPr>
          <w:color w:val="0000FF"/>
          <w:spacing w:val="-18"/>
          <w:position w:val="2"/>
        </w:rPr>
        <w:t>只，每只羊重约</w:t>
      </w:r>
      <w:r>
        <w:rPr>
          <w:rFonts w:ascii="Times New Roman" w:eastAsia="Times New Roman"/>
          <w:color w:val="0000FF"/>
          <w:spacing w:val="-15"/>
          <w:position w:val="2"/>
        </w:rPr>
        <w:t>40kg</w:t>
      </w:r>
      <w:r>
        <w:rPr>
          <w:color w:val="0000FF"/>
          <w:spacing w:val="-19"/>
          <w:position w:val="2"/>
        </w:rPr>
        <w:t>，合计</w:t>
      </w:r>
      <w:r>
        <w:rPr>
          <w:rFonts w:hint="eastAsia"/>
          <w:color w:val="0000FF"/>
          <w:spacing w:val="-19"/>
          <w:position w:val="2"/>
          <w:lang w:val="en-US" w:eastAsia="zh-CN"/>
        </w:rPr>
        <w:t>8</w:t>
      </w:r>
      <w:r>
        <w:rPr>
          <w:rFonts w:ascii="Times New Roman" w:eastAsia="Times New Roman"/>
          <w:color w:val="0000FF"/>
          <w:position w:val="2"/>
        </w:rPr>
        <w:t>t</w:t>
      </w:r>
      <w:r>
        <w:rPr>
          <w:color w:val="0000FF"/>
          <w:spacing w:val="-12"/>
          <w:position w:val="2"/>
        </w:rPr>
        <w:t>。本项目年处理病死羊废物总量约</w:t>
      </w:r>
      <w:r>
        <w:rPr>
          <w:rFonts w:ascii="Times New Roman" w:eastAsia="Times New Roman"/>
          <w:color w:val="0000FF"/>
          <w:spacing w:val="-7"/>
          <w:position w:val="2"/>
        </w:rPr>
        <w:t>8t/a</w:t>
      </w:r>
      <w:r>
        <w:rPr>
          <w:color w:val="0000FF"/>
          <w:spacing w:val="-7"/>
          <w:position w:val="2"/>
        </w:rPr>
        <w:t>，</w:t>
      </w:r>
      <w:r>
        <w:rPr>
          <w:rFonts w:ascii="Times New Roman" w:eastAsia="Times New Roman"/>
          <w:color w:val="0000FF"/>
          <w:spacing w:val="-7"/>
          <w:position w:val="2"/>
        </w:rPr>
        <w:t>NH</w:t>
      </w:r>
      <w:r>
        <w:rPr>
          <w:rFonts w:ascii="Times New Roman" w:eastAsia="Times New Roman"/>
          <w:color w:val="0000FF"/>
          <w:spacing w:val="-7"/>
          <w:position w:val="2"/>
          <w:vertAlign w:val="subscript"/>
        </w:rPr>
        <w:t>3</w:t>
      </w:r>
      <w:r>
        <w:rPr>
          <w:color w:val="0000FF"/>
          <w:spacing w:val="-18"/>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9"/>
          <w:position w:val="2"/>
          <w:vertAlign w:val="baseline"/>
        </w:rPr>
        <w:t>产生量分别为</w:t>
      </w:r>
      <w:r>
        <w:rPr>
          <w:rFonts w:ascii="Times New Roman" w:eastAsia="Times New Roman"/>
          <w:color w:val="0000FF"/>
          <w:position w:val="2"/>
          <w:vertAlign w:val="baseline"/>
        </w:rPr>
        <w:t>0.0</w:t>
      </w:r>
      <w:r>
        <w:rPr>
          <w:rFonts w:hint="eastAsia" w:ascii="Times New Roman" w:eastAsia="宋体"/>
          <w:color w:val="0000FF"/>
          <w:position w:val="2"/>
          <w:vertAlign w:val="baseline"/>
          <w:lang w:val="en-US" w:eastAsia="zh-CN"/>
        </w:rPr>
        <w:t>0</w:t>
      </w:r>
      <w:r>
        <w:rPr>
          <w:rFonts w:ascii="Times New Roman" w:eastAsia="Times New Roman"/>
          <w:color w:val="0000FF"/>
          <w:position w:val="2"/>
          <w:vertAlign w:val="baseline"/>
        </w:rPr>
        <w:t>8t/a</w:t>
      </w:r>
      <w:r>
        <w:rPr>
          <w:color w:val="0000FF"/>
          <w:spacing w:val="-41"/>
          <w:position w:val="2"/>
          <w:vertAlign w:val="baseline"/>
        </w:rPr>
        <w:t>、</w:t>
      </w:r>
      <w:r>
        <w:rPr>
          <w:rFonts w:ascii="Times New Roman" w:eastAsia="Times New Roman"/>
          <w:color w:val="0000FF"/>
          <w:position w:val="2"/>
          <w:vertAlign w:val="baseline"/>
        </w:rPr>
        <w:t>0.00</w:t>
      </w:r>
      <w:r>
        <w:rPr>
          <w:rFonts w:hint="eastAsia" w:ascii="Times New Roman" w:eastAsia="宋体"/>
          <w:color w:val="0000FF"/>
          <w:position w:val="2"/>
          <w:vertAlign w:val="baseline"/>
          <w:lang w:val="en-US" w:eastAsia="zh-CN"/>
        </w:rPr>
        <w:t>0</w:t>
      </w:r>
      <w:r>
        <w:rPr>
          <w:rFonts w:ascii="Times New Roman" w:eastAsia="Times New Roman"/>
          <w:color w:val="0000FF"/>
          <w:position w:val="2"/>
          <w:vertAlign w:val="baseline"/>
        </w:rPr>
        <w:t>8t/a</w:t>
      </w:r>
      <w:r>
        <w:rPr>
          <w:color w:val="0000FF"/>
          <w:spacing w:val="-10"/>
          <w:position w:val="2"/>
          <w:vertAlign w:val="baseline"/>
        </w:rPr>
        <w:t>。每处理一吨病死动物，全部处理过程约</w:t>
      </w:r>
      <w:r>
        <w:rPr>
          <w:rFonts w:ascii="Times New Roman" w:eastAsia="Times New Roman"/>
          <w:color w:val="0000FF"/>
          <w:spacing w:val="-10"/>
          <w:position w:val="2"/>
          <w:vertAlign w:val="baseline"/>
        </w:rPr>
        <w:t>480min</w:t>
      </w:r>
      <w:r>
        <w:rPr>
          <w:color w:val="0000FF"/>
          <w:spacing w:val="-10"/>
          <w:position w:val="2"/>
          <w:vertAlign w:val="baseline"/>
        </w:rPr>
        <w:t>（</w:t>
      </w:r>
      <w:r>
        <w:rPr>
          <w:rFonts w:ascii="Times New Roman" w:eastAsia="Times New Roman"/>
          <w:color w:val="0000FF"/>
          <w:spacing w:val="-10"/>
          <w:position w:val="2"/>
          <w:vertAlign w:val="baseline"/>
        </w:rPr>
        <w:t>8h</w:t>
      </w:r>
      <w:r>
        <w:rPr>
          <w:color w:val="0000FF"/>
          <w:spacing w:val="-10"/>
          <w:position w:val="2"/>
          <w:vertAlign w:val="baseline"/>
        </w:rPr>
        <w:t>），</w:t>
      </w:r>
      <w:r>
        <w:rPr>
          <w:color w:val="0000FF"/>
          <w:spacing w:val="-16"/>
          <w:position w:val="2"/>
          <w:vertAlign w:val="baseline"/>
        </w:rPr>
        <w:t>本项目年处理时间为</w:t>
      </w:r>
      <w:r>
        <w:rPr>
          <w:rFonts w:hint="eastAsia"/>
          <w:color w:val="0000FF"/>
          <w:spacing w:val="-16"/>
          <w:position w:val="2"/>
          <w:vertAlign w:val="baseline"/>
          <w:lang w:val="en-US" w:eastAsia="zh-CN"/>
        </w:rPr>
        <w:t xml:space="preserve">64 </w:t>
      </w:r>
      <w:r>
        <w:rPr>
          <w:rFonts w:ascii="Times New Roman" w:eastAsia="Times New Roman"/>
          <w:color w:val="0000FF"/>
          <w:position w:val="2"/>
          <w:vertAlign w:val="baseline"/>
        </w:rPr>
        <w:t>h/a</w:t>
      </w:r>
      <w:r>
        <w:rPr>
          <w:color w:val="0000FF"/>
          <w:spacing w:val="-20"/>
          <w:position w:val="2"/>
          <w:vertAlign w:val="baseline"/>
        </w:rPr>
        <w:t>，则</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年产生量分别为</w:t>
      </w:r>
      <w:r>
        <w:rPr>
          <w:rFonts w:ascii="Times New Roman" w:eastAsia="Times New Roman"/>
          <w:color w:val="0000FF"/>
          <w:position w:val="2"/>
        </w:rPr>
        <w:t>0.</w:t>
      </w:r>
      <w:r>
        <w:rPr>
          <w:rFonts w:hint="eastAsia" w:ascii="Times New Roman" w:eastAsia="宋体"/>
          <w:color w:val="0000FF"/>
          <w:position w:val="2"/>
          <w:lang w:val="en-US" w:eastAsia="zh-CN"/>
        </w:rPr>
        <w:t>512</w:t>
      </w:r>
      <w:r>
        <w:rPr>
          <w:rFonts w:ascii="Times New Roman" w:eastAsia="Times New Roman"/>
          <w:color w:val="0000FF"/>
          <w:position w:val="2"/>
        </w:rPr>
        <w:t>kg/h</w:t>
      </w:r>
      <w:r>
        <w:rPr>
          <w:color w:val="0000FF"/>
          <w:position w:val="2"/>
        </w:rPr>
        <w:t>、</w:t>
      </w:r>
      <w:r>
        <w:rPr>
          <w:rFonts w:ascii="Times New Roman" w:eastAsia="Times New Roman"/>
          <w:color w:val="0000FF"/>
          <w:position w:val="2"/>
        </w:rPr>
        <w:t>0.</w:t>
      </w:r>
      <w:r>
        <w:rPr>
          <w:rFonts w:hint="eastAsia" w:ascii="Times New Roman" w:eastAsia="宋体"/>
          <w:color w:val="0000FF"/>
          <w:position w:val="2"/>
          <w:lang w:val="en-US" w:eastAsia="zh-CN"/>
        </w:rPr>
        <w:t>0512</w:t>
      </w:r>
      <w:r>
        <w:rPr>
          <w:rFonts w:ascii="Times New Roman" w:eastAsia="Times New Roman"/>
          <w:color w:val="0000FF"/>
          <w:position w:val="2"/>
        </w:rPr>
        <w:t>kg/h</w:t>
      </w:r>
      <w:r>
        <w:rPr>
          <w:color w:val="0000FF"/>
          <w:position w:val="2"/>
        </w:rPr>
        <w:t>。引风机风量为</w:t>
      </w:r>
      <w:r>
        <w:rPr>
          <w:rFonts w:ascii="Times New Roman" w:eastAsia="Times New Roman"/>
          <w:color w:val="0000FF"/>
          <w:position w:val="2"/>
        </w:rPr>
        <w:t>2000m</w:t>
      </w:r>
      <w:r>
        <w:rPr>
          <w:rFonts w:ascii="Times New Roman" w:eastAsia="Times New Roman"/>
          <w:color w:val="0000FF"/>
          <w:position w:val="2"/>
          <w:vertAlign w:val="superscript"/>
        </w:rPr>
        <w:t>3</w:t>
      </w:r>
      <w:r>
        <w:rPr>
          <w:rFonts w:ascii="Times New Roman" w:eastAsia="Times New Roman"/>
          <w:color w:val="0000FF"/>
          <w:position w:val="2"/>
          <w:vertAlign w:val="baseline"/>
        </w:rPr>
        <w:t>/h</w:t>
      </w:r>
      <w:r>
        <w:rPr>
          <w:color w:val="0000FF"/>
          <w:position w:val="2"/>
          <w:vertAlign w:val="baseline"/>
        </w:rPr>
        <w:t>，则</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产生浓度分别为</w:t>
      </w:r>
      <w:r>
        <w:rPr>
          <w:rFonts w:hint="eastAsia" w:ascii="Times New Roman" w:eastAsia="宋体"/>
          <w:color w:val="0000FF"/>
          <w:lang w:val="en-US" w:eastAsia="zh-CN"/>
        </w:rPr>
        <w:t>0.625</w:t>
      </w:r>
      <w:r>
        <w:rPr>
          <w:rFonts w:ascii="Times New Roman" w:eastAsia="Times New Roman"/>
          <w:color w:val="0000FF"/>
        </w:rPr>
        <w:t>mg/m</w:t>
      </w:r>
      <w:r>
        <w:rPr>
          <w:rFonts w:ascii="Times New Roman" w:eastAsia="Times New Roman"/>
          <w:color w:val="0000FF"/>
          <w:position w:val="8"/>
          <w:sz w:val="15"/>
        </w:rPr>
        <w:t>3</w:t>
      </w:r>
      <w:r>
        <w:rPr>
          <w:color w:val="0000FF"/>
        </w:rPr>
        <w:t>、</w:t>
      </w:r>
      <w:r>
        <w:rPr>
          <w:rFonts w:hint="eastAsia" w:ascii="Times New Roman" w:eastAsia="宋体"/>
          <w:color w:val="0000FF"/>
          <w:lang w:val="en-US" w:eastAsia="zh-CN"/>
        </w:rPr>
        <w:t>0.0625</w:t>
      </w:r>
      <w:r>
        <w:rPr>
          <w:rFonts w:ascii="Times New Roman" w:eastAsia="Times New Roman"/>
          <w:color w:val="0000FF"/>
        </w:rPr>
        <w:t>mg/m</w:t>
      </w:r>
      <w:r>
        <w:rPr>
          <w:rFonts w:ascii="Times New Roman" w:eastAsia="Times New Roman"/>
          <w:color w:val="0000FF"/>
          <w:position w:val="8"/>
          <w:sz w:val="15"/>
        </w:rPr>
        <w:t>3</w:t>
      </w:r>
      <w:r>
        <w:rPr>
          <w:color w:val="0000FF"/>
        </w:rPr>
        <w:t>。</w:t>
      </w:r>
    </w:p>
    <w:p>
      <w:pPr>
        <w:pStyle w:val="7"/>
        <w:spacing w:before="160" w:line="364" w:lineRule="auto"/>
        <w:ind w:right="577" w:firstLine="480"/>
        <w:jc w:val="both"/>
        <w:rPr>
          <w:color w:val="0000FF"/>
        </w:rPr>
      </w:pPr>
      <w:r>
        <w:rPr>
          <w:color w:val="0000FF"/>
        </w:rPr>
        <w:t>该废气采用集中负压引流，先进行</w:t>
      </w:r>
      <w:r>
        <w:rPr>
          <w:rFonts w:ascii="Times New Roman" w:eastAsia="Times New Roman"/>
          <w:color w:val="0000FF"/>
        </w:rPr>
        <w:t>=</w:t>
      </w:r>
      <w:r>
        <w:rPr>
          <w:color w:val="0000FF"/>
        </w:rPr>
        <w:t>间接冷凝处理，</w:t>
      </w:r>
      <w:r>
        <w:rPr>
          <w:rFonts w:ascii="Times New Roman" w:eastAsia="Times New Roman"/>
          <w:color w:val="0000FF"/>
        </w:rPr>
        <w:t>90%</w:t>
      </w:r>
      <w:r>
        <w:rPr>
          <w:color w:val="0000FF"/>
        </w:rPr>
        <w:t>水蒸气在冷凝器中</w:t>
      </w:r>
      <w:r>
        <w:rPr>
          <w:color w:val="0000FF"/>
          <w:spacing w:val="-13"/>
        </w:rPr>
        <w:t>冷凝下来成污水排入排水沟，剩余</w:t>
      </w:r>
      <w:r>
        <w:rPr>
          <w:rFonts w:ascii="Times New Roman" w:eastAsia="Times New Roman"/>
          <w:color w:val="0000FF"/>
        </w:rPr>
        <w:t>10%</w:t>
      </w:r>
      <w:r>
        <w:rPr>
          <w:color w:val="0000FF"/>
          <w:spacing w:val="-1"/>
        </w:rPr>
        <w:t>以水蒸气的形式伴随其他废气引入光解除</w:t>
      </w:r>
      <w:r>
        <w:rPr>
          <w:color w:val="0000FF"/>
          <w:spacing w:val="-4"/>
          <w:position w:val="2"/>
        </w:rPr>
        <w:t>臭装置吸收处理</w:t>
      </w:r>
      <w:r>
        <w:rPr>
          <w:color w:val="0000FF"/>
          <w:position w:val="2"/>
        </w:rPr>
        <w:t>（</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2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9"/>
          <w:position w:val="2"/>
          <w:vertAlign w:val="baseline"/>
        </w:rPr>
        <w:t>的去除率可达</w:t>
      </w:r>
      <w:r>
        <w:rPr>
          <w:rFonts w:ascii="Times New Roman" w:eastAsia="Times New Roman"/>
          <w:color w:val="0000FF"/>
          <w:position w:val="2"/>
          <w:vertAlign w:val="baseline"/>
        </w:rPr>
        <w:t>90%</w:t>
      </w:r>
      <w:r>
        <w:rPr>
          <w:color w:val="0000FF"/>
          <w:position w:val="2"/>
          <w:vertAlign w:val="baseline"/>
        </w:rPr>
        <w:t>以上</w:t>
      </w:r>
      <w:r>
        <w:rPr>
          <w:color w:val="0000FF"/>
          <w:spacing w:val="-22"/>
          <w:position w:val="2"/>
          <w:vertAlign w:val="baseline"/>
        </w:rPr>
        <w:t>）</w:t>
      </w:r>
      <w:r>
        <w:rPr>
          <w:color w:val="0000FF"/>
          <w:spacing w:val="-12"/>
          <w:position w:val="2"/>
          <w:vertAlign w:val="baseline"/>
        </w:rPr>
        <w:t>后，经引风机引至</w:t>
      </w:r>
      <w:r>
        <w:rPr>
          <w:rFonts w:ascii="Times New Roman" w:eastAsia="Times New Roman"/>
          <w:color w:val="0000FF"/>
          <w:position w:val="2"/>
          <w:vertAlign w:val="baseline"/>
        </w:rPr>
        <w:t>15m</w:t>
      </w:r>
      <w:r>
        <w:rPr>
          <w:color w:val="0000FF"/>
          <w:spacing w:val="-17"/>
          <w:position w:val="2"/>
          <w:vertAlign w:val="baseline"/>
        </w:rPr>
        <w:t>高</w:t>
      </w:r>
      <w:r>
        <w:rPr>
          <w:color w:val="0000FF"/>
          <w:vertAlign w:val="baseline"/>
        </w:rPr>
        <w:t>排气筒集中排放。</w:t>
      </w:r>
    </w:p>
    <w:p>
      <w:pPr>
        <w:pStyle w:val="7"/>
        <w:spacing w:line="362" w:lineRule="auto"/>
        <w:ind w:right="449" w:firstLine="480"/>
        <w:jc w:val="both"/>
        <w:rPr>
          <w:color w:val="0000FF"/>
        </w:rPr>
      </w:pPr>
      <w:r>
        <w:rPr>
          <w:color w:val="0000FF"/>
          <w:spacing w:val="-11"/>
          <w:position w:val="2"/>
        </w:rPr>
        <w:t>经处理后</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120"/>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4"/>
          <w:position w:val="2"/>
          <w:vertAlign w:val="baseline"/>
        </w:rPr>
        <w:t>通过有组织排放的排放量分别为</w:t>
      </w:r>
      <w:r>
        <w:rPr>
          <w:rFonts w:hint="eastAsia" w:ascii="Times New Roman" w:eastAsia="宋体"/>
          <w:color w:val="0000FF"/>
          <w:position w:val="2"/>
          <w:vertAlign w:val="baseline"/>
          <w:lang w:val="en-US" w:eastAsia="zh-CN"/>
        </w:rPr>
        <w:t>0.008</w:t>
      </w:r>
      <w:r>
        <w:rPr>
          <w:rFonts w:ascii="Times New Roman" w:eastAsia="Times New Roman"/>
          <w:color w:val="0000FF"/>
          <w:position w:val="2"/>
          <w:vertAlign w:val="baseline"/>
        </w:rPr>
        <w:t>t/a</w:t>
      </w:r>
      <w:r>
        <w:rPr>
          <w:color w:val="0000FF"/>
          <w:spacing w:val="-120"/>
          <w:position w:val="2"/>
          <w:vertAlign w:val="baseline"/>
        </w:rPr>
        <w:t>、</w:t>
      </w:r>
      <w:r>
        <w:rPr>
          <w:rFonts w:hint="eastAsia" w:ascii="Times New Roman" w:eastAsia="宋体"/>
          <w:color w:val="0000FF"/>
          <w:spacing w:val="-3"/>
          <w:position w:val="2"/>
          <w:vertAlign w:val="baseline"/>
          <w:lang w:val="en-US" w:eastAsia="zh-CN"/>
        </w:rPr>
        <w:t>0.0008</w:t>
      </w:r>
      <w:r>
        <w:rPr>
          <w:rFonts w:ascii="Times New Roman" w:eastAsia="Times New Roman"/>
          <w:color w:val="0000FF"/>
          <w:spacing w:val="-3"/>
          <w:position w:val="2"/>
          <w:vertAlign w:val="baseline"/>
        </w:rPr>
        <w:t>t/a</w:t>
      </w:r>
      <w:r>
        <w:rPr>
          <w:color w:val="0000FF"/>
          <w:spacing w:val="-3"/>
          <w:position w:val="2"/>
          <w:vertAlign w:val="baseline"/>
        </w:rPr>
        <w:t>，</w:t>
      </w:r>
      <w:r>
        <w:rPr>
          <w:rFonts w:ascii="Times New Roman" w:eastAsia="Times New Roman"/>
          <w:color w:val="0000FF"/>
          <w:spacing w:val="-1"/>
          <w:position w:val="2"/>
          <w:vertAlign w:val="baseline"/>
        </w:rPr>
        <w:t>NH</w:t>
      </w:r>
      <w:r>
        <w:rPr>
          <w:rFonts w:ascii="Times New Roman" w:eastAsia="Times New Roman"/>
          <w:color w:val="0000FF"/>
          <w:spacing w:val="1"/>
          <w:w w:val="103"/>
          <w:position w:val="2"/>
          <w:vertAlign w:val="subscript"/>
        </w:rPr>
        <w:t>3</w:t>
      </w:r>
      <w:r>
        <w:rPr>
          <w:color w:val="0000FF"/>
          <w:spacing w:val="-108"/>
          <w:position w:val="2"/>
          <w:vertAlign w:val="baseline"/>
        </w:rPr>
        <w:t>、</w:t>
      </w:r>
      <w:r>
        <w:rPr>
          <w:rFonts w:ascii="Times New Roman" w:eastAsia="Times New Roman"/>
          <w:color w:val="0000FF"/>
          <w:spacing w:val="-1"/>
          <w:position w:val="2"/>
          <w:vertAlign w:val="baseline"/>
        </w:rPr>
        <w:t>H</w:t>
      </w:r>
      <w:r>
        <w:rPr>
          <w:rFonts w:ascii="Times New Roman" w:eastAsia="Times New Roman"/>
          <w:color w:val="0000FF"/>
          <w:spacing w:val="-2"/>
          <w:w w:val="103"/>
          <w:position w:val="2"/>
          <w:vertAlign w:val="subscript"/>
        </w:rPr>
        <w:t>2</w:t>
      </w:r>
      <w:r>
        <w:rPr>
          <w:rFonts w:ascii="Times New Roman" w:eastAsia="Times New Roman"/>
          <w:color w:val="0000FF"/>
          <w:position w:val="2"/>
          <w:vertAlign w:val="baseline"/>
        </w:rPr>
        <w:t>S</w:t>
      </w:r>
      <w:r>
        <w:rPr>
          <w:color w:val="0000FF"/>
          <w:spacing w:val="-9"/>
          <w:position w:val="2"/>
          <w:vertAlign w:val="baseline"/>
        </w:rPr>
        <w:t>的排放浓度为</w:t>
      </w:r>
      <w:r>
        <w:rPr>
          <w:rFonts w:ascii="Times New Roman" w:eastAsia="Times New Roman"/>
          <w:color w:val="0000FF"/>
          <w:position w:val="2"/>
          <w:vertAlign w:val="baseline"/>
        </w:rPr>
        <w:t>0.625m</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/m</w:t>
      </w:r>
      <w:r>
        <w:rPr>
          <w:rFonts w:ascii="Times New Roman" w:eastAsia="Times New Roman"/>
          <w:color w:val="0000FF"/>
          <w:spacing w:val="1"/>
          <w:w w:val="103"/>
          <w:position w:val="2"/>
          <w:vertAlign w:val="superscript"/>
        </w:rPr>
        <w:t>3</w:t>
      </w:r>
      <w:r>
        <w:rPr>
          <w:color w:val="0000FF"/>
          <w:spacing w:val="-108"/>
          <w:position w:val="2"/>
          <w:vertAlign w:val="baseline"/>
        </w:rPr>
        <w:t>、</w:t>
      </w:r>
      <w:r>
        <w:rPr>
          <w:rFonts w:ascii="Times New Roman" w:eastAsia="Times New Roman"/>
          <w:color w:val="0000FF"/>
          <w:position w:val="2"/>
          <w:vertAlign w:val="baseline"/>
        </w:rPr>
        <w:t>0.0625m</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/m</w:t>
      </w:r>
      <w:r>
        <w:rPr>
          <w:rFonts w:ascii="Times New Roman" w:eastAsia="Times New Roman"/>
          <w:color w:val="0000FF"/>
          <w:spacing w:val="-2"/>
          <w:w w:val="103"/>
          <w:position w:val="2"/>
          <w:vertAlign w:val="superscript"/>
        </w:rPr>
        <w:t>3</w:t>
      </w:r>
      <w:r>
        <w:rPr>
          <w:color w:val="0000FF"/>
          <w:spacing w:val="-20"/>
          <w:position w:val="2"/>
          <w:vertAlign w:val="baseline"/>
        </w:rPr>
        <w:t>，排放速率分别为</w:t>
      </w:r>
      <w:r>
        <w:rPr>
          <w:rFonts w:hint="eastAsia" w:ascii="Times New Roman" w:eastAsia="宋体"/>
          <w:color w:val="0000FF"/>
          <w:position w:val="2"/>
          <w:vertAlign w:val="baseline"/>
          <w:lang w:val="en-US" w:eastAsia="zh-CN"/>
        </w:rPr>
        <w:t>0.512</w:t>
      </w:r>
      <w:r>
        <w:rPr>
          <w:rFonts w:ascii="Times New Roman" w:eastAsia="Times New Roman"/>
          <w:color w:val="0000FF"/>
          <w:position w:val="2"/>
          <w:vertAlign w:val="baseline"/>
        </w:rPr>
        <w:t>k</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w:t>
      </w:r>
      <w:r>
        <w:rPr>
          <w:rFonts w:ascii="Times New Roman" w:eastAsia="Times New Roman"/>
          <w:color w:val="0000FF"/>
          <w:spacing w:val="2"/>
          <w:position w:val="2"/>
          <w:vertAlign w:val="baseline"/>
        </w:rPr>
        <w:t>h</w:t>
      </w:r>
      <w:r>
        <w:rPr>
          <w:color w:val="0000FF"/>
          <w:spacing w:val="-20"/>
          <w:position w:val="2"/>
          <w:vertAlign w:val="baseline"/>
        </w:rPr>
        <w:t>、</w:t>
      </w:r>
      <w:r>
        <w:rPr>
          <w:rFonts w:hint="eastAsia" w:ascii="Times New Roman" w:eastAsia="宋体"/>
          <w:color w:val="0000FF"/>
          <w:vertAlign w:val="baseline"/>
          <w:lang w:val="en-US" w:eastAsia="zh-CN"/>
        </w:rPr>
        <w:t>0.0512</w:t>
      </w:r>
      <w:r>
        <w:rPr>
          <w:rFonts w:ascii="Times New Roman" w:eastAsia="Times New Roman"/>
          <w:color w:val="0000FF"/>
          <w:vertAlign w:val="baseline"/>
        </w:rPr>
        <w:t>kg/h</w:t>
      </w:r>
      <w:r>
        <w:rPr>
          <w:color w:val="0000FF"/>
          <w:vertAlign w:val="baseline"/>
        </w:rPr>
        <w:t>；符合《恶臭污染物排放标准》（</w:t>
      </w:r>
      <w:r>
        <w:rPr>
          <w:rFonts w:ascii="Times New Roman" w:eastAsia="Times New Roman"/>
          <w:color w:val="0000FF"/>
          <w:vertAlign w:val="baseline"/>
        </w:rPr>
        <w:t>GB14554-93</w:t>
      </w:r>
      <w:r>
        <w:rPr>
          <w:color w:val="0000FF"/>
          <w:vertAlign w:val="baseline"/>
        </w:rPr>
        <w:t>）。</w:t>
      </w:r>
    </w:p>
    <w:p>
      <w:pPr>
        <w:pStyle w:val="17"/>
        <w:numPr>
          <w:ilvl w:val="0"/>
          <w:numId w:val="31"/>
        </w:numPr>
        <w:tabs>
          <w:tab w:val="left" w:pos="1621"/>
        </w:tabs>
        <w:spacing w:before="0" w:after="0" w:line="240" w:lineRule="auto"/>
        <w:ind w:left="1621" w:right="0" w:hanging="601"/>
        <w:jc w:val="left"/>
        <w:rPr>
          <w:sz w:val="24"/>
        </w:rPr>
      </w:pPr>
      <w:r>
        <w:rPr>
          <w:sz w:val="24"/>
        </w:rPr>
        <w:t>废气产生及处置情况汇总</w:t>
      </w:r>
    </w:p>
    <w:p>
      <w:pPr>
        <w:tabs>
          <w:tab w:val="left" w:pos="3772"/>
        </w:tabs>
        <w:spacing w:before="161" w:line="427" w:lineRule="auto"/>
        <w:ind w:left="2253" w:right="2279" w:hanging="1234"/>
        <w:jc w:val="left"/>
        <w:rPr>
          <w:sz w:val="24"/>
        </w:rPr>
      </w:pPr>
      <w:r>
        <w:rPr>
          <w:sz w:val="24"/>
        </w:rPr>
        <w:t>综上所述，本项目废气产、排放情况见表</w:t>
      </w:r>
      <w:r>
        <w:rPr>
          <w:rFonts w:ascii="Times New Roman" w:eastAsia="Times New Roman"/>
          <w:sz w:val="24"/>
        </w:rPr>
        <w:t>3.2-8</w:t>
      </w:r>
      <w:r>
        <w:rPr>
          <w:sz w:val="24"/>
        </w:rPr>
        <w:t>和</w:t>
      </w:r>
      <w:r>
        <w:rPr>
          <w:rFonts w:ascii="Times New Roman" w:eastAsia="Times New Roman"/>
          <w:sz w:val="24"/>
        </w:rPr>
        <w:t>3.2-9</w:t>
      </w:r>
      <w:r>
        <w:rPr>
          <w:sz w:val="24"/>
        </w:rPr>
        <w:t>。</w:t>
      </w:r>
    </w:p>
    <w:p>
      <w:pPr>
        <w:keepNext w:val="0"/>
        <w:keepLines w:val="0"/>
        <w:pageBreakBefore w:val="0"/>
        <w:widowControl w:val="0"/>
        <w:tabs>
          <w:tab w:val="left" w:pos="3772"/>
        </w:tabs>
        <w:kinsoku/>
        <w:wordWrap/>
        <w:overflowPunct/>
        <w:topLinePunct w:val="0"/>
        <w:autoSpaceDE w:val="0"/>
        <w:autoSpaceDN w:val="0"/>
        <w:bidi w:val="0"/>
        <w:adjustRightInd/>
        <w:snapToGrid/>
        <w:spacing w:before="0" w:line="240" w:lineRule="auto"/>
        <w:ind w:left="567" w:right="567" w:firstLine="0"/>
        <w:jc w:val="center"/>
        <w:textAlignment w:val="auto"/>
        <w:rPr>
          <w:b/>
          <w:sz w:val="4"/>
        </w:rPr>
      </w:pPr>
      <w:r>
        <w:rPr>
          <w:b/>
          <w:sz w:val="24"/>
        </w:rPr>
        <w:t>表</w:t>
      </w:r>
      <w:r>
        <w:rPr>
          <w:rFonts w:ascii="Times New Roman" w:eastAsia="Times New Roman"/>
          <w:b/>
          <w:sz w:val="24"/>
        </w:rPr>
        <w:t>3.2-8</w:t>
      </w:r>
      <w:r>
        <w:rPr>
          <w:b/>
          <w:sz w:val="24"/>
        </w:rPr>
        <w:t>大气污染物无组织排放量核算</w:t>
      </w:r>
      <w:r>
        <w:rPr>
          <w:b/>
          <w:spacing w:val="-15"/>
          <w:sz w:val="24"/>
        </w:rPr>
        <w:t>表</w:t>
      </w:r>
    </w:p>
    <w:tbl>
      <w:tblPr>
        <w:tblStyle w:val="14"/>
        <w:tblpPr w:leftFromText="180" w:rightFromText="180" w:vertAnchor="text" w:horzAnchor="page" w:tblpX="1834" w:tblpY="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670"/>
        <w:gridCol w:w="822"/>
        <w:gridCol w:w="650"/>
        <w:gridCol w:w="1925"/>
        <w:gridCol w:w="1650"/>
        <w:gridCol w:w="1096"/>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Pr>
          <w:p>
            <w:pPr>
              <w:pStyle w:val="18"/>
              <w:spacing w:before="4"/>
              <w:jc w:val="left"/>
              <w:rPr>
                <w:b/>
                <w:sz w:val="15"/>
              </w:rPr>
            </w:pPr>
          </w:p>
          <w:p>
            <w:pPr>
              <w:pStyle w:val="18"/>
              <w:spacing w:line="278" w:lineRule="auto"/>
              <w:ind w:left="138" w:right="128"/>
              <w:jc w:val="left"/>
              <w:rPr>
                <w:b/>
                <w:sz w:val="21"/>
              </w:rPr>
            </w:pPr>
            <w:r>
              <w:rPr>
                <w:b/>
                <w:sz w:val="21"/>
              </w:rPr>
              <w:t>序号</w:t>
            </w:r>
          </w:p>
        </w:tc>
        <w:tc>
          <w:tcPr>
            <w:tcW w:w="670" w:type="dxa"/>
            <w:vMerge w:val="restart"/>
          </w:tcPr>
          <w:p>
            <w:pPr>
              <w:pStyle w:val="18"/>
              <w:spacing w:before="133" w:line="213" w:lineRule="auto"/>
              <w:ind w:left="123" w:right="114"/>
              <w:jc w:val="both"/>
              <w:rPr>
                <w:b/>
                <w:sz w:val="21"/>
              </w:rPr>
            </w:pPr>
            <w:r>
              <w:rPr>
                <w:b/>
                <w:sz w:val="21"/>
              </w:rPr>
              <w:t>排放口编号</w:t>
            </w:r>
          </w:p>
        </w:tc>
        <w:tc>
          <w:tcPr>
            <w:tcW w:w="822" w:type="dxa"/>
            <w:vMerge w:val="restart"/>
          </w:tcPr>
          <w:p>
            <w:pPr>
              <w:pStyle w:val="18"/>
              <w:spacing w:before="9"/>
              <w:jc w:val="left"/>
              <w:rPr>
                <w:b/>
                <w:sz w:val="19"/>
              </w:rPr>
            </w:pPr>
          </w:p>
          <w:p>
            <w:pPr>
              <w:pStyle w:val="18"/>
              <w:spacing w:line="213" w:lineRule="auto"/>
              <w:ind w:left="199" w:right="189"/>
              <w:jc w:val="left"/>
              <w:rPr>
                <w:b/>
                <w:sz w:val="21"/>
              </w:rPr>
            </w:pPr>
            <w:r>
              <w:rPr>
                <w:b/>
                <w:sz w:val="21"/>
              </w:rPr>
              <w:t>产污环节</w:t>
            </w:r>
          </w:p>
        </w:tc>
        <w:tc>
          <w:tcPr>
            <w:tcW w:w="650" w:type="dxa"/>
            <w:vMerge w:val="restart"/>
          </w:tcPr>
          <w:p>
            <w:pPr>
              <w:pStyle w:val="18"/>
              <w:spacing w:before="9"/>
              <w:jc w:val="left"/>
              <w:rPr>
                <w:b/>
                <w:sz w:val="19"/>
              </w:rPr>
            </w:pPr>
          </w:p>
          <w:p>
            <w:pPr>
              <w:pStyle w:val="18"/>
              <w:spacing w:line="213" w:lineRule="auto"/>
              <w:ind w:left="220" w:right="103" w:hanging="106"/>
              <w:jc w:val="left"/>
              <w:rPr>
                <w:b/>
                <w:sz w:val="21"/>
              </w:rPr>
            </w:pPr>
            <w:r>
              <w:rPr>
                <w:b/>
                <w:sz w:val="21"/>
              </w:rPr>
              <w:t>污染物</w:t>
            </w:r>
          </w:p>
        </w:tc>
        <w:tc>
          <w:tcPr>
            <w:tcW w:w="1925" w:type="dxa"/>
            <w:vMerge w:val="restart"/>
          </w:tcPr>
          <w:p>
            <w:pPr>
              <w:pStyle w:val="18"/>
              <w:spacing w:before="4"/>
              <w:jc w:val="left"/>
              <w:rPr>
                <w:b/>
                <w:sz w:val="27"/>
              </w:rPr>
            </w:pPr>
          </w:p>
          <w:p>
            <w:pPr>
              <w:pStyle w:val="18"/>
              <w:ind w:left="122"/>
              <w:jc w:val="left"/>
              <w:rPr>
                <w:b/>
                <w:sz w:val="21"/>
              </w:rPr>
            </w:pPr>
            <w:r>
              <w:rPr>
                <w:b/>
                <w:sz w:val="21"/>
              </w:rPr>
              <w:t>主要污染防治措施</w:t>
            </w:r>
          </w:p>
        </w:tc>
        <w:tc>
          <w:tcPr>
            <w:tcW w:w="2746" w:type="dxa"/>
            <w:gridSpan w:val="2"/>
          </w:tcPr>
          <w:p>
            <w:pPr>
              <w:pStyle w:val="18"/>
              <w:spacing w:before="33"/>
              <w:ind w:left="112"/>
              <w:jc w:val="left"/>
              <w:rPr>
                <w:b/>
                <w:sz w:val="21"/>
              </w:rPr>
            </w:pPr>
            <w:r>
              <w:rPr>
                <w:b/>
                <w:sz w:val="21"/>
              </w:rPr>
              <w:t>国家或地方污染物排放标准</w:t>
            </w:r>
          </w:p>
        </w:tc>
        <w:tc>
          <w:tcPr>
            <w:tcW w:w="946" w:type="dxa"/>
            <w:vMerge w:val="restart"/>
          </w:tcPr>
          <w:p>
            <w:pPr>
              <w:pStyle w:val="18"/>
              <w:spacing w:before="133" w:line="213" w:lineRule="auto"/>
              <w:ind w:left="128" w:right="115" w:firstLine="28"/>
              <w:jc w:val="left"/>
              <w:rPr>
                <w:rFonts w:ascii="Times New Roman" w:eastAsia="Times New Roman"/>
                <w:b/>
                <w:sz w:val="21"/>
              </w:rPr>
            </w:pPr>
            <w:r>
              <w:rPr>
                <w:b/>
                <w:sz w:val="21"/>
              </w:rPr>
              <w:t>核算年</w:t>
            </w:r>
            <w:r>
              <w:rPr>
                <w:b/>
                <w:w w:val="95"/>
                <w:sz w:val="21"/>
              </w:rPr>
              <w:t>排放量</w:t>
            </w:r>
            <w:r>
              <w:rPr>
                <w:rFonts w:ascii="Times New Roman" w:eastAsia="Times New Roman"/>
                <w:b/>
                <w:spacing w:val="-16"/>
                <w:w w:val="95"/>
                <w:sz w:val="21"/>
              </w:rPr>
              <w:t>/</w:t>
            </w:r>
          </w:p>
          <w:p>
            <w:pPr>
              <w:pStyle w:val="18"/>
              <w:spacing w:line="247" w:lineRule="exact"/>
              <w:ind w:left="145"/>
              <w:jc w:val="left"/>
              <w:rPr>
                <w:b/>
                <w:sz w:val="21"/>
              </w:rPr>
            </w:pPr>
            <w:r>
              <w:rPr>
                <w:b/>
                <w:sz w:val="21"/>
              </w:rPr>
              <w:t>（</w:t>
            </w:r>
            <w:r>
              <w:rPr>
                <w:rFonts w:ascii="Times New Roman" w:eastAsia="Times New Roman"/>
                <w:b/>
                <w:sz w:val="21"/>
              </w:rPr>
              <w:t>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88" w:type="dxa"/>
            <w:vMerge w:val="continue"/>
            <w:tcBorders>
              <w:top w:val="nil"/>
            </w:tcBorders>
          </w:tcPr>
          <w:p>
            <w:pPr>
              <w:rPr>
                <w:sz w:val="2"/>
                <w:szCs w:val="2"/>
              </w:rPr>
            </w:pPr>
          </w:p>
        </w:tc>
        <w:tc>
          <w:tcPr>
            <w:tcW w:w="670" w:type="dxa"/>
            <w:vMerge w:val="continue"/>
            <w:tcBorders>
              <w:top w:val="nil"/>
            </w:tcBorders>
          </w:tcPr>
          <w:p>
            <w:pPr>
              <w:rPr>
                <w:sz w:val="2"/>
                <w:szCs w:val="2"/>
              </w:rPr>
            </w:pPr>
          </w:p>
        </w:tc>
        <w:tc>
          <w:tcPr>
            <w:tcW w:w="822" w:type="dxa"/>
            <w:vMerge w:val="continue"/>
            <w:tcBorders>
              <w:top w:val="nil"/>
            </w:tcBorders>
          </w:tcPr>
          <w:p>
            <w:pPr>
              <w:rPr>
                <w:sz w:val="2"/>
                <w:szCs w:val="2"/>
              </w:rPr>
            </w:pPr>
          </w:p>
        </w:tc>
        <w:tc>
          <w:tcPr>
            <w:tcW w:w="650" w:type="dxa"/>
            <w:vMerge w:val="continue"/>
            <w:tcBorders>
              <w:top w:val="nil"/>
            </w:tcBorders>
          </w:tcPr>
          <w:p>
            <w:pPr>
              <w:rPr>
                <w:sz w:val="2"/>
                <w:szCs w:val="2"/>
              </w:rPr>
            </w:pPr>
          </w:p>
        </w:tc>
        <w:tc>
          <w:tcPr>
            <w:tcW w:w="1925" w:type="dxa"/>
            <w:vMerge w:val="continue"/>
            <w:tcBorders>
              <w:top w:val="nil"/>
            </w:tcBorders>
          </w:tcPr>
          <w:p>
            <w:pPr>
              <w:rPr>
                <w:sz w:val="2"/>
                <w:szCs w:val="2"/>
              </w:rPr>
            </w:pPr>
          </w:p>
        </w:tc>
        <w:tc>
          <w:tcPr>
            <w:tcW w:w="1650" w:type="dxa"/>
          </w:tcPr>
          <w:p>
            <w:pPr>
              <w:pStyle w:val="18"/>
              <w:spacing w:before="177"/>
              <w:ind w:left="405"/>
              <w:jc w:val="left"/>
              <w:rPr>
                <w:b/>
                <w:sz w:val="21"/>
              </w:rPr>
            </w:pPr>
            <w:r>
              <w:rPr>
                <w:b/>
                <w:sz w:val="21"/>
              </w:rPr>
              <w:t>标准名称</w:t>
            </w:r>
          </w:p>
        </w:tc>
        <w:tc>
          <w:tcPr>
            <w:tcW w:w="1096" w:type="dxa"/>
          </w:tcPr>
          <w:p>
            <w:pPr>
              <w:pStyle w:val="18"/>
              <w:spacing w:before="21"/>
              <w:ind w:left="128"/>
              <w:jc w:val="left"/>
              <w:rPr>
                <w:b/>
                <w:sz w:val="21"/>
              </w:rPr>
            </w:pPr>
            <w:r>
              <w:rPr>
                <w:b/>
                <w:sz w:val="21"/>
              </w:rPr>
              <w:t>浓度限值</w:t>
            </w:r>
          </w:p>
          <w:p>
            <w:pPr>
              <w:pStyle w:val="18"/>
              <w:spacing w:before="43" w:line="268" w:lineRule="exact"/>
              <w:ind w:left="108"/>
              <w:jc w:val="left"/>
              <w:rPr>
                <w:b/>
                <w:sz w:val="21"/>
              </w:rPr>
            </w:pPr>
            <w:r>
              <w:rPr>
                <w:b/>
                <w:sz w:val="21"/>
              </w:rPr>
              <w:t>（</w:t>
            </w:r>
            <w:r>
              <w:rPr>
                <w:rFonts w:ascii="Times New Roman" w:hAnsi="Times New Roman" w:eastAsia="Times New Roman"/>
                <w:b/>
                <w:sz w:val="21"/>
              </w:rPr>
              <w:t>μg/m</w:t>
            </w:r>
            <w:r>
              <w:rPr>
                <w:rFonts w:ascii="Times New Roman" w:hAnsi="Times New Roman" w:eastAsia="Times New Roman"/>
                <w:b/>
                <w:position w:val="7"/>
                <w:sz w:val="13"/>
              </w:rPr>
              <w:t>3</w:t>
            </w:r>
            <w:r>
              <w:rPr>
                <w:b/>
                <w:sz w:val="21"/>
              </w:rPr>
              <w:t>）</w:t>
            </w:r>
          </w:p>
        </w:tc>
        <w:tc>
          <w:tcPr>
            <w:tcW w:w="946" w:type="dxa"/>
            <w:vMerge w:val="continue"/>
            <w:tcBorders>
              <w:top w:val="nil"/>
            </w:tcBorders>
          </w:tcPr>
          <w:p>
            <w:pPr>
              <w:rPr>
                <w:sz w:val="2"/>
                <w:szCs w:val="2"/>
              </w:rPr>
            </w:pPr>
          </w:p>
        </w:tc>
      </w:tr>
    </w:tbl>
    <w:p>
      <w:pPr>
        <w:pStyle w:val="2"/>
        <w:rPr>
          <w:sz w:val="24"/>
        </w:rPr>
      </w:pPr>
    </w:p>
    <w:p/>
    <w:tbl>
      <w:tblPr>
        <w:tblStyle w:val="14"/>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670"/>
        <w:gridCol w:w="822"/>
        <w:gridCol w:w="650"/>
        <w:gridCol w:w="1925"/>
        <w:gridCol w:w="1650"/>
        <w:gridCol w:w="1096"/>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Pr>
          <w:p>
            <w:pPr>
              <w:pStyle w:val="18"/>
              <w:jc w:val="left"/>
              <w:rPr>
                <w:b/>
                <w:sz w:val="22"/>
              </w:rPr>
            </w:pPr>
          </w:p>
          <w:p>
            <w:pPr>
              <w:pStyle w:val="18"/>
              <w:spacing w:before="9"/>
              <w:jc w:val="left"/>
              <w:rPr>
                <w:b/>
                <w:sz w:val="24"/>
              </w:rPr>
            </w:pPr>
          </w:p>
          <w:p>
            <w:pPr>
              <w:pStyle w:val="18"/>
              <w:ind w:left="9"/>
              <w:rPr>
                <w:rFonts w:ascii="Times New Roman"/>
                <w:sz w:val="21"/>
              </w:rPr>
            </w:pPr>
            <w:r>
              <w:rPr>
                <w:rFonts w:ascii="Times New Roman"/>
                <w:w w:val="99"/>
                <w:sz w:val="21"/>
              </w:rPr>
              <w:t>1</w:t>
            </w:r>
          </w:p>
        </w:tc>
        <w:tc>
          <w:tcPr>
            <w:tcW w:w="670" w:type="dxa"/>
            <w:vMerge w:val="restart"/>
          </w:tcPr>
          <w:p>
            <w:pPr>
              <w:pStyle w:val="18"/>
              <w:jc w:val="left"/>
              <w:rPr>
                <w:b/>
                <w:sz w:val="20"/>
              </w:rPr>
            </w:pPr>
          </w:p>
          <w:p>
            <w:pPr>
              <w:pStyle w:val="18"/>
              <w:spacing w:before="8"/>
              <w:jc w:val="left"/>
              <w:rPr>
                <w:b/>
                <w:sz w:val="25"/>
              </w:rPr>
            </w:pPr>
          </w:p>
          <w:p>
            <w:pPr>
              <w:pStyle w:val="18"/>
              <w:ind w:left="123"/>
              <w:jc w:val="left"/>
              <w:rPr>
                <w:sz w:val="21"/>
              </w:rPr>
            </w:pPr>
            <w:r>
              <w:rPr>
                <w:sz w:val="21"/>
              </w:rPr>
              <w:t>羊舍</w:t>
            </w:r>
          </w:p>
        </w:tc>
        <w:tc>
          <w:tcPr>
            <w:tcW w:w="822" w:type="dxa"/>
            <w:vMerge w:val="restart"/>
          </w:tcPr>
          <w:p>
            <w:pPr>
              <w:pStyle w:val="18"/>
              <w:jc w:val="left"/>
              <w:rPr>
                <w:b/>
                <w:sz w:val="20"/>
              </w:rPr>
            </w:pPr>
          </w:p>
          <w:p>
            <w:pPr>
              <w:pStyle w:val="18"/>
              <w:spacing w:before="8"/>
              <w:jc w:val="left"/>
              <w:rPr>
                <w:b/>
                <w:sz w:val="25"/>
              </w:rPr>
            </w:pPr>
          </w:p>
          <w:p>
            <w:pPr>
              <w:pStyle w:val="18"/>
              <w:ind w:left="199"/>
              <w:jc w:val="left"/>
              <w:rPr>
                <w:sz w:val="21"/>
              </w:rPr>
            </w:pPr>
            <w:r>
              <w:rPr>
                <w:sz w:val="21"/>
              </w:rPr>
              <w:t>养殖</w:t>
            </w:r>
          </w:p>
        </w:tc>
        <w:tc>
          <w:tcPr>
            <w:tcW w:w="650" w:type="dxa"/>
          </w:tcPr>
          <w:p>
            <w:pPr>
              <w:pStyle w:val="18"/>
              <w:spacing w:before="46"/>
              <w:ind w:left="138"/>
              <w:jc w:val="left"/>
              <w:rPr>
                <w:rFonts w:ascii="Times New Roman"/>
                <w:sz w:val="21"/>
              </w:rPr>
            </w:pPr>
            <w:r>
              <w:rPr>
                <w:rFonts w:ascii="Times New Roman"/>
                <w:position w:val="2"/>
                <w:sz w:val="21"/>
              </w:rPr>
              <w:t>NH</w:t>
            </w:r>
            <w:r>
              <w:rPr>
                <w:rFonts w:ascii="Times New Roman"/>
                <w:position w:val="2"/>
                <w:sz w:val="21"/>
                <w:vertAlign w:val="subscript"/>
              </w:rPr>
              <w:t>3</w:t>
            </w:r>
          </w:p>
        </w:tc>
        <w:tc>
          <w:tcPr>
            <w:tcW w:w="1925" w:type="dxa"/>
            <w:vMerge w:val="restart"/>
          </w:tcPr>
          <w:p>
            <w:pPr>
              <w:pStyle w:val="18"/>
              <w:spacing w:line="240" w:lineRule="exact"/>
              <w:ind w:left="107" w:right="97" w:hanging="1"/>
              <w:rPr>
                <w:rFonts w:ascii="Times New Roman" w:eastAsia="Times New Roman"/>
                <w:sz w:val="21"/>
              </w:rPr>
            </w:pPr>
            <w:r>
              <w:rPr>
                <w:sz w:val="21"/>
              </w:rPr>
              <w:t>及时清粪、通风换</w:t>
            </w:r>
            <w:r>
              <w:rPr>
                <w:spacing w:val="-12"/>
                <w:sz w:val="21"/>
              </w:rPr>
              <w:t>气、日粮中投放</w:t>
            </w:r>
            <w:r>
              <w:rPr>
                <w:rFonts w:ascii="Times New Roman" w:eastAsia="Times New Roman"/>
                <w:spacing w:val="-8"/>
                <w:sz w:val="21"/>
              </w:rPr>
              <w:t>EM</w:t>
            </w:r>
            <w:r>
              <w:rPr>
                <w:sz w:val="21"/>
              </w:rPr>
              <w:t>菌剂等有益微生物复合制剂、喷洒除臭剂、加强绿化，</w:t>
            </w:r>
            <w:r>
              <w:rPr>
                <w:spacing w:val="-11"/>
                <w:sz w:val="21"/>
              </w:rPr>
              <w:t>除臭效率</w:t>
            </w:r>
            <w:r>
              <w:rPr>
                <w:rFonts w:ascii="Times New Roman" w:eastAsia="Times New Roman"/>
                <w:sz w:val="21"/>
              </w:rPr>
              <w:t>80%</w:t>
            </w:r>
          </w:p>
        </w:tc>
        <w:tc>
          <w:tcPr>
            <w:tcW w:w="1650" w:type="dxa"/>
            <w:vMerge w:val="restart"/>
          </w:tcPr>
          <w:p>
            <w:pPr>
              <w:pStyle w:val="18"/>
              <w:spacing w:before="6" w:line="213" w:lineRule="auto"/>
              <w:ind w:left="194" w:right="186"/>
              <w:rPr>
                <w:sz w:val="21"/>
              </w:rPr>
            </w:pPr>
            <w:r>
              <w:rPr>
                <w:sz w:val="21"/>
              </w:rPr>
              <w:t>《恶臭污染物排放标准》</w:t>
            </w:r>
          </w:p>
          <w:p>
            <w:pPr>
              <w:pStyle w:val="18"/>
              <w:spacing w:line="233" w:lineRule="exact"/>
              <w:ind w:left="98" w:right="89"/>
              <w:rPr>
                <w:rFonts w:ascii="Times New Roman" w:eastAsia="Times New Roman"/>
                <w:sz w:val="21"/>
              </w:rPr>
            </w:pPr>
            <w:r>
              <w:rPr>
                <w:sz w:val="21"/>
              </w:rPr>
              <w:t>（</w:t>
            </w:r>
            <w:r>
              <w:rPr>
                <w:rFonts w:ascii="Times New Roman" w:eastAsia="Times New Roman"/>
                <w:sz w:val="21"/>
              </w:rPr>
              <w:t>GB14554-199</w:t>
            </w:r>
          </w:p>
          <w:p>
            <w:pPr>
              <w:pStyle w:val="18"/>
              <w:spacing w:before="3" w:line="240" w:lineRule="exact"/>
              <w:ind w:left="110" w:right="97"/>
              <w:rPr>
                <w:sz w:val="21"/>
              </w:rPr>
            </w:pPr>
            <w:r>
              <w:rPr>
                <w:rFonts w:ascii="Times New Roman" w:eastAsia="Times New Roman"/>
                <w:sz w:val="21"/>
              </w:rPr>
              <w:t>3</w:t>
            </w:r>
            <w:r>
              <w:rPr>
                <w:sz w:val="21"/>
              </w:rPr>
              <w:t>）表</w:t>
            </w:r>
            <w:r>
              <w:rPr>
                <w:rFonts w:ascii="Times New Roman" w:eastAsia="Times New Roman"/>
                <w:sz w:val="21"/>
              </w:rPr>
              <w:t>1</w:t>
            </w:r>
            <w:r>
              <w:rPr>
                <w:sz w:val="21"/>
              </w:rPr>
              <w:t>恶臭污染物厂界标准二级标准</w:t>
            </w:r>
          </w:p>
        </w:tc>
        <w:tc>
          <w:tcPr>
            <w:tcW w:w="1096" w:type="dxa"/>
          </w:tcPr>
          <w:p>
            <w:pPr>
              <w:pStyle w:val="18"/>
              <w:spacing w:before="49"/>
              <w:ind w:left="211" w:right="202"/>
              <w:rPr>
                <w:rFonts w:ascii="Times New Roman"/>
                <w:sz w:val="21"/>
              </w:rPr>
            </w:pPr>
            <w:r>
              <w:rPr>
                <w:rFonts w:ascii="Times New Roman"/>
                <w:sz w:val="21"/>
              </w:rPr>
              <w:t>1500</w:t>
            </w:r>
          </w:p>
        </w:tc>
        <w:tc>
          <w:tcPr>
            <w:tcW w:w="946" w:type="dxa"/>
          </w:tcPr>
          <w:p>
            <w:pPr>
              <w:pStyle w:val="18"/>
              <w:spacing w:before="49"/>
              <w:ind w:left="111" w:right="99"/>
              <w:rPr>
                <w:rFonts w:ascii="Times New Roman"/>
                <w:sz w:val="21"/>
              </w:rPr>
            </w:pPr>
            <w:r>
              <w:rPr>
                <w:rFonts w:ascii="Times New Roman"/>
                <w:sz w:val="21"/>
              </w:rPr>
              <w:t>0.268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488" w:type="dxa"/>
            <w:vMerge w:val="continue"/>
            <w:tcBorders>
              <w:top w:val="nil"/>
            </w:tcBorders>
          </w:tcPr>
          <w:p>
            <w:pPr>
              <w:rPr>
                <w:sz w:val="2"/>
                <w:szCs w:val="2"/>
              </w:rPr>
            </w:pPr>
          </w:p>
        </w:tc>
        <w:tc>
          <w:tcPr>
            <w:tcW w:w="670" w:type="dxa"/>
            <w:vMerge w:val="continue"/>
            <w:tcBorders>
              <w:top w:val="nil"/>
            </w:tcBorders>
          </w:tcPr>
          <w:p>
            <w:pPr>
              <w:rPr>
                <w:sz w:val="2"/>
                <w:szCs w:val="2"/>
              </w:rPr>
            </w:pPr>
          </w:p>
        </w:tc>
        <w:tc>
          <w:tcPr>
            <w:tcW w:w="822" w:type="dxa"/>
            <w:vMerge w:val="continue"/>
            <w:tcBorders>
              <w:top w:val="nil"/>
            </w:tcBorders>
          </w:tcPr>
          <w:p>
            <w:pPr>
              <w:rPr>
                <w:sz w:val="2"/>
                <w:szCs w:val="2"/>
              </w:rPr>
            </w:pPr>
          </w:p>
        </w:tc>
        <w:tc>
          <w:tcPr>
            <w:tcW w:w="650" w:type="dxa"/>
          </w:tcPr>
          <w:p>
            <w:pPr>
              <w:pStyle w:val="18"/>
              <w:spacing w:before="11"/>
              <w:jc w:val="left"/>
              <w:rPr>
                <w:b/>
                <w:sz w:val="32"/>
              </w:rPr>
            </w:pPr>
          </w:p>
          <w:p>
            <w:pPr>
              <w:pStyle w:val="18"/>
              <w:ind w:left="155"/>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925" w:type="dxa"/>
            <w:vMerge w:val="continue"/>
            <w:tcBorders>
              <w:top w:val="nil"/>
            </w:tcBorders>
          </w:tcPr>
          <w:p>
            <w:pPr>
              <w:rPr>
                <w:sz w:val="2"/>
                <w:szCs w:val="2"/>
              </w:rPr>
            </w:pPr>
          </w:p>
        </w:tc>
        <w:tc>
          <w:tcPr>
            <w:tcW w:w="1650" w:type="dxa"/>
            <w:vMerge w:val="continue"/>
            <w:tcBorders>
              <w:top w:val="nil"/>
            </w:tcBorders>
          </w:tcPr>
          <w:p>
            <w:pPr>
              <w:rPr>
                <w:sz w:val="2"/>
                <w:szCs w:val="2"/>
              </w:rPr>
            </w:pPr>
          </w:p>
        </w:tc>
        <w:tc>
          <w:tcPr>
            <w:tcW w:w="1096" w:type="dxa"/>
          </w:tcPr>
          <w:p>
            <w:pPr>
              <w:pStyle w:val="18"/>
              <w:jc w:val="left"/>
              <w:rPr>
                <w:b/>
                <w:sz w:val="22"/>
              </w:rPr>
            </w:pPr>
          </w:p>
          <w:p>
            <w:pPr>
              <w:pStyle w:val="18"/>
              <w:spacing w:before="142"/>
              <w:ind w:left="211" w:right="202"/>
              <w:rPr>
                <w:rFonts w:ascii="Times New Roman"/>
                <w:sz w:val="21"/>
              </w:rPr>
            </w:pPr>
            <w:r>
              <w:rPr>
                <w:rFonts w:ascii="Times New Roman"/>
                <w:sz w:val="21"/>
              </w:rPr>
              <w:t>60</w:t>
            </w:r>
          </w:p>
        </w:tc>
        <w:tc>
          <w:tcPr>
            <w:tcW w:w="946" w:type="dxa"/>
          </w:tcPr>
          <w:p>
            <w:pPr>
              <w:pStyle w:val="18"/>
              <w:jc w:val="left"/>
              <w:rPr>
                <w:b/>
                <w:sz w:val="22"/>
              </w:rPr>
            </w:pPr>
          </w:p>
          <w:p>
            <w:pPr>
              <w:pStyle w:val="18"/>
              <w:spacing w:before="142"/>
              <w:ind w:left="111" w:right="102"/>
              <w:rPr>
                <w:rFonts w:ascii="Times New Roman"/>
                <w:sz w:val="21"/>
              </w:rPr>
            </w:pPr>
            <w:r>
              <w:rPr>
                <w:rFonts w:ascii="Times New Roman"/>
                <w:sz w:val="21"/>
              </w:rPr>
              <w:t>0.0268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Pr>
          <w:p>
            <w:pPr>
              <w:pStyle w:val="18"/>
              <w:jc w:val="left"/>
              <w:rPr>
                <w:b/>
                <w:sz w:val="22"/>
              </w:rPr>
            </w:pPr>
          </w:p>
          <w:p>
            <w:pPr>
              <w:pStyle w:val="18"/>
              <w:spacing w:before="8"/>
              <w:jc w:val="left"/>
              <w:rPr>
                <w:b/>
                <w:sz w:val="24"/>
              </w:rPr>
            </w:pPr>
          </w:p>
          <w:p>
            <w:pPr>
              <w:pStyle w:val="18"/>
              <w:spacing w:before="1"/>
              <w:ind w:left="9"/>
              <w:rPr>
                <w:rFonts w:ascii="Times New Roman"/>
                <w:sz w:val="21"/>
              </w:rPr>
            </w:pPr>
            <w:r>
              <w:rPr>
                <w:rFonts w:ascii="Times New Roman"/>
                <w:w w:val="99"/>
                <w:sz w:val="21"/>
              </w:rPr>
              <w:t>2</w:t>
            </w:r>
          </w:p>
        </w:tc>
        <w:tc>
          <w:tcPr>
            <w:tcW w:w="670" w:type="dxa"/>
            <w:vMerge w:val="restart"/>
          </w:tcPr>
          <w:p>
            <w:pPr>
              <w:pStyle w:val="18"/>
              <w:jc w:val="left"/>
              <w:rPr>
                <w:b/>
                <w:sz w:val="20"/>
              </w:rPr>
            </w:pPr>
          </w:p>
          <w:p>
            <w:pPr>
              <w:pStyle w:val="18"/>
              <w:spacing w:before="172" w:line="278" w:lineRule="auto"/>
              <w:ind w:left="229" w:right="116" w:hanging="106"/>
              <w:jc w:val="left"/>
              <w:rPr>
                <w:sz w:val="21"/>
              </w:rPr>
            </w:pPr>
            <w:r>
              <w:rPr>
                <w:sz w:val="21"/>
              </w:rPr>
              <w:t>堆肥厂</w:t>
            </w:r>
          </w:p>
        </w:tc>
        <w:tc>
          <w:tcPr>
            <w:tcW w:w="822" w:type="dxa"/>
            <w:vMerge w:val="restart"/>
          </w:tcPr>
          <w:p>
            <w:pPr>
              <w:pStyle w:val="18"/>
              <w:jc w:val="left"/>
              <w:rPr>
                <w:b/>
                <w:sz w:val="20"/>
              </w:rPr>
            </w:pPr>
          </w:p>
          <w:p>
            <w:pPr>
              <w:pStyle w:val="18"/>
              <w:spacing w:before="7"/>
              <w:jc w:val="left"/>
              <w:rPr>
                <w:b/>
                <w:sz w:val="25"/>
              </w:rPr>
            </w:pPr>
          </w:p>
          <w:p>
            <w:pPr>
              <w:pStyle w:val="18"/>
              <w:spacing w:before="1"/>
              <w:ind w:left="199"/>
              <w:jc w:val="left"/>
              <w:rPr>
                <w:sz w:val="21"/>
              </w:rPr>
            </w:pPr>
            <w:r>
              <w:rPr>
                <w:sz w:val="21"/>
              </w:rPr>
              <w:t>养殖</w:t>
            </w:r>
          </w:p>
        </w:tc>
        <w:tc>
          <w:tcPr>
            <w:tcW w:w="650" w:type="dxa"/>
          </w:tcPr>
          <w:p>
            <w:pPr>
              <w:pStyle w:val="18"/>
              <w:spacing w:before="45"/>
              <w:ind w:left="138"/>
              <w:jc w:val="left"/>
              <w:rPr>
                <w:rFonts w:ascii="Times New Roman"/>
                <w:sz w:val="21"/>
              </w:rPr>
            </w:pPr>
            <w:r>
              <w:rPr>
                <w:rFonts w:ascii="Times New Roman"/>
                <w:position w:val="2"/>
                <w:sz w:val="21"/>
              </w:rPr>
              <w:t>NH</w:t>
            </w:r>
            <w:r>
              <w:rPr>
                <w:rFonts w:ascii="Times New Roman"/>
                <w:position w:val="2"/>
                <w:sz w:val="21"/>
                <w:vertAlign w:val="subscript"/>
              </w:rPr>
              <w:t>3</w:t>
            </w:r>
          </w:p>
        </w:tc>
        <w:tc>
          <w:tcPr>
            <w:tcW w:w="1925" w:type="dxa"/>
            <w:vMerge w:val="restart"/>
          </w:tcPr>
          <w:p>
            <w:pPr>
              <w:pStyle w:val="18"/>
              <w:spacing w:before="12"/>
              <w:jc w:val="left"/>
              <w:rPr>
                <w:b/>
                <w:sz w:val="27"/>
              </w:rPr>
            </w:pPr>
          </w:p>
          <w:p>
            <w:pPr>
              <w:pStyle w:val="18"/>
              <w:spacing w:before="1" w:line="220" w:lineRule="auto"/>
              <w:ind w:left="122" w:right="112"/>
              <w:rPr>
                <w:rFonts w:ascii="Times New Roman" w:eastAsia="Times New Roman"/>
                <w:sz w:val="21"/>
              </w:rPr>
            </w:pPr>
            <w:r>
              <w:rPr>
                <w:sz w:val="21"/>
              </w:rPr>
              <w:t>喷洒除臭剂、加强绿化，除臭效率</w:t>
            </w:r>
            <w:r>
              <w:rPr>
                <w:rFonts w:ascii="Times New Roman" w:eastAsia="Times New Roman"/>
                <w:sz w:val="21"/>
              </w:rPr>
              <w:t>80%</w:t>
            </w:r>
          </w:p>
        </w:tc>
        <w:tc>
          <w:tcPr>
            <w:tcW w:w="1650" w:type="dxa"/>
            <w:vMerge w:val="restart"/>
          </w:tcPr>
          <w:p>
            <w:pPr>
              <w:pStyle w:val="18"/>
              <w:spacing w:before="5" w:line="213" w:lineRule="auto"/>
              <w:ind w:left="194" w:right="186"/>
              <w:rPr>
                <w:sz w:val="21"/>
              </w:rPr>
            </w:pPr>
            <w:r>
              <w:rPr>
                <w:sz w:val="21"/>
              </w:rPr>
              <w:t>《恶臭污染物排放标准》</w:t>
            </w:r>
          </w:p>
          <w:p>
            <w:pPr>
              <w:pStyle w:val="18"/>
              <w:spacing w:line="233" w:lineRule="exact"/>
              <w:ind w:left="98" w:right="89"/>
              <w:rPr>
                <w:rFonts w:ascii="Times New Roman" w:eastAsia="Times New Roman"/>
                <w:sz w:val="21"/>
              </w:rPr>
            </w:pPr>
            <w:r>
              <w:rPr>
                <w:sz w:val="21"/>
              </w:rPr>
              <w:t>（</w:t>
            </w:r>
            <w:r>
              <w:rPr>
                <w:rFonts w:ascii="Times New Roman" w:eastAsia="Times New Roman"/>
                <w:sz w:val="21"/>
              </w:rPr>
              <w:t>GB14554-199</w:t>
            </w:r>
          </w:p>
          <w:p>
            <w:pPr>
              <w:pStyle w:val="18"/>
              <w:spacing w:before="3" w:line="240" w:lineRule="exact"/>
              <w:ind w:left="110" w:right="97"/>
              <w:rPr>
                <w:sz w:val="21"/>
              </w:rPr>
            </w:pPr>
            <w:r>
              <w:rPr>
                <w:rFonts w:ascii="Times New Roman" w:eastAsia="Times New Roman"/>
                <w:sz w:val="21"/>
              </w:rPr>
              <w:t>3</w:t>
            </w:r>
            <w:r>
              <w:rPr>
                <w:sz w:val="21"/>
              </w:rPr>
              <w:t>）表</w:t>
            </w:r>
            <w:r>
              <w:rPr>
                <w:rFonts w:ascii="Times New Roman" w:eastAsia="Times New Roman"/>
                <w:sz w:val="21"/>
              </w:rPr>
              <w:t>1</w:t>
            </w:r>
            <w:r>
              <w:rPr>
                <w:sz w:val="21"/>
              </w:rPr>
              <w:t>恶臭污染物厂界标准二级标准</w:t>
            </w:r>
          </w:p>
        </w:tc>
        <w:tc>
          <w:tcPr>
            <w:tcW w:w="1096" w:type="dxa"/>
          </w:tcPr>
          <w:p>
            <w:pPr>
              <w:pStyle w:val="18"/>
              <w:spacing w:before="48"/>
              <w:ind w:left="211" w:right="202"/>
              <w:rPr>
                <w:rFonts w:ascii="Times New Roman"/>
                <w:sz w:val="21"/>
              </w:rPr>
            </w:pPr>
            <w:r>
              <w:rPr>
                <w:rFonts w:ascii="Times New Roman"/>
                <w:sz w:val="21"/>
              </w:rPr>
              <w:t>1500</w:t>
            </w:r>
          </w:p>
        </w:tc>
        <w:tc>
          <w:tcPr>
            <w:tcW w:w="946" w:type="dxa"/>
          </w:tcPr>
          <w:p>
            <w:pPr>
              <w:pStyle w:val="18"/>
              <w:spacing w:before="48"/>
              <w:ind w:left="111" w:right="102"/>
              <w:rPr>
                <w:rFonts w:ascii="Times New Roman"/>
                <w:sz w:val="21"/>
              </w:rPr>
            </w:pPr>
            <w:r>
              <w:rPr>
                <w:rFonts w:ascii="Times New Roman"/>
                <w:sz w:val="21"/>
              </w:rPr>
              <w:t>0.023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488" w:type="dxa"/>
            <w:vMerge w:val="continue"/>
            <w:tcBorders>
              <w:top w:val="nil"/>
            </w:tcBorders>
          </w:tcPr>
          <w:p>
            <w:pPr>
              <w:rPr>
                <w:sz w:val="2"/>
                <w:szCs w:val="2"/>
              </w:rPr>
            </w:pPr>
          </w:p>
        </w:tc>
        <w:tc>
          <w:tcPr>
            <w:tcW w:w="670" w:type="dxa"/>
            <w:vMerge w:val="continue"/>
            <w:tcBorders>
              <w:top w:val="nil"/>
            </w:tcBorders>
          </w:tcPr>
          <w:p>
            <w:pPr>
              <w:rPr>
                <w:sz w:val="2"/>
                <w:szCs w:val="2"/>
              </w:rPr>
            </w:pPr>
          </w:p>
        </w:tc>
        <w:tc>
          <w:tcPr>
            <w:tcW w:w="822" w:type="dxa"/>
            <w:vMerge w:val="continue"/>
            <w:tcBorders>
              <w:top w:val="nil"/>
            </w:tcBorders>
          </w:tcPr>
          <w:p>
            <w:pPr>
              <w:rPr>
                <w:sz w:val="2"/>
                <w:szCs w:val="2"/>
              </w:rPr>
            </w:pPr>
          </w:p>
        </w:tc>
        <w:tc>
          <w:tcPr>
            <w:tcW w:w="650" w:type="dxa"/>
          </w:tcPr>
          <w:p>
            <w:pPr>
              <w:pStyle w:val="18"/>
              <w:spacing w:before="10"/>
              <w:jc w:val="left"/>
              <w:rPr>
                <w:b/>
                <w:sz w:val="32"/>
              </w:rPr>
            </w:pPr>
          </w:p>
          <w:p>
            <w:pPr>
              <w:pStyle w:val="18"/>
              <w:ind w:left="155"/>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925" w:type="dxa"/>
            <w:vMerge w:val="continue"/>
            <w:tcBorders>
              <w:top w:val="nil"/>
            </w:tcBorders>
          </w:tcPr>
          <w:p>
            <w:pPr>
              <w:rPr>
                <w:sz w:val="2"/>
                <w:szCs w:val="2"/>
              </w:rPr>
            </w:pPr>
          </w:p>
        </w:tc>
        <w:tc>
          <w:tcPr>
            <w:tcW w:w="1650" w:type="dxa"/>
            <w:vMerge w:val="continue"/>
            <w:tcBorders>
              <w:top w:val="nil"/>
            </w:tcBorders>
          </w:tcPr>
          <w:p>
            <w:pPr>
              <w:rPr>
                <w:sz w:val="2"/>
                <w:szCs w:val="2"/>
              </w:rPr>
            </w:pPr>
          </w:p>
        </w:tc>
        <w:tc>
          <w:tcPr>
            <w:tcW w:w="1096" w:type="dxa"/>
          </w:tcPr>
          <w:p>
            <w:pPr>
              <w:pStyle w:val="18"/>
              <w:jc w:val="left"/>
              <w:rPr>
                <w:b/>
                <w:sz w:val="22"/>
              </w:rPr>
            </w:pPr>
          </w:p>
          <w:p>
            <w:pPr>
              <w:pStyle w:val="18"/>
              <w:spacing w:before="142"/>
              <w:ind w:left="211" w:right="202"/>
              <w:rPr>
                <w:rFonts w:ascii="Times New Roman"/>
                <w:sz w:val="21"/>
              </w:rPr>
            </w:pPr>
            <w:r>
              <w:rPr>
                <w:rFonts w:ascii="Times New Roman"/>
                <w:sz w:val="21"/>
              </w:rPr>
              <w:t>60</w:t>
            </w:r>
          </w:p>
        </w:tc>
        <w:tc>
          <w:tcPr>
            <w:tcW w:w="946" w:type="dxa"/>
          </w:tcPr>
          <w:p>
            <w:pPr>
              <w:pStyle w:val="18"/>
              <w:jc w:val="left"/>
              <w:rPr>
                <w:b/>
                <w:sz w:val="22"/>
              </w:rPr>
            </w:pPr>
          </w:p>
          <w:p>
            <w:pPr>
              <w:pStyle w:val="18"/>
              <w:spacing w:before="142"/>
              <w:ind w:left="111" w:right="102"/>
              <w:rPr>
                <w:rFonts w:ascii="Times New Roman"/>
                <w:sz w:val="21"/>
              </w:rPr>
            </w:pPr>
            <w:r>
              <w:rPr>
                <w:rFonts w:ascii="Times New Roman"/>
                <w:sz w:val="21"/>
              </w:rPr>
              <w:t>0.0019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7" w:type="dxa"/>
            <w:gridSpan w:val="8"/>
          </w:tcPr>
          <w:p>
            <w:pPr>
              <w:pStyle w:val="18"/>
              <w:spacing w:before="35"/>
              <w:ind w:left="3576" w:right="3570"/>
              <w:rPr>
                <w:sz w:val="21"/>
              </w:rPr>
            </w:pPr>
            <w:r>
              <w:rPr>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8" w:type="dxa"/>
            <w:gridSpan w:val="2"/>
            <w:vMerge w:val="restart"/>
          </w:tcPr>
          <w:p>
            <w:pPr>
              <w:pStyle w:val="18"/>
              <w:spacing w:before="13" w:line="310" w:lineRule="atLeast"/>
              <w:ind w:left="263" w:right="150" w:hanging="106"/>
              <w:jc w:val="left"/>
              <w:rPr>
                <w:sz w:val="21"/>
              </w:rPr>
            </w:pPr>
            <w:r>
              <w:rPr>
                <w:sz w:val="21"/>
              </w:rPr>
              <w:t>无组织排放总计</w:t>
            </w:r>
          </w:p>
        </w:tc>
        <w:tc>
          <w:tcPr>
            <w:tcW w:w="6143" w:type="dxa"/>
            <w:gridSpan w:val="5"/>
          </w:tcPr>
          <w:p>
            <w:pPr>
              <w:pStyle w:val="18"/>
              <w:spacing w:before="46"/>
              <w:ind w:left="2865" w:right="2856"/>
              <w:rPr>
                <w:rFonts w:ascii="Times New Roman"/>
                <w:sz w:val="21"/>
              </w:rPr>
            </w:pPr>
            <w:r>
              <w:rPr>
                <w:rFonts w:ascii="Times New Roman"/>
                <w:position w:val="2"/>
                <w:sz w:val="21"/>
              </w:rPr>
              <w:t>NH</w:t>
            </w:r>
            <w:r>
              <w:rPr>
                <w:rFonts w:ascii="Times New Roman"/>
                <w:position w:val="2"/>
                <w:sz w:val="21"/>
                <w:vertAlign w:val="subscript"/>
              </w:rPr>
              <w:t>3</w:t>
            </w:r>
          </w:p>
        </w:tc>
        <w:tc>
          <w:tcPr>
            <w:tcW w:w="946" w:type="dxa"/>
          </w:tcPr>
          <w:p>
            <w:pPr>
              <w:pStyle w:val="18"/>
              <w:spacing w:before="49"/>
              <w:ind w:left="111" w:right="102"/>
              <w:rPr>
                <w:rFonts w:ascii="Times New Roman"/>
                <w:sz w:val="21"/>
              </w:rPr>
            </w:pPr>
            <w:r>
              <w:rPr>
                <w:rFonts w:ascii="Times New Roman"/>
                <w:sz w:val="21"/>
              </w:rPr>
              <w:t>0.291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8" w:type="dxa"/>
            <w:gridSpan w:val="2"/>
            <w:vMerge w:val="continue"/>
            <w:tcBorders>
              <w:top w:val="nil"/>
            </w:tcBorders>
          </w:tcPr>
          <w:p>
            <w:pPr>
              <w:rPr>
                <w:sz w:val="2"/>
                <w:szCs w:val="2"/>
              </w:rPr>
            </w:pPr>
          </w:p>
        </w:tc>
        <w:tc>
          <w:tcPr>
            <w:tcW w:w="6143" w:type="dxa"/>
            <w:gridSpan w:val="5"/>
          </w:tcPr>
          <w:p>
            <w:pPr>
              <w:pStyle w:val="18"/>
              <w:spacing w:before="46"/>
              <w:ind w:left="2865" w:right="2854"/>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946" w:type="dxa"/>
          </w:tcPr>
          <w:p>
            <w:pPr>
              <w:pStyle w:val="18"/>
              <w:spacing w:before="49"/>
              <w:ind w:left="111" w:right="102"/>
              <w:rPr>
                <w:rFonts w:ascii="Times New Roman"/>
                <w:sz w:val="21"/>
              </w:rPr>
            </w:pPr>
            <w:r>
              <w:rPr>
                <w:rFonts w:ascii="Times New Roman"/>
                <w:sz w:val="21"/>
              </w:rPr>
              <w:t>0.00287</w:t>
            </w:r>
          </w:p>
        </w:tc>
      </w:tr>
    </w:tbl>
    <w:p>
      <w:pPr>
        <w:pStyle w:val="7"/>
        <w:spacing w:before="7"/>
        <w:ind w:left="0"/>
        <w:rPr>
          <w:b/>
          <w:sz w:val="6"/>
        </w:rPr>
      </w:pPr>
    </w:p>
    <w:p>
      <w:pPr>
        <w:pStyle w:val="7"/>
        <w:bidi w:val="0"/>
        <w:jc w:val="center"/>
      </w:pPr>
      <w:r>
        <w:t>表</w:t>
      </w:r>
      <w:r>
        <w:rPr>
          <w:rFonts w:ascii="Times New Roman" w:eastAsia="Times New Roman"/>
        </w:rPr>
        <w:t>3.2-9</w:t>
      </w:r>
      <w:r>
        <w:rPr>
          <w:rFonts w:ascii="Times New Roman" w:eastAsia="Times New Roman"/>
        </w:rPr>
        <w:tab/>
      </w:r>
      <w:r>
        <w:t>大气污染物有组织排放量核算表</w:t>
      </w:r>
    </w:p>
    <w:tbl>
      <w:tblPr>
        <w:tblStyle w:val="14"/>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1272"/>
        <w:gridCol w:w="1598"/>
        <w:gridCol w:w="1719"/>
        <w:gridCol w:w="1719"/>
        <w:gridCol w:w="1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8" w:type="dxa"/>
          </w:tcPr>
          <w:p>
            <w:pPr>
              <w:pStyle w:val="18"/>
              <w:spacing w:before="1" w:line="240" w:lineRule="exact"/>
              <w:ind w:left="109" w:right="97"/>
              <w:jc w:val="left"/>
              <w:rPr>
                <w:b/>
                <w:sz w:val="21"/>
              </w:rPr>
            </w:pPr>
            <w:r>
              <w:rPr>
                <w:b/>
                <w:sz w:val="21"/>
              </w:rPr>
              <w:t>序号</w:t>
            </w:r>
          </w:p>
        </w:tc>
        <w:tc>
          <w:tcPr>
            <w:tcW w:w="1272" w:type="dxa"/>
          </w:tcPr>
          <w:p>
            <w:pPr>
              <w:pStyle w:val="18"/>
              <w:spacing w:before="1" w:line="240" w:lineRule="exact"/>
              <w:ind w:left="425" w:right="308" w:hanging="106"/>
              <w:jc w:val="left"/>
              <w:rPr>
                <w:b/>
                <w:sz w:val="21"/>
              </w:rPr>
            </w:pPr>
            <w:r>
              <w:rPr>
                <w:b/>
                <w:sz w:val="21"/>
              </w:rPr>
              <w:t>排放口编号</w:t>
            </w:r>
          </w:p>
        </w:tc>
        <w:tc>
          <w:tcPr>
            <w:tcW w:w="1598" w:type="dxa"/>
          </w:tcPr>
          <w:p>
            <w:pPr>
              <w:pStyle w:val="18"/>
              <w:spacing w:before="103"/>
              <w:ind w:left="462" w:right="453"/>
              <w:rPr>
                <w:b/>
                <w:sz w:val="21"/>
              </w:rPr>
            </w:pPr>
            <w:r>
              <w:rPr>
                <w:b/>
                <w:sz w:val="21"/>
              </w:rPr>
              <w:t>污染物</w:t>
            </w:r>
          </w:p>
        </w:tc>
        <w:tc>
          <w:tcPr>
            <w:tcW w:w="1719" w:type="dxa"/>
          </w:tcPr>
          <w:p>
            <w:pPr>
              <w:pStyle w:val="18"/>
              <w:spacing w:line="237" w:lineRule="exact"/>
              <w:ind w:left="207" w:right="196"/>
              <w:rPr>
                <w:b/>
                <w:sz w:val="21"/>
              </w:rPr>
            </w:pPr>
            <w:r>
              <w:rPr>
                <w:b/>
                <w:sz w:val="21"/>
              </w:rPr>
              <w:t>核算排放浓度</w:t>
            </w:r>
          </w:p>
          <w:p>
            <w:pPr>
              <w:pStyle w:val="18"/>
              <w:spacing w:line="223" w:lineRule="exact"/>
              <w:ind w:left="205" w:right="196"/>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719" w:type="dxa"/>
          </w:tcPr>
          <w:p>
            <w:pPr>
              <w:pStyle w:val="18"/>
              <w:spacing w:line="237" w:lineRule="exact"/>
              <w:ind w:left="206" w:right="196"/>
              <w:rPr>
                <w:b/>
                <w:sz w:val="21"/>
              </w:rPr>
            </w:pPr>
            <w:r>
              <w:rPr>
                <w:b/>
                <w:sz w:val="21"/>
              </w:rPr>
              <w:t>核算排放速率</w:t>
            </w:r>
          </w:p>
          <w:p>
            <w:pPr>
              <w:pStyle w:val="18"/>
              <w:spacing w:line="223" w:lineRule="exact"/>
              <w:ind w:left="206" w:right="196"/>
              <w:rPr>
                <w:b/>
                <w:sz w:val="21"/>
              </w:rPr>
            </w:pPr>
            <w:r>
              <w:rPr>
                <w:b/>
                <w:sz w:val="21"/>
              </w:rPr>
              <w:t>（</w:t>
            </w:r>
            <w:r>
              <w:rPr>
                <w:rFonts w:ascii="Times New Roman" w:eastAsia="Times New Roman"/>
                <w:b/>
                <w:sz w:val="21"/>
              </w:rPr>
              <w:t>kg/h</w:t>
            </w:r>
            <w:r>
              <w:rPr>
                <w:b/>
                <w:sz w:val="21"/>
              </w:rPr>
              <w:t>）</w:t>
            </w:r>
          </w:p>
        </w:tc>
        <w:tc>
          <w:tcPr>
            <w:tcW w:w="1607" w:type="dxa"/>
          </w:tcPr>
          <w:p>
            <w:pPr>
              <w:pStyle w:val="18"/>
              <w:spacing w:line="237" w:lineRule="exact"/>
              <w:ind w:left="123" w:right="110"/>
              <w:rPr>
                <w:rFonts w:ascii="Times New Roman" w:eastAsia="Times New Roman"/>
                <w:b/>
                <w:sz w:val="21"/>
              </w:rPr>
            </w:pPr>
            <w:r>
              <w:rPr>
                <w:b/>
                <w:sz w:val="21"/>
              </w:rPr>
              <w:t>核算年排放量</w:t>
            </w:r>
            <w:r>
              <w:rPr>
                <w:rFonts w:ascii="Times New Roman" w:eastAsia="Times New Roman"/>
                <w:b/>
                <w:sz w:val="21"/>
              </w:rPr>
              <w:t>/</w:t>
            </w:r>
          </w:p>
          <w:p>
            <w:pPr>
              <w:pStyle w:val="18"/>
              <w:spacing w:line="223" w:lineRule="exact"/>
              <w:ind w:left="120" w:right="110"/>
              <w:rPr>
                <w:b/>
                <w:sz w:val="21"/>
              </w:rPr>
            </w:pPr>
            <w:r>
              <w:rPr>
                <w:b/>
                <w:sz w:val="21"/>
              </w:rPr>
              <w:t>（</w:t>
            </w:r>
            <w:r>
              <w:rPr>
                <w:rFonts w:ascii="Times New Roman" w:eastAsia="Times New Roman"/>
                <w:b/>
                <w:sz w:val="21"/>
              </w:rPr>
              <w:t>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343" w:type="dxa"/>
            <w:gridSpan w:val="6"/>
          </w:tcPr>
          <w:p>
            <w:pPr>
              <w:pStyle w:val="18"/>
              <w:spacing w:before="34"/>
              <w:ind w:left="3624" w:right="3619"/>
              <w:rPr>
                <w:sz w:val="21"/>
              </w:rPr>
            </w:pPr>
            <w:r>
              <w:rPr>
                <w:sz w:val="21"/>
              </w:rPr>
              <w:t>主要排放口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restart"/>
          </w:tcPr>
          <w:p>
            <w:pPr>
              <w:pStyle w:val="18"/>
              <w:spacing w:before="6"/>
              <w:jc w:val="left"/>
              <w:rPr>
                <w:b/>
                <w:sz w:val="17"/>
              </w:rPr>
            </w:pPr>
          </w:p>
          <w:p>
            <w:pPr>
              <w:pStyle w:val="18"/>
              <w:spacing w:before="1"/>
              <w:ind w:left="6"/>
              <w:rPr>
                <w:rFonts w:ascii="Times New Roman"/>
                <w:sz w:val="21"/>
              </w:rPr>
            </w:pPr>
            <w:r>
              <w:rPr>
                <w:rFonts w:ascii="Times New Roman"/>
                <w:w w:val="99"/>
                <w:sz w:val="21"/>
              </w:rPr>
              <w:t>1</w:t>
            </w:r>
          </w:p>
        </w:tc>
        <w:tc>
          <w:tcPr>
            <w:tcW w:w="1272" w:type="dxa"/>
            <w:vMerge w:val="restart"/>
          </w:tcPr>
          <w:p>
            <w:pPr>
              <w:pStyle w:val="18"/>
              <w:spacing w:before="109" w:line="213" w:lineRule="auto"/>
              <w:ind w:left="425" w:right="100" w:hanging="315"/>
              <w:jc w:val="left"/>
              <w:rPr>
                <w:sz w:val="21"/>
              </w:rPr>
            </w:pPr>
            <w:r>
              <w:rPr>
                <w:sz w:val="21"/>
              </w:rPr>
              <w:t>无害化处理车间</w:t>
            </w:r>
          </w:p>
        </w:tc>
        <w:tc>
          <w:tcPr>
            <w:tcW w:w="1598" w:type="dxa"/>
          </w:tcPr>
          <w:p>
            <w:pPr>
              <w:pStyle w:val="18"/>
              <w:spacing w:before="46"/>
              <w:ind w:left="462" w:right="452"/>
              <w:rPr>
                <w:rFonts w:ascii="Times New Roman"/>
                <w:sz w:val="21"/>
              </w:rPr>
            </w:pPr>
            <w:r>
              <w:rPr>
                <w:rFonts w:ascii="Times New Roman"/>
                <w:position w:val="2"/>
                <w:sz w:val="21"/>
              </w:rPr>
              <w:t>NH</w:t>
            </w:r>
            <w:r>
              <w:rPr>
                <w:rFonts w:ascii="Times New Roman"/>
                <w:position w:val="2"/>
                <w:sz w:val="21"/>
                <w:vertAlign w:val="subscript"/>
              </w:rPr>
              <w:t>3</w:t>
            </w:r>
          </w:p>
        </w:tc>
        <w:tc>
          <w:tcPr>
            <w:tcW w:w="1719" w:type="dxa"/>
          </w:tcPr>
          <w:p>
            <w:pPr>
              <w:pStyle w:val="18"/>
              <w:spacing w:before="49"/>
              <w:ind w:left="206" w:right="196"/>
              <w:rPr>
                <w:rFonts w:ascii="Times New Roman"/>
                <w:sz w:val="21"/>
              </w:rPr>
            </w:pPr>
            <w:r>
              <w:rPr>
                <w:rFonts w:ascii="Times New Roman"/>
                <w:sz w:val="21"/>
              </w:rPr>
              <w:t>0.625</w:t>
            </w:r>
          </w:p>
        </w:tc>
        <w:tc>
          <w:tcPr>
            <w:tcW w:w="1719" w:type="dxa"/>
          </w:tcPr>
          <w:p>
            <w:pPr>
              <w:pStyle w:val="18"/>
              <w:spacing w:before="49"/>
              <w:ind w:left="207" w:right="196"/>
              <w:rPr>
                <w:rFonts w:hint="default" w:ascii="Times New Roman" w:eastAsia="宋体"/>
                <w:sz w:val="21"/>
                <w:lang w:val="en-US" w:eastAsia="zh-CN"/>
              </w:rPr>
            </w:pPr>
            <w:r>
              <w:rPr>
                <w:rFonts w:hint="eastAsia" w:ascii="Times New Roman"/>
                <w:sz w:val="21"/>
                <w:lang w:val="en-US" w:eastAsia="zh-CN"/>
              </w:rPr>
              <w:t>0.512</w:t>
            </w:r>
          </w:p>
        </w:tc>
        <w:tc>
          <w:tcPr>
            <w:tcW w:w="1607" w:type="dxa"/>
          </w:tcPr>
          <w:p>
            <w:pPr>
              <w:pStyle w:val="18"/>
              <w:spacing w:before="49"/>
              <w:ind w:left="117" w:right="110"/>
              <w:rPr>
                <w:rFonts w:ascii="Times New Roman"/>
                <w:sz w:val="21"/>
              </w:rPr>
            </w:pPr>
            <w:r>
              <w:rPr>
                <w:rFonts w:ascii="Times New Roman"/>
                <w:sz w:val="21"/>
              </w:rPr>
              <w:t>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1598" w:type="dxa"/>
          </w:tcPr>
          <w:p>
            <w:pPr>
              <w:pStyle w:val="18"/>
              <w:spacing w:before="46"/>
              <w:ind w:left="462" w:right="45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719" w:type="dxa"/>
          </w:tcPr>
          <w:p>
            <w:pPr>
              <w:pStyle w:val="18"/>
              <w:spacing w:before="50"/>
              <w:ind w:left="203" w:right="196"/>
              <w:rPr>
                <w:rFonts w:ascii="Times New Roman"/>
                <w:sz w:val="21"/>
              </w:rPr>
            </w:pPr>
            <w:r>
              <w:rPr>
                <w:rFonts w:ascii="Times New Roman"/>
                <w:sz w:val="21"/>
              </w:rPr>
              <w:t>0.0625</w:t>
            </w:r>
          </w:p>
        </w:tc>
        <w:tc>
          <w:tcPr>
            <w:tcW w:w="1719" w:type="dxa"/>
          </w:tcPr>
          <w:p>
            <w:pPr>
              <w:pStyle w:val="18"/>
              <w:spacing w:before="50"/>
              <w:ind w:left="207" w:right="196"/>
              <w:rPr>
                <w:rFonts w:hint="default" w:ascii="Times New Roman" w:eastAsia="宋体"/>
                <w:sz w:val="21"/>
                <w:lang w:val="en-US" w:eastAsia="zh-CN"/>
              </w:rPr>
            </w:pPr>
            <w:r>
              <w:rPr>
                <w:rFonts w:hint="eastAsia" w:ascii="Times New Roman"/>
                <w:sz w:val="21"/>
                <w:lang w:val="en-US" w:eastAsia="zh-CN"/>
              </w:rPr>
              <w:t>0.0512</w:t>
            </w:r>
          </w:p>
        </w:tc>
        <w:tc>
          <w:tcPr>
            <w:tcW w:w="1607" w:type="dxa"/>
          </w:tcPr>
          <w:p>
            <w:pPr>
              <w:pStyle w:val="18"/>
              <w:spacing w:before="50"/>
              <w:ind w:left="119" w:right="110"/>
              <w:rPr>
                <w:rFonts w:ascii="Times New Roman"/>
                <w:sz w:val="21"/>
              </w:rPr>
            </w:pPr>
            <w:r>
              <w:rPr>
                <w:rFonts w:ascii="Times New Roman"/>
                <w:sz w:val="21"/>
              </w:rPr>
              <w:t>0.001095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43" w:type="dxa"/>
            <w:gridSpan w:val="6"/>
          </w:tcPr>
          <w:p>
            <w:pPr>
              <w:pStyle w:val="18"/>
              <w:spacing w:before="34"/>
              <w:ind w:left="3624" w:right="3619"/>
              <w:rPr>
                <w:sz w:val="21"/>
              </w:rPr>
            </w:pPr>
            <w:r>
              <w:rPr>
                <w:sz w:val="21"/>
              </w:rPr>
              <w:t>有组织排放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00" w:type="dxa"/>
            <w:gridSpan w:val="2"/>
            <w:vMerge w:val="restart"/>
          </w:tcPr>
          <w:p>
            <w:pPr>
              <w:pStyle w:val="18"/>
              <w:spacing w:before="110" w:line="213" w:lineRule="auto"/>
              <w:ind w:left="639" w:right="313" w:hanging="315"/>
              <w:jc w:val="left"/>
              <w:rPr>
                <w:sz w:val="21"/>
              </w:rPr>
            </w:pPr>
            <w:r>
              <w:rPr>
                <w:sz w:val="21"/>
              </w:rPr>
              <w:t>主要排放口合计</w:t>
            </w:r>
          </w:p>
        </w:tc>
        <w:tc>
          <w:tcPr>
            <w:tcW w:w="5036" w:type="dxa"/>
            <w:gridSpan w:val="3"/>
          </w:tcPr>
          <w:p>
            <w:pPr>
              <w:pStyle w:val="18"/>
              <w:spacing w:before="45"/>
              <w:ind w:left="2312" w:right="2301"/>
              <w:rPr>
                <w:rFonts w:ascii="Times New Roman"/>
                <w:sz w:val="21"/>
              </w:rPr>
            </w:pPr>
            <w:r>
              <w:rPr>
                <w:rFonts w:ascii="Times New Roman"/>
                <w:position w:val="2"/>
                <w:sz w:val="21"/>
              </w:rPr>
              <w:t>NH</w:t>
            </w:r>
            <w:r>
              <w:rPr>
                <w:rFonts w:ascii="Times New Roman"/>
                <w:position w:val="2"/>
                <w:sz w:val="21"/>
                <w:vertAlign w:val="subscript"/>
              </w:rPr>
              <w:t>3</w:t>
            </w:r>
          </w:p>
        </w:tc>
        <w:tc>
          <w:tcPr>
            <w:tcW w:w="1607" w:type="dxa"/>
          </w:tcPr>
          <w:p>
            <w:pPr>
              <w:pStyle w:val="18"/>
              <w:spacing w:before="48"/>
              <w:ind w:left="117" w:right="110"/>
              <w:rPr>
                <w:rFonts w:ascii="Times New Roman"/>
                <w:sz w:val="21"/>
              </w:rPr>
            </w:pPr>
            <w:r>
              <w:rPr>
                <w:rFonts w:ascii="Times New Roman"/>
                <w:sz w:val="21"/>
              </w:rPr>
              <w:t>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00" w:type="dxa"/>
            <w:gridSpan w:val="2"/>
            <w:vMerge w:val="continue"/>
            <w:tcBorders>
              <w:top w:val="nil"/>
            </w:tcBorders>
          </w:tcPr>
          <w:p>
            <w:pPr>
              <w:rPr>
                <w:sz w:val="2"/>
                <w:szCs w:val="2"/>
              </w:rPr>
            </w:pPr>
          </w:p>
        </w:tc>
        <w:tc>
          <w:tcPr>
            <w:tcW w:w="5036" w:type="dxa"/>
            <w:gridSpan w:val="3"/>
          </w:tcPr>
          <w:p>
            <w:pPr>
              <w:pStyle w:val="18"/>
              <w:spacing w:before="45"/>
              <w:ind w:left="2310" w:right="23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607" w:type="dxa"/>
          </w:tcPr>
          <w:p>
            <w:pPr>
              <w:pStyle w:val="18"/>
              <w:spacing w:before="48"/>
              <w:ind w:left="119" w:right="110"/>
              <w:rPr>
                <w:rFonts w:ascii="Times New Roman"/>
                <w:sz w:val="21"/>
              </w:rPr>
            </w:pPr>
            <w:r>
              <w:rPr>
                <w:rFonts w:ascii="Times New Roman"/>
                <w:sz w:val="21"/>
              </w:rPr>
              <w:t>0.001095</w:t>
            </w:r>
          </w:p>
        </w:tc>
      </w:tr>
    </w:tbl>
    <w:p>
      <w:pPr>
        <w:pStyle w:val="17"/>
        <w:numPr>
          <w:ilvl w:val="3"/>
          <w:numId w:val="29"/>
        </w:numPr>
        <w:tabs>
          <w:tab w:val="left" w:pos="1320"/>
        </w:tabs>
        <w:spacing w:before="89" w:after="0" w:line="240" w:lineRule="auto"/>
        <w:ind w:left="1320" w:right="0" w:hanging="780"/>
        <w:jc w:val="left"/>
        <w:rPr>
          <w:sz w:val="24"/>
        </w:rPr>
      </w:pPr>
      <w:bookmarkStart w:id="191" w:name="3.2.3.2 运营期水污染源分析"/>
      <w:bookmarkEnd w:id="191"/>
      <w:bookmarkStart w:id="192" w:name="3.2.3.2 运营期水污染源分析"/>
      <w:bookmarkEnd w:id="192"/>
      <w:r>
        <w:rPr>
          <w:sz w:val="24"/>
        </w:rPr>
        <w:t>运营期水污染源分析</w:t>
      </w:r>
    </w:p>
    <w:p>
      <w:pPr>
        <w:pStyle w:val="7"/>
        <w:spacing w:before="216" w:line="360" w:lineRule="auto"/>
        <w:ind w:right="577" w:firstLine="480"/>
        <w:rPr>
          <w:color w:val="0000FF"/>
        </w:rPr>
      </w:pPr>
      <w:r>
        <w:rPr>
          <w:color w:val="0000FF"/>
          <w:spacing w:val="-2"/>
        </w:rPr>
        <w:t>本项目产生废水主要为养殖废水</w:t>
      </w:r>
      <w:r>
        <w:rPr>
          <w:color w:val="0000FF"/>
        </w:rPr>
        <w:t>（</w:t>
      </w:r>
      <w:r>
        <w:rPr>
          <w:color w:val="0000FF"/>
          <w:spacing w:val="-5"/>
        </w:rPr>
        <w:t>羊尿、羊舍冲洗废水</w:t>
      </w:r>
      <w:r>
        <w:rPr>
          <w:color w:val="0000FF"/>
          <w:spacing w:val="-24"/>
        </w:rPr>
        <w:t>）</w:t>
      </w:r>
      <w:r>
        <w:rPr>
          <w:color w:val="0000FF"/>
          <w:spacing w:val="-7"/>
        </w:rPr>
        <w:t>、</w:t>
      </w:r>
      <w:r>
        <w:rPr>
          <w:rFonts w:hint="eastAsia"/>
          <w:color w:val="0000FF"/>
          <w:spacing w:val="-7"/>
          <w:lang w:val="en-US" w:eastAsia="zh-CN"/>
        </w:rPr>
        <w:t>人员生活污水、</w:t>
      </w:r>
      <w:r>
        <w:rPr>
          <w:color w:val="0000FF"/>
          <w:spacing w:val="-7"/>
        </w:rPr>
        <w:t>畜禽无害化处理</w:t>
      </w:r>
      <w:r>
        <w:rPr>
          <w:color w:val="0000FF"/>
        </w:rPr>
        <w:t>车间化制废水和消毒废水。</w:t>
      </w:r>
    </w:p>
    <w:p>
      <w:pPr>
        <w:pStyle w:val="17"/>
        <w:numPr>
          <w:ilvl w:val="0"/>
          <w:numId w:val="32"/>
        </w:numPr>
        <w:tabs>
          <w:tab w:val="left" w:pos="1621"/>
        </w:tabs>
        <w:spacing w:before="0" w:after="0" w:line="304" w:lineRule="exact"/>
        <w:ind w:left="1621" w:right="0" w:hanging="601"/>
        <w:jc w:val="left"/>
        <w:rPr>
          <w:sz w:val="24"/>
        </w:rPr>
      </w:pPr>
      <w:r>
        <w:rPr>
          <w:sz w:val="24"/>
        </w:rPr>
        <w:t>养殖废水</w:t>
      </w:r>
    </w:p>
    <w:p>
      <w:pPr>
        <w:pStyle w:val="7"/>
        <w:spacing w:before="105" w:line="364" w:lineRule="auto"/>
        <w:ind w:right="457" w:firstLine="480"/>
        <w:rPr>
          <w:color w:val="0000FF"/>
        </w:rPr>
      </w:pPr>
      <w:r>
        <w:rPr>
          <w:color w:val="0000FF"/>
          <w:spacing w:val="-7"/>
        </w:rPr>
        <w:t>本项目采用干清粪工艺，不产生圈舍冲洗废水；羊饮水一部分参与羊的新陈</w:t>
      </w:r>
      <w:r>
        <w:rPr>
          <w:color w:val="0000FF"/>
          <w:spacing w:val="-11"/>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 xml:space="preserve">24090 </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p>
    <w:p>
      <w:pPr>
        <w:pStyle w:val="7"/>
        <w:spacing w:before="4" w:line="364" w:lineRule="auto"/>
        <w:ind w:right="577" w:firstLine="480"/>
        <w:jc w:val="both"/>
        <w:rPr>
          <w:rFonts w:hint="eastAsia" w:eastAsia="宋体"/>
          <w:lang w:eastAsia="zh-CN"/>
        </w:rPr>
      </w:pPr>
      <w:r>
        <w:rPr>
          <w:spacing w:val="-10"/>
        </w:rPr>
        <w:t>按照《国务院办公厅关于加快推进畜禽养殖废弃物资源化利用的意见》中要求：“鼓励沼液和经无害化处理的畜禽养殖废水作为肥料科学还田利用”。养殖</w:t>
      </w:r>
      <w:r>
        <w:rPr>
          <w:spacing w:val="-5"/>
        </w:rPr>
        <w:t>场每栋羊舍地面为混凝土地面，上端覆盖</w:t>
      </w:r>
      <w:r>
        <w:rPr>
          <w:rFonts w:ascii="Times New Roman" w:hAnsi="Times New Roman" w:eastAsia="Times New Roman"/>
        </w:rPr>
        <w:t>35cm</w:t>
      </w:r>
      <w:r>
        <w:rPr>
          <w:spacing w:val="-5"/>
        </w:rPr>
        <w:t>厚垫料，铺设垫床一般采用废气</w:t>
      </w:r>
      <w:r>
        <w:rPr>
          <w:spacing w:val="-11"/>
        </w:rPr>
        <w:t>杂草、农作物秸秆粉、锯末等农业材料，羊排泄的尿液被垫料吸收、蒸发，项目</w:t>
      </w:r>
      <w:r>
        <w:t>定期对垫料层和粪便进行清理更换，不需要对畜舍进行冲洗，无冲栏废水产生。垫料层与羊粪一起进入堆肥厂堆肥发酵，废水实现综合利用，不外排</w:t>
      </w:r>
      <w:r>
        <w:rPr>
          <w:rFonts w:hint="eastAsia"/>
          <w:lang w:eastAsia="zh-CN"/>
        </w:rPr>
        <w:t>。</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17"/>
        <w:numPr>
          <w:ilvl w:val="0"/>
          <w:numId w:val="32"/>
        </w:numPr>
        <w:tabs>
          <w:tab w:val="left" w:pos="1621"/>
        </w:tabs>
        <w:spacing w:before="50" w:after="0" w:line="240" w:lineRule="auto"/>
        <w:ind w:left="1621" w:right="0" w:hanging="601"/>
        <w:jc w:val="left"/>
        <w:rPr>
          <w:sz w:val="24"/>
        </w:rPr>
      </w:pPr>
      <w:r>
        <w:rPr>
          <w:sz w:val="24"/>
        </w:rPr>
        <w:t>畜禽无害化处理车间化制废水</w:t>
      </w:r>
    </w:p>
    <w:p>
      <w:pPr>
        <w:pStyle w:val="7"/>
        <w:spacing w:before="153" w:line="357" w:lineRule="auto"/>
        <w:ind w:right="476" w:firstLine="480"/>
        <w:jc w:val="both"/>
        <w:rPr>
          <w:color w:val="0000FF"/>
        </w:rPr>
      </w:pPr>
      <w:r>
        <w:rPr>
          <w:color w:val="0000FF"/>
          <w:spacing w:val="-5"/>
        </w:rPr>
        <w:t>类比分析，羊的病死率按</w:t>
      </w:r>
      <w:r>
        <w:rPr>
          <w:rFonts w:ascii="Times New Roman" w:eastAsia="Times New Roman"/>
          <w:color w:val="0000FF"/>
        </w:rPr>
        <w:t>0.5%</w:t>
      </w:r>
      <w:r>
        <w:rPr>
          <w:color w:val="0000FF"/>
          <w:spacing w:val="-7"/>
        </w:rPr>
        <w:t>计，羊只出栏量</w:t>
      </w:r>
      <w:r>
        <w:rPr>
          <w:rFonts w:hint="eastAsia" w:ascii="Times New Roman" w:eastAsia="宋体"/>
          <w:color w:val="0000FF"/>
          <w:spacing w:val="-3"/>
          <w:lang w:val="en-US" w:eastAsia="zh-CN"/>
        </w:rPr>
        <w:t>4</w:t>
      </w:r>
      <w:r>
        <w:rPr>
          <w:color w:val="0000FF"/>
          <w:spacing w:val="-6"/>
        </w:rPr>
        <w:t>万只，则年死亡羊</w:t>
      </w:r>
      <w:r>
        <w:rPr>
          <w:rFonts w:hint="eastAsia" w:ascii="Times New Roman" w:eastAsia="宋体"/>
          <w:color w:val="0000FF"/>
          <w:lang w:val="en-US" w:eastAsia="zh-CN"/>
        </w:rPr>
        <w:t>200</w:t>
      </w:r>
      <w:r>
        <w:rPr>
          <w:color w:val="0000FF"/>
          <w:spacing w:val="-8"/>
        </w:rPr>
        <w:t>只，每只羊重约</w:t>
      </w:r>
      <w:r>
        <w:rPr>
          <w:rFonts w:ascii="Times New Roman" w:eastAsia="Times New Roman"/>
          <w:color w:val="0000FF"/>
        </w:rPr>
        <w:t>40kg</w:t>
      </w:r>
      <w:r>
        <w:rPr>
          <w:color w:val="0000FF"/>
          <w:spacing w:val="-15"/>
        </w:rPr>
        <w:t>，合计</w:t>
      </w:r>
      <w:r>
        <w:rPr>
          <w:rFonts w:hint="eastAsia" w:ascii="Times New Roman" w:eastAsia="宋体"/>
          <w:color w:val="0000FF"/>
          <w:lang w:val="en-US" w:eastAsia="zh-CN"/>
        </w:rPr>
        <w:t>8</w:t>
      </w:r>
      <w:r>
        <w:rPr>
          <w:rFonts w:ascii="Times New Roman" w:eastAsia="Times New Roman"/>
          <w:color w:val="0000FF"/>
        </w:rPr>
        <w:t>t</w:t>
      </w:r>
      <w:r>
        <w:rPr>
          <w:color w:val="0000FF"/>
          <w:spacing w:val="-4"/>
        </w:rPr>
        <w:t>。本项目运营期估算病死羊量约</w:t>
      </w:r>
      <w:r>
        <w:rPr>
          <w:rFonts w:hint="eastAsia" w:ascii="Times New Roman" w:eastAsia="宋体"/>
          <w:color w:val="0000FF"/>
          <w:lang w:val="en-US" w:eastAsia="zh-CN"/>
        </w:rPr>
        <w:t>8</w:t>
      </w:r>
      <w:r>
        <w:rPr>
          <w:rFonts w:ascii="Times New Roman" w:eastAsia="Times New Roman"/>
          <w:color w:val="0000FF"/>
        </w:rPr>
        <w:t>t/a</w:t>
      </w:r>
      <w:r>
        <w:rPr>
          <w:color w:val="0000FF"/>
        </w:rPr>
        <w:t>。本项</w:t>
      </w:r>
      <w:r>
        <w:rPr>
          <w:color w:val="0000FF"/>
          <w:spacing w:val="-4"/>
        </w:rPr>
        <w:t>目所处理的病死羊含水率以</w:t>
      </w:r>
      <w:r>
        <w:rPr>
          <w:rFonts w:ascii="Times New Roman" w:eastAsia="Times New Roman"/>
          <w:color w:val="0000FF"/>
        </w:rPr>
        <w:t>70%</w:t>
      </w:r>
      <w:r>
        <w:rPr>
          <w:color w:val="0000FF"/>
          <w:spacing w:val="-5"/>
        </w:rPr>
        <w:t>计；病死羊所含水中</w:t>
      </w:r>
      <w:r>
        <w:rPr>
          <w:rFonts w:ascii="Times New Roman" w:eastAsia="Times New Roman"/>
          <w:color w:val="0000FF"/>
        </w:rPr>
        <w:t>80%</w:t>
      </w:r>
      <w:r>
        <w:rPr>
          <w:color w:val="0000FF"/>
        </w:rPr>
        <w:t>在化制过程中转化为</w:t>
      </w:r>
      <w:r>
        <w:rPr>
          <w:color w:val="0000FF"/>
          <w:spacing w:val="-14"/>
        </w:rPr>
        <w:t>水蒸气形式，剩余</w:t>
      </w:r>
      <w:r>
        <w:rPr>
          <w:rFonts w:ascii="Times New Roman" w:eastAsia="Times New Roman"/>
          <w:color w:val="0000FF"/>
        </w:rPr>
        <w:t>20%</w:t>
      </w:r>
      <w:r>
        <w:rPr>
          <w:color w:val="0000FF"/>
          <w:spacing w:val="-4"/>
        </w:rPr>
        <w:t>存在于化制所形成的肉骨粉和油脂中；所转化的水蒸气最</w:t>
      </w:r>
      <w:r>
        <w:rPr>
          <w:color w:val="0000FF"/>
          <w:spacing w:val="-20"/>
        </w:rPr>
        <w:t>终有</w:t>
      </w:r>
      <w:r>
        <w:rPr>
          <w:rFonts w:ascii="Times New Roman" w:eastAsia="Times New Roman"/>
          <w:color w:val="0000FF"/>
        </w:rPr>
        <w:t>90%</w:t>
      </w:r>
      <w:r>
        <w:rPr>
          <w:color w:val="0000FF"/>
          <w:spacing w:val="-4"/>
        </w:rPr>
        <w:t>在冷凝器中冷凝下来，剩余</w:t>
      </w:r>
      <w:r>
        <w:rPr>
          <w:rFonts w:ascii="Times New Roman" w:eastAsia="Times New Roman"/>
          <w:color w:val="0000FF"/>
        </w:rPr>
        <w:t>10%</w:t>
      </w:r>
      <w:r>
        <w:rPr>
          <w:color w:val="0000FF"/>
        </w:rPr>
        <w:t>以水蒸气的形式伴随其他废气排出。</w:t>
      </w:r>
      <w:r>
        <w:rPr>
          <w:color w:val="0000FF"/>
          <w:spacing w:val="-4"/>
        </w:rPr>
        <w:t>则本项目化制冷凝废水产生量为</w:t>
      </w:r>
      <w:r>
        <w:rPr>
          <w:rFonts w:hint="eastAsia"/>
          <w:color w:val="0000FF"/>
          <w:spacing w:val="-4"/>
          <w:lang w:val="en-US" w:eastAsia="zh-CN"/>
        </w:rPr>
        <w:t xml:space="preserve">7.2 </w:t>
      </w:r>
      <w:r>
        <w:rPr>
          <w:rFonts w:ascii="Times New Roman" w:eastAsia="Times New Roman"/>
          <w:color w:val="0000FF"/>
        </w:rPr>
        <w:t>t/a</w:t>
      </w:r>
      <w:r>
        <w:rPr>
          <w:color w:val="0000FF"/>
        </w:rPr>
        <w:t>。通过类比，此类废水主要污染物产生</w:t>
      </w:r>
      <w:r>
        <w:rPr>
          <w:color w:val="0000FF"/>
          <w:spacing w:val="-16"/>
          <w:position w:val="2"/>
        </w:rPr>
        <w:t>浓度为</w:t>
      </w:r>
      <w:r>
        <w:rPr>
          <w:rFonts w:ascii="Times New Roman" w:eastAsia="Times New Roman"/>
          <w:color w:val="0000FF"/>
          <w:position w:val="2"/>
        </w:rPr>
        <w:t>COD</w:t>
      </w:r>
      <w:r>
        <w:rPr>
          <w:rFonts w:ascii="Times New Roman" w:eastAsia="Times New Roman"/>
          <w:color w:val="0000FF"/>
          <w:position w:val="2"/>
          <w:vertAlign w:val="subscript"/>
        </w:rPr>
        <w:t>cr</w:t>
      </w:r>
      <w:r>
        <w:rPr>
          <w:rFonts w:ascii="Times New Roman" w:eastAsia="Times New Roman"/>
          <w:color w:val="0000FF"/>
          <w:position w:val="2"/>
          <w:vertAlign w:val="baseline"/>
        </w:rPr>
        <w:t>3500mg/L</w:t>
      </w:r>
      <w:r>
        <w:rPr>
          <w:color w:val="0000FF"/>
          <w:position w:val="2"/>
          <w:vertAlign w:val="baseline"/>
        </w:rPr>
        <w:t>，</w:t>
      </w:r>
      <w:r>
        <w:rPr>
          <w:rFonts w:ascii="Times New Roman" w:eastAsia="Times New Roman"/>
          <w:color w:val="0000FF"/>
          <w:position w:val="2"/>
          <w:vertAlign w:val="baseline"/>
        </w:rPr>
        <w:t>BOD</w:t>
      </w:r>
      <w:r>
        <w:rPr>
          <w:rFonts w:ascii="Times New Roman" w:eastAsia="Times New Roman"/>
          <w:color w:val="0000FF"/>
          <w:position w:val="2"/>
          <w:vertAlign w:val="subscript"/>
        </w:rPr>
        <w:t>5</w:t>
      </w:r>
      <w:r>
        <w:rPr>
          <w:rFonts w:ascii="Times New Roman" w:eastAsia="Times New Roman"/>
          <w:color w:val="0000FF"/>
          <w:position w:val="2"/>
          <w:vertAlign w:val="baseline"/>
        </w:rPr>
        <w:t>2500mg/L</w:t>
      </w:r>
      <w:r>
        <w:rPr>
          <w:color w:val="0000FF"/>
          <w:spacing w:val="-11"/>
          <w:position w:val="2"/>
          <w:vertAlign w:val="baseline"/>
        </w:rPr>
        <w:t>，动植物油</w:t>
      </w:r>
      <w:r>
        <w:rPr>
          <w:rFonts w:ascii="Times New Roman" w:eastAsia="Times New Roman"/>
          <w:color w:val="0000FF"/>
          <w:position w:val="2"/>
          <w:vertAlign w:val="baseline"/>
        </w:rPr>
        <w:t>220mg/L</w:t>
      </w:r>
      <w:r>
        <w:rPr>
          <w:color w:val="0000FF"/>
          <w:position w:val="2"/>
          <w:vertAlign w:val="baseline"/>
        </w:rPr>
        <w:t>，</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rFonts w:ascii="Times New Roman" w:eastAsia="Times New Roman"/>
          <w:color w:val="0000FF"/>
          <w:position w:val="2"/>
          <w:vertAlign w:val="baseline"/>
        </w:rPr>
        <w:t>-N300mg/L</w:t>
      </w:r>
      <w:r>
        <w:rPr>
          <w:color w:val="0000FF"/>
          <w:spacing w:val="-14"/>
          <w:position w:val="2"/>
          <w:vertAlign w:val="baseline"/>
        </w:rPr>
        <w:t>。</w:t>
      </w:r>
    </w:p>
    <w:p>
      <w:pPr>
        <w:pStyle w:val="17"/>
        <w:numPr>
          <w:ilvl w:val="0"/>
          <w:numId w:val="32"/>
        </w:numPr>
        <w:tabs>
          <w:tab w:val="left" w:pos="1621"/>
        </w:tabs>
        <w:spacing w:before="9" w:after="0" w:line="240" w:lineRule="auto"/>
        <w:ind w:left="1621" w:right="0" w:hanging="601"/>
        <w:jc w:val="left"/>
        <w:rPr>
          <w:sz w:val="24"/>
        </w:rPr>
      </w:pPr>
      <w:r>
        <w:rPr>
          <w:sz w:val="24"/>
        </w:rPr>
        <w:t>消毒废水</w:t>
      </w:r>
    </w:p>
    <w:p>
      <w:pPr>
        <w:pStyle w:val="7"/>
        <w:spacing w:before="151" w:line="360" w:lineRule="auto"/>
        <w:ind w:right="461" w:firstLine="480"/>
      </w:pPr>
      <w:r>
        <w:rPr>
          <w:spacing w:val="-2"/>
        </w:rPr>
        <w:t>项目进场需对车辆进行消毒处理，设置消毒池，每车消毒耗水约为</w:t>
      </w:r>
      <w:r>
        <w:rPr>
          <w:rFonts w:ascii="Times New Roman" w:eastAsia="Times New Roman"/>
          <w:spacing w:val="-4"/>
        </w:rPr>
        <w:t>0.05m</w:t>
      </w:r>
      <w:r>
        <w:rPr>
          <w:rFonts w:ascii="Times New Roman" w:eastAsia="Times New Roman"/>
          <w:spacing w:val="-4"/>
          <w:position w:val="8"/>
          <w:sz w:val="15"/>
        </w:rPr>
        <w:t>3</w:t>
      </w:r>
      <w:r>
        <w:rPr>
          <w:spacing w:val="-4"/>
        </w:rPr>
        <w:t>，</w:t>
      </w:r>
      <w:r>
        <w:rPr>
          <w:spacing w:val="-7"/>
        </w:rPr>
        <w:t>进入厂区车辆平均约</w:t>
      </w:r>
      <w:r>
        <w:rPr>
          <w:rFonts w:ascii="Times New Roman" w:eastAsia="Times New Roman"/>
        </w:rPr>
        <w:t>2</w:t>
      </w:r>
      <w:r>
        <w:t>辆</w:t>
      </w:r>
      <w:r>
        <w:rPr>
          <w:rFonts w:ascii="Times New Roman" w:eastAsia="Times New Roman"/>
        </w:rPr>
        <w:t>/d</w:t>
      </w:r>
      <w:r>
        <w:rPr>
          <w:spacing w:val="-5"/>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line="304" w:lineRule="exact"/>
        <w:ind w:left="1020"/>
      </w:pPr>
      <w:r>
        <w:t>本项目废水产生源强见表</w:t>
      </w:r>
      <w:r>
        <w:rPr>
          <w:rFonts w:ascii="Times New Roman" w:eastAsia="Times New Roman"/>
        </w:rPr>
        <w:t>3.2-10</w:t>
      </w:r>
      <w:r>
        <w:t>。</w:t>
      </w:r>
    </w:p>
    <w:p>
      <w:pPr>
        <w:pStyle w:val="7"/>
        <w:bidi w:val="0"/>
        <w:jc w:val="center"/>
      </w:pPr>
      <w:r>
        <w:t>表</w:t>
      </w:r>
      <w:r>
        <w:rPr>
          <w:rFonts w:ascii="Times New Roman" w:eastAsia="Times New Roman"/>
        </w:rPr>
        <w:t>3.2-10</w:t>
      </w:r>
      <w:r>
        <w:rPr>
          <w:rFonts w:ascii="Times New Roman" w:eastAsia="Times New Roman"/>
        </w:rPr>
        <w:tab/>
      </w:r>
      <w:r>
        <w:t>废水产生源强一览表</w:t>
      </w:r>
    </w:p>
    <w:tbl>
      <w:tblPr>
        <w:tblStyle w:val="14"/>
        <w:tblW w:w="0" w:type="auto"/>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8"/>
        <w:gridCol w:w="993"/>
        <w:gridCol w:w="1238"/>
        <w:gridCol w:w="937"/>
        <w:gridCol w:w="1013"/>
        <w:gridCol w:w="1125"/>
        <w:gridCol w:w="1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restart"/>
          </w:tcPr>
          <w:p>
            <w:pPr>
              <w:pStyle w:val="18"/>
              <w:spacing w:before="4"/>
              <w:jc w:val="left"/>
              <w:rPr>
                <w:b/>
                <w:sz w:val="16"/>
              </w:rPr>
            </w:pPr>
          </w:p>
          <w:p>
            <w:pPr>
              <w:pStyle w:val="18"/>
              <w:ind w:left="452"/>
              <w:jc w:val="left"/>
              <w:rPr>
                <w:b/>
                <w:sz w:val="21"/>
              </w:rPr>
            </w:pPr>
            <w:r>
              <w:rPr>
                <w:b/>
                <w:sz w:val="21"/>
              </w:rPr>
              <w:t>废水来源</w:t>
            </w:r>
          </w:p>
        </w:tc>
        <w:tc>
          <w:tcPr>
            <w:tcW w:w="993" w:type="dxa"/>
            <w:vMerge w:val="restart"/>
          </w:tcPr>
          <w:p>
            <w:pPr>
              <w:pStyle w:val="18"/>
              <w:spacing w:before="53"/>
              <w:ind w:left="180"/>
              <w:jc w:val="left"/>
              <w:rPr>
                <w:b/>
                <w:sz w:val="21"/>
              </w:rPr>
            </w:pPr>
            <w:r>
              <w:rPr>
                <w:b/>
                <w:sz w:val="21"/>
              </w:rPr>
              <w:t>废水量</w:t>
            </w:r>
          </w:p>
          <w:p>
            <w:pPr>
              <w:pStyle w:val="18"/>
              <w:spacing w:before="36"/>
              <w:ind w:left="108"/>
              <w:jc w:val="left"/>
              <w:rPr>
                <w:b/>
                <w:sz w:val="21"/>
              </w:rPr>
            </w:pPr>
            <w:r>
              <w:rPr>
                <w:b/>
                <w:sz w:val="21"/>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/a</w:t>
            </w:r>
            <w:r>
              <w:rPr>
                <w:b/>
                <w:sz w:val="21"/>
              </w:rPr>
              <w:t>）</w:t>
            </w:r>
          </w:p>
        </w:tc>
        <w:tc>
          <w:tcPr>
            <w:tcW w:w="1238" w:type="dxa"/>
            <w:vMerge w:val="restart"/>
          </w:tcPr>
          <w:p>
            <w:pPr>
              <w:pStyle w:val="18"/>
              <w:spacing w:before="4"/>
              <w:jc w:val="left"/>
              <w:rPr>
                <w:b/>
                <w:sz w:val="16"/>
              </w:rPr>
            </w:pPr>
          </w:p>
          <w:p>
            <w:pPr>
              <w:pStyle w:val="18"/>
              <w:ind w:left="409"/>
              <w:jc w:val="left"/>
              <w:rPr>
                <w:b/>
                <w:sz w:val="21"/>
              </w:rPr>
            </w:pPr>
            <w:r>
              <w:rPr>
                <w:b/>
                <w:sz w:val="21"/>
              </w:rPr>
              <w:t>指标</w:t>
            </w:r>
          </w:p>
        </w:tc>
        <w:tc>
          <w:tcPr>
            <w:tcW w:w="4431" w:type="dxa"/>
            <w:gridSpan w:val="4"/>
          </w:tcPr>
          <w:p>
            <w:pPr>
              <w:pStyle w:val="18"/>
              <w:spacing w:before="34"/>
              <w:ind w:left="1666" w:right="1659"/>
              <w:rPr>
                <w:b/>
                <w:sz w:val="21"/>
              </w:rPr>
            </w:pPr>
            <w:r>
              <w:rPr>
                <w:b/>
                <w:sz w:val="21"/>
              </w:rPr>
              <w:t>污染物名称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1238" w:type="dxa"/>
            <w:vMerge w:val="continue"/>
            <w:tcBorders>
              <w:top w:val="nil"/>
            </w:tcBorders>
          </w:tcPr>
          <w:p>
            <w:pPr>
              <w:rPr>
                <w:sz w:val="2"/>
                <w:szCs w:val="2"/>
              </w:rPr>
            </w:pPr>
          </w:p>
        </w:tc>
        <w:tc>
          <w:tcPr>
            <w:tcW w:w="937" w:type="dxa"/>
          </w:tcPr>
          <w:p>
            <w:pPr>
              <w:pStyle w:val="18"/>
              <w:spacing w:before="45"/>
              <w:ind w:left="156" w:right="143"/>
              <w:rPr>
                <w:rFonts w:ascii="Times New Roman"/>
                <w:b/>
                <w:sz w:val="21"/>
              </w:rPr>
            </w:pPr>
            <w:r>
              <w:rPr>
                <w:rFonts w:ascii="Times New Roman"/>
                <w:b/>
                <w:position w:val="2"/>
                <w:sz w:val="21"/>
              </w:rPr>
              <w:t>COD</w:t>
            </w:r>
            <w:r>
              <w:rPr>
                <w:rFonts w:ascii="Times New Roman"/>
                <w:b/>
                <w:position w:val="2"/>
                <w:sz w:val="21"/>
                <w:vertAlign w:val="subscript"/>
              </w:rPr>
              <w:t>cr</w:t>
            </w:r>
          </w:p>
        </w:tc>
        <w:tc>
          <w:tcPr>
            <w:tcW w:w="1013" w:type="dxa"/>
          </w:tcPr>
          <w:p>
            <w:pPr>
              <w:pStyle w:val="18"/>
              <w:spacing w:before="45"/>
              <w:ind w:left="60" w:right="51"/>
              <w:rPr>
                <w:rFonts w:ascii="Times New Roman"/>
                <w:b/>
                <w:sz w:val="21"/>
              </w:rPr>
            </w:pPr>
            <w:r>
              <w:rPr>
                <w:rFonts w:ascii="Times New Roman"/>
                <w:b/>
                <w:position w:val="2"/>
                <w:sz w:val="21"/>
              </w:rPr>
              <w:t>BOD</w:t>
            </w:r>
            <w:r>
              <w:rPr>
                <w:rFonts w:ascii="Times New Roman"/>
                <w:b/>
                <w:position w:val="2"/>
                <w:sz w:val="21"/>
                <w:vertAlign w:val="subscript"/>
              </w:rPr>
              <w:t>5</w:t>
            </w:r>
          </w:p>
        </w:tc>
        <w:tc>
          <w:tcPr>
            <w:tcW w:w="1125" w:type="dxa"/>
          </w:tcPr>
          <w:p>
            <w:pPr>
              <w:pStyle w:val="18"/>
              <w:spacing w:before="45"/>
              <w:ind w:left="119" w:right="111"/>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vertAlign w:val="baseline"/>
              </w:rPr>
              <w:t>-N</w:t>
            </w:r>
          </w:p>
        </w:tc>
        <w:tc>
          <w:tcPr>
            <w:tcW w:w="1356" w:type="dxa"/>
          </w:tcPr>
          <w:p>
            <w:pPr>
              <w:pStyle w:val="18"/>
              <w:spacing w:before="34"/>
              <w:ind w:left="237" w:right="225"/>
              <w:rPr>
                <w:b/>
                <w:sz w:val="21"/>
              </w:rPr>
            </w:pPr>
            <w:r>
              <w:rPr>
                <w:b/>
                <w:sz w:val="21"/>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restart"/>
          </w:tcPr>
          <w:p>
            <w:pPr>
              <w:pStyle w:val="18"/>
              <w:spacing w:before="110" w:line="213" w:lineRule="auto"/>
              <w:ind w:left="243" w:right="128" w:hanging="106"/>
              <w:jc w:val="left"/>
              <w:rPr>
                <w:sz w:val="21"/>
              </w:rPr>
            </w:pPr>
            <w:r>
              <w:rPr>
                <w:sz w:val="21"/>
              </w:rPr>
              <w:t>畜禽无害化处理车间化制废水</w:t>
            </w:r>
          </w:p>
        </w:tc>
        <w:tc>
          <w:tcPr>
            <w:tcW w:w="993" w:type="dxa"/>
            <w:vMerge w:val="restart"/>
          </w:tcPr>
          <w:p>
            <w:pPr>
              <w:pStyle w:val="18"/>
              <w:spacing w:before="6"/>
              <w:jc w:val="left"/>
              <w:rPr>
                <w:b/>
                <w:sz w:val="17"/>
              </w:rPr>
            </w:pPr>
          </w:p>
          <w:p>
            <w:pPr>
              <w:pStyle w:val="18"/>
              <w:ind w:left="264"/>
              <w:jc w:val="left"/>
              <w:rPr>
                <w:rFonts w:hint="default" w:ascii="Times New Roman" w:eastAsia="宋体"/>
                <w:sz w:val="21"/>
                <w:lang w:val="en-US" w:eastAsia="zh-CN"/>
              </w:rPr>
            </w:pPr>
            <w:r>
              <w:rPr>
                <w:rFonts w:hint="eastAsia" w:ascii="Times New Roman"/>
                <w:sz w:val="21"/>
                <w:lang w:val="en-US" w:eastAsia="zh-CN"/>
              </w:rPr>
              <w:t>7.2</w:t>
            </w:r>
          </w:p>
        </w:tc>
        <w:tc>
          <w:tcPr>
            <w:tcW w:w="1238" w:type="dxa"/>
          </w:tcPr>
          <w:p>
            <w:pPr>
              <w:pStyle w:val="18"/>
              <w:spacing w:before="34"/>
              <w:ind w:left="154"/>
              <w:jc w:val="left"/>
              <w:rPr>
                <w:rFonts w:ascii="Times New Roman" w:eastAsia="Times New Roman"/>
                <w:sz w:val="21"/>
              </w:rPr>
            </w:pPr>
            <w:r>
              <w:rPr>
                <w:sz w:val="21"/>
              </w:rPr>
              <w:t>浓度</w:t>
            </w:r>
            <w:r>
              <w:rPr>
                <w:rFonts w:ascii="Times New Roman" w:eastAsia="Times New Roman"/>
                <w:sz w:val="21"/>
              </w:rPr>
              <w:t>mg/L</w:t>
            </w:r>
          </w:p>
        </w:tc>
        <w:tc>
          <w:tcPr>
            <w:tcW w:w="937" w:type="dxa"/>
          </w:tcPr>
          <w:p>
            <w:pPr>
              <w:pStyle w:val="18"/>
              <w:spacing w:before="48"/>
              <w:ind w:left="151" w:right="143"/>
              <w:rPr>
                <w:rFonts w:ascii="Times New Roman"/>
                <w:sz w:val="21"/>
              </w:rPr>
            </w:pPr>
            <w:r>
              <w:rPr>
                <w:rFonts w:ascii="Times New Roman"/>
                <w:sz w:val="21"/>
              </w:rPr>
              <w:t>3500</w:t>
            </w:r>
          </w:p>
        </w:tc>
        <w:tc>
          <w:tcPr>
            <w:tcW w:w="1013" w:type="dxa"/>
          </w:tcPr>
          <w:p>
            <w:pPr>
              <w:pStyle w:val="18"/>
              <w:spacing w:before="48"/>
              <w:ind w:left="60" w:right="51"/>
              <w:rPr>
                <w:rFonts w:ascii="Times New Roman"/>
                <w:sz w:val="21"/>
              </w:rPr>
            </w:pPr>
            <w:r>
              <w:rPr>
                <w:rFonts w:ascii="Times New Roman"/>
                <w:sz w:val="21"/>
              </w:rPr>
              <w:t>2500</w:t>
            </w:r>
          </w:p>
        </w:tc>
        <w:tc>
          <w:tcPr>
            <w:tcW w:w="1125" w:type="dxa"/>
          </w:tcPr>
          <w:p>
            <w:pPr>
              <w:pStyle w:val="18"/>
              <w:spacing w:before="48"/>
              <w:ind w:left="118" w:right="111"/>
              <w:rPr>
                <w:rFonts w:ascii="Times New Roman"/>
                <w:sz w:val="21"/>
              </w:rPr>
            </w:pPr>
            <w:r>
              <w:rPr>
                <w:rFonts w:ascii="Times New Roman"/>
                <w:sz w:val="21"/>
              </w:rPr>
              <w:t>300</w:t>
            </w:r>
          </w:p>
        </w:tc>
        <w:tc>
          <w:tcPr>
            <w:tcW w:w="1356" w:type="dxa"/>
          </w:tcPr>
          <w:p>
            <w:pPr>
              <w:pStyle w:val="18"/>
              <w:spacing w:before="48"/>
              <w:ind w:left="233" w:right="225"/>
              <w:rPr>
                <w:rFonts w:ascii="Times New Roman"/>
                <w:sz w:val="21"/>
              </w:rPr>
            </w:pPr>
            <w:r>
              <w:rPr>
                <w:rFonts w:ascii="Times New Roman"/>
                <w:sz w:val="21"/>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1238" w:type="dxa"/>
          </w:tcPr>
          <w:p>
            <w:pPr>
              <w:pStyle w:val="18"/>
              <w:spacing w:before="35"/>
              <w:ind w:left="171"/>
              <w:jc w:val="left"/>
              <w:rPr>
                <w:rFonts w:ascii="Times New Roman" w:eastAsia="Times New Roman"/>
                <w:sz w:val="21"/>
              </w:rPr>
            </w:pPr>
            <w:r>
              <w:rPr>
                <w:sz w:val="21"/>
              </w:rPr>
              <w:t>产生量</w:t>
            </w:r>
            <w:r>
              <w:rPr>
                <w:rFonts w:ascii="Times New Roman" w:eastAsia="Times New Roman"/>
                <w:sz w:val="21"/>
              </w:rPr>
              <w:t>t/a</w:t>
            </w:r>
          </w:p>
        </w:tc>
        <w:tc>
          <w:tcPr>
            <w:tcW w:w="937" w:type="dxa"/>
          </w:tcPr>
          <w:p>
            <w:pPr>
              <w:pStyle w:val="18"/>
              <w:spacing w:before="49"/>
              <w:ind w:left="151" w:right="143"/>
              <w:rPr>
                <w:rFonts w:ascii="Times New Roman"/>
                <w:sz w:val="21"/>
              </w:rPr>
            </w:pPr>
            <w:r>
              <w:rPr>
                <w:rFonts w:ascii="Times New Roman"/>
                <w:sz w:val="21"/>
              </w:rPr>
              <w:t>0.0402</w:t>
            </w:r>
          </w:p>
        </w:tc>
        <w:tc>
          <w:tcPr>
            <w:tcW w:w="1013" w:type="dxa"/>
          </w:tcPr>
          <w:p>
            <w:pPr>
              <w:pStyle w:val="18"/>
              <w:spacing w:before="49"/>
              <w:ind w:left="60" w:right="53"/>
              <w:rPr>
                <w:rFonts w:ascii="Times New Roman"/>
                <w:sz w:val="21"/>
              </w:rPr>
            </w:pPr>
            <w:r>
              <w:rPr>
                <w:rFonts w:ascii="Times New Roman"/>
                <w:sz w:val="21"/>
              </w:rPr>
              <w:t>0.0287</w:t>
            </w:r>
          </w:p>
        </w:tc>
        <w:tc>
          <w:tcPr>
            <w:tcW w:w="1125" w:type="dxa"/>
          </w:tcPr>
          <w:p>
            <w:pPr>
              <w:pStyle w:val="18"/>
              <w:spacing w:before="49"/>
              <w:ind w:left="120" w:right="110"/>
              <w:rPr>
                <w:rFonts w:ascii="Times New Roman"/>
                <w:sz w:val="21"/>
              </w:rPr>
            </w:pPr>
            <w:r>
              <w:rPr>
                <w:rFonts w:ascii="Times New Roman"/>
                <w:sz w:val="21"/>
              </w:rPr>
              <w:t>0.00345</w:t>
            </w:r>
          </w:p>
        </w:tc>
        <w:tc>
          <w:tcPr>
            <w:tcW w:w="1356" w:type="dxa"/>
          </w:tcPr>
          <w:p>
            <w:pPr>
              <w:pStyle w:val="18"/>
              <w:spacing w:before="49"/>
              <w:ind w:left="235" w:right="225"/>
              <w:rPr>
                <w:rFonts w:ascii="Times New Roman"/>
                <w:sz w:val="21"/>
              </w:rPr>
            </w:pPr>
            <w:r>
              <w:rPr>
                <w:rFonts w:ascii="Times New Roman"/>
                <w:sz w:val="21"/>
              </w:rPr>
              <w:t>0.00253</w:t>
            </w:r>
          </w:p>
        </w:tc>
      </w:tr>
    </w:tbl>
    <w:p>
      <w:pPr>
        <w:pStyle w:val="7"/>
        <w:spacing w:before="2"/>
        <w:ind w:left="0"/>
        <w:rPr>
          <w:b/>
          <w:sz w:val="22"/>
        </w:rPr>
      </w:pPr>
    </w:p>
    <w:p>
      <w:pPr>
        <w:pStyle w:val="17"/>
        <w:numPr>
          <w:ilvl w:val="0"/>
          <w:numId w:val="32"/>
        </w:numPr>
        <w:tabs>
          <w:tab w:val="left" w:pos="1621"/>
        </w:tabs>
        <w:spacing w:before="0" w:after="0" w:line="240" w:lineRule="auto"/>
        <w:ind w:left="1621" w:right="0" w:hanging="601"/>
        <w:jc w:val="left"/>
        <w:rPr>
          <w:sz w:val="24"/>
        </w:rPr>
      </w:pPr>
      <w:r>
        <w:rPr>
          <w:sz w:val="24"/>
        </w:rPr>
        <w:t>废水污染物治理及排放</w:t>
      </w:r>
    </w:p>
    <w:p>
      <w:pPr>
        <w:pStyle w:val="7"/>
        <w:spacing w:before="153" w:line="360" w:lineRule="auto"/>
        <w:ind w:right="577" w:firstLine="480"/>
      </w:pPr>
      <w:r>
        <w:rPr>
          <w:spacing w:val="-6"/>
        </w:rPr>
        <w:t>畜禽无害化处理车间化制废水进入废水槽，收集后拉运至</w:t>
      </w:r>
      <w:r>
        <w:rPr>
          <w:rFonts w:hint="eastAsia"/>
          <w:spacing w:val="-6"/>
          <w:lang w:val="en-US" w:eastAsia="zh-CN"/>
        </w:rPr>
        <w:t>莎车</w:t>
      </w:r>
      <w:r>
        <w:rPr>
          <w:spacing w:val="-6"/>
        </w:rPr>
        <w:t>县污水处理站</w:t>
      </w:r>
      <w:r>
        <w:t>处理，不外排。</w:t>
      </w:r>
    </w:p>
    <w:p>
      <w:pPr>
        <w:pStyle w:val="17"/>
        <w:numPr>
          <w:ilvl w:val="3"/>
          <w:numId w:val="29"/>
        </w:numPr>
        <w:tabs>
          <w:tab w:val="left" w:pos="1320"/>
        </w:tabs>
        <w:spacing w:before="0" w:after="0" w:line="266" w:lineRule="exact"/>
        <w:ind w:left="1320" w:right="0" w:hanging="780"/>
        <w:jc w:val="left"/>
        <w:rPr>
          <w:sz w:val="24"/>
        </w:rPr>
      </w:pPr>
      <w:bookmarkStart w:id="193" w:name="3.2.3.3 运营期噪声污染源分析"/>
      <w:bookmarkEnd w:id="193"/>
      <w:bookmarkStart w:id="194" w:name="3.2.3.3 运营期噪声污染源分析"/>
      <w:bookmarkEnd w:id="194"/>
      <w:r>
        <w:rPr>
          <w:sz w:val="24"/>
        </w:rPr>
        <w:t>运营期噪声污染源分析</w:t>
      </w:r>
    </w:p>
    <w:p>
      <w:pPr>
        <w:pStyle w:val="7"/>
        <w:spacing w:before="168"/>
        <w:ind w:left="1020"/>
      </w:pPr>
      <w:r>
        <w:t>本项目在运营期间噪声主要来源于羊舍畜禽叫声、养殖场风机</w:t>
      </w:r>
    </w:p>
    <w:p>
      <w:pPr>
        <w:pStyle w:val="7"/>
        <w:spacing w:before="143" w:line="364" w:lineRule="auto"/>
        <w:ind w:right="577"/>
      </w:pPr>
      <w:r>
        <w:rPr>
          <w:spacing w:val="-10"/>
        </w:rPr>
        <w:t>饲料混合机、铡草机等设备运行噪声以及运输车辆噪声等。本项目采取的减</w:t>
      </w:r>
      <w:r>
        <w:rPr>
          <w:spacing w:val="-1"/>
        </w:rPr>
        <w:t>噪措施有：①选用低噪设备；②加橡胶减震垫；③采用密闭式或选用较好的隔声材料；④在平面布置上，将高噪声的机泵布置在项目中部或东侧，远离场</w:t>
      </w:r>
      <w:r>
        <w:rPr>
          <w:spacing w:val="-10"/>
        </w:rPr>
        <w:t>界的区域，以减少对外环境的影响等。使得噪声经距离衰减、绿化阻挡后，场界</w:t>
      </w:r>
      <w:r>
        <w:t>噪声能够达到《工业企业厂界环境噪声排放标准》（</w:t>
      </w:r>
      <w:r>
        <w:rPr>
          <w:rFonts w:ascii="Times New Roman" w:eastAsia="Times New Roman"/>
        </w:rPr>
        <w:t>GB12348-2008</w:t>
      </w:r>
      <w:r>
        <w:t>）中</w:t>
      </w:r>
      <w:r>
        <w:rPr>
          <w:rFonts w:ascii="Times New Roman" w:eastAsia="Times New Roman"/>
        </w:rPr>
        <w:t>2</w:t>
      </w:r>
      <w:r>
        <w:t>类标准要求。</w:t>
      </w:r>
    </w:p>
    <w:p>
      <w:pPr>
        <w:pStyle w:val="7"/>
        <w:bidi w:val="0"/>
        <w:jc w:val="center"/>
      </w:pPr>
      <w:r>
        <w:t>表</w:t>
      </w:r>
      <w:r>
        <w:rPr>
          <w:rFonts w:ascii="Times New Roman" w:eastAsia="Times New Roman"/>
          <w:spacing w:val="-3"/>
        </w:rPr>
        <w:t>3.2-11</w:t>
      </w:r>
      <w:r>
        <w:rPr>
          <w:rFonts w:ascii="Times New Roman" w:eastAsia="Times New Roman"/>
          <w:spacing w:val="-3"/>
        </w:rPr>
        <w:tab/>
      </w:r>
      <w:r>
        <w:t>项目主要噪声源强表</w:t>
      </w:r>
      <w:r>
        <w:tab/>
      </w:r>
      <w:r>
        <w:t>单位：</w:t>
      </w:r>
      <w:r>
        <w:rPr>
          <w:rFonts w:ascii="Times New Roman" w:eastAsia="Times New Roman"/>
        </w:rPr>
        <w:t>dB</w:t>
      </w:r>
      <w:r>
        <w:t>（</w:t>
      </w:r>
      <w:r>
        <w:rPr>
          <w:rFonts w:ascii="Times New Roman" w:eastAsia="Times New Roman"/>
        </w:rPr>
        <w:t>A</w:t>
      </w:r>
      <w:r>
        <w:t>）</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3"/>
        <w:gridCol w:w="1035"/>
        <w:gridCol w:w="1476"/>
        <w:gridCol w:w="973"/>
        <w:gridCol w:w="2663"/>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253" w:type="dxa"/>
          </w:tcPr>
          <w:p>
            <w:pPr>
              <w:pStyle w:val="18"/>
              <w:spacing w:before="4"/>
              <w:jc w:val="left"/>
              <w:rPr>
                <w:b/>
                <w:sz w:val="18"/>
              </w:rPr>
            </w:pPr>
          </w:p>
          <w:p>
            <w:pPr>
              <w:pStyle w:val="18"/>
              <w:ind w:left="154" w:right="145"/>
              <w:rPr>
                <w:b/>
                <w:sz w:val="21"/>
              </w:rPr>
            </w:pPr>
            <w:r>
              <w:rPr>
                <w:b/>
                <w:sz w:val="21"/>
              </w:rPr>
              <w:t>种类</w:t>
            </w:r>
          </w:p>
        </w:tc>
        <w:tc>
          <w:tcPr>
            <w:tcW w:w="1035" w:type="dxa"/>
          </w:tcPr>
          <w:p>
            <w:pPr>
              <w:pStyle w:val="18"/>
              <w:spacing w:before="4"/>
              <w:jc w:val="left"/>
              <w:rPr>
                <w:b/>
                <w:sz w:val="18"/>
              </w:rPr>
            </w:pPr>
          </w:p>
          <w:p>
            <w:pPr>
              <w:pStyle w:val="18"/>
              <w:ind w:left="197" w:right="191"/>
              <w:rPr>
                <w:b/>
                <w:sz w:val="21"/>
              </w:rPr>
            </w:pPr>
            <w:r>
              <w:rPr>
                <w:b/>
                <w:sz w:val="21"/>
              </w:rPr>
              <w:t>来源</w:t>
            </w:r>
          </w:p>
        </w:tc>
        <w:tc>
          <w:tcPr>
            <w:tcW w:w="1476" w:type="dxa"/>
          </w:tcPr>
          <w:p>
            <w:pPr>
              <w:pStyle w:val="18"/>
              <w:spacing w:before="4"/>
              <w:jc w:val="left"/>
              <w:rPr>
                <w:b/>
                <w:sz w:val="18"/>
              </w:rPr>
            </w:pPr>
          </w:p>
          <w:p>
            <w:pPr>
              <w:pStyle w:val="18"/>
              <w:ind w:left="87" w:right="77"/>
              <w:rPr>
                <w:b/>
                <w:sz w:val="21"/>
              </w:rPr>
            </w:pPr>
            <w:r>
              <w:rPr>
                <w:b/>
                <w:sz w:val="21"/>
              </w:rPr>
              <w:t>产生方式</w:t>
            </w:r>
          </w:p>
        </w:tc>
        <w:tc>
          <w:tcPr>
            <w:tcW w:w="973" w:type="dxa"/>
          </w:tcPr>
          <w:p>
            <w:pPr>
              <w:pStyle w:val="18"/>
              <w:spacing w:before="78"/>
              <w:ind w:left="122"/>
              <w:jc w:val="left"/>
              <w:rPr>
                <w:rFonts w:ascii="Times New Roman" w:eastAsia="Times New Roman"/>
                <w:b/>
                <w:sz w:val="21"/>
              </w:rPr>
            </w:pPr>
            <w:r>
              <w:rPr>
                <w:b/>
                <w:sz w:val="21"/>
              </w:rPr>
              <w:t>源强</w:t>
            </w:r>
            <w:r>
              <w:rPr>
                <w:rFonts w:ascii="Times New Roman" w:eastAsia="Times New Roman"/>
                <w:b/>
                <w:sz w:val="21"/>
              </w:rPr>
              <w:t>dB</w:t>
            </w:r>
          </w:p>
          <w:p>
            <w:pPr>
              <w:pStyle w:val="18"/>
              <w:spacing w:before="43"/>
              <w:ind w:left="199"/>
              <w:jc w:val="left"/>
              <w:rPr>
                <w:b/>
                <w:sz w:val="21"/>
              </w:rPr>
            </w:pPr>
            <w:r>
              <w:rPr>
                <w:b/>
                <w:sz w:val="21"/>
              </w:rPr>
              <w:t>（</w:t>
            </w:r>
            <w:r>
              <w:rPr>
                <w:rFonts w:ascii="Times New Roman" w:eastAsia="Times New Roman"/>
                <w:b/>
                <w:sz w:val="21"/>
              </w:rPr>
              <w:t>A</w:t>
            </w:r>
            <w:r>
              <w:rPr>
                <w:b/>
                <w:sz w:val="21"/>
              </w:rPr>
              <w:t>）</w:t>
            </w:r>
          </w:p>
        </w:tc>
        <w:tc>
          <w:tcPr>
            <w:tcW w:w="2663" w:type="dxa"/>
          </w:tcPr>
          <w:p>
            <w:pPr>
              <w:pStyle w:val="18"/>
              <w:spacing w:before="4"/>
              <w:jc w:val="left"/>
              <w:rPr>
                <w:b/>
                <w:sz w:val="18"/>
              </w:rPr>
            </w:pPr>
          </w:p>
          <w:p>
            <w:pPr>
              <w:pStyle w:val="18"/>
              <w:ind w:left="574" w:right="562"/>
              <w:rPr>
                <w:b/>
                <w:sz w:val="21"/>
              </w:rPr>
            </w:pPr>
            <w:r>
              <w:rPr>
                <w:b/>
                <w:sz w:val="21"/>
              </w:rPr>
              <w:t>治理措施</w:t>
            </w:r>
          </w:p>
        </w:tc>
        <w:tc>
          <w:tcPr>
            <w:tcW w:w="1119" w:type="dxa"/>
          </w:tcPr>
          <w:p>
            <w:pPr>
              <w:pStyle w:val="18"/>
              <w:spacing w:before="78"/>
              <w:ind w:left="139"/>
              <w:jc w:val="left"/>
              <w:rPr>
                <w:b/>
                <w:sz w:val="21"/>
              </w:rPr>
            </w:pPr>
            <w:r>
              <w:rPr>
                <w:b/>
                <w:w w:val="95"/>
                <w:sz w:val="21"/>
              </w:rPr>
              <w:t>降噪效果</w:t>
            </w:r>
          </w:p>
          <w:p>
            <w:pPr>
              <w:pStyle w:val="18"/>
              <w:spacing w:before="43"/>
              <w:ind w:left="146"/>
              <w:jc w:val="left"/>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253" w:type="dxa"/>
          </w:tcPr>
          <w:p>
            <w:pPr>
              <w:pStyle w:val="18"/>
              <w:spacing w:before="161"/>
              <w:ind w:left="152" w:right="145"/>
              <w:rPr>
                <w:sz w:val="21"/>
              </w:rPr>
            </w:pPr>
            <w:r>
              <w:rPr>
                <w:sz w:val="21"/>
              </w:rPr>
              <w:t>羊叫</w:t>
            </w:r>
          </w:p>
        </w:tc>
        <w:tc>
          <w:tcPr>
            <w:tcW w:w="1035" w:type="dxa"/>
          </w:tcPr>
          <w:p>
            <w:pPr>
              <w:pStyle w:val="18"/>
              <w:spacing w:before="161"/>
              <w:ind w:left="195" w:right="191"/>
              <w:rPr>
                <w:sz w:val="21"/>
              </w:rPr>
            </w:pPr>
            <w:r>
              <w:rPr>
                <w:sz w:val="21"/>
              </w:rPr>
              <w:t>羊舍</w:t>
            </w:r>
          </w:p>
        </w:tc>
        <w:tc>
          <w:tcPr>
            <w:tcW w:w="1476" w:type="dxa"/>
          </w:tcPr>
          <w:p>
            <w:pPr>
              <w:pStyle w:val="18"/>
              <w:spacing w:before="161"/>
              <w:ind w:left="87" w:right="79"/>
              <w:rPr>
                <w:sz w:val="21"/>
              </w:rPr>
            </w:pPr>
            <w:r>
              <w:rPr>
                <w:sz w:val="21"/>
              </w:rPr>
              <w:t>流动、间歇性</w:t>
            </w:r>
          </w:p>
        </w:tc>
        <w:tc>
          <w:tcPr>
            <w:tcW w:w="973" w:type="dxa"/>
          </w:tcPr>
          <w:p>
            <w:pPr>
              <w:pStyle w:val="18"/>
              <w:spacing w:before="175"/>
              <w:ind w:left="222" w:right="211"/>
              <w:rPr>
                <w:rFonts w:ascii="Times New Roman"/>
                <w:sz w:val="21"/>
              </w:rPr>
            </w:pPr>
            <w:r>
              <w:rPr>
                <w:rFonts w:ascii="Times New Roman"/>
                <w:sz w:val="21"/>
              </w:rPr>
              <w:t>60-70</w:t>
            </w:r>
          </w:p>
        </w:tc>
        <w:tc>
          <w:tcPr>
            <w:tcW w:w="2663" w:type="dxa"/>
          </w:tcPr>
          <w:p>
            <w:pPr>
              <w:pStyle w:val="18"/>
              <w:spacing w:before="62" w:line="213" w:lineRule="auto"/>
              <w:ind w:left="491" w:right="21" w:hanging="384"/>
              <w:jc w:val="left"/>
              <w:rPr>
                <w:sz w:val="21"/>
              </w:rPr>
            </w:pPr>
            <w:r>
              <w:rPr>
                <w:sz w:val="21"/>
              </w:rPr>
              <w:t>隔声，喂足饲料和水，避免饥渴及突发性噪声</w:t>
            </w:r>
          </w:p>
        </w:tc>
        <w:tc>
          <w:tcPr>
            <w:tcW w:w="1119" w:type="dxa"/>
          </w:tcPr>
          <w:p>
            <w:pPr>
              <w:pStyle w:val="18"/>
              <w:spacing w:before="175"/>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53" w:type="dxa"/>
          </w:tcPr>
          <w:p>
            <w:pPr>
              <w:pStyle w:val="18"/>
              <w:spacing w:before="92"/>
              <w:ind w:left="217" w:right="143"/>
              <w:rPr>
                <w:sz w:val="21"/>
              </w:rPr>
            </w:pPr>
            <w:r>
              <w:rPr>
                <w:sz w:val="21"/>
              </w:rPr>
              <w:t>风机</w:t>
            </w:r>
          </w:p>
        </w:tc>
        <w:tc>
          <w:tcPr>
            <w:tcW w:w="1035" w:type="dxa"/>
          </w:tcPr>
          <w:p>
            <w:pPr>
              <w:pStyle w:val="18"/>
              <w:spacing w:before="92"/>
              <w:ind w:left="195" w:right="191"/>
              <w:rPr>
                <w:sz w:val="21"/>
              </w:rPr>
            </w:pPr>
            <w:r>
              <w:rPr>
                <w:sz w:val="21"/>
              </w:rPr>
              <w:t>羊舍</w:t>
            </w:r>
          </w:p>
        </w:tc>
        <w:tc>
          <w:tcPr>
            <w:tcW w:w="1476" w:type="dxa"/>
          </w:tcPr>
          <w:p>
            <w:pPr>
              <w:pStyle w:val="18"/>
              <w:spacing w:before="92"/>
              <w:ind w:left="87" w:right="79"/>
              <w:rPr>
                <w:sz w:val="21"/>
              </w:rPr>
            </w:pPr>
            <w:r>
              <w:rPr>
                <w:sz w:val="21"/>
              </w:rPr>
              <w:t>连续性</w:t>
            </w:r>
          </w:p>
        </w:tc>
        <w:tc>
          <w:tcPr>
            <w:tcW w:w="973" w:type="dxa"/>
          </w:tcPr>
          <w:p>
            <w:pPr>
              <w:pStyle w:val="18"/>
              <w:spacing w:before="106"/>
              <w:ind w:left="222" w:right="211"/>
              <w:rPr>
                <w:rFonts w:ascii="Times New Roman"/>
                <w:sz w:val="21"/>
              </w:rPr>
            </w:pPr>
            <w:r>
              <w:rPr>
                <w:rFonts w:ascii="Times New Roman"/>
                <w:sz w:val="21"/>
              </w:rPr>
              <w:t>65-75</w:t>
            </w:r>
          </w:p>
        </w:tc>
        <w:tc>
          <w:tcPr>
            <w:tcW w:w="2663" w:type="dxa"/>
            <w:vMerge w:val="restart"/>
          </w:tcPr>
          <w:p>
            <w:pPr>
              <w:pStyle w:val="18"/>
              <w:spacing w:before="5"/>
              <w:jc w:val="left"/>
              <w:rPr>
                <w:b/>
                <w:sz w:val="17"/>
              </w:rPr>
            </w:pPr>
          </w:p>
          <w:p>
            <w:pPr>
              <w:pStyle w:val="18"/>
              <w:spacing w:line="213" w:lineRule="auto"/>
              <w:ind w:left="280" w:right="23" w:hanging="173"/>
              <w:jc w:val="left"/>
              <w:rPr>
                <w:sz w:val="21"/>
              </w:rPr>
            </w:pPr>
            <w:r>
              <w:rPr>
                <w:sz w:val="21"/>
              </w:rPr>
              <w:t>选低噪声设备，墙体隔声，基础减振，消声，隔声</w:t>
            </w:r>
          </w:p>
        </w:tc>
        <w:tc>
          <w:tcPr>
            <w:tcW w:w="1119" w:type="dxa"/>
          </w:tcPr>
          <w:p>
            <w:pPr>
              <w:pStyle w:val="18"/>
              <w:spacing w:before="106"/>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53" w:type="dxa"/>
          </w:tcPr>
          <w:p>
            <w:pPr>
              <w:pStyle w:val="18"/>
              <w:spacing w:before="91"/>
              <w:ind w:left="77"/>
              <w:rPr>
                <w:sz w:val="21"/>
              </w:rPr>
            </w:pPr>
            <w:r>
              <w:rPr>
                <w:w w:val="99"/>
                <w:sz w:val="21"/>
              </w:rPr>
              <w:t>泵</w:t>
            </w:r>
          </w:p>
        </w:tc>
        <w:tc>
          <w:tcPr>
            <w:tcW w:w="1035" w:type="dxa"/>
          </w:tcPr>
          <w:p>
            <w:pPr>
              <w:pStyle w:val="18"/>
              <w:spacing w:before="91"/>
              <w:ind w:left="195" w:right="191"/>
              <w:rPr>
                <w:sz w:val="21"/>
              </w:rPr>
            </w:pPr>
            <w:r>
              <w:rPr>
                <w:sz w:val="21"/>
              </w:rPr>
              <w:t>泵房</w:t>
            </w:r>
          </w:p>
        </w:tc>
        <w:tc>
          <w:tcPr>
            <w:tcW w:w="1476" w:type="dxa"/>
          </w:tcPr>
          <w:p>
            <w:pPr>
              <w:pStyle w:val="18"/>
              <w:spacing w:before="91"/>
              <w:ind w:left="87" w:right="79"/>
              <w:rPr>
                <w:sz w:val="21"/>
              </w:rPr>
            </w:pPr>
            <w:r>
              <w:rPr>
                <w:sz w:val="21"/>
              </w:rPr>
              <w:t>固定、持续性</w:t>
            </w:r>
          </w:p>
        </w:tc>
        <w:tc>
          <w:tcPr>
            <w:tcW w:w="973" w:type="dxa"/>
          </w:tcPr>
          <w:p>
            <w:pPr>
              <w:pStyle w:val="18"/>
              <w:spacing w:before="105"/>
              <w:ind w:left="222" w:right="211"/>
              <w:rPr>
                <w:rFonts w:ascii="Times New Roman"/>
                <w:sz w:val="21"/>
              </w:rPr>
            </w:pPr>
            <w:r>
              <w:rPr>
                <w:rFonts w:ascii="Times New Roman"/>
                <w:sz w:val="21"/>
              </w:rPr>
              <w:t>70-75</w:t>
            </w:r>
          </w:p>
        </w:tc>
        <w:tc>
          <w:tcPr>
            <w:tcW w:w="2663" w:type="dxa"/>
            <w:vMerge w:val="continue"/>
            <w:tcBorders>
              <w:top w:val="nil"/>
            </w:tcBorders>
          </w:tcPr>
          <w:p>
            <w:pPr>
              <w:rPr>
                <w:sz w:val="2"/>
                <w:szCs w:val="2"/>
              </w:rPr>
            </w:pPr>
          </w:p>
        </w:tc>
        <w:tc>
          <w:tcPr>
            <w:tcW w:w="1119" w:type="dxa"/>
          </w:tcPr>
          <w:p>
            <w:pPr>
              <w:pStyle w:val="18"/>
              <w:spacing w:before="105"/>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253" w:type="dxa"/>
          </w:tcPr>
          <w:p>
            <w:pPr>
              <w:pStyle w:val="18"/>
              <w:spacing w:before="1"/>
              <w:jc w:val="left"/>
              <w:rPr>
                <w:b/>
                <w:sz w:val="14"/>
              </w:rPr>
            </w:pPr>
          </w:p>
          <w:p>
            <w:pPr>
              <w:pStyle w:val="18"/>
              <w:spacing w:line="213" w:lineRule="auto"/>
              <w:ind w:left="449" w:right="56" w:hanging="315"/>
              <w:jc w:val="left"/>
              <w:rPr>
                <w:sz w:val="21"/>
              </w:rPr>
            </w:pPr>
            <w:r>
              <w:rPr>
                <w:sz w:val="21"/>
              </w:rPr>
              <w:t>无害化处理设备</w:t>
            </w:r>
          </w:p>
        </w:tc>
        <w:tc>
          <w:tcPr>
            <w:tcW w:w="1035" w:type="dxa"/>
          </w:tcPr>
          <w:p>
            <w:pPr>
              <w:pStyle w:val="18"/>
              <w:spacing w:before="61" w:line="213" w:lineRule="auto"/>
              <w:ind w:left="202" w:right="191"/>
              <w:rPr>
                <w:sz w:val="21"/>
              </w:rPr>
            </w:pPr>
            <w:r>
              <w:rPr>
                <w:sz w:val="21"/>
              </w:rPr>
              <w:t>无害化处理车间</w:t>
            </w:r>
          </w:p>
        </w:tc>
        <w:tc>
          <w:tcPr>
            <w:tcW w:w="1476" w:type="dxa"/>
          </w:tcPr>
          <w:p>
            <w:pPr>
              <w:pStyle w:val="18"/>
              <w:jc w:val="left"/>
              <w:rPr>
                <w:b/>
                <w:sz w:val="22"/>
              </w:rPr>
            </w:pPr>
          </w:p>
          <w:p>
            <w:pPr>
              <w:pStyle w:val="18"/>
              <w:spacing w:before="1"/>
              <w:ind w:left="87" w:right="79"/>
              <w:rPr>
                <w:sz w:val="21"/>
              </w:rPr>
            </w:pPr>
            <w:r>
              <w:rPr>
                <w:sz w:val="21"/>
              </w:rPr>
              <w:t>固定、持续性</w:t>
            </w:r>
          </w:p>
        </w:tc>
        <w:tc>
          <w:tcPr>
            <w:tcW w:w="973" w:type="dxa"/>
          </w:tcPr>
          <w:p>
            <w:pPr>
              <w:pStyle w:val="18"/>
              <w:spacing w:before="2"/>
              <w:jc w:val="left"/>
              <w:rPr>
                <w:b/>
                <w:sz w:val="23"/>
              </w:rPr>
            </w:pPr>
          </w:p>
          <w:p>
            <w:pPr>
              <w:pStyle w:val="18"/>
              <w:ind w:left="222" w:right="211"/>
              <w:rPr>
                <w:rFonts w:ascii="Times New Roman"/>
                <w:sz w:val="21"/>
              </w:rPr>
            </w:pPr>
            <w:r>
              <w:rPr>
                <w:rFonts w:ascii="Times New Roman"/>
                <w:sz w:val="21"/>
              </w:rPr>
              <w:t>70-85</w:t>
            </w:r>
          </w:p>
        </w:tc>
        <w:tc>
          <w:tcPr>
            <w:tcW w:w="2663" w:type="dxa"/>
          </w:tcPr>
          <w:p>
            <w:pPr>
              <w:pStyle w:val="18"/>
              <w:jc w:val="left"/>
              <w:rPr>
                <w:b/>
                <w:sz w:val="22"/>
              </w:rPr>
            </w:pPr>
          </w:p>
          <w:p>
            <w:pPr>
              <w:pStyle w:val="18"/>
              <w:spacing w:before="1"/>
              <w:ind w:left="574" w:right="569"/>
              <w:rPr>
                <w:sz w:val="21"/>
              </w:rPr>
            </w:pPr>
            <w:r>
              <w:rPr>
                <w:sz w:val="21"/>
              </w:rPr>
              <w:t>基础减振，消声</w:t>
            </w:r>
          </w:p>
        </w:tc>
        <w:tc>
          <w:tcPr>
            <w:tcW w:w="1119" w:type="dxa"/>
          </w:tcPr>
          <w:p>
            <w:pPr>
              <w:pStyle w:val="18"/>
              <w:spacing w:before="2"/>
              <w:jc w:val="left"/>
              <w:rPr>
                <w:b/>
                <w:sz w:val="23"/>
              </w:rPr>
            </w:pPr>
          </w:p>
          <w:p>
            <w:pPr>
              <w:pStyle w:val="18"/>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53" w:type="dxa"/>
          </w:tcPr>
          <w:p>
            <w:pPr>
              <w:pStyle w:val="18"/>
              <w:spacing w:before="91"/>
              <w:ind w:left="217" w:right="145"/>
              <w:rPr>
                <w:sz w:val="21"/>
              </w:rPr>
            </w:pPr>
            <w:r>
              <w:rPr>
                <w:sz w:val="21"/>
              </w:rPr>
              <w:t>运输车辆</w:t>
            </w:r>
          </w:p>
        </w:tc>
        <w:tc>
          <w:tcPr>
            <w:tcW w:w="1035" w:type="dxa"/>
          </w:tcPr>
          <w:p>
            <w:pPr>
              <w:pStyle w:val="18"/>
              <w:spacing w:before="91"/>
              <w:ind w:left="182" w:right="173"/>
              <w:rPr>
                <w:sz w:val="21"/>
              </w:rPr>
            </w:pPr>
            <w:r>
              <w:rPr>
                <w:sz w:val="21"/>
              </w:rPr>
              <w:t>养殖区</w:t>
            </w:r>
          </w:p>
        </w:tc>
        <w:tc>
          <w:tcPr>
            <w:tcW w:w="1476" w:type="dxa"/>
          </w:tcPr>
          <w:p>
            <w:pPr>
              <w:pStyle w:val="18"/>
              <w:spacing w:before="91"/>
              <w:ind w:left="87" w:right="79"/>
              <w:rPr>
                <w:sz w:val="21"/>
              </w:rPr>
            </w:pPr>
            <w:r>
              <w:rPr>
                <w:sz w:val="21"/>
              </w:rPr>
              <w:t>流动、间歇性</w:t>
            </w:r>
          </w:p>
        </w:tc>
        <w:tc>
          <w:tcPr>
            <w:tcW w:w="973" w:type="dxa"/>
          </w:tcPr>
          <w:p>
            <w:pPr>
              <w:pStyle w:val="18"/>
              <w:spacing w:before="105"/>
              <w:ind w:left="222" w:right="211"/>
              <w:rPr>
                <w:rFonts w:ascii="Times New Roman"/>
                <w:sz w:val="21"/>
              </w:rPr>
            </w:pPr>
            <w:r>
              <w:rPr>
                <w:rFonts w:ascii="Times New Roman"/>
                <w:sz w:val="21"/>
              </w:rPr>
              <w:t>75-85</w:t>
            </w:r>
          </w:p>
        </w:tc>
        <w:tc>
          <w:tcPr>
            <w:tcW w:w="2663" w:type="dxa"/>
          </w:tcPr>
          <w:p>
            <w:pPr>
              <w:pStyle w:val="18"/>
              <w:spacing w:before="91"/>
              <w:ind w:left="574" w:right="569"/>
              <w:rPr>
                <w:sz w:val="21"/>
              </w:rPr>
            </w:pPr>
            <w:r>
              <w:rPr>
                <w:sz w:val="21"/>
              </w:rPr>
              <w:t>禁止鸣笛、限速</w:t>
            </w:r>
          </w:p>
        </w:tc>
        <w:tc>
          <w:tcPr>
            <w:tcW w:w="1119" w:type="dxa"/>
          </w:tcPr>
          <w:p>
            <w:pPr>
              <w:pStyle w:val="18"/>
              <w:spacing w:before="105"/>
              <w:ind w:left="453"/>
              <w:jc w:val="left"/>
              <w:rPr>
                <w:rFonts w:ascii="Times New Roman"/>
                <w:sz w:val="21"/>
              </w:rPr>
            </w:pPr>
            <w:r>
              <w:rPr>
                <w:rFonts w:ascii="Times New Roman"/>
                <w:sz w:val="21"/>
              </w:rPr>
              <w:t>20</w:t>
            </w:r>
          </w:p>
        </w:tc>
      </w:tr>
    </w:tbl>
    <w:p>
      <w:pPr>
        <w:pStyle w:val="17"/>
        <w:numPr>
          <w:ilvl w:val="3"/>
          <w:numId w:val="29"/>
        </w:numPr>
        <w:tabs>
          <w:tab w:val="left" w:pos="1320"/>
        </w:tabs>
        <w:spacing w:before="89" w:after="0" w:line="240" w:lineRule="auto"/>
        <w:ind w:left="1320" w:right="0" w:hanging="780"/>
        <w:jc w:val="left"/>
        <w:rPr>
          <w:sz w:val="24"/>
        </w:rPr>
      </w:pPr>
      <w:bookmarkStart w:id="195" w:name="3.2.3.4 运营期固体废弃物污染源分析"/>
      <w:bookmarkEnd w:id="195"/>
      <w:bookmarkStart w:id="196" w:name="3.2.3.4 运营期固体废弃物污染源分析"/>
      <w:bookmarkEnd w:id="196"/>
      <w:r>
        <w:rPr>
          <w:sz w:val="24"/>
        </w:rPr>
        <w:t>运营期固体废弃物污染源分析</w:t>
      </w:r>
    </w:p>
    <w:p>
      <w:pPr>
        <w:pStyle w:val="7"/>
        <w:spacing w:before="168" w:line="364" w:lineRule="auto"/>
        <w:ind w:right="575" w:firstLine="480"/>
      </w:pPr>
      <w:r>
        <w:rPr>
          <w:spacing w:val="-6"/>
        </w:rPr>
        <w:t>本项目产生的固体废物主要为羊粪及粪渣、废弃垫料、病死羊及分娩物、医</w:t>
      </w:r>
      <w:r>
        <w:t>疗垃圾、生活垃圾。</w:t>
      </w:r>
    </w:p>
    <w:p>
      <w:pPr>
        <w:pStyle w:val="17"/>
        <w:numPr>
          <w:ilvl w:val="0"/>
          <w:numId w:val="33"/>
        </w:numPr>
        <w:tabs>
          <w:tab w:val="left" w:pos="1621"/>
        </w:tabs>
        <w:spacing w:before="1" w:after="0" w:line="240" w:lineRule="auto"/>
        <w:ind w:left="1621" w:right="0" w:hanging="601"/>
        <w:jc w:val="left"/>
        <w:rPr>
          <w:sz w:val="24"/>
        </w:rPr>
      </w:pPr>
      <w:r>
        <w:rPr>
          <w:sz w:val="24"/>
        </w:rPr>
        <w:t>羊粪及粪渣</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567" w:right="567" w:firstLine="456" w:firstLineChars="200"/>
        <w:jc w:val="both"/>
        <w:textAlignment w:val="auto"/>
        <w:rPr>
          <w:color w:val="0000FF"/>
        </w:rPr>
      </w:pPr>
      <w:r>
        <w:rPr>
          <w:color w:val="0000FF"/>
          <w:spacing w:val="-6"/>
        </w:rPr>
        <w:t>根据《畜禽养殖业污染治理工程技术规范》</w:t>
      </w:r>
      <w:r>
        <w:rPr>
          <w:color w:val="0000FF"/>
        </w:rPr>
        <w:t>（</w:t>
      </w:r>
      <w:r>
        <w:rPr>
          <w:rFonts w:ascii="Times New Roman" w:eastAsia="Times New Roman"/>
          <w:color w:val="0000FF"/>
        </w:rPr>
        <w:t>HJ497-2009</w:t>
      </w:r>
      <w:r>
        <w:rPr>
          <w:color w:val="0000FF"/>
        </w:rPr>
        <w:t>）</w:t>
      </w:r>
      <w:r>
        <w:rPr>
          <w:color w:val="0000FF"/>
          <w:spacing w:val="-6"/>
        </w:rPr>
        <w:t>和《畜禽养殖业</w:t>
      </w:r>
      <w:r>
        <w:rPr>
          <w:color w:val="0000FF"/>
        </w:rPr>
        <w:t>污染防治技术规范》（</w:t>
      </w:r>
      <w:r>
        <w:rPr>
          <w:rFonts w:ascii="Times New Roman" w:eastAsia="Times New Roman"/>
          <w:color w:val="0000FF"/>
        </w:rPr>
        <w:t>HT/T81-2001</w:t>
      </w:r>
      <w:r>
        <w:rPr>
          <w:color w:val="0000FF"/>
        </w:rPr>
        <w:t>）的要求，新建畜禽养殖场采取干法清粪工</w:t>
      </w:r>
      <w:r>
        <w:rPr>
          <w:color w:val="0000FF"/>
          <w:spacing w:val="-10"/>
        </w:rPr>
        <w:t>艺，采取人工或机械方式将牲畜类便及时、单独清出。根据生态与农村环境学报</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567" w:right="567" w:firstLine="0"/>
        <w:jc w:val="both"/>
        <w:textAlignment w:val="auto"/>
        <w:rPr>
          <w:color w:val="0000FF"/>
        </w:rPr>
      </w:pPr>
      <w:r>
        <w:rPr>
          <w:color w:val="0000FF"/>
          <w:spacing w:val="-13"/>
        </w:rPr>
        <w:t>《集约化养殖场羊与羊粪尿产生量的监测》可知，每只羊每天可产生羊粪</w:t>
      </w:r>
      <w:r>
        <w:rPr>
          <w:rFonts w:ascii="Times New Roman" w:eastAsia="Times New Roman"/>
          <w:color w:val="0000FF"/>
          <w:spacing w:val="-3"/>
        </w:rPr>
        <w:t>1.09kg</w:t>
      </w:r>
      <w:r>
        <w:rPr>
          <w:color w:val="0000FF"/>
          <w:spacing w:val="-3"/>
        </w:rPr>
        <w:t>，</w:t>
      </w:r>
      <w:r>
        <w:rPr>
          <w:color w:val="0000FF"/>
          <w:spacing w:val="-6"/>
        </w:rPr>
        <w:t>本项目肉羊存栏量</w:t>
      </w:r>
      <w:r>
        <w:rPr>
          <w:rFonts w:hint="eastAsia"/>
          <w:color w:val="0000FF"/>
          <w:spacing w:val="-6"/>
          <w:lang w:val="en-US" w:eastAsia="zh-CN"/>
        </w:rPr>
        <w:t>10</w:t>
      </w:r>
      <w:r>
        <w:rPr>
          <w:color w:val="0000FF"/>
          <w:spacing w:val="2"/>
        </w:rPr>
        <w:t>万只</w:t>
      </w:r>
      <w:r>
        <w:rPr>
          <w:rFonts w:ascii="Times New Roman" w:eastAsia="Times New Roman"/>
          <w:color w:val="0000FF"/>
        </w:rPr>
        <w:t>/a</w:t>
      </w:r>
      <w:r>
        <w:rPr>
          <w:color w:val="0000FF"/>
          <w:spacing w:val="-3"/>
        </w:rPr>
        <w:t>，由此计算得出，本项目羊粪产生量为</w:t>
      </w:r>
      <w:r>
        <w:rPr>
          <w:rFonts w:hint="eastAsia"/>
          <w:color w:val="0000FF"/>
          <w:spacing w:val="-3"/>
          <w:lang w:val="en-US" w:eastAsia="zh-CN"/>
        </w:rPr>
        <w:t>39785</w:t>
      </w:r>
      <w:r>
        <w:rPr>
          <w:rFonts w:ascii="Times New Roman" w:eastAsia="Times New Roman"/>
          <w:color w:val="0000FF"/>
        </w:rPr>
        <w:t>t/a</w:t>
      </w:r>
      <w:r>
        <w:rPr>
          <w:color w:val="0000FF"/>
        </w:rPr>
        <w:t>，每天产生的粪便由人工清理至堆肥厂通过高温堆肥发酵处理方式对固体粪污进</w:t>
      </w:r>
      <w:r>
        <w:rPr>
          <w:color w:val="0000FF"/>
          <w:spacing w:val="-3"/>
        </w:rPr>
        <w:t>行无害化处理，符合《粪便无害化卫生要求》</w:t>
      </w:r>
      <w:r>
        <w:rPr>
          <w:color w:val="0000FF"/>
        </w:rPr>
        <w:t>（</w:t>
      </w:r>
      <w:r>
        <w:rPr>
          <w:rFonts w:ascii="Times New Roman" w:eastAsia="Times New Roman"/>
          <w:color w:val="0000FF"/>
        </w:rPr>
        <w:t>GB7959-2012</w:t>
      </w:r>
      <w:r>
        <w:rPr>
          <w:color w:val="0000FF"/>
        </w:rPr>
        <w:t>）</w:t>
      </w:r>
      <w:r>
        <w:rPr>
          <w:color w:val="0000FF"/>
          <w:spacing w:val="-2"/>
        </w:rPr>
        <w:t>后，外售给附近</w:t>
      </w:r>
      <w:r>
        <w:rPr>
          <w:color w:val="0000FF"/>
          <w:spacing w:val="-9"/>
        </w:rPr>
        <w:t>村民，直接还田进行土地利用，禁止未经处理的畜禽粪便直接施入农田。环评要</w:t>
      </w:r>
      <w:r>
        <w:rPr>
          <w:color w:val="0000FF"/>
          <w:spacing w:val="-14"/>
        </w:rPr>
        <w:t>求堆肥厂必须建设遮雨棚、防风墙、截洪沟，防止雨水对羊粪的冲刷造成水体污染。同时，羊粪不能直接堆放裸露地面，堆方场所必须要有防渗漏、溢流措施。</w:t>
      </w:r>
    </w:p>
    <w:p>
      <w:pPr>
        <w:pStyle w:val="17"/>
        <w:numPr>
          <w:ilvl w:val="0"/>
          <w:numId w:val="33"/>
        </w:numPr>
        <w:tabs>
          <w:tab w:val="left" w:pos="1621"/>
        </w:tabs>
        <w:spacing w:before="4" w:after="0" w:line="240" w:lineRule="auto"/>
        <w:ind w:left="1621" w:right="0" w:hanging="601"/>
        <w:jc w:val="left"/>
        <w:rPr>
          <w:sz w:val="24"/>
        </w:rPr>
      </w:pPr>
      <w:r>
        <w:rPr>
          <w:sz w:val="24"/>
        </w:rPr>
        <w:t>废弃垫料</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64" w:firstLineChars="200"/>
        <w:jc w:val="both"/>
        <w:textAlignment w:val="auto"/>
        <w:rPr>
          <w:color w:val="0000FF"/>
          <w:spacing w:val="-9"/>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，羊舍总建筑面积</w:t>
      </w:r>
      <w:r>
        <w:rPr>
          <w:rFonts w:hint="eastAsia"/>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44" w:firstLineChars="200"/>
        <w:jc w:val="both"/>
        <w:textAlignment w:val="auto"/>
        <w:rPr>
          <w:color w:val="0000FF"/>
        </w:rPr>
      </w:pPr>
      <w:r>
        <w:rPr>
          <w:color w:val="0000FF"/>
          <w:spacing w:val="-9"/>
        </w:rPr>
        <w:t>根据业主提供的资料</w:t>
      </w:r>
      <w:r>
        <w:rPr>
          <w:rFonts w:hint="eastAsia"/>
          <w:color w:val="0000FF"/>
          <w:spacing w:val="-9"/>
          <w:lang w:eastAsia="zh-CN"/>
        </w:rPr>
        <w:t>，</w:t>
      </w:r>
      <w:r>
        <w:rPr>
          <w:color w:val="0000FF"/>
          <w:spacing w:val="-15"/>
        </w:rPr>
        <w:t>粪床每</w:t>
      </w:r>
      <w:r>
        <w:rPr>
          <w:rFonts w:ascii="Times New Roman" w:eastAsia="Times New Roman"/>
          <w:color w:val="0000FF"/>
        </w:rPr>
        <w:t>1</w:t>
      </w:r>
      <w:r>
        <w:rPr>
          <w:color w:val="0000FF"/>
          <w:spacing w:val="-10"/>
        </w:rPr>
        <w:t>年清理一次，垫料层与羊粪一起进入堆肥厂高温发酵无害化处理，不外</w:t>
      </w:r>
      <w:r>
        <w:rPr>
          <w:color w:val="0000FF"/>
        </w:rPr>
        <w:t>排，实现综合利用。</w:t>
      </w:r>
    </w:p>
    <w:p>
      <w:pPr>
        <w:pStyle w:val="17"/>
        <w:numPr>
          <w:ilvl w:val="0"/>
          <w:numId w:val="33"/>
        </w:numPr>
        <w:tabs>
          <w:tab w:val="left" w:pos="1621"/>
        </w:tabs>
        <w:spacing w:before="0" w:after="0" w:line="307" w:lineRule="exact"/>
        <w:ind w:left="1621" w:right="0" w:hanging="601"/>
        <w:jc w:val="left"/>
        <w:rPr>
          <w:sz w:val="24"/>
        </w:rPr>
      </w:pPr>
      <w:r>
        <w:rPr>
          <w:sz w:val="24"/>
        </w:rPr>
        <w:t>病死羊</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567" w:firstLine="452" w:firstLineChars="200"/>
        <w:textAlignment w:val="auto"/>
      </w:pPr>
      <w:r>
        <w:rPr>
          <w:spacing w:val="-7"/>
        </w:rPr>
        <w:t>根据环办函</w:t>
      </w:r>
      <w:r>
        <w:rPr>
          <w:spacing w:val="-4"/>
        </w:rPr>
        <w:t>［</w:t>
      </w:r>
      <w:r>
        <w:rPr>
          <w:rFonts w:ascii="Times New Roman" w:hAnsi="Times New Roman" w:eastAsia="Times New Roman"/>
          <w:spacing w:val="-4"/>
        </w:rPr>
        <w:t>2014</w:t>
      </w:r>
      <w:r>
        <w:rPr>
          <w:spacing w:val="-4"/>
        </w:rPr>
        <w:t>］</w:t>
      </w:r>
      <w:r>
        <w:rPr>
          <w:rFonts w:ascii="Times New Roman" w:hAnsi="Times New Roman" w:eastAsia="Times New Roman"/>
          <w:spacing w:val="-4"/>
        </w:rPr>
        <w:t>789</w:t>
      </w:r>
      <w:r>
        <w:rPr>
          <w:spacing w:val="-9"/>
        </w:rPr>
        <w:t>号文《关于病害动物无害化处理有关意见的复函》：</w:t>
      </w:r>
      <w:r>
        <w:t>“病害动物无害化处理项目由农业部门按照有关法律法规和技术规范进行监管，</w:t>
      </w:r>
      <w:r>
        <w:rPr>
          <w:spacing w:val="-4"/>
        </w:rPr>
        <w:t>可以实现病害动物无害化处理和环境污染防控的目的，不宜再认定为危险废物集中处置项目。病害动物的无害化处理应执行《动物防治法》。”</w:t>
      </w:r>
    </w:p>
    <w:p>
      <w:pPr>
        <w:pStyle w:val="7"/>
        <w:keepNext w:val="0"/>
        <w:keepLines w:val="0"/>
        <w:pageBreakBefore w:val="0"/>
        <w:widowControl w:val="0"/>
        <w:kinsoku/>
        <w:wordWrap/>
        <w:overflowPunct/>
        <w:topLinePunct w:val="0"/>
        <w:autoSpaceDE w:val="0"/>
        <w:autoSpaceDN w:val="0"/>
        <w:bidi w:val="0"/>
        <w:adjustRightInd/>
        <w:snapToGrid/>
        <w:spacing w:before="156" w:line="360" w:lineRule="auto"/>
        <w:ind w:left="539" w:right="363" w:firstLine="480" w:firstLineChars="200"/>
        <w:textAlignment w:val="auto"/>
        <w:rPr>
          <w:color w:val="0000FF"/>
        </w:rPr>
      </w:pPr>
      <w:r>
        <w:rPr>
          <w:color w:val="0000FF"/>
        </w:rPr>
        <w:t>类比分析，羊的病死率按</w:t>
      </w:r>
      <w:r>
        <w:rPr>
          <w:rFonts w:ascii="Times New Roman" w:eastAsia="Times New Roman"/>
          <w:color w:val="0000FF"/>
        </w:rPr>
        <w:t>0.5%</w:t>
      </w:r>
      <w:r>
        <w:rPr>
          <w:color w:val="0000FF"/>
        </w:rPr>
        <w:t>计，羊只出栏量</w:t>
      </w:r>
      <w:r>
        <w:rPr>
          <w:rFonts w:ascii="Times New Roman" w:eastAsia="Times New Roman"/>
          <w:color w:val="0000FF"/>
        </w:rPr>
        <w:t>4</w:t>
      </w:r>
      <w:r>
        <w:rPr>
          <w:color w:val="0000FF"/>
        </w:rPr>
        <w:t>万只，则年死亡羊</w:t>
      </w:r>
      <w:r>
        <w:rPr>
          <w:rFonts w:hint="eastAsia" w:ascii="Times New Roman" w:eastAsia="宋体"/>
          <w:color w:val="0000FF"/>
          <w:lang w:val="en-US" w:eastAsia="zh-CN"/>
        </w:rPr>
        <w:t>200</w:t>
      </w:r>
      <w:r>
        <w:rPr>
          <w:color w:val="0000FF"/>
        </w:rPr>
        <w:t>只，每只羊重约</w:t>
      </w:r>
      <w:r>
        <w:rPr>
          <w:rFonts w:ascii="Times New Roman" w:eastAsia="Times New Roman"/>
          <w:color w:val="0000FF"/>
        </w:rPr>
        <w:t>40kg</w:t>
      </w:r>
      <w:r>
        <w:rPr>
          <w:color w:val="0000FF"/>
        </w:rPr>
        <w:t>，合计</w:t>
      </w:r>
      <w:r>
        <w:rPr>
          <w:rFonts w:ascii="Times New Roman" w:eastAsia="Times New Roman"/>
          <w:color w:val="0000FF"/>
        </w:rPr>
        <w:t>8t</w:t>
      </w:r>
      <w:r>
        <w:rPr>
          <w:color w:val="0000FF"/>
        </w:rPr>
        <w:t>。本项目运营期估算病死羊量约</w:t>
      </w:r>
      <w:r>
        <w:rPr>
          <w:rFonts w:ascii="Times New Roman" w:eastAsia="Times New Roman"/>
          <w:color w:val="0000FF"/>
        </w:rPr>
        <w:t>8t/a</w:t>
      </w:r>
      <w:r>
        <w:rPr>
          <w:color w:val="0000FF"/>
        </w:rPr>
        <w:t>。病病羊进入隔离室进行注射治疗，治理康复后继续饲养，疫病羊按照《病</w:t>
      </w:r>
      <w:r>
        <w:rPr>
          <w:color w:val="0000FF"/>
          <w:spacing w:val="-2"/>
        </w:rPr>
        <w:t>害动物和病害动物产品生物安全处理规程》</w:t>
      </w:r>
      <w:r>
        <w:rPr>
          <w:color w:val="0000FF"/>
        </w:rPr>
        <w:t>（</w:t>
      </w:r>
      <w:r>
        <w:rPr>
          <w:rFonts w:ascii="Times New Roman" w:hAnsi="Times New Roman" w:eastAsia="Times New Roman"/>
          <w:color w:val="0000FF"/>
        </w:rPr>
        <w:t>GB16548-2006</w:t>
      </w:r>
      <w:r>
        <w:rPr>
          <w:color w:val="0000FF"/>
        </w:rPr>
        <w:t>）</w:t>
      </w:r>
      <w:r>
        <w:rPr>
          <w:color w:val="0000FF"/>
          <w:spacing w:val="-3"/>
        </w:rPr>
        <w:t>的相关要求，</w:t>
      </w:r>
      <w:r>
        <w:rPr>
          <w:color w:val="0000FF"/>
          <w:spacing w:val="-8"/>
        </w:rPr>
        <w:t>“确认为口蹄疫、瘟、传染性胸膜肺炎、海绵状脑病绵羊痘、山羊痘、山羊关节</w:t>
      </w:r>
      <w:r>
        <w:rPr>
          <w:color w:val="0000FF"/>
          <w:spacing w:val="-12"/>
        </w:rPr>
        <w:t>炎脑炎、高致病性禽流感、羊快疫、羊肠毒血症、羊猝狙以及其他严重危害人畜健康的病害动物及其产品”必须予以销毁。</w:t>
      </w:r>
    </w:p>
    <w:p>
      <w:pPr>
        <w:pStyle w:val="7"/>
        <w:spacing w:line="360" w:lineRule="auto"/>
        <w:ind w:right="577" w:firstLine="480"/>
        <w:jc w:val="both"/>
      </w:pPr>
      <w:r>
        <w:rPr>
          <w:spacing w:val="-6"/>
        </w:rPr>
        <w:t>本项目病死羊采用干化法畜禽无害化处理方式处理。计划项目区拟建畜禽无</w:t>
      </w:r>
      <w:r>
        <w:rPr>
          <w:spacing w:val="-2"/>
        </w:rPr>
        <w:t>害化处理车间，并购进畜禽无害化处理</w:t>
      </w:r>
      <w:r>
        <w:rPr>
          <w:rFonts w:ascii="Times New Roman" w:eastAsia="Times New Roman"/>
        </w:rPr>
        <w:t>1</w:t>
      </w:r>
      <w:r>
        <w:t>吨</w:t>
      </w:r>
      <w:r>
        <w:rPr>
          <w:rFonts w:ascii="Times New Roman" w:eastAsia="Times New Roman"/>
        </w:rPr>
        <w:t>/</w:t>
      </w:r>
      <w:r>
        <w:t>次成套设备，采用高温高压灭菌技</w:t>
      </w:r>
      <w:r>
        <w:rPr>
          <w:spacing w:val="-12"/>
        </w:rPr>
        <w:t>术，大型动物无需肢解，可直接进行处理，处理后的产物可出售给肉骨粉干品生</w:t>
      </w:r>
      <w:r>
        <w:t>产厂和工业用油脂厂，综合利用，符合国家防疫法规要求。</w:t>
      </w:r>
    </w:p>
    <w:p>
      <w:pPr>
        <w:pStyle w:val="17"/>
        <w:numPr>
          <w:ilvl w:val="0"/>
          <w:numId w:val="33"/>
        </w:numPr>
        <w:tabs>
          <w:tab w:val="left" w:pos="1621"/>
        </w:tabs>
        <w:spacing w:before="0" w:after="0" w:line="301" w:lineRule="exact"/>
        <w:ind w:left="1621" w:right="0" w:hanging="601"/>
        <w:jc w:val="left"/>
        <w:rPr>
          <w:sz w:val="24"/>
        </w:rPr>
      </w:pPr>
      <w:r>
        <w:rPr>
          <w:sz w:val="24"/>
        </w:rPr>
        <w:t>肉骨粉和油脂</w:t>
      </w:r>
    </w:p>
    <w:p>
      <w:pPr>
        <w:pStyle w:val="7"/>
        <w:spacing w:before="150" w:line="360" w:lineRule="auto"/>
        <w:ind w:right="577" w:firstLine="480"/>
        <w:rPr>
          <w:color w:val="0000FF"/>
        </w:rPr>
      </w:pPr>
      <w:r>
        <w:rPr>
          <w:color w:val="0000FF"/>
          <w:spacing w:val="-5"/>
        </w:rPr>
        <w:t>本项目病死畜禽无害化处理最终得到肉骨粉干品和工业用油脂。据调查每处理一吨病死动物，产出肉骨粉</w:t>
      </w:r>
      <w:r>
        <w:rPr>
          <w:rFonts w:ascii="Times New Roman" w:eastAsia="Times New Roman"/>
          <w:color w:val="0000FF"/>
        </w:rPr>
        <w:t>330kg</w:t>
      </w:r>
      <w:r>
        <w:rPr>
          <w:color w:val="0000FF"/>
          <w:spacing w:val="-6"/>
        </w:rPr>
        <w:t>左右、产出工业用油脂</w:t>
      </w:r>
      <w:r>
        <w:rPr>
          <w:rFonts w:ascii="Times New Roman" w:eastAsia="Times New Roman"/>
          <w:color w:val="0000FF"/>
        </w:rPr>
        <w:t>130kg</w:t>
      </w:r>
      <w:r>
        <w:rPr>
          <w:color w:val="0000FF"/>
        </w:rPr>
        <w:t>左右。</w:t>
      </w:r>
    </w:p>
    <w:p>
      <w:pPr>
        <w:pStyle w:val="7"/>
        <w:spacing w:line="304" w:lineRule="exact"/>
        <w:ind w:left="1020"/>
        <w:rPr>
          <w:color w:val="0000FF"/>
        </w:rPr>
      </w:pPr>
      <w:r>
        <w:rPr>
          <w:color w:val="0000FF"/>
        </w:rPr>
        <w:t>本项目年处理病死羊量为</w:t>
      </w:r>
      <w:r>
        <w:rPr>
          <w:rFonts w:hint="eastAsia"/>
          <w:color w:val="0000FF"/>
          <w:lang w:val="en-US" w:eastAsia="zh-CN"/>
        </w:rPr>
        <w:t>8</w:t>
      </w:r>
      <w:r>
        <w:rPr>
          <w:rFonts w:ascii="Times New Roman" w:eastAsia="Times New Roman"/>
          <w:color w:val="0000FF"/>
        </w:rPr>
        <w:t>t/a</w:t>
      </w:r>
      <w:r>
        <w:rPr>
          <w:color w:val="0000FF"/>
        </w:rPr>
        <w:t>，得到肉骨粉</w:t>
      </w:r>
      <w:r>
        <w:rPr>
          <w:rFonts w:hint="eastAsia"/>
          <w:color w:val="0000FF"/>
          <w:lang w:val="en-US" w:eastAsia="zh-CN"/>
        </w:rPr>
        <w:t>2.64</w:t>
      </w:r>
      <w:r>
        <w:rPr>
          <w:rFonts w:ascii="Times New Roman" w:eastAsia="Times New Roman"/>
          <w:color w:val="0000FF"/>
        </w:rPr>
        <w:t>t/a</w:t>
      </w:r>
      <w:r>
        <w:rPr>
          <w:color w:val="0000FF"/>
        </w:rPr>
        <w:t>，油脂</w:t>
      </w:r>
      <w:r>
        <w:rPr>
          <w:rFonts w:hint="eastAsia"/>
          <w:color w:val="0000FF"/>
          <w:lang w:val="en-US" w:eastAsia="zh-CN"/>
        </w:rPr>
        <w:t>1.04</w:t>
      </w:r>
      <w:r>
        <w:rPr>
          <w:rFonts w:ascii="Times New Roman" w:eastAsia="Times New Roman"/>
          <w:color w:val="0000FF"/>
        </w:rPr>
        <w:t>t/a</w:t>
      </w:r>
      <w:r>
        <w:rPr>
          <w:color w:val="0000FF"/>
        </w:rPr>
        <w:t>。</w:t>
      </w:r>
    </w:p>
    <w:p>
      <w:pPr>
        <w:pStyle w:val="7"/>
        <w:spacing w:before="153" w:line="360" w:lineRule="auto"/>
        <w:ind w:right="577" w:firstLine="480"/>
        <w:rPr>
          <w:color w:val="0000FF"/>
        </w:rPr>
      </w:pPr>
      <w:r>
        <w:rPr>
          <w:color w:val="0000FF"/>
          <w:spacing w:val="-7"/>
        </w:rPr>
        <w:t>肉骨粉可出售给肉骨粉干品生产厂；油脂可作为化工用油及生物柴油的原料</w:t>
      </w:r>
      <w:r>
        <w:rPr>
          <w:color w:val="0000FF"/>
        </w:rPr>
        <w:t>出售给工业用油脂厂。</w:t>
      </w:r>
    </w:p>
    <w:p>
      <w:pPr>
        <w:pStyle w:val="17"/>
        <w:numPr>
          <w:ilvl w:val="0"/>
          <w:numId w:val="33"/>
        </w:numPr>
        <w:tabs>
          <w:tab w:val="left" w:pos="1621"/>
        </w:tabs>
        <w:spacing w:before="0" w:after="0" w:line="304" w:lineRule="exact"/>
        <w:ind w:left="1621" w:right="0" w:hanging="601"/>
        <w:jc w:val="left"/>
        <w:rPr>
          <w:sz w:val="24"/>
        </w:rPr>
      </w:pPr>
      <w:r>
        <w:rPr>
          <w:sz w:val="24"/>
        </w:rPr>
        <w:t>消毒、防疫废物</w:t>
      </w:r>
    </w:p>
    <w:p>
      <w:pPr>
        <w:pStyle w:val="7"/>
        <w:spacing w:before="153" w:line="357" w:lineRule="auto"/>
        <w:ind w:right="577" w:firstLine="480"/>
        <w:jc w:val="both"/>
      </w:pPr>
      <w:r>
        <w:rPr>
          <w:spacing w:val="-11"/>
        </w:rPr>
        <w:t>消毒、防疫废物包括羊消毒废碘液、消毒过程产生废消毒液和羊分娩过程及</w:t>
      </w:r>
      <w:r>
        <w:rPr>
          <w:spacing w:val="-6"/>
        </w:rPr>
        <w:t>防疫过程中产生的一定量医疗垃圾，主要为注射器、消毒棉、药品包装等。类比</w:t>
      </w:r>
      <w:r>
        <w:rPr>
          <w:spacing w:val="-4"/>
        </w:rPr>
        <w:t>同类项目，消毒、防疫废物产生量约为</w:t>
      </w:r>
      <w:r>
        <w:rPr>
          <w:rFonts w:ascii="Times New Roman" w:eastAsia="Times New Roman"/>
        </w:rPr>
        <w:t>0.2t/a</w:t>
      </w:r>
      <w:r>
        <w:t>。</w:t>
      </w:r>
    </w:p>
    <w:p>
      <w:pPr>
        <w:spacing w:after="0" w:line="357" w:lineRule="auto"/>
        <w:jc w:val="both"/>
        <w:sectPr>
          <w:footerReference r:id="rId14"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rPr>
          <w:sz w:val="9"/>
        </w:rPr>
      </w:pPr>
    </w:p>
    <w:p>
      <w:pPr>
        <w:pStyle w:val="7"/>
        <w:spacing w:before="74" w:line="360" w:lineRule="auto"/>
        <w:ind w:right="577" w:firstLine="480"/>
        <w:jc w:val="both"/>
        <w:rPr>
          <w:color w:val="0000FF"/>
        </w:rPr>
      </w:pPr>
      <w:r>
        <w:rPr>
          <w:spacing w:val="-8"/>
        </w:rPr>
        <w:t>根据《国家危险废物名录》</w:t>
      </w:r>
      <w:r>
        <w:rPr>
          <w:spacing w:val="-5"/>
        </w:rPr>
        <w:t>（</w:t>
      </w:r>
      <w:r>
        <w:rPr>
          <w:rFonts w:ascii="Times New Roman" w:eastAsia="Times New Roman"/>
          <w:spacing w:val="-5"/>
        </w:rPr>
        <w:t>2016</w:t>
      </w:r>
      <w:r>
        <w:rPr>
          <w:spacing w:val="-5"/>
        </w:rPr>
        <w:t>），医疗垃圾属于危险废物，废物类别为</w:t>
      </w:r>
      <w:r>
        <w:rPr>
          <w:rFonts w:ascii="Times New Roman" w:eastAsia="Times New Roman"/>
        </w:rPr>
        <w:t>HW01</w:t>
      </w:r>
      <w:r>
        <w:t>医疗废物</w:t>
      </w:r>
      <w:r>
        <w:rPr>
          <w:color w:val="0000FF"/>
        </w:rPr>
        <w:t>。消毒、防疫垃圾由项目所在乡镇</w:t>
      </w:r>
      <w:r>
        <w:rPr>
          <w:rFonts w:hint="eastAsia"/>
          <w:color w:val="0000FF"/>
          <w:lang w:val="en-US" w:eastAsia="zh-CN"/>
        </w:rPr>
        <w:t>莎车</w:t>
      </w:r>
      <w:r>
        <w:rPr>
          <w:color w:val="0000FF"/>
        </w:rPr>
        <w:t>乡兽医站以及村级防疫中心委托有资质的单位处理处置。</w:t>
      </w:r>
    </w:p>
    <w:p>
      <w:pPr>
        <w:pStyle w:val="17"/>
        <w:numPr>
          <w:ilvl w:val="0"/>
          <w:numId w:val="33"/>
        </w:numPr>
        <w:tabs>
          <w:tab w:val="left" w:pos="1621"/>
        </w:tabs>
        <w:spacing w:before="0" w:after="0" w:line="256" w:lineRule="exact"/>
        <w:ind w:left="1621" w:right="0" w:hanging="601"/>
        <w:jc w:val="left"/>
        <w:rPr>
          <w:sz w:val="24"/>
        </w:rPr>
      </w:pPr>
      <w:r>
        <w:rPr>
          <w:sz w:val="24"/>
        </w:rPr>
        <w:t>兽用医疗废物</w:t>
      </w:r>
    </w:p>
    <w:p>
      <w:pPr>
        <w:pStyle w:val="7"/>
        <w:spacing w:before="161" w:line="364" w:lineRule="auto"/>
        <w:ind w:right="577" w:firstLine="480"/>
        <w:jc w:val="both"/>
        <w:rPr>
          <w:color w:val="0000FF"/>
        </w:rPr>
      </w:pPr>
      <w:r>
        <w:rPr>
          <w:color w:val="0000FF"/>
          <w:spacing w:val="1"/>
        </w:rPr>
        <w:t>本项目充分发挥</w:t>
      </w:r>
      <w:r>
        <w:rPr>
          <w:rFonts w:hint="eastAsia"/>
          <w:color w:val="0000FF"/>
          <w:spacing w:val="1"/>
          <w:lang w:val="en-US" w:eastAsia="zh-CN"/>
        </w:rPr>
        <w:t>莎车</w:t>
      </w:r>
      <w:r>
        <w:rPr>
          <w:color w:val="0000FF"/>
          <w:spacing w:val="1"/>
        </w:rPr>
        <w:t>县农业农村局和</w:t>
      </w:r>
      <w:r>
        <w:rPr>
          <w:rFonts w:hint="eastAsia"/>
          <w:color w:val="0000FF"/>
          <w:spacing w:val="1"/>
          <w:lang w:val="en-US" w:eastAsia="zh-CN"/>
        </w:rPr>
        <w:t>莎车</w:t>
      </w:r>
      <w:r>
        <w:rPr>
          <w:color w:val="0000FF"/>
          <w:spacing w:val="1"/>
        </w:rPr>
        <w:t>乡镇兽医站以及村级防疫中心在</w:t>
      </w:r>
      <w:r>
        <w:rPr>
          <w:color w:val="0000FF"/>
          <w:spacing w:val="-9"/>
        </w:rPr>
        <w:t>养殖工作的作用，负责标准化羊产业养殖场的日常防疫工作；</w:t>
      </w:r>
      <w:r>
        <w:rPr>
          <w:rFonts w:hint="eastAsia"/>
          <w:color w:val="0000FF"/>
          <w:spacing w:val="-9"/>
          <w:lang w:eastAsia="zh-CN"/>
        </w:rPr>
        <w:t>莎车</w:t>
      </w:r>
      <w:r>
        <w:rPr>
          <w:color w:val="0000FF"/>
          <w:spacing w:val="-9"/>
        </w:rPr>
        <w:t>县农业农村局</w:t>
      </w:r>
      <w:r>
        <w:rPr>
          <w:color w:val="0000FF"/>
        </w:rPr>
        <w:t>作为技术指导单位，负责羊产业养殖场的全局防疫工作。</w:t>
      </w:r>
    </w:p>
    <w:p>
      <w:pPr>
        <w:pStyle w:val="7"/>
        <w:spacing w:before="2" w:line="364" w:lineRule="auto"/>
        <w:ind w:right="575" w:firstLine="480"/>
        <w:jc w:val="both"/>
      </w:pPr>
      <w:r>
        <w:rPr>
          <w:spacing w:val="-6"/>
        </w:rPr>
        <w:t>兽用医疗废物包括治疗羊感染性疾病、损伤性疾病等产生的医疗废弃物，主</w:t>
      </w:r>
      <w:r>
        <w:rPr>
          <w:spacing w:val="-10"/>
        </w:rPr>
        <w:t>要为注射器、输液管、棉球、棉签、纱布、玻璃药剂瓶等。参考《规模养殖场动</w:t>
      </w:r>
      <w:r>
        <w:t>物医疗废弃物产生量的统计试验》文献可知，羊只的兽用医疗废弃物产生量为</w:t>
      </w:r>
      <w:r>
        <w:rPr>
          <w:rFonts w:ascii="Times New Roman" w:eastAsia="Times New Roman"/>
        </w:rPr>
        <w:t>6.75t/a</w:t>
      </w:r>
      <w:r>
        <w:t>。</w:t>
      </w:r>
    </w:p>
    <w:p>
      <w:pPr>
        <w:pStyle w:val="7"/>
        <w:spacing w:before="2" w:line="364" w:lineRule="auto"/>
        <w:ind w:right="575" w:firstLine="480"/>
        <w:jc w:val="both"/>
      </w:pPr>
      <w:r>
        <w:rPr>
          <w:spacing w:val="-8"/>
        </w:rPr>
        <w:t>根据《国家危险废物名录》</w:t>
      </w:r>
      <w:r>
        <w:rPr>
          <w:spacing w:val="-5"/>
        </w:rPr>
        <w:t>（</w:t>
      </w:r>
      <w:r>
        <w:rPr>
          <w:rFonts w:ascii="Times New Roman" w:hAnsi="Times New Roman" w:eastAsia="Times New Roman"/>
          <w:spacing w:val="-5"/>
        </w:rPr>
        <w:t>2016</w:t>
      </w:r>
      <w:r>
        <w:rPr>
          <w:spacing w:val="-5"/>
        </w:rPr>
        <w:t>），医疗垃圾属于危险废物，废物类别为</w:t>
      </w:r>
      <w:r>
        <w:t>“</w:t>
      </w:r>
      <w:r>
        <w:rPr>
          <w:rFonts w:ascii="Times New Roman" w:hAnsi="Times New Roman" w:eastAsia="Times New Roman"/>
        </w:rPr>
        <w:t>HW01</w:t>
      </w:r>
      <w:r>
        <w:t>医疗废物”。兽用医疗废物由项目所在乡镇</w:t>
      </w:r>
      <w:r>
        <w:rPr>
          <w:rFonts w:hint="eastAsia"/>
          <w:lang w:eastAsia="zh-CN"/>
        </w:rPr>
        <w:t>莎车</w:t>
      </w:r>
      <w:r>
        <w:t>乡兽医站以及村级防疫中心委托有资质的单位处理处置。</w:t>
      </w:r>
    </w:p>
    <w:p>
      <w:pPr>
        <w:pStyle w:val="17"/>
        <w:numPr>
          <w:ilvl w:val="0"/>
          <w:numId w:val="34"/>
        </w:numPr>
        <w:tabs>
          <w:tab w:val="left" w:pos="1621"/>
        </w:tabs>
        <w:spacing w:before="2" w:after="0" w:line="240" w:lineRule="auto"/>
        <w:ind w:left="1621" w:right="0" w:hanging="601"/>
        <w:jc w:val="left"/>
        <w:rPr>
          <w:sz w:val="24"/>
        </w:rPr>
      </w:pPr>
      <w:r>
        <w:rPr>
          <w:sz w:val="24"/>
        </w:rPr>
        <w:t>员工生活垃圾</w:t>
      </w:r>
    </w:p>
    <w:p>
      <w:pPr>
        <w:pStyle w:val="7"/>
        <w:spacing w:before="3" w:line="364" w:lineRule="auto"/>
        <w:ind w:left="220" w:right="317" w:firstLine="480"/>
        <w:jc w:val="both"/>
        <w:rPr>
          <w:color w:val="0000FF"/>
        </w:rPr>
      </w:pPr>
      <w:r>
        <w:rPr>
          <w:color w:val="0000FF"/>
          <w:spacing w:val="-3"/>
        </w:rPr>
        <w:t>本项目劳动定员</w:t>
      </w:r>
      <w:r>
        <w:rPr>
          <w:rFonts w:ascii="Times New Roman" w:eastAsia="Times New Roman"/>
          <w:color w:val="0000FF"/>
        </w:rPr>
        <w:t>30</w:t>
      </w:r>
      <w:r>
        <w:rPr>
          <w:color w:val="0000FF"/>
          <w:spacing w:val="-2"/>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17"/>
        <w:numPr>
          <w:ilvl w:val="0"/>
          <w:numId w:val="34"/>
        </w:numPr>
        <w:tabs>
          <w:tab w:val="left" w:pos="1621"/>
        </w:tabs>
        <w:spacing w:before="2" w:after="0" w:line="240" w:lineRule="auto"/>
        <w:ind w:left="1621" w:right="0" w:hanging="601"/>
        <w:jc w:val="left"/>
        <w:rPr>
          <w:sz w:val="24"/>
        </w:rPr>
      </w:pPr>
      <w:r>
        <w:rPr>
          <w:sz w:val="24"/>
        </w:rPr>
        <w:t>固体废物产生及处置情况汇总</w:t>
      </w:r>
    </w:p>
    <w:p>
      <w:pPr>
        <w:pStyle w:val="7"/>
        <w:spacing w:before="160"/>
        <w:ind w:left="1020"/>
      </w:pPr>
      <w:r>
        <w:rPr>
          <w:spacing w:val="-4"/>
        </w:rPr>
        <w:t>项目固体废物产生及处置情况一览表见表</w:t>
      </w:r>
      <w:r>
        <w:rPr>
          <w:rFonts w:ascii="Times New Roman" w:eastAsia="Times New Roman"/>
        </w:rPr>
        <w:t>3.2-12</w:t>
      </w:r>
      <w:r>
        <w:t>。</w:t>
      </w:r>
    </w:p>
    <w:p>
      <w:pPr>
        <w:pStyle w:val="7"/>
        <w:spacing w:before="9"/>
        <w:ind w:left="0"/>
        <w:rPr>
          <w:sz w:val="18"/>
        </w:rPr>
      </w:pPr>
    </w:p>
    <w:p>
      <w:pPr>
        <w:pStyle w:val="7"/>
        <w:bidi w:val="0"/>
        <w:jc w:val="center"/>
      </w:pPr>
      <w:r>
        <w:t>表</w:t>
      </w:r>
      <w:r>
        <w:rPr>
          <w:rFonts w:ascii="Times New Roman" w:eastAsia="Times New Roman"/>
        </w:rPr>
        <w:t>3.2-12</w:t>
      </w:r>
      <w:r>
        <w:rPr>
          <w:rFonts w:ascii="Times New Roman" w:eastAsia="Times New Roman"/>
        </w:rPr>
        <w:tab/>
      </w:r>
      <w:r>
        <w:t>项目固体废弃物产生及处置情况一览表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
        <w:gridCol w:w="1045"/>
        <w:gridCol w:w="1508"/>
        <w:gridCol w:w="1263"/>
        <w:gridCol w:w="1142"/>
        <w:gridCol w:w="3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Borders>
              <w:tl2br w:val="nil"/>
              <w:tr2bl w:val="nil"/>
            </w:tcBorders>
          </w:tcPr>
          <w:p>
            <w:pPr>
              <w:pStyle w:val="18"/>
              <w:spacing w:line="240" w:lineRule="exact"/>
              <w:ind w:left="118" w:right="110"/>
              <w:jc w:val="left"/>
              <w:rPr>
                <w:b/>
                <w:color w:val="0000FF"/>
                <w:sz w:val="21"/>
              </w:rPr>
            </w:pPr>
            <w:r>
              <w:rPr>
                <w:b/>
                <w:color w:val="0000FF"/>
                <w:sz w:val="21"/>
              </w:rPr>
              <w:t>序号</w:t>
            </w:r>
          </w:p>
        </w:tc>
        <w:tc>
          <w:tcPr>
            <w:tcW w:w="1045" w:type="dxa"/>
            <w:tcBorders>
              <w:tl2br w:val="nil"/>
              <w:tr2bl w:val="nil"/>
            </w:tcBorders>
          </w:tcPr>
          <w:p>
            <w:pPr>
              <w:pStyle w:val="18"/>
              <w:spacing w:line="240" w:lineRule="exact"/>
              <w:ind w:left="417" w:right="195" w:hanging="212"/>
              <w:jc w:val="left"/>
              <w:rPr>
                <w:b/>
                <w:color w:val="0000FF"/>
                <w:sz w:val="21"/>
              </w:rPr>
            </w:pPr>
            <w:r>
              <w:rPr>
                <w:b/>
                <w:color w:val="0000FF"/>
                <w:sz w:val="21"/>
              </w:rPr>
              <w:t>废物名称</w:t>
            </w:r>
          </w:p>
        </w:tc>
        <w:tc>
          <w:tcPr>
            <w:tcW w:w="1508" w:type="dxa"/>
            <w:tcBorders>
              <w:tl2br w:val="nil"/>
              <w:tr2bl w:val="nil"/>
            </w:tcBorders>
          </w:tcPr>
          <w:p>
            <w:pPr>
              <w:pStyle w:val="18"/>
              <w:spacing w:line="240" w:lineRule="exact"/>
              <w:ind w:left="649" w:right="109" w:hanging="526"/>
              <w:jc w:val="left"/>
              <w:rPr>
                <w:b/>
                <w:color w:val="0000FF"/>
                <w:sz w:val="21"/>
              </w:rPr>
            </w:pPr>
            <w:r>
              <w:rPr>
                <w:b/>
                <w:color w:val="0000FF"/>
                <w:sz w:val="21"/>
              </w:rPr>
              <w:t>产生工序及装置</w:t>
            </w:r>
          </w:p>
        </w:tc>
        <w:tc>
          <w:tcPr>
            <w:tcW w:w="1263" w:type="dxa"/>
            <w:tcBorders>
              <w:tl2br w:val="nil"/>
              <w:tr2bl w:val="nil"/>
            </w:tcBorders>
          </w:tcPr>
          <w:p>
            <w:pPr>
              <w:pStyle w:val="18"/>
              <w:spacing w:before="102"/>
              <w:ind w:left="120" w:right="112"/>
              <w:rPr>
                <w:b/>
                <w:color w:val="0000FF"/>
                <w:sz w:val="21"/>
              </w:rPr>
            </w:pPr>
            <w:r>
              <w:rPr>
                <w:b/>
                <w:color w:val="0000FF"/>
                <w:sz w:val="21"/>
              </w:rPr>
              <w:t>属性</w:t>
            </w:r>
          </w:p>
        </w:tc>
        <w:tc>
          <w:tcPr>
            <w:tcW w:w="1142" w:type="dxa"/>
            <w:tcBorders>
              <w:tl2br w:val="nil"/>
              <w:tr2bl w:val="nil"/>
            </w:tcBorders>
          </w:tcPr>
          <w:p>
            <w:pPr>
              <w:pStyle w:val="18"/>
              <w:spacing w:line="237" w:lineRule="exact"/>
              <w:ind w:left="256"/>
              <w:jc w:val="left"/>
              <w:rPr>
                <w:b/>
                <w:color w:val="0000FF"/>
                <w:sz w:val="21"/>
              </w:rPr>
            </w:pPr>
            <w:r>
              <w:rPr>
                <w:b/>
                <w:color w:val="0000FF"/>
                <w:w w:val="95"/>
                <w:sz w:val="21"/>
              </w:rPr>
              <w:t>产生量</w:t>
            </w:r>
          </w:p>
          <w:p>
            <w:pPr>
              <w:pStyle w:val="18"/>
              <w:spacing w:line="223" w:lineRule="exact"/>
              <w:ind w:left="244"/>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c>
          <w:tcPr>
            <w:tcW w:w="3111" w:type="dxa"/>
            <w:tcBorders>
              <w:tl2br w:val="nil"/>
              <w:tr2bl w:val="nil"/>
            </w:tcBorders>
          </w:tcPr>
          <w:p>
            <w:pPr>
              <w:pStyle w:val="18"/>
              <w:spacing w:before="102"/>
              <w:ind w:left="895"/>
              <w:jc w:val="left"/>
              <w:rPr>
                <w:b/>
                <w:color w:val="0000FF"/>
                <w:sz w:val="21"/>
              </w:rPr>
            </w:pPr>
            <w:r>
              <w:rPr>
                <w:b/>
                <w:color w:val="0000FF"/>
                <w:sz w:val="21"/>
              </w:rPr>
              <w:t>去向</w:t>
            </w:r>
            <w:r>
              <w:rPr>
                <w:rFonts w:ascii="Times New Roman" w:eastAsia="Times New Roman"/>
                <w:b/>
                <w:color w:val="0000FF"/>
                <w:sz w:val="21"/>
              </w:rPr>
              <w:t>/</w:t>
            </w:r>
            <w:r>
              <w:rPr>
                <w:b/>
                <w:color w:val="0000FF"/>
                <w:sz w:val="21"/>
              </w:rPr>
              <w:t>处置措施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Borders>
              <w:tl2br w:val="nil"/>
              <w:tr2bl w:val="nil"/>
            </w:tcBorders>
          </w:tcPr>
          <w:p>
            <w:pPr>
              <w:pStyle w:val="18"/>
              <w:spacing w:before="118"/>
              <w:ind w:left="7"/>
              <w:rPr>
                <w:rFonts w:ascii="Times New Roman"/>
                <w:color w:val="0000FF"/>
                <w:sz w:val="21"/>
              </w:rPr>
            </w:pPr>
            <w:r>
              <w:rPr>
                <w:rFonts w:ascii="Times New Roman"/>
                <w:color w:val="0000FF"/>
                <w:w w:val="99"/>
                <w:sz w:val="21"/>
              </w:rPr>
              <w:t>1</w:t>
            </w:r>
          </w:p>
        </w:tc>
        <w:tc>
          <w:tcPr>
            <w:tcW w:w="1045" w:type="dxa"/>
            <w:tcBorders>
              <w:tl2br w:val="nil"/>
              <w:tr2bl w:val="nil"/>
            </w:tcBorders>
          </w:tcPr>
          <w:p>
            <w:pPr>
              <w:pStyle w:val="18"/>
              <w:spacing w:before="105"/>
              <w:ind w:left="185" w:right="179"/>
              <w:rPr>
                <w:color w:val="0000FF"/>
                <w:sz w:val="21"/>
              </w:rPr>
            </w:pPr>
            <w:r>
              <w:rPr>
                <w:color w:val="0000FF"/>
                <w:sz w:val="21"/>
              </w:rPr>
              <w:t>羊粪</w:t>
            </w:r>
          </w:p>
        </w:tc>
        <w:tc>
          <w:tcPr>
            <w:tcW w:w="1508" w:type="dxa"/>
            <w:tcBorders>
              <w:tl2br w:val="nil"/>
              <w:tr2bl w:val="nil"/>
            </w:tcBorders>
          </w:tcPr>
          <w:p>
            <w:pPr>
              <w:pStyle w:val="18"/>
              <w:spacing w:before="105"/>
              <w:ind w:left="332"/>
              <w:jc w:val="left"/>
              <w:rPr>
                <w:color w:val="0000FF"/>
                <w:sz w:val="21"/>
              </w:rPr>
            </w:pPr>
            <w:r>
              <w:rPr>
                <w:color w:val="0000FF"/>
                <w:sz w:val="21"/>
              </w:rPr>
              <w:t>全部羊舍</w:t>
            </w:r>
          </w:p>
        </w:tc>
        <w:tc>
          <w:tcPr>
            <w:tcW w:w="1263" w:type="dxa"/>
            <w:vMerge w:val="restart"/>
            <w:tcBorders>
              <w:tl2br w:val="nil"/>
              <w:tr2bl w:val="nil"/>
            </w:tcBorders>
          </w:tcPr>
          <w:p>
            <w:pPr>
              <w:pStyle w:val="18"/>
              <w:jc w:val="left"/>
              <w:rPr>
                <w:b/>
                <w:color w:val="0000FF"/>
                <w:sz w:val="20"/>
              </w:rPr>
            </w:pPr>
          </w:p>
          <w:p>
            <w:pPr>
              <w:pStyle w:val="18"/>
              <w:jc w:val="left"/>
              <w:rPr>
                <w:b/>
                <w:color w:val="0000FF"/>
                <w:sz w:val="20"/>
              </w:rPr>
            </w:pPr>
          </w:p>
          <w:p>
            <w:pPr>
              <w:pStyle w:val="18"/>
              <w:spacing w:before="3"/>
              <w:jc w:val="left"/>
              <w:rPr>
                <w:b/>
                <w:color w:val="0000FF"/>
                <w:sz w:val="16"/>
              </w:rPr>
            </w:pPr>
          </w:p>
          <w:p>
            <w:pPr>
              <w:pStyle w:val="18"/>
              <w:spacing w:line="213" w:lineRule="auto"/>
              <w:ind w:left="211" w:right="201"/>
              <w:jc w:val="left"/>
              <w:rPr>
                <w:color w:val="0000FF"/>
                <w:sz w:val="21"/>
              </w:rPr>
            </w:pPr>
            <w:r>
              <w:rPr>
                <w:color w:val="0000FF"/>
                <w:sz w:val="21"/>
              </w:rPr>
              <w:t>一般工业固体废物</w:t>
            </w:r>
          </w:p>
        </w:tc>
        <w:tc>
          <w:tcPr>
            <w:tcW w:w="1142" w:type="dxa"/>
            <w:tcBorders>
              <w:tl2br w:val="nil"/>
              <w:tr2bl w:val="nil"/>
            </w:tcBorders>
          </w:tcPr>
          <w:p>
            <w:pPr>
              <w:pStyle w:val="18"/>
              <w:spacing w:before="118"/>
              <w:ind w:right="216"/>
              <w:jc w:val="center"/>
              <w:rPr>
                <w:rFonts w:hint="default" w:ascii="Times New Roman" w:eastAsia="宋体"/>
                <w:color w:val="0000FF"/>
                <w:sz w:val="21"/>
                <w:lang w:val="en-US" w:eastAsia="zh-CN"/>
              </w:rPr>
            </w:pPr>
            <w:r>
              <w:rPr>
                <w:rFonts w:hint="eastAsia" w:ascii="Times New Roman"/>
                <w:color w:val="0000FF"/>
                <w:w w:val="95"/>
                <w:sz w:val="21"/>
                <w:lang w:val="en-US" w:eastAsia="zh-CN"/>
              </w:rPr>
              <w:t>39785</w:t>
            </w:r>
          </w:p>
        </w:tc>
        <w:tc>
          <w:tcPr>
            <w:tcW w:w="3111" w:type="dxa"/>
            <w:tcBorders>
              <w:tl2br w:val="nil"/>
              <w:tr2bl w:val="nil"/>
            </w:tcBorders>
          </w:tcPr>
          <w:p>
            <w:pPr>
              <w:pStyle w:val="18"/>
              <w:spacing w:line="240" w:lineRule="exact"/>
              <w:ind w:left="108" w:right="35"/>
              <w:jc w:val="left"/>
              <w:rPr>
                <w:color w:val="0000FF"/>
                <w:sz w:val="21"/>
              </w:rPr>
            </w:pPr>
            <w:r>
              <w:rPr>
                <w:color w:val="0000FF"/>
                <w:sz w:val="21"/>
              </w:rPr>
              <w:t>羊粪采用干清粪工艺，清运至堆肥厂，制成有机肥外售。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0" w:type="dxa"/>
            <w:tcBorders>
              <w:tl2br w:val="nil"/>
              <w:tr2bl w:val="nil"/>
            </w:tcBorders>
          </w:tcPr>
          <w:p>
            <w:pPr>
              <w:pStyle w:val="18"/>
              <w:spacing w:before="7"/>
              <w:jc w:val="left"/>
              <w:rPr>
                <w:b/>
                <w:color w:val="0000FF"/>
                <w:sz w:val="18"/>
              </w:rPr>
            </w:pPr>
          </w:p>
          <w:p>
            <w:pPr>
              <w:pStyle w:val="18"/>
              <w:ind w:left="7"/>
              <w:rPr>
                <w:rFonts w:ascii="Times New Roman"/>
                <w:color w:val="0000FF"/>
                <w:sz w:val="21"/>
              </w:rPr>
            </w:pPr>
            <w:r>
              <w:rPr>
                <w:rFonts w:ascii="Times New Roman"/>
                <w:color w:val="0000FF"/>
                <w:w w:val="99"/>
                <w:sz w:val="21"/>
              </w:rPr>
              <w:t>2</w:t>
            </w:r>
          </w:p>
        </w:tc>
        <w:tc>
          <w:tcPr>
            <w:tcW w:w="1045" w:type="dxa"/>
            <w:tcBorders>
              <w:tl2br w:val="nil"/>
              <w:tr2bl w:val="nil"/>
            </w:tcBorders>
          </w:tcPr>
          <w:p>
            <w:pPr>
              <w:pStyle w:val="18"/>
              <w:spacing w:before="125" w:line="213" w:lineRule="auto"/>
              <w:ind w:left="417" w:right="197" w:hanging="212"/>
              <w:jc w:val="left"/>
              <w:rPr>
                <w:color w:val="0000FF"/>
                <w:sz w:val="21"/>
              </w:rPr>
            </w:pPr>
            <w:r>
              <w:rPr>
                <w:color w:val="0000FF"/>
                <w:sz w:val="21"/>
              </w:rPr>
              <w:t>废弃垫料</w:t>
            </w:r>
          </w:p>
        </w:tc>
        <w:tc>
          <w:tcPr>
            <w:tcW w:w="1508" w:type="dxa"/>
            <w:tcBorders>
              <w:tl2br w:val="nil"/>
              <w:tr2bl w:val="nil"/>
            </w:tcBorders>
          </w:tcPr>
          <w:p>
            <w:pPr>
              <w:pStyle w:val="18"/>
              <w:spacing w:before="4"/>
              <w:jc w:val="left"/>
              <w:rPr>
                <w:b/>
                <w:color w:val="0000FF"/>
                <w:sz w:val="17"/>
              </w:rPr>
            </w:pPr>
          </w:p>
          <w:p>
            <w:pPr>
              <w:pStyle w:val="18"/>
              <w:ind w:left="332"/>
              <w:jc w:val="left"/>
              <w:rPr>
                <w:color w:val="0000FF"/>
                <w:sz w:val="21"/>
              </w:rPr>
            </w:pPr>
            <w:r>
              <w:rPr>
                <w:color w:val="0000FF"/>
                <w:sz w:val="21"/>
              </w:rPr>
              <w:t>全部羊舍</w:t>
            </w:r>
          </w:p>
        </w:tc>
        <w:tc>
          <w:tcPr>
            <w:tcW w:w="1263" w:type="dxa"/>
            <w:vMerge w:val="continue"/>
            <w:tcBorders>
              <w:tl2br w:val="nil"/>
              <w:tr2bl w:val="nil"/>
            </w:tcBorders>
          </w:tcPr>
          <w:p>
            <w:pPr>
              <w:rPr>
                <w:color w:val="0000FF"/>
                <w:sz w:val="2"/>
                <w:szCs w:val="2"/>
              </w:rPr>
            </w:pPr>
          </w:p>
        </w:tc>
        <w:tc>
          <w:tcPr>
            <w:tcW w:w="1142" w:type="dxa"/>
            <w:tcBorders>
              <w:tl2br w:val="nil"/>
              <w:tr2bl w:val="nil"/>
            </w:tcBorders>
          </w:tcPr>
          <w:p>
            <w:pPr>
              <w:pStyle w:val="18"/>
              <w:spacing w:before="5"/>
              <w:jc w:val="center"/>
              <w:rPr>
                <w:b/>
                <w:color w:val="0000FF"/>
                <w:sz w:val="18"/>
              </w:rPr>
            </w:pPr>
          </w:p>
          <w:p>
            <w:pPr>
              <w:pStyle w:val="18"/>
              <w:ind w:right="271"/>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24</w:t>
            </w:r>
          </w:p>
        </w:tc>
        <w:tc>
          <w:tcPr>
            <w:tcW w:w="3111" w:type="dxa"/>
            <w:tcBorders>
              <w:tl2br w:val="nil"/>
              <w:tr2bl w:val="nil"/>
            </w:tcBorders>
          </w:tcPr>
          <w:p>
            <w:pPr>
              <w:pStyle w:val="18"/>
              <w:spacing w:line="240" w:lineRule="exact"/>
              <w:ind w:left="108" w:right="98"/>
              <w:jc w:val="both"/>
              <w:rPr>
                <w:color w:val="0000FF"/>
                <w:sz w:val="21"/>
              </w:rPr>
            </w:pPr>
            <w:r>
              <w:rPr>
                <w:color w:val="0000FF"/>
                <w:spacing w:val="-8"/>
                <w:sz w:val="21"/>
              </w:rPr>
              <w:t>垫料层与羊粪、粪渣一起进入堆</w:t>
            </w:r>
            <w:r>
              <w:rPr>
                <w:color w:val="0000FF"/>
                <w:spacing w:val="-5"/>
                <w:sz w:val="21"/>
              </w:rPr>
              <w:t>肥厂高温发酵无害化处理，不外</w:t>
            </w:r>
            <w:r>
              <w:rPr>
                <w:color w:val="0000FF"/>
                <w:sz w:val="21"/>
              </w:rPr>
              <w:t>排，实现综合利用。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Borders>
              <w:tl2br w:val="nil"/>
              <w:tr2bl w:val="nil"/>
            </w:tcBorders>
          </w:tcPr>
          <w:p>
            <w:pPr>
              <w:pStyle w:val="18"/>
              <w:spacing w:before="48"/>
              <w:ind w:left="7"/>
              <w:rPr>
                <w:rFonts w:ascii="Times New Roman"/>
                <w:color w:val="0000FF"/>
                <w:sz w:val="21"/>
              </w:rPr>
            </w:pPr>
            <w:r>
              <w:rPr>
                <w:rFonts w:ascii="Times New Roman"/>
                <w:color w:val="0000FF"/>
                <w:w w:val="99"/>
                <w:sz w:val="21"/>
              </w:rPr>
              <w:t>3</w:t>
            </w:r>
          </w:p>
        </w:tc>
        <w:tc>
          <w:tcPr>
            <w:tcW w:w="1045" w:type="dxa"/>
            <w:tcBorders>
              <w:tl2br w:val="nil"/>
              <w:tr2bl w:val="nil"/>
            </w:tcBorders>
          </w:tcPr>
          <w:p>
            <w:pPr>
              <w:pStyle w:val="18"/>
              <w:spacing w:before="34"/>
              <w:ind w:left="185" w:right="179"/>
              <w:rPr>
                <w:color w:val="0000FF"/>
                <w:sz w:val="21"/>
              </w:rPr>
            </w:pPr>
            <w:r>
              <w:rPr>
                <w:color w:val="0000FF"/>
                <w:sz w:val="21"/>
              </w:rPr>
              <w:t>肉骨粉</w:t>
            </w:r>
          </w:p>
        </w:tc>
        <w:tc>
          <w:tcPr>
            <w:tcW w:w="1508" w:type="dxa"/>
            <w:vMerge w:val="restart"/>
            <w:tcBorders>
              <w:tl2br w:val="nil"/>
              <w:tr2bl w:val="nil"/>
            </w:tcBorders>
          </w:tcPr>
          <w:p>
            <w:pPr>
              <w:pStyle w:val="18"/>
              <w:spacing w:before="110" w:line="213" w:lineRule="auto"/>
              <w:ind w:left="229" w:right="114" w:hanging="106"/>
              <w:jc w:val="left"/>
              <w:rPr>
                <w:color w:val="0000FF"/>
                <w:sz w:val="21"/>
              </w:rPr>
            </w:pPr>
            <w:r>
              <w:rPr>
                <w:color w:val="0000FF"/>
                <w:sz w:val="21"/>
              </w:rPr>
              <w:t>病死畜禽无害化处理车间</w:t>
            </w:r>
          </w:p>
        </w:tc>
        <w:tc>
          <w:tcPr>
            <w:tcW w:w="1263" w:type="dxa"/>
            <w:vMerge w:val="continue"/>
            <w:tcBorders>
              <w:tl2br w:val="nil"/>
              <w:tr2bl w:val="nil"/>
            </w:tcBorders>
          </w:tcPr>
          <w:p>
            <w:pPr>
              <w:rPr>
                <w:color w:val="0000FF"/>
                <w:sz w:val="2"/>
                <w:szCs w:val="2"/>
              </w:rPr>
            </w:pPr>
          </w:p>
        </w:tc>
        <w:tc>
          <w:tcPr>
            <w:tcW w:w="1142" w:type="dxa"/>
            <w:tcBorders>
              <w:tl2br w:val="nil"/>
              <w:tr2bl w:val="nil"/>
            </w:tcBorders>
          </w:tcPr>
          <w:p>
            <w:pPr>
              <w:pStyle w:val="18"/>
              <w:spacing w:before="48"/>
              <w:ind w:right="322"/>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2.64</w:t>
            </w:r>
          </w:p>
        </w:tc>
        <w:tc>
          <w:tcPr>
            <w:tcW w:w="3111" w:type="dxa"/>
            <w:tcBorders>
              <w:tl2br w:val="nil"/>
              <w:tr2bl w:val="nil"/>
            </w:tcBorders>
          </w:tcPr>
          <w:p>
            <w:pPr>
              <w:pStyle w:val="18"/>
              <w:spacing w:before="34"/>
              <w:ind w:left="108"/>
              <w:jc w:val="left"/>
              <w:rPr>
                <w:color w:val="0000FF"/>
                <w:sz w:val="21"/>
              </w:rPr>
            </w:pPr>
            <w:r>
              <w:rPr>
                <w:color w:val="0000FF"/>
                <w:sz w:val="21"/>
              </w:rPr>
              <w:t>出售给肉骨粉干品生产厂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Borders>
              <w:tl2br w:val="nil"/>
              <w:tr2bl w:val="nil"/>
            </w:tcBorders>
          </w:tcPr>
          <w:p>
            <w:pPr>
              <w:pStyle w:val="18"/>
              <w:spacing w:before="48"/>
              <w:ind w:left="7"/>
              <w:rPr>
                <w:rFonts w:ascii="Times New Roman"/>
                <w:color w:val="0000FF"/>
                <w:sz w:val="21"/>
              </w:rPr>
            </w:pPr>
            <w:r>
              <w:rPr>
                <w:rFonts w:ascii="Times New Roman"/>
                <w:color w:val="0000FF"/>
                <w:w w:val="99"/>
                <w:sz w:val="21"/>
              </w:rPr>
              <w:t>4</w:t>
            </w:r>
          </w:p>
        </w:tc>
        <w:tc>
          <w:tcPr>
            <w:tcW w:w="1045" w:type="dxa"/>
            <w:tcBorders>
              <w:tl2br w:val="nil"/>
              <w:tr2bl w:val="nil"/>
            </w:tcBorders>
          </w:tcPr>
          <w:p>
            <w:pPr>
              <w:pStyle w:val="18"/>
              <w:spacing w:before="35"/>
              <w:ind w:left="185" w:right="179"/>
              <w:rPr>
                <w:color w:val="0000FF"/>
                <w:sz w:val="21"/>
              </w:rPr>
            </w:pPr>
            <w:r>
              <w:rPr>
                <w:color w:val="0000FF"/>
                <w:sz w:val="21"/>
              </w:rPr>
              <w:t>油脂</w:t>
            </w:r>
          </w:p>
        </w:tc>
        <w:tc>
          <w:tcPr>
            <w:tcW w:w="1508" w:type="dxa"/>
            <w:vMerge w:val="continue"/>
            <w:tcBorders>
              <w:tl2br w:val="nil"/>
              <w:tr2bl w:val="nil"/>
            </w:tcBorders>
          </w:tcPr>
          <w:p>
            <w:pPr>
              <w:rPr>
                <w:color w:val="0000FF"/>
                <w:sz w:val="2"/>
                <w:szCs w:val="2"/>
              </w:rPr>
            </w:pPr>
          </w:p>
        </w:tc>
        <w:tc>
          <w:tcPr>
            <w:tcW w:w="1263" w:type="dxa"/>
            <w:vMerge w:val="continue"/>
            <w:tcBorders>
              <w:tl2br w:val="nil"/>
              <w:tr2bl w:val="nil"/>
            </w:tcBorders>
          </w:tcPr>
          <w:p>
            <w:pPr>
              <w:rPr>
                <w:color w:val="0000FF"/>
                <w:sz w:val="2"/>
                <w:szCs w:val="2"/>
              </w:rPr>
            </w:pPr>
          </w:p>
        </w:tc>
        <w:tc>
          <w:tcPr>
            <w:tcW w:w="1142" w:type="dxa"/>
            <w:tcBorders>
              <w:tl2br w:val="nil"/>
              <w:tr2bl w:val="nil"/>
            </w:tcBorders>
          </w:tcPr>
          <w:p>
            <w:pPr>
              <w:pStyle w:val="18"/>
              <w:spacing w:before="48"/>
              <w:ind w:right="322"/>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1.04</w:t>
            </w:r>
          </w:p>
        </w:tc>
        <w:tc>
          <w:tcPr>
            <w:tcW w:w="3111" w:type="dxa"/>
            <w:tcBorders>
              <w:tl2br w:val="nil"/>
              <w:tr2bl w:val="nil"/>
            </w:tcBorders>
          </w:tcPr>
          <w:p>
            <w:pPr>
              <w:pStyle w:val="18"/>
              <w:spacing w:before="35"/>
              <w:ind w:left="108"/>
              <w:jc w:val="left"/>
              <w:rPr>
                <w:color w:val="0000FF"/>
                <w:sz w:val="21"/>
              </w:rPr>
            </w:pPr>
            <w:r>
              <w:rPr>
                <w:color w:val="0000FF"/>
                <w:sz w:val="21"/>
              </w:rPr>
              <w:t>出售给工业用油脂厂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Borders>
              <w:tl2br w:val="nil"/>
              <w:tr2bl w:val="nil"/>
            </w:tcBorders>
          </w:tcPr>
          <w:p>
            <w:pPr>
              <w:pStyle w:val="18"/>
              <w:spacing w:before="118"/>
              <w:ind w:left="7"/>
              <w:rPr>
                <w:rFonts w:ascii="Times New Roman"/>
                <w:color w:val="0000FF"/>
                <w:sz w:val="21"/>
              </w:rPr>
            </w:pPr>
            <w:r>
              <w:rPr>
                <w:rFonts w:ascii="Times New Roman"/>
                <w:color w:val="0000FF"/>
                <w:w w:val="99"/>
                <w:sz w:val="21"/>
              </w:rPr>
              <w:t>5</w:t>
            </w:r>
          </w:p>
        </w:tc>
        <w:tc>
          <w:tcPr>
            <w:tcW w:w="1045" w:type="dxa"/>
            <w:tcBorders>
              <w:tl2br w:val="nil"/>
              <w:tr2bl w:val="nil"/>
            </w:tcBorders>
          </w:tcPr>
          <w:p>
            <w:pPr>
              <w:pStyle w:val="18"/>
              <w:spacing w:before="105"/>
              <w:ind w:left="185" w:right="179"/>
              <w:rPr>
                <w:color w:val="0000FF"/>
                <w:sz w:val="21"/>
              </w:rPr>
            </w:pPr>
            <w:r>
              <w:rPr>
                <w:color w:val="0000FF"/>
                <w:sz w:val="21"/>
              </w:rPr>
              <w:t>病死羊</w:t>
            </w:r>
          </w:p>
        </w:tc>
        <w:tc>
          <w:tcPr>
            <w:tcW w:w="1508" w:type="dxa"/>
            <w:tcBorders>
              <w:tl2br w:val="nil"/>
              <w:tr2bl w:val="nil"/>
            </w:tcBorders>
          </w:tcPr>
          <w:p>
            <w:pPr>
              <w:pStyle w:val="18"/>
              <w:spacing w:before="105"/>
              <w:ind w:left="332"/>
              <w:jc w:val="left"/>
              <w:rPr>
                <w:color w:val="0000FF"/>
                <w:sz w:val="21"/>
              </w:rPr>
            </w:pPr>
            <w:r>
              <w:rPr>
                <w:color w:val="0000FF"/>
                <w:sz w:val="21"/>
              </w:rPr>
              <w:t>养殖基地</w:t>
            </w:r>
          </w:p>
        </w:tc>
        <w:tc>
          <w:tcPr>
            <w:tcW w:w="1263" w:type="dxa"/>
            <w:tcBorders>
              <w:tl2br w:val="nil"/>
              <w:tr2bl w:val="nil"/>
            </w:tcBorders>
          </w:tcPr>
          <w:p>
            <w:pPr>
              <w:pStyle w:val="18"/>
              <w:spacing w:before="105"/>
              <w:ind w:left="120" w:right="112"/>
              <w:rPr>
                <w:color w:val="0000FF"/>
                <w:sz w:val="21"/>
              </w:rPr>
            </w:pPr>
            <w:r>
              <w:rPr>
                <w:color w:val="0000FF"/>
                <w:sz w:val="21"/>
              </w:rPr>
              <w:t>危险废物</w:t>
            </w:r>
          </w:p>
        </w:tc>
        <w:tc>
          <w:tcPr>
            <w:tcW w:w="1142" w:type="dxa"/>
            <w:tcBorders>
              <w:tl2br w:val="nil"/>
              <w:tr2bl w:val="nil"/>
            </w:tcBorders>
          </w:tcPr>
          <w:p>
            <w:pPr>
              <w:pStyle w:val="18"/>
              <w:spacing w:before="118"/>
              <w:jc w:val="center"/>
              <w:rPr>
                <w:rFonts w:hint="eastAsia" w:ascii="Times New Roman" w:eastAsia="宋体"/>
                <w:color w:val="0000FF"/>
                <w:sz w:val="21"/>
                <w:lang w:eastAsia="zh-CN"/>
              </w:rPr>
            </w:pPr>
            <w:r>
              <w:rPr>
                <w:rFonts w:hint="eastAsia" w:ascii="Times New Roman"/>
                <w:color w:val="0000FF"/>
                <w:sz w:val="21"/>
                <w:lang w:val="en-US" w:eastAsia="zh-CN"/>
              </w:rPr>
              <w:t>8</w:t>
            </w:r>
          </w:p>
        </w:tc>
        <w:tc>
          <w:tcPr>
            <w:tcW w:w="3111" w:type="dxa"/>
            <w:tcBorders>
              <w:tl2br w:val="nil"/>
              <w:tr2bl w:val="nil"/>
            </w:tcBorders>
          </w:tcPr>
          <w:p>
            <w:pPr>
              <w:pStyle w:val="18"/>
              <w:spacing w:line="240" w:lineRule="exact"/>
              <w:ind w:left="108" w:right="96"/>
              <w:jc w:val="left"/>
              <w:rPr>
                <w:color w:val="0000FF"/>
                <w:sz w:val="21"/>
              </w:rPr>
            </w:pPr>
            <w:r>
              <w:rPr>
                <w:color w:val="0000FF"/>
                <w:sz w:val="21"/>
              </w:rPr>
              <w:t>本项目病死羊采用干化法畜禽无害化处理方式处理，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0" w:type="dxa"/>
            <w:tcBorders>
              <w:tl2br w:val="nil"/>
              <w:tr2bl w:val="nil"/>
            </w:tcBorders>
          </w:tcPr>
          <w:p>
            <w:pPr>
              <w:pStyle w:val="18"/>
              <w:spacing w:before="5"/>
              <w:jc w:val="left"/>
              <w:rPr>
                <w:b/>
                <w:color w:val="0000FF"/>
                <w:sz w:val="18"/>
              </w:rPr>
            </w:pPr>
          </w:p>
          <w:p>
            <w:pPr>
              <w:pStyle w:val="18"/>
              <w:ind w:left="7"/>
              <w:rPr>
                <w:rFonts w:ascii="Times New Roman"/>
                <w:color w:val="0000FF"/>
                <w:sz w:val="21"/>
              </w:rPr>
            </w:pPr>
            <w:r>
              <w:rPr>
                <w:rFonts w:ascii="Times New Roman"/>
                <w:color w:val="0000FF"/>
                <w:w w:val="99"/>
                <w:sz w:val="21"/>
              </w:rPr>
              <w:t>6</w:t>
            </w:r>
          </w:p>
        </w:tc>
        <w:tc>
          <w:tcPr>
            <w:tcW w:w="1045" w:type="dxa"/>
            <w:tcBorders>
              <w:tl2br w:val="nil"/>
              <w:tr2bl w:val="nil"/>
            </w:tcBorders>
          </w:tcPr>
          <w:p>
            <w:pPr>
              <w:pStyle w:val="18"/>
              <w:spacing w:before="125" w:line="213" w:lineRule="auto"/>
              <w:ind w:left="206" w:right="52" w:hanging="99"/>
              <w:jc w:val="left"/>
              <w:rPr>
                <w:color w:val="0000FF"/>
                <w:sz w:val="21"/>
              </w:rPr>
            </w:pPr>
            <w:r>
              <w:rPr>
                <w:color w:val="0000FF"/>
                <w:sz w:val="21"/>
              </w:rPr>
              <w:t>消毒、防疫废物</w:t>
            </w:r>
          </w:p>
        </w:tc>
        <w:tc>
          <w:tcPr>
            <w:tcW w:w="1508" w:type="dxa"/>
            <w:tcBorders>
              <w:tl2br w:val="nil"/>
              <w:tr2bl w:val="nil"/>
            </w:tcBorders>
          </w:tcPr>
          <w:p>
            <w:pPr>
              <w:pStyle w:val="18"/>
              <w:spacing w:before="4"/>
              <w:jc w:val="left"/>
              <w:rPr>
                <w:b/>
                <w:color w:val="0000FF"/>
                <w:sz w:val="17"/>
              </w:rPr>
            </w:pPr>
          </w:p>
          <w:p>
            <w:pPr>
              <w:pStyle w:val="18"/>
              <w:ind w:left="332"/>
              <w:jc w:val="left"/>
              <w:rPr>
                <w:color w:val="0000FF"/>
                <w:sz w:val="21"/>
              </w:rPr>
            </w:pPr>
            <w:r>
              <w:rPr>
                <w:color w:val="0000FF"/>
                <w:sz w:val="21"/>
              </w:rPr>
              <w:t>卫生防疫</w:t>
            </w:r>
          </w:p>
        </w:tc>
        <w:tc>
          <w:tcPr>
            <w:tcW w:w="1263" w:type="dxa"/>
            <w:tcBorders>
              <w:tl2br w:val="nil"/>
              <w:tr2bl w:val="nil"/>
            </w:tcBorders>
          </w:tcPr>
          <w:p>
            <w:pPr>
              <w:pStyle w:val="18"/>
              <w:spacing w:line="244" w:lineRule="exact"/>
              <w:ind w:left="120" w:right="112"/>
              <w:rPr>
                <w:color w:val="0000FF"/>
                <w:sz w:val="21"/>
              </w:rPr>
            </w:pPr>
            <w:r>
              <w:rPr>
                <w:color w:val="0000FF"/>
                <w:sz w:val="21"/>
              </w:rPr>
              <w:t>医疗废物</w:t>
            </w:r>
          </w:p>
          <w:p>
            <w:pPr>
              <w:pStyle w:val="18"/>
              <w:spacing w:line="233" w:lineRule="exact"/>
              <w:ind w:left="119" w:right="112"/>
              <w:rPr>
                <w:rFonts w:ascii="Times New Roman"/>
                <w:color w:val="0000FF"/>
                <w:sz w:val="21"/>
              </w:rPr>
            </w:pPr>
            <w:r>
              <w:rPr>
                <w:rFonts w:ascii="Times New Roman"/>
                <w:color w:val="0000FF"/>
                <w:sz w:val="21"/>
              </w:rPr>
              <w:t>HW01</w:t>
            </w:r>
          </w:p>
          <w:p>
            <w:pPr>
              <w:pStyle w:val="18"/>
              <w:spacing w:line="223" w:lineRule="exact"/>
              <w:ind w:left="121" w:right="112"/>
              <w:rPr>
                <w:rFonts w:ascii="Times New Roman"/>
                <w:color w:val="0000FF"/>
                <w:sz w:val="21"/>
              </w:rPr>
            </w:pPr>
            <w:r>
              <w:rPr>
                <w:rFonts w:ascii="Times New Roman"/>
                <w:color w:val="0000FF"/>
                <w:sz w:val="21"/>
              </w:rPr>
              <w:t>900-001-01</w:t>
            </w:r>
          </w:p>
        </w:tc>
        <w:tc>
          <w:tcPr>
            <w:tcW w:w="1142" w:type="dxa"/>
            <w:tcBorders>
              <w:tl2br w:val="nil"/>
              <w:tr2bl w:val="nil"/>
            </w:tcBorders>
          </w:tcPr>
          <w:p>
            <w:pPr>
              <w:pStyle w:val="18"/>
              <w:spacing w:before="5"/>
              <w:jc w:val="center"/>
              <w:rPr>
                <w:b/>
                <w:color w:val="0000FF"/>
                <w:sz w:val="18"/>
              </w:rPr>
            </w:pPr>
          </w:p>
          <w:p>
            <w:pPr>
              <w:pStyle w:val="18"/>
              <w:ind w:right="410"/>
              <w:jc w:val="center"/>
              <w:rPr>
                <w:rFonts w:ascii="Times New Roman"/>
                <w:color w:val="0000FF"/>
                <w:sz w:val="21"/>
              </w:rPr>
            </w:pPr>
            <w:r>
              <w:rPr>
                <w:rFonts w:hint="eastAsia" w:ascii="Times New Roman"/>
                <w:color w:val="0000FF"/>
                <w:sz w:val="21"/>
                <w:lang w:val="en-US" w:eastAsia="zh-CN"/>
              </w:rPr>
              <w:t xml:space="preserve">     </w:t>
            </w:r>
            <w:r>
              <w:rPr>
                <w:rFonts w:ascii="Times New Roman"/>
                <w:color w:val="0000FF"/>
                <w:sz w:val="21"/>
              </w:rPr>
              <w:t>0.2</w:t>
            </w:r>
          </w:p>
        </w:tc>
        <w:tc>
          <w:tcPr>
            <w:tcW w:w="3111" w:type="dxa"/>
            <w:vMerge w:val="restart"/>
            <w:tcBorders>
              <w:tl2br w:val="nil"/>
              <w:tr2bl w:val="nil"/>
            </w:tcBorders>
          </w:tcPr>
          <w:p>
            <w:pPr>
              <w:pStyle w:val="18"/>
              <w:spacing w:before="11"/>
              <w:jc w:val="left"/>
              <w:rPr>
                <w:b/>
                <w:color w:val="0000FF"/>
                <w:sz w:val="28"/>
              </w:rPr>
            </w:pPr>
          </w:p>
          <w:p>
            <w:pPr>
              <w:pStyle w:val="18"/>
              <w:spacing w:line="213" w:lineRule="auto"/>
              <w:ind w:left="108" w:right="96"/>
              <w:jc w:val="both"/>
              <w:rPr>
                <w:color w:val="0000FF"/>
                <w:sz w:val="21"/>
              </w:rPr>
            </w:pPr>
            <w:r>
              <w:rPr>
                <w:color w:val="0000FF"/>
                <w:sz w:val="21"/>
              </w:rPr>
              <w:t>本项目产生的医疗废物由项目所在乡镇</w:t>
            </w:r>
            <w:r>
              <w:rPr>
                <w:rFonts w:hint="eastAsia"/>
                <w:color w:val="0000FF"/>
                <w:sz w:val="21"/>
                <w:lang w:eastAsia="zh-CN"/>
              </w:rPr>
              <w:t>莎车</w:t>
            </w:r>
            <w:r>
              <w:rPr>
                <w:color w:val="0000FF"/>
                <w:sz w:val="21"/>
              </w:rPr>
              <w:t>乡兽医站以及村级防疫中心委托有资质的单位处理处置。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50" w:type="dxa"/>
            <w:tcBorders>
              <w:tl2br w:val="nil"/>
              <w:tr2bl w:val="nil"/>
            </w:tcBorders>
          </w:tcPr>
          <w:p>
            <w:pPr>
              <w:pStyle w:val="18"/>
              <w:spacing w:before="9"/>
              <w:jc w:val="left"/>
              <w:rPr>
                <w:b/>
                <w:color w:val="0000FF"/>
                <w:sz w:val="27"/>
              </w:rPr>
            </w:pPr>
          </w:p>
          <w:p>
            <w:pPr>
              <w:pStyle w:val="18"/>
              <w:ind w:left="7"/>
              <w:rPr>
                <w:rFonts w:ascii="Times New Roman"/>
                <w:color w:val="0000FF"/>
                <w:sz w:val="21"/>
              </w:rPr>
            </w:pPr>
            <w:r>
              <w:rPr>
                <w:rFonts w:ascii="Times New Roman"/>
                <w:color w:val="0000FF"/>
                <w:w w:val="99"/>
                <w:sz w:val="21"/>
              </w:rPr>
              <w:t>7</w:t>
            </w:r>
          </w:p>
        </w:tc>
        <w:tc>
          <w:tcPr>
            <w:tcW w:w="1045" w:type="dxa"/>
            <w:tcBorders>
              <w:tl2br w:val="nil"/>
              <w:tr2bl w:val="nil"/>
            </w:tcBorders>
          </w:tcPr>
          <w:p>
            <w:pPr>
              <w:pStyle w:val="18"/>
              <w:spacing w:before="1"/>
              <w:jc w:val="left"/>
              <w:rPr>
                <w:b/>
                <w:color w:val="0000FF"/>
                <w:sz w:val="19"/>
              </w:rPr>
            </w:pPr>
          </w:p>
          <w:p>
            <w:pPr>
              <w:pStyle w:val="18"/>
              <w:spacing w:line="213" w:lineRule="auto"/>
              <w:ind w:left="206" w:right="197"/>
              <w:jc w:val="left"/>
              <w:rPr>
                <w:color w:val="0000FF"/>
                <w:sz w:val="21"/>
              </w:rPr>
            </w:pPr>
            <w:r>
              <w:rPr>
                <w:color w:val="0000FF"/>
                <w:sz w:val="21"/>
              </w:rPr>
              <w:t>兽用医疗废物</w:t>
            </w:r>
          </w:p>
        </w:tc>
        <w:tc>
          <w:tcPr>
            <w:tcW w:w="1508" w:type="dxa"/>
            <w:tcBorders>
              <w:tl2br w:val="nil"/>
              <w:tr2bl w:val="nil"/>
            </w:tcBorders>
          </w:tcPr>
          <w:p>
            <w:pPr>
              <w:pStyle w:val="18"/>
              <w:spacing w:before="8"/>
              <w:jc w:val="left"/>
              <w:rPr>
                <w:b/>
                <w:color w:val="0000FF"/>
                <w:sz w:val="26"/>
              </w:rPr>
            </w:pPr>
          </w:p>
          <w:p>
            <w:pPr>
              <w:pStyle w:val="18"/>
              <w:ind w:left="332"/>
              <w:jc w:val="left"/>
              <w:rPr>
                <w:color w:val="0000FF"/>
                <w:sz w:val="21"/>
              </w:rPr>
            </w:pPr>
            <w:r>
              <w:rPr>
                <w:color w:val="0000FF"/>
                <w:sz w:val="21"/>
              </w:rPr>
              <w:t>卫生防疫</w:t>
            </w:r>
          </w:p>
        </w:tc>
        <w:tc>
          <w:tcPr>
            <w:tcW w:w="1263" w:type="dxa"/>
            <w:tcBorders>
              <w:tl2br w:val="nil"/>
              <w:tr2bl w:val="nil"/>
            </w:tcBorders>
          </w:tcPr>
          <w:p>
            <w:pPr>
              <w:pStyle w:val="18"/>
              <w:spacing w:line="243" w:lineRule="exact"/>
              <w:ind w:left="211"/>
              <w:jc w:val="left"/>
              <w:rPr>
                <w:color w:val="0000FF"/>
                <w:sz w:val="21"/>
              </w:rPr>
            </w:pPr>
            <w:r>
              <w:rPr>
                <w:color w:val="0000FF"/>
                <w:sz w:val="21"/>
              </w:rPr>
              <w:t>医疗废物</w:t>
            </w:r>
          </w:p>
          <w:p>
            <w:pPr>
              <w:pStyle w:val="18"/>
              <w:spacing w:line="237" w:lineRule="auto"/>
              <w:ind w:left="142" w:right="130" w:firstLine="208"/>
              <w:jc w:val="left"/>
              <w:rPr>
                <w:rFonts w:ascii="Times New Roman"/>
                <w:color w:val="0000FF"/>
                <w:sz w:val="21"/>
              </w:rPr>
            </w:pPr>
            <w:r>
              <w:rPr>
                <w:rFonts w:ascii="Times New Roman"/>
                <w:color w:val="0000FF"/>
                <w:sz w:val="21"/>
              </w:rPr>
              <w:t xml:space="preserve">HW01 </w:t>
            </w:r>
            <w:r>
              <w:rPr>
                <w:rFonts w:ascii="Times New Roman"/>
                <w:color w:val="0000FF"/>
                <w:w w:val="95"/>
                <w:sz w:val="21"/>
              </w:rPr>
              <w:t>831-001-01</w:t>
            </w:r>
          </w:p>
          <w:p>
            <w:pPr>
              <w:pStyle w:val="18"/>
              <w:spacing w:line="224" w:lineRule="exact"/>
              <w:ind w:left="142"/>
              <w:jc w:val="left"/>
              <w:rPr>
                <w:rFonts w:ascii="Times New Roman"/>
                <w:color w:val="0000FF"/>
                <w:sz w:val="21"/>
              </w:rPr>
            </w:pPr>
            <w:r>
              <w:rPr>
                <w:rFonts w:ascii="Times New Roman"/>
                <w:color w:val="0000FF"/>
                <w:sz w:val="21"/>
              </w:rPr>
              <w:t>832-002-01</w:t>
            </w:r>
          </w:p>
        </w:tc>
        <w:tc>
          <w:tcPr>
            <w:tcW w:w="1142" w:type="dxa"/>
            <w:tcBorders>
              <w:tl2br w:val="nil"/>
              <w:tr2bl w:val="nil"/>
            </w:tcBorders>
          </w:tcPr>
          <w:p>
            <w:pPr>
              <w:pStyle w:val="18"/>
              <w:spacing w:before="9"/>
              <w:jc w:val="center"/>
              <w:rPr>
                <w:b/>
                <w:color w:val="0000FF"/>
                <w:sz w:val="27"/>
              </w:rPr>
            </w:pPr>
          </w:p>
          <w:p>
            <w:pPr>
              <w:pStyle w:val="18"/>
              <w:jc w:val="center"/>
              <w:rPr>
                <w:rFonts w:ascii="Times New Roman"/>
                <w:color w:val="0000FF"/>
                <w:sz w:val="21"/>
              </w:rPr>
            </w:pPr>
            <w:r>
              <w:rPr>
                <w:rFonts w:ascii="Times New Roman"/>
                <w:color w:val="0000FF"/>
                <w:sz w:val="21"/>
              </w:rPr>
              <w:t>6.75</w:t>
            </w:r>
          </w:p>
        </w:tc>
        <w:tc>
          <w:tcPr>
            <w:tcW w:w="3111" w:type="dxa"/>
            <w:vMerge w:val="continue"/>
            <w:tcBorders>
              <w:tl2br w:val="nil"/>
              <w:tr2bl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50" w:type="dxa"/>
            <w:tcBorders>
              <w:tl2br w:val="nil"/>
              <w:tr2bl w:val="nil"/>
            </w:tcBorders>
          </w:tcPr>
          <w:p>
            <w:pPr>
              <w:pStyle w:val="18"/>
              <w:ind w:left="7"/>
              <w:rPr>
                <w:rFonts w:hint="eastAsia" w:ascii="Times New Roman" w:eastAsia="宋体"/>
                <w:color w:val="0000FF"/>
                <w:w w:val="99"/>
                <w:sz w:val="21"/>
                <w:lang w:val="en-US" w:eastAsia="zh-CN"/>
              </w:rPr>
            </w:pPr>
            <w:r>
              <w:rPr>
                <w:rFonts w:hint="eastAsia" w:ascii="Times New Roman"/>
                <w:color w:val="0000FF"/>
                <w:w w:val="99"/>
                <w:sz w:val="21"/>
                <w:lang w:val="en-US" w:eastAsia="zh-CN"/>
              </w:rPr>
              <w:t>8</w:t>
            </w:r>
          </w:p>
        </w:tc>
        <w:tc>
          <w:tcPr>
            <w:tcW w:w="1045" w:type="dxa"/>
            <w:tcBorders>
              <w:tl2br w:val="nil"/>
              <w:tr2bl w:val="nil"/>
            </w:tcBorders>
          </w:tcPr>
          <w:p>
            <w:pPr>
              <w:pStyle w:val="18"/>
              <w:spacing w:line="213" w:lineRule="auto"/>
              <w:ind w:left="206" w:right="197"/>
              <w:jc w:val="left"/>
              <w:rPr>
                <w:rFonts w:hint="default" w:eastAsia="宋体"/>
                <w:color w:val="0000FF"/>
                <w:sz w:val="21"/>
                <w:lang w:val="en-US" w:eastAsia="zh-CN"/>
              </w:rPr>
            </w:pPr>
            <w:r>
              <w:rPr>
                <w:rFonts w:hint="eastAsia"/>
                <w:color w:val="0000FF"/>
                <w:sz w:val="21"/>
                <w:lang w:val="en-US" w:eastAsia="zh-CN"/>
              </w:rPr>
              <w:t>人员生活垃圾</w:t>
            </w:r>
          </w:p>
        </w:tc>
        <w:tc>
          <w:tcPr>
            <w:tcW w:w="1508" w:type="dxa"/>
            <w:tcBorders>
              <w:tl2br w:val="nil"/>
              <w:tr2bl w:val="nil"/>
            </w:tcBorders>
          </w:tcPr>
          <w:p>
            <w:pPr>
              <w:pStyle w:val="18"/>
              <w:ind w:left="332"/>
              <w:jc w:val="left"/>
              <w:rPr>
                <w:color w:val="0000FF"/>
                <w:sz w:val="21"/>
              </w:rPr>
            </w:pPr>
            <w:r>
              <w:rPr>
                <w:bCs/>
                <w:color w:val="FF0000"/>
                <w:sz w:val="24"/>
                <w:szCs w:val="24"/>
              </w:rPr>
              <w:t>站内设垃圾堆放装置</w:t>
            </w:r>
          </w:p>
        </w:tc>
        <w:tc>
          <w:tcPr>
            <w:tcW w:w="1263" w:type="dxa"/>
            <w:tcBorders>
              <w:tl2br w:val="nil"/>
              <w:tr2bl w:val="nil"/>
            </w:tcBorders>
          </w:tcPr>
          <w:p>
            <w:pPr>
              <w:pStyle w:val="18"/>
              <w:spacing w:line="224" w:lineRule="exact"/>
              <w:ind w:left="142"/>
              <w:jc w:val="both"/>
              <w:rPr>
                <w:rFonts w:hint="eastAsia" w:ascii="Times New Roman"/>
                <w:color w:val="0000FF"/>
                <w:sz w:val="21"/>
                <w:lang w:val="en-US" w:eastAsia="zh-CN"/>
              </w:rPr>
            </w:pPr>
          </w:p>
          <w:p>
            <w:pPr>
              <w:pStyle w:val="18"/>
              <w:spacing w:line="224" w:lineRule="exact"/>
              <w:ind w:left="142"/>
              <w:jc w:val="both"/>
              <w:rPr>
                <w:rFonts w:hint="eastAsia" w:ascii="Times New Roman" w:eastAsia="宋体"/>
                <w:color w:val="0000FF"/>
                <w:sz w:val="21"/>
                <w:lang w:val="en-US" w:eastAsia="zh-CN"/>
              </w:rPr>
            </w:pPr>
            <w:r>
              <w:rPr>
                <w:rFonts w:hint="eastAsia" w:ascii="Times New Roman"/>
                <w:color w:val="0000FF"/>
                <w:sz w:val="21"/>
                <w:lang w:val="en-US" w:eastAsia="zh-CN"/>
              </w:rPr>
              <w:t>一般固体废弃物</w:t>
            </w:r>
          </w:p>
        </w:tc>
        <w:tc>
          <w:tcPr>
            <w:tcW w:w="1142" w:type="dxa"/>
            <w:tcBorders>
              <w:tl2br w:val="nil"/>
              <w:tr2bl w:val="nil"/>
            </w:tcBorders>
          </w:tcPr>
          <w:p>
            <w:pPr>
              <w:pStyle w:val="18"/>
              <w:jc w:val="center"/>
              <w:rPr>
                <w:rFonts w:hint="eastAsia"/>
                <w:bCs/>
                <w:color w:val="FF0000"/>
                <w:sz w:val="24"/>
                <w:szCs w:val="24"/>
                <w:lang w:val="en-US" w:eastAsia="zh-CN"/>
              </w:rPr>
            </w:pPr>
          </w:p>
          <w:p>
            <w:pPr>
              <w:pStyle w:val="18"/>
              <w:jc w:val="center"/>
              <w:rPr>
                <w:rFonts w:ascii="Times New Roman"/>
                <w:color w:val="0000FF"/>
                <w:sz w:val="21"/>
              </w:rPr>
            </w:pPr>
            <w:r>
              <w:rPr>
                <w:rFonts w:hint="eastAsia"/>
                <w:bCs/>
                <w:color w:val="FF0000"/>
                <w:sz w:val="24"/>
                <w:szCs w:val="24"/>
                <w:lang w:val="en-US" w:eastAsia="zh-CN"/>
              </w:rPr>
              <w:t>8.76</w:t>
            </w:r>
          </w:p>
        </w:tc>
        <w:tc>
          <w:tcPr>
            <w:tcW w:w="3111" w:type="dxa"/>
            <w:tcBorders>
              <w:tl2br w:val="nil"/>
              <w:tr2bl w:val="nil"/>
            </w:tcBorders>
          </w:tcPr>
          <w:p>
            <w:pPr>
              <w:rPr>
                <w:color w:val="0000FF"/>
                <w:sz w:val="2"/>
                <w:szCs w:val="2"/>
              </w:rPr>
            </w:pPr>
            <w:r>
              <w:rPr>
                <w:bCs/>
                <w:color w:val="FF0000"/>
                <w:sz w:val="24"/>
                <w:szCs w:val="24"/>
              </w:rPr>
              <w:t>生活垃圾集中收集后统一送至</w:t>
            </w:r>
            <w:r>
              <w:rPr>
                <w:rFonts w:hint="eastAsia"/>
                <w:bCs/>
                <w:color w:val="FF0000"/>
                <w:sz w:val="24"/>
                <w:szCs w:val="24"/>
                <w:lang w:val="en-US" w:eastAsia="zh-CN"/>
              </w:rPr>
              <w:t>莎车县</w:t>
            </w:r>
            <w:r>
              <w:rPr>
                <w:bCs/>
                <w:color w:val="FF0000"/>
                <w:sz w:val="24"/>
                <w:szCs w:val="24"/>
              </w:rPr>
              <w:t>圾收集系统</w:t>
            </w:r>
          </w:p>
        </w:tc>
      </w:tr>
    </w:tbl>
    <w:p/>
    <w:p>
      <w:pPr>
        <w:pStyle w:val="4"/>
        <w:numPr>
          <w:ilvl w:val="1"/>
          <w:numId w:val="29"/>
        </w:numPr>
        <w:tabs>
          <w:tab w:val="left" w:pos="1100"/>
        </w:tabs>
        <w:spacing w:before="64" w:after="0" w:line="240" w:lineRule="auto"/>
        <w:ind w:left="1099" w:right="0" w:hanging="560"/>
        <w:jc w:val="left"/>
        <w:outlineLvl w:val="1"/>
      </w:pPr>
      <w:bookmarkStart w:id="197" w:name="3.3 总量控制"/>
      <w:bookmarkEnd w:id="197"/>
      <w:bookmarkStart w:id="198" w:name="_bookmark19"/>
      <w:bookmarkEnd w:id="198"/>
      <w:bookmarkStart w:id="199" w:name="_Toc8648"/>
      <w:r>
        <w:t>总量控制</w:t>
      </w:r>
      <w:bookmarkEnd w:id="199"/>
    </w:p>
    <w:p>
      <w:pPr>
        <w:pStyle w:val="7"/>
        <w:spacing w:before="3"/>
        <w:ind w:left="0"/>
        <w:rPr>
          <w:b/>
        </w:rPr>
      </w:pPr>
    </w:p>
    <w:p>
      <w:pPr>
        <w:pStyle w:val="7"/>
        <w:spacing w:before="1" w:line="364" w:lineRule="auto"/>
        <w:ind w:right="577" w:firstLine="480"/>
        <w:jc w:val="both"/>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堆肥发酵，废水实现综合利用，不外排。本项目职工</w:t>
      </w:r>
      <w:r>
        <w:rPr>
          <w:rFonts w:hint="eastAsia"/>
          <w:spacing w:val="-10"/>
          <w:lang w:val="en-US" w:eastAsia="zh-CN"/>
        </w:rPr>
        <w:t>人数较少产生的污水</w:t>
      </w:r>
      <w:r>
        <w:rPr>
          <w:rFonts w:hint="eastAsia" w:ascii="宋体" w:hAnsi="宋体" w:eastAsia="宋体" w:cs="宋体"/>
          <w:color w:val="FF0000"/>
          <w:spacing w:val="-1"/>
          <w:sz w:val="24"/>
          <w:szCs w:val="24"/>
          <w:lang w:val="en-US" w:eastAsia="zh-CN"/>
        </w:rPr>
        <w:t>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spacing w:val="-10"/>
        </w:rPr>
        <w:t>。因此，本项目不需申请水污染物排放总量控制</w:t>
      </w:r>
      <w:r>
        <w:t>指标。</w:t>
      </w:r>
    </w:p>
    <w:p>
      <w:pPr>
        <w:pStyle w:val="7"/>
        <w:spacing w:before="3" w:line="362" w:lineRule="auto"/>
        <w:ind w:right="48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6"/>
        <w:ind w:left="1020"/>
      </w:pPr>
      <w:r>
        <w:t>综上所述，本项目无需申请总量控制指标。</w:t>
      </w:r>
    </w:p>
    <w:p>
      <w:pPr>
        <w:pStyle w:val="7"/>
        <w:spacing w:before="6"/>
        <w:ind w:left="0"/>
      </w:pPr>
    </w:p>
    <w:p>
      <w:pPr>
        <w:pStyle w:val="4"/>
        <w:numPr>
          <w:ilvl w:val="1"/>
          <w:numId w:val="29"/>
        </w:numPr>
        <w:tabs>
          <w:tab w:val="left" w:pos="1100"/>
        </w:tabs>
        <w:spacing w:before="0" w:after="0" w:line="240" w:lineRule="auto"/>
        <w:ind w:left="1099" w:right="0" w:hanging="560"/>
        <w:jc w:val="left"/>
        <w:outlineLvl w:val="1"/>
      </w:pPr>
      <w:bookmarkStart w:id="200" w:name="_bookmark20"/>
      <w:bookmarkEnd w:id="200"/>
      <w:bookmarkStart w:id="201" w:name="3.4 清洁生产与循环经济"/>
      <w:bookmarkEnd w:id="201"/>
      <w:bookmarkStart w:id="202" w:name="_Toc19644"/>
      <w:r>
        <w:t>清洁生产与循环经济</w:t>
      </w:r>
      <w:bookmarkEnd w:id="202"/>
    </w:p>
    <w:p>
      <w:pPr>
        <w:pStyle w:val="7"/>
        <w:spacing w:before="5"/>
        <w:ind w:left="0"/>
        <w:rPr>
          <w:b/>
          <w:sz w:val="28"/>
        </w:rPr>
      </w:pPr>
    </w:p>
    <w:p>
      <w:pPr>
        <w:pStyle w:val="5"/>
        <w:numPr>
          <w:ilvl w:val="2"/>
          <w:numId w:val="29"/>
        </w:numPr>
        <w:tabs>
          <w:tab w:val="left" w:pos="1241"/>
        </w:tabs>
        <w:spacing w:before="1" w:after="0" w:line="240" w:lineRule="auto"/>
        <w:ind w:left="1240" w:right="0" w:hanging="701"/>
        <w:jc w:val="left"/>
        <w:outlineLvl w:val="2"/>
      </w:pPr>
      <w:bookmarkStart w:id="203" w:name="3.4.1 清洁生产的意义"/>
      <w:bookmarkEnd w:id="203"/>
      <w:bookmarkStart w:id="204" w:name="3.4.1 清洁生产的意义"/>
      <w:bookmarkEnd w:id="204"/>
      <w:bookmarkStart w:id="205" w:name="_Toc27910"/>
      <w:r>
        <w:t>清洁生产的意义</w:t>
      </w:r>
      <w:bookmarkEnd w:id="205"/>
    </w:p>
    <w:p>
      <w:pPr>
        <w:pStyle w:val="7"/>
        <w:spacing w:before="4"/>
        <w:ind w:left="0"/>
        <w:rPr>
          <w:b/>
          <w:sz w:val="21"/>
        </w:rPr>
      </w:pPr>
    </w:p>
    <w:p>
      <w:pPr>
        <w:pStyle w:val="7"/>
        <w:spacing w:before="1" w:line="364" w:lineRule="auto"/>
        <w:ind w:right="485" w:firstLine="480"/>
      </w:pPr>
      <w:r>
        <w:rPr>
          <w:spacing w:val="-5"/>
        </w:rPr>
        <w:t>清洁生产是贯彻可持续发展战略方针的重要举措。清洁生产是指将综合预防</w:t>
      </w:r>
      <w:r>
        <w:rPr>
          <w:spacing w:val="-6"/>
        </w:rPr>
        <w:t>的环境策略持续地应用于生产过程和产品中，以便减少对人类和环境的风险性。</w:t>
      </w:r>
      <w:r>
        <w:rPr>
          <w:spacing w:val="-5"/>
        </w:rPr>
        <w:t>它主要包括生产过程和产品二个部分。对生产过程而言，清洁生产包括节约原材</w:t>
      </w:r>
      <w:r>
        <w:rPr>
          <w:spacing w:val="-12"/>
        </w:rPr>
        <w:t>料和能源，淘汰有毒原材料并在全部排放物和废物离开生产过程以前减少它的数量和毒性；对产品而言，清洁生产策略旨在减少产品在整个生产周期过程</w:t>
      </w:r>
      <w:r>
        <w:rPr>
          <w:spacing w:val="-3"/>
        </w:rPr>
        <w:t>（</w:t>
      </w:r>
      <w:r>
        <w:t>包括从原料提炼到产品的最终处置</w:t>
      </w:r>
      <w:r>
        <w:rPr>
          <w:spacing w:val="-48"/>
        </w:rPr>
        <w:t>）</w:t>
      </w:r>
      <w:r>
        <w:rPr>
          <w:spacing w:val="-5"/>
        </w:rPr>
        <w:t>中对人类和环境的影响。污染预防是当今世界也</w:t>
      </w:r>
      <w:r>
        <w:rPr>
          <w:spacing w:val="-10"/>
        </w:rPr>
        <w:t>是我国政府提倡的环境保护政策。实施清洁生产是可持续发展战略的要求，力求</w:t>
      </w:r>
      <w:r>
        <w:rPr>
          <w:spacing w:val="-12"/>
        </w:rPr>
        <w:t>工业提高能效，开发更清洁的技术，更新、代替对环境有害的产品和原材料，实</w:t>
      </w:r>
      <w:r>
        <w:rPr>
          <w:spacing w:val="-16"/>
        </w:rPr>
        <w:t>现环境和资源的保护和有效管理；实行清洁生产是控制环境污染的有效手段；实</w:t>
      </w:r>
      <w:r>
        <w:t>行清洁生产可大大降低末端处理的负担；实行清洁生产可提高企业的市场竞争力。</w:t>
      </w: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440" w:leftChars="200" w:right="440" w:rightChars="200" w:firstLine="452" w:firstLineChars="200"/>
        <w:jc w:val="both"/>
        <w:textAlignment w:val="auto"/>
        <w:rPr>
          <w:sz w:val="9"/>
        </w:rPr>
      </w:pPr>
      <w:r>
        <w:rPr>
          <w:spacing w:val="-7"/>
        </w:rPr>
        <w:t>本项目运营期间实行清洁生产，是指在生产过程中选用清洁原料，采用先进</w:t>
      </w:r>
      <w:r>
        <w:rPr>
          <w:spacing w:val="-11"/>
        </w:rPr>
        <w:t>工艺、先进技术和设备。通过生产全过程控制和资源能源的合理配置，最大限度</w:t>
      </w:r>
      <w:r>
        <w:rPr>
          <w:spacing w:val="-7"/>
        </w:rPr>
        <w:t>地把原料转化为产品，把污染消灭在生产过程中，达到节能、降耗、减污、增效</w:t>
      </w:r>
      <w:r>
        <w:t>的目的。</w:t>
      </w:r>
    </w:p>
    <w:p>
      <w:pPr>
        <w:pStyle w:val="5"/>
        <w:numPr>
          <w:ilvl w:val="2"/>
          <w:numId w:val="29"/>
        </w:numPr>
        <w:tabs>
          <w:tab w:val="left" w:pos="1241"/>
        </w:tabs>
        <w:spacing w:before="73" w:after="0" w:line="240" w:lineRule="auto"/>
        <w:ind w:left="1240" w:right="0" w:hanging="701"/>
        <w:jc w:val="both"/>
        <w:outlineLvl w:val="2"/>
      </w:pPr>
      <w:bookmarkStart w:id="206" w:name="3.4.2 清洁生产水平分析"/>
      <w:bookmarkEnd w:id="206"/>
      <w:bookmarkStart w:id="207" w:name="3.4.2 清洁生产水平分析"/>
      <w:bookmarkEnd w:id="207"/>
      <w:bookmarkStart w:id="208" w:name="_Toc10537"/>
      <w:r>
        <w:t>清洁生产水平分析</w:t>
      </w:r>
      <w:bookmarkEnd w:id="208"/>
    </w:p>
    <w:p>
      <w:pPr>
        <w:pStyle w:val="7"/>
        <w:spacing w:before="12"/>
        <w:ind w:left="0"/>
        <w:rPr>
          <w:b/>
          <w:sz w:val="21"/>
        </w:rPr>
      </w:pPr>
    </w:p>
    <w:p>
      <w:pPr>
        <w:pStyle w:val="17"/>
        <w:numPr>
          <w:ilvl w:val="3"/>
          <w:numId w:val="29"/>
        </w:numPr>
        <w:tabs>
          <w:tab w:val="left" w:pos="1320"/>
        </w:tabs>
        <w:spacing w:before="0" w:after="0" w:line="240" w:lineRule="auto"/>
        <w:ind w:left="1320" w:right="0" w:hanging="780"/>
        <w:jc w:val="both"/>
        <w:rPr>
          <w:sz w:val="24"/>
        </w:rPr>
      </w:pPr>
      <w:bookmarkStart w:id="209" w:name="3.4.2.1 清洁生产定性评价指标"/>
      <w:bookmarkEnd w:id="209"/>
      <w:bookmarkStart w:id="210" w:name="3.4.2.1 清洁生产定性评价指标"/>
      <w:bookmarkEnd w:id="210"/>
      <w:r>
        <w:rPr>
          <w:sz w:val="24"/>
        </w:rPr>
        <w:t>清洁生产定性评价指标</w:t>
      </w:r>
    </w:p>
    <w:p>
      <w:pPr>
        <w:pStyle w:val="7"/>
        <w:spacing w:before="216" w:line="360" w:lineRule="auto"/>
        <w:ind w:right="457" w:firstLine="480"/>
        <w:jc w:val="both"/>
      </w:pPr>
      <w:r>
        <w:rPr>
          <w:spacing w:val="-9"/>
        </w:rPr>
        <w:t>根据《建设项目环境影响评价清洁生产分析程序》清洁生产评价指标分为六</w:t>
      </w:r>
      <w:r>
        <w:rPr>
          <w:spacing w:val="-11"/>
        </w:rPr>
        <w:t>类：生产工艺与装备要求、资源能源利用指标、产品指标、污染物产生指标、废</w:t>
      </w:r>
      <w:r>
        <w:rPr>
          <w:spacing w:val="-16"/>
        </w:rPr>
        <w:t>弃物回收利用指标和环境管理要求。目前国家尚未颁布畜禽养殖类清洁生产指标</w:t>
      </w:r>
      <w:r>
        <w:rPr>
          <w:spacing w:val="-12"/>
        </w:rPr>
        <w:t>体系，因此，本次环评参考畜禽养殖类有关规范和标准要求作为本项目清洁生产</w:t>
      </w:r>
      <w:r>
        <w:rPr>
          <w:spacing w:val="-13"/>
        </w:rPr>
        <w:t>的评价指标。指标主要来源于：《家畜家禽防疫条例实施细则》、《畜禽养殖业</w:t>
      </w:r>
      <w:r>
        <w:rPr>
          <w:spacing w:val="-15"/>
        </w:rPr>
        <w:t>污染防治技术规范》、《畜禽养殖污染防治管理办法》、无公害食品《畜禽饮用</w:t>
      </w:r>
      <w:r>
        <w:rPr>
          <w:spacing w:val="-21"/>
        </w:rPr>
        <w:t>水水质》、《畜禽养殖业污染治理工程技术规范》</w:t>
      </w:r>
      <w:r>
        <w:rPr>
          <w:spacing w:val="-42"/>
        </w:rPr>
        <w:t>、《生物有机肥》</w:t>
      </w:r>
      <w:r>
        <w:t>（</w:t>
      </w:r>
      <w:r>
        <w:rPr>
          <w:rFonts w:ascii="Times New Roman" w:eastAsia="Times New Roman"/>
          <w:spacing w:val="-1"/>
        </w:rPr>
        <w:t>NY</w:t>
      </w:r>
      <w:r>
        <w:rPr>
          <w:rFonts w:ascii="Times New Roman" w:eastAsia="Times New Roman"/>
        </w:rPr>
        <w:t>884</w:t>
      </w:r>
      <w:r>
        <w:rPr>
          <w:rFonts w:ascii="Times New Roman" w:eastAsia="Times New Roman"/>
          <w:spacing w:val="-1"/>
        </w:rPr>
        <w:t>-</w:t>
      </w:r>
      <w:r>
        <w:rPr>
          <w:rFonts w:ascii="Times New Roman" w:eastAsia="Times New Roman"/>
        </w:rPr>
        <w:t>201</w:t>
      </w:r>
      <w:r>
        <w:rPr>
          <w:rFonts w:ascii="Times New Roman" w:eastAsia="Times New Roman"/>
          <w:spacing w:val="2"/>
        </w:rPr>
        <w:t>2</w:t>
      </w:r>
      <w:r>
        <w:rPr>
          <w:spacing w:val="-120"/>
        </w:rPr>
        <w:t>）</w:t>
      </w:r>
      <w:r>
        <w:rPr>
          <w:spacing w:val="-14"/>
        </w:rPr>
        <w:t>。</w:t>
      </w:r>
    </w:p>
    <w:p>
      <w:pPr>
        <w:tabs>
          <w:tab w:val="left" w:pos="4252"/>
        </w:tabs>
        <w:spacing w:before="0" w:line="381" w:lineRule="auto"/>
        <w:ind w:left="2733" w:right="1124" w:hanging="1714"/>
        <w:jc w:val="both"/>
        <w:rPr>
          <w:b/>
          <w:sz w:val="24"/>
        </w:rPr>
      </w:pPr>
      <w:r>
        <mc:AlternateContent>
          <mc:Choice Requires="wps">
            <w:drawing>
              <wp:anchor distT="0" distB="0" distL="114300" distR="114300" simplePos="0" relativeHeight="251737088" behindDoc="0" locked="0" layoutInCell="1" allowOverlap="1">
                <wp:simplePos x="0" y="0"/>
                <wp:positionH relativeFrom="page">
                  <wp:posOffset>927100</wp:posOffset>
                </wp:positionH>
                <wp:positionV relativeFrom="paragraph">
                  <wp:posOffset>508000</wp:posOffset>
                </wp:positionV>
                <wp:extent cx="5539740" cy="5655310"/>
                <wp:effectExtent l="0" t="0" r="0" b="0"/>
                <wp:wrapNone/>
                <wp:docPr id="155" name="文本框 134"/>
                <wp:cNvGraphicFramePr/>
                <a:graphic xmlns:a="http://schemas.openxmlformats.org/drawingml/2006/main">
                  <a:graphicData uri="http://schemas.microsoft.com/office/word/2010/wordprocessingShape">
                    <wps:wsp>
                      <wps:cNvSpPr txBox="1"/>
                      <wps:spPr>
                        <a:xfrm>
                          <a:off x="0" y="0"/>
                          <a:ext cx="5539740" cy="5655310"/>
                        </a:xfrm>
                        <a:prstGeom prst="rect">
                          <a:avLst/>
                        </a:prstGeom>
                        <a:noFill/>
                        <a:ln>
                          <a:noFill/>
                        </a:ln>
                      </wps:spPr>
                      <wps:txbx>
                        <w:txbxContent>
                          <w:tbl>
                            <w:tblPr>
                              <w:tblStyle w:val="14"/>
                              <w:tblpPr w:leftFromText="180" w:rightFromText="180" w:horzAnchor="margin" w:tblpXSpec="left" w:tblpY="-8726"/>
                              <w:tblOverlap w:val="never"/>
                              <w:tblW w:w="0" w:type="auto"/>
                              <w:tblInd w:w="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4095"/>
                              <w:gridCol w:w="2129"/>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31" w:type="dxa"/>
                                </w:tcPr>
                                <w:p>
                                  <w:pPr>
                                    <w:pStyle w:val="18"/>
                                    <w:spacing w:before="33"/>
                                    <w:ind w:left="145"/>
                                    <w:jc w:val="left"/>
                                    <w:rPr>
                                      <w:b/>
                                      <w:sz w:val="21"/>
                                    </w:rPr>
                                  </w:pPr>
                                  <w:r>
                                    <w:rPr>
                                      <w:b/>
                                      <w:sz w:val="21"/>
                                    </w:rPr>
                                    <w:t>评价指标</w:t>
                                  </w:r>
                                </w:p>
                              </w:tc>
                              <w:tc>
                                <w:tcPr>
                                  <w:tcW w:w="4095" w:type="dxa"/>
                                </w:tcPr>
                                <w:p>
                                  <w:pPr>
                                    <w:pStyle w:val="18"/>
                                    <w:spacing w:before="33"/>
                                    <w:ind w:left="80" w:right="69"/>
                                    <w:rPr>
                                      <w:b/>
                                      <w:sz w:val="21"/>
                                    </w:rPr>
                                  </w:pPr>
                                  <w:r>
                                    <w:rPr>
                                      <w:b/>
                                      <w:sz w:val="21"/>
                                    </w:rPr>
                                    <w:t>清洁生产指标</w:t>
                                  </w:r>
                                </w:p>
                              </w:tc>
                              <w:tc>
                                <w:tcPr>
                                  <w:tcW w:w="2129" w:type="dxa"/>
                                </w:tcPr>
                                <w:p>
                                  <w:pPr>
                                    <w:pStyle w:val="18"/>
                                    <w:spacing w:before="33"/>
                                    <w:ind w:left="329"/>
                                    <w:jc w:val="left"/>
                                    <w:rPr>
                                      <w:b/>
                                      <w:sz w:val="21"/>
                                    </w:rPr>
                                  </w:pPr>
                                  <w:r>
                                    <w:rPr>
                                      <w:b/>
                                      <w:sz w:val="21"/>
                                    </w:rPr>
                                    <w:t>本项目设计情况</w:t>
                                  </w:r>
                                </w:p>
                              </w:tc>
                              <w:tc>
                                <w:tcPr>
                                  <w:tcW w:w="1088" w:type="dxa"/>
                                </w:tcPr>
                                <w:p>
                                  <w:pPr>
                                    <w:pStyle w:val="18"/>
                                    <w:spacing w:before="33"/>
                                    <w:ind w:left="101" w:right="92"/>
                                    <w:rPr>
                                      <w:b/>
                                      <w:sz w:val="21"/>
                                    </w:rPr>
                                  </w:pPr>
                                  <w:r>
                                    <w:rPr>
                                      <w:b/>
                                      <w:sz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31" w:type="dxa"/>
                                  <w:vMerge w:val="restart"/>
                                </w:tcPr>
                                <w:p>
                                  <w:pPr>
                                    <w:pStyle w:val="18"/>
                                    <w:jc w:val="left"/>
                                    <w:rPr>
                                      <w:b/>
                                      <w:sz w:val="20"/>
                                    </w:rPr>
                                  </w:pPr>
                                </w:p>
                                <w:p>
                                  <w:pPr>
                                    <w:pStyle w:val="18"/>
                                    <w:jc w:val="left"/>
                                    <w:rPr>
                                      <w:b/>
                                      <w:sz w:val="20"/>
                                    </w:rPr>
                                  </w:pPr>
                                </w:p>
                                <w:p>
                                  <w:pPr>
                                    <w:pStyle w:val="18"/>
                                    <w:jc w:val="left"/>
                                    <w:rPr>
                                      <w:b/>
                                      <w:sz w:val="20"/>
                                    </w:rPr>
                                  </w:pPr>
                                </w:p>
                                <w:p>
                                  <w:pPr>
                                    <w:pStyle w:val="18"/>
                                    <w:spacing w:before="9"/>
                                    <w:jc w:val="left"/>
                                    <w:rPr>
                                      <w:b/>
                                      <w:sz w:val="16"/>
                                    </w:rPr>
                                  </w:pPr>
                                </w:p>
                                <w:p>
                                  <w:pPr>
                                    <w:pStyle w:val="18"/>
                                    <w:spacing w:line="213" w:lineRule="auto"/>
                                    <w:ind w:left="145" w:right="30" w:hanging="106"/>
                                    <w:jc w:val="left"/>
                                    <w:rPr>
                                      <w:sz w:val="21"/>
                                    </w:rPr>
                                  </w:pPr>
                                  <w:r>
                                    <w:rPr>
                                      <w:sz w:val="21"/>
                                    </w:rPr>
                                    <w:t>生产工艺与装备要求</w:t>
                                  </w:r>
                                </w:p>
                              </w:tc>
                              <w:tc>
                                <w:tcPr>
                                  <w:tcW w:w="4095" w:type="dxa"/>
                                </w:tcPr>
                                <w:p>
                                  <w:pPr>
                                    <w:pStyle w:val="18"/>
                                    <w:spacing w:before="34"/>
                                    <w:ind w:left="80" w:right="74"/>
                                    <w:rPr>
                                      <w:sz w:val="21"/>
                                    </w:rPr>
                                  </w:pPr>
                                  <w:r>
                                    <w:rPr>
                                      <w:sz w:val="21"/>
                                    </w:rPr>
                                    <w:t>是否全进全出的饲养方式</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1"/>
                                    <w:rPr>
                                      <w:sz w:val="21"/>
                                    </w:rPr>
                                  </w:pPr>
                                  <w:r>
                                    <w:rPr>
                                      <w:sz w:val="21"/>
                                    </w:rPr>
                                    <w:t>生产区、粪污治理区、生活区是否分区</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131" w:type="dxa"/>
                                  <w:vMerge w:val="continue"/>
                                  <w:tcBorders>
                                    <w:top w:val="nil"/>
                                  </w:tcBorders>
                                </w:tcPr>
                                <w:p>
                                  <w:pPr>
                                    <w:rPr>
                                      <w:sz w:val="2"/>
                                      <w:szCs w:val="2"/>
                                    </w:rPr>
                                  </w:pPr>
                                </w:p>
                              </w:tc>
                              <w:tc>
                                <w:tcPr>
                                  <w:tcW w:w="4095" w:type="dxa"/>
                                </w:tcPr>
                                <w:p>
                                  <w:pPr>
                                    <w:pStyle w:val="18"/>
                                    <w:spacing w:before="35"/>
                                    <w:ind w:left="80" w:right="174"/>
                                    <w:rPr>
                                      <w:rFonts w:hint="eastAsia" w:eastAsia="宋体"/>
                                      <w:sz w:val="21"/>
                                      <w:lang w:eastAsia="zh-CN"/>
                                    </w:rPr>
                                  </w:pPr>
                                  <w:r>
                                    <w:rPr>
                                      <w:w w:val="95"/>
                                      <w:sz w:val="21"/>
                                    </w:rPr>
                                    <w:t>饮水是否达到无公害食品畜禽饮用水水质</w:t>
                                  </w:r>
                                </w:p>
                              </w:tc>
                              <w:tc>
                                <w:tcPr>
                                  <w:tcW w:w="2129" w:type="dxa"/>
                                </w:tcPr>
                                <w:p>
                                  <w:pPr>
                                    <w:pStyle w:val="18"/>
                                    <w:tabs>
                                      <w:tab w:val="left" w:pos="957"/>
                                    </w:tabs>
                                    <w:spacing w:before="35"/>
                                    <w:jc w:val="left"/>
                                    <w:rPr>
                                      <w:sz w:val="21"/>
                                    </w:rPr>
                                  </w:pPr>
                                  <w:r>
                                    <w:rPr>
                                      <w:sz w:val="21"/>
                                    </w:rPr>
                                    <w:tab/>
                                  </w:r>
                                  <w:r>
                                    <w:rPr>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6"/>
                                    <w:rPr>
                                      <w:sz w:val="21"/>
                                    </w:rPr>
                                  </w:pPr>
                                  <w:r>
                                    <w:rPr>
                                      <w:sz w:val="21"/>
                                    </w:rPr>
                                    <w:t>净、污道是否分开</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羊舍通风、采光、温度、湿度是否适宜</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6"/>
                                    <w:rPr>
                                      <w:sz w:val="21"/>
                                    </w:rPr>
                                  </w:pPr>
                                  <w:r>
                                    <w:rPr>
                                      <w:sz w:val="21"/>
                                    </w:rPr>
                                    <w:t>是否使用禁止药品</w:t>
                                  </w:r>
                                </w:p>
                              </w:tc>
                              <w:tc>
                                <w:tcPr>
                                  <w:tcW w:w="2129" w:type="dxa"/>
                                </w:tcPr>
                                <w:p>
                                  <w:pPr>
                                    <w:pStyle w:val="18"/>
                                    <w:spacing w:before="33"/>
                                    <w:ind w:left="5"/>
                                    <w:rPr>
                                      <w:sz w:val="21"/>
                                    </w:rPr>
                                  </w:pPr>
                                  <w:r>
                                    <w:rPr>
                                      <w:w w:val="99"/>
                                      <w:sz w:val="21"/>
                                    </w:rPr>
                                    <w:t>否</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卫生防护距离内是否在居民聚集区</w:t>
                                  </w:r>
                                </w:p>
                              </w:tc>
                              <w:tc>
                                <w:tcPr>
                                  <w:tcW w:w="2129" w:type="dxa"/>
                                </w:tcPr>
                                <w:p>
                                  <w:pPr>
                                    <w:pStyle w:val="18"/>
                                    <w:spacing w:before="34"/>
                                    <w:ind w:left="5"/>
                                    <w:rPr>
                                      <w:sz w:val="21"/>
                                    </w:rPr>
                                  </w:pPr>
                                  <w:r>
                                    <w:rPr>
                                      <w:w w:val="99"/>
                                      <w:sz w:val="21"/>
                                    </w:rPr>
                                    <w:t>否</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31" w:type="dxa"/>
                                  <w:vMerge w:val="restart"/>
                                </w:tcPr>
                                <w:p>
                                  <w:pPr>
                                    <w:pStyle w:val="18"/>
                                    <w:jc w:val="left"/>
                                    <w:rPr>
                                      <w:b/>
                                      <w:sz w:val="20"/>
                                    </w:rPr>
                                  </w:pPr>
                                </w:p>
                                <w:p>
                                  <w:pPr>
                                    <w:pStyle w:val="18"/>
                                    <w:spacing w:before="1"/>
                                    <w:jc w:val="left"/>
                                    <w:rPr>
                                      <w:b/>
                                      <w:sz w:val="15"/>
                                    </w:rPr>
                                  </w:pPr>
                                </w:p>
                                <w:p>
                                  <w:pPr>
                                    <w:pStyle w:val="18"/>
                                    <w:ind w:left="145"/>
                                    <w:jc w:val="left"/>
                                    <w:rPr>
                                      <w:sz w:val="21"/>
                                    </w:rPr>
                                  </w:pPr>
                                  <w:r>
                                    <w:rPr>
                                      <w:sz w:val="21"/>
                                    </w:rPr>
                                    <w:t>产品指标</w:t>
                                  </w:r>
                                </w:p>
                              </w:tc>
                              <w:tc>
                                <w:tcPr>
                                  <w:tcW w:w="4095" w:type="dxa"/>
                                </w:tcPr>
                                <w:p>
                                  <w:pPr>
                                    <w:pStyle w:val="18"/>
                                    <w:spacing w:line="236" w:lineRule="exact"/>
                                    <w:ind w:left="5"/>
                                    <w:jc w:val="left"/>
                                    <w:rPr>
                                      <w:sz w:val="21"/>
                                    </w:rPr>
                                  </w:pPr>
                                  <w:r>
                                    <w:rPr>
                                      <w:sz w:val="21"/>
                                    </w:rPr>
                                    <w:t>高温堆肥是否达到《粪便无害化卫生要求》</w:t>
                                  </w:r>
                                </w:p>
                                <w:p>
                                  <w:pPr>
                                    <w:pStyle w:val="18"/>
                                    <w:spacing w:line="224" w:lineRule="exact"/>
                                    <w:ind w:left="5"/>
                                    <w:jc w:val="left"/>
                                    <w:rPr>
                                      <w:sz w:val="21"/>
                                    </w:rPr>
                                  </w:pPr>
                                  <w:r>
                                    <w:rPr>
                                      <w:sz w:val="21"/>
                                    </w:rPr>
                                    <w:t>（</w:t>
                                  </w:r>
                                  <w:r>
                                    <w:rPr>
                                      <w:rFonts w:ascii="Times New Roman" w:eastAsia="Times New Roman"/>
                                      <w:sz w:val="21"/>
                                    </w:rPr>
                                    <w:t>GB7959-2012</w:t>
                                  </w:r>
                                  <w:r>
                                    <w:rPr>
                                      <w:sz w:val="21"/>
                                    </w:rPr>
                                    <w:t>）相关要求</w:t>
                                  </w:r>
                                </w:p>
                              </w:tc>
                              <w:tc>
                                <w:tcPr>
                                  <w:tcW w:w="2129" w:type="dxa"/>
                                </w:tcPr>
                                <w:p>
                                  <w:pPr>
                                    <w:pStyle w:val="18"/>
                                    <w:spacing w:before="104"/>
                                    <w:ind w:left="5"/>
                                    <w:rPr>
                                      <w:sz w:val="21"/>
                                    </w:rPr>
                                  </w:pPr>
                                  <w:r>
                                    <w:rPr>
                                      <w:w w:val="99"/>
                                      <w:sz w:val="21"/>
                                    </w:rPr>
                                    <w:t>是</w:t>
                                  </w:r>
                                </w:p>
                              </w:tc>
                              <w:tc>
                                <w:tcPr>
                                  <w:tcW w:w="1088" w:type="dxa"/>
                                </w:tcPr>
                                <w:p>
                                  <w:pPr>
                                    <w:pStyle w:val="18"/>
                                    <w:spacing w:before="10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饲料是否符合卫生标准</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1"/>
                                    <w:rPr>
                                      <w:sz w:val="21"/>
                                    </w:rPr>
                                  </w:pPr>
                                  <w:r>
                                    <w:rPr>
                                      <w:sz w:val="21"/>
                                    </w:rPr>
                                    <w:t>种羊是否来自无疫区</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jc w:val="left"/>
                                    <w:rPr>
                                      <w:b/>
                                      <w:sz w:val="20"/>
                                    </w:rPr>
                                  </w:pPr>
                                </w:p>
                                <w:p>
                                  <w:pPr>
                                    <w:pStyle w:val="18"/>
                                    <w:spacing w:before="6"/>
                                    <w:jc w:val="left"/>
                                    <w:rPr>
                                      <w:b/>
                                      <w:sz w:val="29"/>
                                    </w:rPr>
                                  </w:pPr>
                                </w:p>
                                <w:p>
                                  <w:pPr>
                                    <w:pStyle w:val="18"/>
                                    <w:spacing w:line="213" w:lineRule="auto"/>
                                    <w:ind w:left="354" w:right="30" w:hanging="315"/>
                                    <w:jc w:val="left"/>
                                    <w:rPr>
                                      <w:sz w:val="21"/>
                                    </w:rPr>
                                  </w:pPr>
                                  <w:r>
                                    <w:rPr>
                                      <w:sz w:val="21"/>
                                    </w:rPr>
                                    <w:t>污染物产生指标</w:t>
                                  </w:r>
                                </w:p>
                              </w:tc>
                              <w:tc>
                                <w:tcPr>
                                  <w:tcW w:w="4095" w:type="dxa"/>
                                </w:tcPr>
                                <w:p>
                                  <w:pPr>
                                    <w:pStyle w:val="18"/>
                                    <w:spacing w:before="35"/>
                                    <w:ind w:left="80" w:right="76"/>
                                    <w:rPr>
                                      <w:sz w:val="21"/>
                                    </w:rPr>
                                  </w:pPr>
                                  <w:r>
                                    <w:rPr>
                                      <w:sz w:val="21"/>
                                    </w:rPr>
                                    <w:t>废水排放量和浓度是否达标</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4"/>
                                    <w:rPr>
                                      <w:sz w:val="21"/>
                                    </w:rPr>
                                  </w:pPr>
                                  <w:r>
                                    <w:rPr>
                                      <w:sz w:val="21"/>
                                    </w:rPr>
                                    <w:t>羊粪等固废是否无害化处置</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病死羊处置是否符合要求</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6"/>
                                    <w:rPr>
                                      <w:sz w:val="21"/>
                                    </w:rPr>
                                  </w:pPr>
                                  <w:r>
                                    <w:rPr>
                                      <w:sz w:val="21"/>
                                    </w:rPr>
                                    <w:t>危险废物处置是否符合要求</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恶臭浓度是否达标</w:t>
                                  </w:r>
                                </w:p>
                              </w:tc>
                              <w:tc>
                                <w:tcPr>
                                  <w:tcW w:w="2129" w:type="dxa"/>
                                </w:tcPr>
                                <w:p>
                                  <w:pPr>
                                    <w:pStyle w:val="18"/>
                                    <w:spacing w:before="34"/>
                                    <w:ind w:left="434"/>
                                    <w:jc w:val="left"/>
                                    <w:rPr>
                                      <w:sz w:val="21"/>
                                    </w:rPr>
                                  </w:pPr>
                                  <w:r>
                                    <w:rPr>
                                      <w:sz w:val="21"/>
                                    </w:rPr>
                                    <w:t>环评预测达标</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spacing w:before="110" w:line="213" w:lineRule="auto"/>
                                    <w:ind w:left="248" w:right="30" w:hanging="209"/>
                                    <w:jc w:val="left"/>
                                    <w:rPr>
                                      <w:sz w:val="21"/>
                                    </w:rPr>
                                  </w:pPr>
                                  <w:r>
                                    <w:rPr>
                                      <w:sz w:val="21"/>
                                    </w:rPr>
                                    <w:t>废物回收利用指标</w:t>
                                  </w:r>
                                </w:p>
                              </w:tc>
                              <w:tc>
                                <w:tcPr>
                                  <w:tcW w:w="4095" w:type="dxa"/>
                                </w:tcPr>
                                <w:p>
                                  <w:pPr>
                                    <w:pStyle w:val="18"/>
                                    <w:spacing w:before="34"/>
                                    <w:ind w:left="80" w:right="74"/>
                                    <w:rPr>
                                      <w:sz w:val="21"/>
                                    </w:rPr>
                                  </w:pPr>
                                  <w:r>
                                    <w:rPr>
                                      <w:sz w:val="21"/>
                                    </w:rPr>
                                    <w:t>废水回收利用率</w:t>
                                  </w:r>
                                </w:p>
                              </w:tc>
                              <w:tc>
                                <w:tcPr>
                                  <w:tcW w:w="2129" w:type="dxa"/>
                                </w:tcPr>
                                <w:p>
                                  <w:pPr>
                                    <w:pStyle w:val="18"/>
                                    <w:spacing w:before="34"/>
                                    <w:ind w:left="609"/>
                                    <w:jc w:val="left"/>
                                    <w:rPr>
                                      <w:sz w:val="21"/>
                                    </w:rPr>
                                  </w:pPr>
                                  <w:r>
                                    <w:rPr>
                                      <w:rFonts w:ascii="Times New Roman" w:eastAsia="Times New Roman"/>
                                      <w:sz w:val="21"/>
                                    </w:rPr>
                                    <w:t>100%</w:t>
                                  </w:r>
                                  <w:r>
                                    <w:rPr>
                                      <w:sz w:val="21"/>
                                    </w:rPr>
                                    <w:t>回收</w:t>
                                  </w:r>
                                </w:p>
                              </w:tc>
                              <w:tc>
                                <w:tcPr>
                                  <w:tcW w:w="1088" w:type="dxa"/>
                                </w:tcPr>
                                <w:p>
                                  <w:pPr>
                                    <w:pStyle w:val="18"/>
                                    <w:spacing w:before="34"/>
                                    <w:ind w:left="99" w:right="92"/>
                                    <w:rPr>
                                      <w:sz w:val="21"/>
                                    </w:rPr>
                                  </w:pPr>
                                  <w:r>
                                    <w:rPr>
                                      <w:sz w:val="21"/>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固废综合利用率</w:t>
                                  </w:r>
                                </w:p>
                              </w:tc>
                              <w:tc>
                                <w:tcPr>
                                  <w:tcW w:w="2129" w:type="dxa"/>
                                </w:tcPr>
                                <w:p>
                                  <w:pPr>
                                    <w:pStyle w:val="18"/>
                                    <w:spacing w:before="34"/>
                                    <w:ind w:left="398"/>
                                    <w:jc w:val="left"/>
                                    <w:rPr>
                                      <w:sz w:val="21"/>
                                    </w:rPr>
                                  </w:pPr>
                                  <w:r>
                                    <w:rPr>
                                      <w:rFonts w:ascii="Times New Roman" w:eastAsia="Times New Roman"/>
                                      <w:sz w:val="21"/>
                                    </w:rPr>
                                    <w:t>100%</w:t>
                                  </w:r>
                                  <w:r>
                                    <w:rPr>
                                      <w:sz w:val="21"/>
                                    </w:rPr>
                                    <w:t>综合利用</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jc w:val="left"/>
                                    <w:rPr>
                                      <w:b/>
                                      <w:sz w:val="20"/>
                                    </w:rPr>
                                  </w:pPr>
                                </w:p>
                                <w:p>
                                  <w:pPr>
                                    <w:pStyle w:val="18"/>
                                    <w:jc w:val="left"/>
                                    <w:rPr>
                                      <w:b/>
                                      <w:sz w:val="20"/>
                                    </w:rPr>
                                  </w:pPr>
                                </w:p>
                                <w:p>
                                  <w:pPr>
                                    <w:pStyle w:val="18"/>
                                    <w:spacing w:before="2"/>
                                    <w:jc w:val="left"/>
                                    <w:rPr>
                                      <w:b/>
                                      <w:sz w:val="23"/>
                                    </w:rPr>
                                  </w:pPr>
                                </w:p>
                                <w:p>
                                  <w:pPr>
                                    <w:pStyle w:val="18"/>
                                    <w:spacing w:line="213" w:lineRule="auto"/>
                                    <w:ind w:left="459" w:right="30" w:hanging="420"/>
                                    <w:jc w:val="left"/>
                                    <w:rPr>
                                      <w:sz w:val="21"/>
                                    </w:rPr>
                                  </w:pPr>
                                  <w:r>
                                    <w:rPr>
                                      <w:sz w:val="21"/>
                                    </w:rPr>
                                    <w:t>环境管理要求</w:t>
                                  </w:r>
                                </w:p>
                              </w:tc>
                              <w:tc>
                                <w:tcPr>
                                  <w:tcW w:w="4095" w:type="dxa"/>
                                </w:tcPr>
                                <w:p>
                                  <w:pPr>
                                    <w:pStyle w:val="18"/>
                                    <w:spacing w:before="35"/>
                                    <w:ind w:left="80" w:right="71"/>
                                    <w:rPr>
                                      <w:sz w:val="21"/>
                                    </w:rPr>
                                  </w:pPr>
                                  <w:r>
                                    <w:rPr>
                                      <w:sz w:val="21"/>
                                    </w:rPr>
                                    <w:t>是否有环评</w:t>
                                  </w:r>
                                </w:p>
                              </w:tc>
                              <w:tc>
                                <w:tcPr>
                                  <w:tcW w:w="2129" w:type="dxa"/>
                                </w:tcPr>
                                <w:p>
                                  <w:pPr>
                                    <w:pStyle w:val="18"/>
                                    <w:spacing w:before="30"/>
                                    <w:ind w:left="14"/>
                                    <w:jc w:val="left"/>
                                    <w:rPr>
                                      <w:sz w:val="21"/>
                                    </w:rPr>
                                  </w:pPr>
                                  <w:r>
                                    <w:rPr>
                                      <w:sz w:val="21"/>
                                    </w:rPr>
                                    <w:t>已委托有资质单位编制</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是否有动物防疫合格证</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从业人员是否持证上岗</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生产记录是否完善</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防疫记录是否完善</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6"/>
                                    <w:rPr>
                                      <w:sz w:val="21"/>
                                    </w:rPr>
                                  </w:pPr>
                                  <w:r>
                                    <w:rPr>
                                      <w:sz w:val="21"/>
                                    </w:rPr>
                                    <w:t>销售记录是否完善</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bl>
                          <w:p>
                            <w:pPr>
                              <w:pStyle w:val="7"/>
                              <w:ind w:left="0"/>
                            </w:pPr>
                          </w:p>
                        </w:txbxContent>
                      </wps:txbx>
                      <wps:bodyPr lIns="0" tIns="0" rIns="0" bIns="0" upright="1"/>
                    </wps:wsp>
                  </a:graphicData>
                </a:graphic>
              </wp:anchor>
            </w:drawing>
          </mc:Choice>
          <mc:Fallback>
            <w:pict>
              <v:shape id="文本框 134" o:spid="_x0000_s1026" o:spt="202" type="#_x0000_t202" style="position:absolute;left:0pt;margin-left:73pt;margin-top:40pt;height:445.3pt;width:436.2pt;mso-position-horizontal-relative:page;z-index:251737088;mso-width-relative:page;mso-height-relative:page;" filled="f" stroked="f" coordsize="21600,21600" o:gfxdata="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vnFaXZAAAACwEAAA8AAAAA&#10;AAAAAQAgAAAAIgAAAGRycy9kb3ducmV2LnhtbFBLAQIUABQAAAAIAIdO4kBItqNwoQEAACkDAAAO&#10;AAAAAAAAAAEAIAAAACgBAABkcnMvZTJvRG9jLnhtbFBLBQYAAAAABgAGAFkBAAA7BQAAAAA=&#10;">
                <v:fill on="f" focussize="0,0"/>
                <v:stroke on="f"/>
                <v:imagedata o:title=""/>
                <o:lock v:ext="edit" aspectratio="f"/>
                <v:textbox inset="0mm,0mm,0mm,0mm">
                  <w:txbxContent>
                    <w:tbl>
                      <w:tblPr>
                        <w:tblStyle w:val="14"/>
                        <w:tblpPr w:leftFromText="180" w:rightFromText="180" w:horzAnchor="margin" w:tblpXSpec="left" w:tblpY="-8726"/>
                        <w:tblOverlap w:val="never"/>
                        <w:tblW w:w="0" w:type="auto"/>
                        <w:tblInd w:w="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4095"/>
                        <w:gridCol w:w="2129"/>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31" w:type="dxa"/>
                          </w:tcPr>
                          <w:p>
                            <w:pPr>
                              <w:pStyle w:val="18"/>
                              <w:spacing w:before="33"/>
                              <w:ind w:left="145"/>
                              <w:jc w:val="left"/>
                              <w:rPr>
                                <w:b/>
                                <w:sz w:val="21"/>
                              </w:rPr>
                            </w:pPr>
                            <w:r>
                              <w:rPr>
                                <w:b/>
                                <w:sz w:val="21"/>
                              </w:rPr>
                              <w:t>评价指标</w:t>
                            </w:r>
                          </w:p>
                        </w:tc>
                        <w:tc>
                          <w:tcPr>
                            <w:tcW w:w="4095" w:type="dxa"/>
                          </w:tcPr>
                          <w:p>
                            <w:pPr>
                              <w:pStyle w:val="18"/>
                              <w:spacing w:before="33"/>
                              <w:ind w:left="80" w:right="69"/>
                              <w:rPr>
                                <w:b/>
                                <w:sz w:val="21"/>
                              </w:rPr>
                            </w:pPr>
                            <w:r>
                              <w:rPr>
                                <w:b/>
                                <w:sz w:val="21"/>
                              </w:rPr>
                              <w:t>清洁生产指标</w:t>
                            </w:r>
                          </w:p>
                        </w:tc>
                        <w:tc>
                          <w:tcPr>
                            <w:tcW w:w="2129" w:type="dxa"/>
                          </w:tcPr>
                          <w:p>
                            <w:pPr>
                              <w:pStyle w:val="18"/>
                              <w:spacing w:before="33"/>
                              <w:ind w:left="329"/>
                              <w:jc w:val="left"/>
                              <w:rPr>
                                <w:b/>
                                <w:sz w:val="21"/>
                              </w:rPr>
                            </w:pPr>
                            <w:r>
                              <w:rPr>
                                <w:b/>
                                <w:sz w:val="21"/>
                              </w:rPr>
                              <w:t>本项目设计情况</w:t>
                            </w:r>
                          </w:p>
                        </w:tc>
                        <w:tc>
                          <w:tcPr>
                            <w:tcW w:w="1088" w:type="dxa"/>
                          </w:tcPr>
                          <w:p>
                            <w:pPr>
                              <w:pStyle w:val="18"/>
                              <w:spacing w:before="33"/>
                              <w:ind w:left="101" w:right="92"/>
                              <w:rPr>
                                <w:b/>
                                <w:sz w:val="21"/>
                              </w:rPr>
                            </w:pPr>
                            <w:r>
                              <w:rPr>
                                <w:b/>
                                <w:sz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31" w:type="dxa"/>
                            <w:vMerge w:val="restart"/>
                          </w:tcPr>
                          <w:p>
                            <w:pPr>
                              <w:pStyle w:val="18"/>
                              <w:jc w:val="left"/>
                              <w:rPr>
                                <w:b/>
                                <w:sz w:val="20"/>
                              </w:rPr>
                            </w:pPr>
                          </w:p>
                          <w:p>
                            <w:pPr>
                              <w:pStyle w:val="18"/>
                              <w:jc w:val="left"/>
                              <w:rPr>
                                <w:b/>
                                <w:sz w:val="20"/>
                              </w:rPr>
                            </w:pPr>
                          </w:p>
                          <w:p>
                            <w:pPr>
                              <w:pStyle w:val="18"/>
                              <w:jc w:val="left"/>
                              <w:rPr>
                                <w:b/>
                                <w:sz w:val="20"/>
                              </w:rPr>
                            </w:pPr>
                          </w:p>
                          <w:p>
                            <w:pPr>
                              <w:pStyle w:val="18"/>
                              <w:spacing w:before="9"/>
                              <w:jc w:val="left"/>
                              <w:rPr>
                                <w:b/>
                                <w:sz w:val="16"/>
                              </w:rPr>
                            </w:pPr>
                          </w:p>
                          <w:p>
                            <w:pPr>
                              <w:pStyle w:val="18"/>
                              <w:spacing w:line="213" w:lineRule="auto"/>
                              <w:ind w:left="145" w:right="30" w:hanging="106"/>
                              <w:jc w:val="left"/>
                              <w:rPr>
                                <w:sz w:val="21"/>
                              </w:rPr>
                            </w:pPr>
                            <w:r>
                              <w:rPr>
                                <w:sz w:val="21"/>
                              </w:rPr>
                              <w:t>生产工艺与装备要求</w:t>
                            </w:r>
                          </w:p>
                        </w:tc>
                        <w:tc>
                          <w:tcPr>
                            <w:tcW w:w="4095" w:type="dxa"/>
                          </w:tcPr>
                          <w:p>
                            <w:pPr>
                              <w:pStyle w:val="18"/>
                              <w:spacing w:before="34"/>
                              <w:ind w:left="80" w:right="74"/>
                              <w:rPr>
                                <w:sz w:val="21"/>
                              </w:rPr>
                            </w:pPr>
                            <w:r>
                              <w:rPr>
                                <w:sz w:val="21"/>
                              </w:rPr>
                              <w:t>是否全进全出的饲养方式</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1"/>
                              <w:rPr>
                                <w:sz w:val="21"/>
                              </w:rPr>
                            </w:pPr>
                            <w:r>
                              <w:rPr>
                                <w:sz w:val="21"/>
                              </w:rPr>
                              <w:t>生产区、粪污治理区、生活区是否分区</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131" w:type="dxa"/>
                            <w:vMerge w:val="continue"/>
                            <w:tcBorders>
                              <w:top w:val="nil"/>
                            </w:tcBorders>
                          </w:tcPr>
                          <w:p>
                            <w:pPr>
                              <w:rPr>
                                <w:sz w:val="2"/>
                                <w:szCs w:val="2"/>
                              </w:rPr>
                            </w:pPr>
                          </w:p>
                        </w:tc>
                        <w:tc>
                          <w:tcPr>
                            <w:tcW w:w="4095" w:type="dxa"/>
                          </w:tcPr>
                          <w:p>
                            <w:pPr>
                              <w:pStyle w:val="18"/>
                              <w:spacing w:before="35"/>
                              <w:ind w:left="80" w:right="174"/>
                              <w:rPr>
                                <w:rFonts w:hint="eastAsia" w:eastAsia="宋体"/>
                                <w:sz w:val="21"/>
                                <w:lang w:eastAsia="zh-CN"/>
                              </w:rPr>
                            </w:pPr>
                            <w:r>
                              <w:rPr>
                                <w:w w:val="95"/>
                                <w:sz w:val="21"/>
                              </w:rPr>
                              <w:t>饮水是否达到无公害食品畜禽饮用水水质</w:t>
                            </w:r>
                          </w:p>
                        </w:tc>
                        <w:tc>
                          <w:tcPr>
                            <w:tcW w:w="2129" w:type="dxa"/>
                          </w:tcPr>
                          <w:p>
                            <w:pPr>
                              <w:pStyle w:val="18"/>
                              <w:tabs>
                                <w:tab w:val="left" w:pos="957"/>
                              </w:tabs>
                              <w:spacing w:before="35"/>
                              <w:jc w:val="left"/>
                              <w:rPr>
                                <w:sz w:val="21"/>
                              </w:rPr>
                            </w:pPr>
                            <w:r>
                              <w:rPr>
                                <w:sz w:val="21"/>
                              </w:rPr>
                              <w:tab/>
                            </w:r>
                            <w:r>
                              <w:rPr>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6"/>
                              <w:rPr>
                                <w:sz w:val="21"/>
                              </w:rPr>
                            </w:pPr>
                            <w:r>
                              <w:rPr>
                                <w:sz w:val="21"/>
                              </w:rPr>
                              <w:t>净、污道是否分开</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羊舍通风、采光、温度、湿度是否适宜</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6"/>
                              <w:rPr>
                                <w:sz w:val="21"/>
                              </w:rPr>
                            </w:pPr>
                            <w:r>
                              <w:rPr>
                                <w:sz w:val="21"/>
                              </w:rPr>
                              <w:t>是否使用禁止药品</w:t>
                            </w:r>
                          </w:p>
                        </w:tc>
                        <w:tc>
                          <w:tcPr>
                            <w:tcW w:w="2129" w:type="dxa"/>
                          </w:tcPr>
                          <w:p>
                            <w:pPr>
                              <w:pStyle w:val="18"/>
                              <w:spacing w:before="33"/>
                              <w:ind w:left="5"/>
                              <w:rPr>
                                <w:sz w:val="21"/>
                              </w:rPr>
                            </w:pPr>
                            <w:r>
                              <w:rPr>
                                <w:w w:val="99"/>
                                <w:sz w:val="21"/>
                              </w:rPr>
                              <w:t>否</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卫生防护距离内是否在居民聚集区</w:t>
                            </w:r>
                          </w:p>
                        </w:tc>
                        <w:tc>
                          <w:tcPr>
                            <w:tcW w:w="2129" w:type="dxa"/>
                          </w:tcPr>
                          <w:p>
                            <w:pPr>
                              <w:pStyle w:val="18"/>
                              <w:spacing w:before="34"/>
                              <w:ind w:left="5"/>
                              <w:rPr>
                                <w:sz w:val="21"/>
                              </w:rPr>
                            </w:pPr>
                            <w:r>
                              <w:rPr>
                                <w:w w:val="99"/>
                                <w:sz w:val="21"/>
                              </w:rPr>
                              <w:t>否</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31" w:type="dxa"/>
                            <w:vMerge w:val="restart"/>
                          </w:tcPr>
                          <w:p>
                            <w:pPr>
                              <w:pStyle w:val="18"/>
                              <w:jc w:val="left"/>
                              <w:rPr>
                                <w:b/>
                                <w:sz w:val="20"/>
                              </w:rPr>
                            </w:pPr>
                          </w:p>
                          <w:p>
                            <w:pPr>
                              <w:pStyle w:val="18"/>
                              <w:spacing w:before="1"/>
                              <w:jc w:val="left"/>
                              <w:rPr>
                                <w:b/>
                                <w:sz w:val="15"/>
                              </w:rPr>
                            </w:pPr>
                          </w:p>
                          <w:p>
                            <w:pPr>
                              <w:pStyle w:val="18"/>
                              <w:ind w:left="145"/>
                              <w:jc w:val="left"/>
                              <w:rPr>
                                <w:sz w:val="21"/>
                              </w:rPr>
                            </w:pPr>
                            <w:r>
                              <w:rPr>
                                <w:sz w:val="21"/>
                              </w:rPr>
                              <w:t>产品指标</w:t>
                            </w:r>
                          </w:p>
                        </w:tc>
                        <w:tc>
                          <w:tcPr>
                            <w:tcW w:w="4095" w:type="dxa"/>
                          </w:tcPr>
                          <w:p>
                            <w:pPr>
                              <w:pStyle w:val="18"/>
                              <w:spacing w:line="236" w:lineRule="exact"/>
                              <w:ind w:left="5"/>
                              <w:jc w:val="left"/>
                              <w:rPr>
                                <w:sz w:val="21"/>
                              </w:rPr>
                            </w:pPr>
                            <w:r>
                              <w:rPr>
                                <w:sz w:val="21"/>
                              </w:rPr>
                              <w:t>高温堆肥是否达到《粪便无害化卫生要求》</w:t>
                            </w:r>
                          </w:p>
                          <w:p>
                            <w:pPr>
                              <w:pStyle w:val="18"/>
                              <w:spacing w:line="224" w:lineRule="exact"/>
                              <w:ind w:left="5"/>
                              <w:jc w:val="left"/>
                              <w:rPr>
                                <w:sz w:val="21"/>
                              </w:rPr>
                            </w:pPr>
                            <w:r>
                              <w:rPr>
                                <w:sz w:val="21"/>
                              </w:rPr>
                              <w:t>（</w:t>
                            </w:r>
                            <w:r>
                              <w:rPr>
                                <w:rFonts w:ascii="Times New Roman" w:eastAsia="Times New Roman"/>
                                <w:sz w:val="21"/>
                              </w:rPr>
                              <w:t>GB7959-2012</w:t>
                            </w:r>
                            <w:r>
                              <w:rPr>
                                <w:sz w:val="21"/>
                              </w:rPr>
                              <w:t>）相关要求</w:t>
                            </w:r>
                          </w:p>
                        </w:tc>
                        <w:tc>
                          <w:tcPr>
                            <w:tcW w:w="2129" w:type="dxa"/>
                          </w:tcPr>
                          <w:p>
                            <w:pPr>
                              <w:pStyle w:val="18"/>
                              <w:spacing w:before="104"/>
                              <w:ind w:left="5"/>
                              <w:rPr>
                                <w:sz w:val="21"/>
                              </w:rPr>
                            </w:pPr>
                            <w:r>
                              <w:rPr>
                                <w:w w:val="99"/>
                                <w:sz w:val="21"/>
                              </w:rPr>
                              <w:t>是</w:t>
                            </w:r>
                          </w:p>
                        </w:tc>
                        <w:tc>
                          <w:tcPr>
                            <w:tcW w:w="1088" w:type="dxa"/>
                          </w:tcPr>
                          <w:p>
                            <w:pPr>
                              <w:pStyle w:val="18"/>
                              <w:spacing w:before="10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饲料是否符合卫生标准</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1"/>
                              <w:rPr>
                                <w:sz w:val="21"/>
                              </w:rPr>
                            </w:pPr>
                            <w:r>
                              <w:rPr>
                                <w:sz w:val="21"/>
                              </w:rPr>
                              <w:t>种羊是否来自无疫区</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jc w:val="left"/>
                              <w:rPr>
                                <w:b/>
                                <w:sz w:val="20"/>
                              </w:rPr>
                            </w:pPr>
                          </w:p>
                          <w:p>
                            <w:pPr>
                              <w:pStyle w:val="18"/>
                              <w:spacing w:before="6"/>
                              <w:jc w:val="left"/>
                              <w:rPr>
                                <w:b/>
                                <w:sz w:val="29"/>
                              </w:rPr>
                            </w:pPr>
                          </w:p>
                          <w:p>
                            <w:pPr>
                              <w:pStyle w:val="18"/>
                              <w:spacing w:line="213" w:lineRule="auto"/>
                              <w:ind w:left="354" w:right="30" w:hanging="315"/>
                              <w:jc w:val="left"/>
                              <w:rPr>
                                <w:sz w:val="21"/>
                              </w:rPr>
                            </w:pPr>
                            <w:r>
                              <w:rPr>
                                <w:sz w:val="21"/>
                              </w:rPr>
                              <w:t>污染物产生指标</w:t>
                            </w:r>
                          </w:p>
                        </w:tc>
                        <w:tc>
                          <w:tcPr>
                            <w:tcW w:w="4095" w:type="dxa"/>
                          </w:tcPr>
                          <w:p>
                            <w:pPr>
                              <w:pStyle w:val="18"/>
                              <w:spacing w:before="35"/>
                              <w:ind w:left="80" w:right="76"/>
                              <w:rPr>
                                <w:sz w:val="21"/>
                              </w:rPr>
                            </w:pPr>
                            <w:r>
                              <w:rPr>
                                <w:sz w:val="21"/>
                              </w:rPr>
                              <w:t>废水排放量和浓度是否达标</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4"/>
                              <w:rPr>
                                <w:sz w:val="21"/>
                              </w:rPr>
                            </w:pPr>
                            <w:r>
                              <w:rPr>
                                <w:sz w:val="21"/>
                              </w:rPr>
                              <w:t>羊粪等固废是否无害化处置</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病死羊处置是否符合要求</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6"/>
                              <w:rPr>
                                <w:sz w:val="21"/>
                              </w:rPr>
                            </w:pPr>
                            <w:r>
                              <w:rPr>
                                <w:sz w:val="21"/>
                              </w:rPr>
                              <w:t>危险废物处置是否符合要求</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恶臭浓度是否达标</w:t>
                            </w:r>
                          </w:p>
                        </w:tc>
                        <w:tc>
                          <w:tcPr>
                            <w:tcW w:w="2129" w:type="dxa"/>
                          </w:tcPr>
                          <w:p>
                            <w:pPr>
                              <w:pStyle w:val="18"/>
                              <w:spacing w:before="34"/>
                              <w:ind w:left="434"/>
                              <w:jc w:val="left"/>
                              <w:rPr>
                                <w:sz w:val="21"/>
                              </w:rPr>
                            </w:pPr>
                            <w:r>
                              <w:rPr>
                                <w:sz w:val="21"/>
                              </w:rPr>
                              <w:t>环评预测达标</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spacing w:before="110" w:line="213" w:lineRule="auto"/>
                              <w:ind w:left="248" w:right="30" w:hanging="209"/>
                              <w:jc w:val="left"/>
                              <w:rPr>
                                <w:sz w:val="21"/>
                              </w:rPr>
                            </w:pPr>
                            <w:r>
                              <w:rPr>
                                <w:sz w:val="21"/>
                              </w:rPr>
                              <w:t>废物回收利用指标</w:t>
                            </w:r>
                          </w:p>
                        </w:tc>
                        <w:tc>
                          <w:tcPr>
                            <w:tcW w:w="4095" w:type="dxa"/>
                          </w:tcPr>
                          <w:p>
                            <w:pPr>
                              <w:pStyle w:val="18"/>
                              <w:spacing w:before="34"/>
                              <w:ind w:left="80" w:right="74"/>
                              <w:rPr>
                                <w:sz w:val="21"/>
                              </w:rPr>
                            </w:pPr>
                            <w:r>
                              <w:rPr>
                                <w:sz w:val="21"/>
                              </w:rPr>
                              <w:t>废水回收利用率</w:t>
                            </w:r>
                          </w:p>
                        </w:tc>
                        <w:tc>
                          <w:tcPr>
                            <w:tcW w:w="2129" w:type="dxa"/>
                          </w:tcPr>
                          <w:p>
                            <w:pPr>
                              <w:pStyle w:val="18"/>
                              <w:spacing w:before="34"/>
                              <w:ind w:left="609"/>
                              <w:jc w:val="left"/>
                              <w:rPr>
                                <w:sz w:val="21"/>
                              </w:rPr>
                            </w:pPr>
                            <w:r>
                              <w:rPr>
                                <w:rFonts w:ascii="Times New Roman" w:eastAsia="Times New Roman"/>
                                <w:sz w:val="21"/>
                              </w:rPr>
                              <w:t>100%</w:t>
                            </w:r>
                            <w:r>
                              <w:rPr>
                                <w:sz w:val="21"/>
                              </w:rPr>
                              <w:t>回收</w:t>
                            </w:r>
                          </w:p>
                        </w:tc>
                        <w:tc>
                          <w:tcPr>
                            <w:tcW w:w="1088" w:type="dxa"/>
                          </w:tcPr>
                          <w:p>
                            <w:pPr>
                              <w:pStyle w:val="18"/>
                              <w:spacing w:before="34"/>
                              <w:ind w:left="99" w:right="92"/>
                              <w:rPr>
                                <w:sz w:val="21"/>
                              </w:rPr>
                            </w:pPr>
                            <w:r>
                              <w:rPr>
                                <w:sz w:val="21"/>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4"/>
                              <w:rPr>
                                <w:sz w:val="21"/>
                              </w:rPr>
                            </w:pPr>
                            <w:r>
                              <w:rPr>
                                <w:sz w:val="21"/>
                              </w:rPr>
                              <w:t>固废综合利用率</w:t>
                            </w:r>
                          </w:p>
                        </w:tc>
                        <w:tc>
                          <w:tcPr>
                            <w:tcW w:w="2129" w:type="dxa"/>
                          </w:tcPr>
                          <w:p>
                            <w:pPr>
                              <w:pStyle w:val="18"/>
                              <w:spacing w:before="34"/>
                              <w:ind w:left="398"/>
                              <w:jc w:val="left"/>
                              <w:rPr>
                                <w:sz w:val="21"/>
                              </w:rPr>
                            </w:pPr>
                            <w:r>
                              <w:rPr>
                                <w:rFonts w:ascii="Times New Roman" w:eastAsia="Times New Roman"/>
                                <w:sz w:val="21"/>
                              </w:rPr>
                              <w:t>100%</w:t>
                            </w:r>
                            <w:r>
                              <w:rPr>
                                <w:sz w:val="21"/>
                              </w:rPr>
                              <w:t>综合利用</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8"/>
                              <w:jc w:val="left"/>
                              <w:rPr>
                                <w:b/>
                                <w:sz w:val="20"/>
                              </w:rPr>
                            </w:pPr>
                          </w:p>
                          <w:p>
                            <w:pPr>
                              <w:pStyle w:val="18"/>
                              <w:jc w:val="left"/>
                              <w:rPr>
                                <w:b/>
                                <w:sz w:val="20"/>
                              </w:rPr>
                            </w:pPr>
                          </w:p>
                          <w:p>
                            <w:pPr>
                              <w:pStyle w:val="18"/>
                              <w:spacing w:before="2"/>
                              <w:jc w:val="left"/>
                              <w:rPr>
                                <w:b/>
                                <w:sz w:val="23"/>
                              </w:rPr>
                            </w:pPr>
                          </w:p>
                          <w:p>
                            <w:pPr>
                              <w:pStyle w:val="18"/>
                              <w:spacing w:line="213" w:lineRule="auto"/>
                              <w:ind w:left="459" w:right="30" w:hanging="420"/>
                              <w:jc w:val="left"/>
                              <w:rPr>
                                <w:sz w:val="21"/>
                              </w:rPr>
                            </w:pPr>
                            <w:r>
                              <w:rPr>
                                <w:sz w:val="21"/>
                              </w:rPr>
                              <w:t>环境管理要求</w:t>
                            </w:r>
                          </w:p>
                        </w:tc>
                        <w:tc>
                          <w:tcPr>
                            <w:tcW w:w="4095" w:type="dxa"/>
                          </w:tcPr>
                          <w:p>
                            <w:pPr>
                              <w:pStyle w:val="18"/>
                              <w:spacing w:before="35"/>
                              <w:ind w:left="80" w:right="71"/>
                              <w:rPr>
                                <w:sz w:val="21"/>
                              </w:rPr>
                            </w:pPr>
                            <w:r>
                              <w:rPr>
                                <w:sz w:val="21"/>
                              </w:rPr>
                              <w:t>是否有环评</w:t>
                            </w:r>
                          </w:p>
                        </w:tc>
                        <w:tc>
                          <w:tcPr>
                            <w:tcW w:w="2129" w:type="dxa"/>
                          </w:tcPr>
                          <w:p>
                            <w:pPr>
                              <w:pStyle w:val="18"/>
                              <w:spacing w:before="30"/>
                              <w:ind w:left="14"/>
                              <w:jc w:val="left"/>
                              <w:rPr>
                                <w:sz w:val="21"/>
                              </w:rPr>
                            </w:pPr>
                            <w:r>
                              <w:rPr>
                                <w:sz w:val="21"/>
                              </w:rPr>
                              <w:t>已委托有资质单位编制</w:t>
                            </w:r>
                          </w:p>
                        </w:tc>
                        <w:tc>
                          <w:tcPr>
                            <w:tcW w:w="1088" w:type="dxa"/>
                          </w:tcPr>
                          <w:p>
                            <w:pPr>
                              <w:pStyle w:val="18"/>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是否有动物防疫合格证</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3"/>
                              <w:ind w:left="80" w:right="74"/>
                              <w:rPr>
                                <w:sz w:val="21"/>
                              </w:rPr>
                            </w:pPr>
                            <w:r>
                              <w:rPr>
                                <w:sz w:val="21"/>
                              </w:rPr>
                              <w:t>从业人员是否持证上岗</w:t>
                            </w:r>
                          </w:p>
                        </w:tc>
                        <w:tc>
                          <w:tcPr>
                            <w:tcW w:w="2129" w:type="dxa"/>
                          </w:tcPr>
                          <w:p>
                            <w:pPr>
                              <w:pStyle w:val="18"/>
                              <w:spacing w:before="33"/>
                              <w:ind w:left="5"/>
                              <w:rPr>
                                <w:sz w:val="21"/>
                              </w:rPr>
                            </w:pPr>
                            <w:r>
                              <w:rPr>
                                <w:w w:val="99"/>
                                <w:sz w:val="21"/>
                              </w:rPr>
                              <w:t>是</w:t>
                            </w:r>
                          </w:p>
                        </w:tc>
                        <w:tc>
                          <w:tcPr>
                            <w:tcW w:w="1088" w:type="dxa"/>
                          </w:tcPr>
                          <w:p>
                            <w:pPr>
                              <w:pStyle w:val="18"/>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生产记录是否完善</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4"/>
                              <w:ind w:left="80" w:right="76"/>
                              <w:rPr>
                                <w:sz w:val="21"/>
                              </w:rPr>
                            </w:pPr>
                            <w:r>
                              <w:rPr>
                                <w:sz w:val="21"/>
                              </w:rPr>
                              <w:t>防疫记录是否完善</w:t>
                            </w:r>
                          </w:p>
                        </w:tc>
                        <w:tc>
                          <w:tcPr>
                            <w:tcW w:w="2129" w:type="dxa"/>
                          </w:tcPr>
                          <w:p>
                            <w:pPr>
                              <w:pStyle w:val="18"/>
                              <w:spacing w:before="34"/>
                              <w:ind w:left="5"/>
                              <w:rPr>
                                <w:sz w:val="21"/>
                              </w:rPr>
                            </w:pPr>
                            <w:r>
                              <w:rPr>
                                <w:w w:val="99"/>
                                <w:sz w:val="21"/>
                              </w:rPr>
                              <w:t>是</w:t>
                            </w:r>
                          </w:p>
                        </w:tc>
                        <w:tc>
                          <w:tcPr>
                            <w:tcW w:w="1088" w:type="dxa"/>
                          </w:tcPr>
                          <w:p>
                            <w:pPr>
                              <w:pStyle w:val="18"/>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8"/>
                              <w:spacing w:before="35"/>
                              <w:ind w:left="80" w:right="76"/>
                              <w:rPr>
                                <w:sz w:val="21"/>
                              </w:rPr>
                            </w:pPr>
                            <w:r>
                              <w:rPr>
                                <w:sz w:val="21"/>
                              </w:rPr>
                              <w:t>销售记录是否完善</w:t>
                            </w:r>
                          </w:p>
                        </w:tc>
                        <w:tc>
                          <w:tcPr>
                            <w:tcW w:w="2129" w:type="dxa"/>
                          </w:tcPr>
                          <w:p>
                            <w:pPr>
                              <w:pStyle w:val="18"/>
                              <w:spacing w:before="35"/>
                              <w:ind w:left="5"/>
                              <w:rPr>
                                <w:sz w:val="21"/>
                              </w:rPr>
                            </w:pPr>
                            <w:r>
                              <w:rPr>
                                <w:w w:val="99"/>
                                <w:sz w:val="21"/>
                              </w:rPr>
                              <w:t>是</w:t>
                            </w:r>
                          </w:p>
                        </w:tc>
                        <w:tc>
                          <w:tcPr>
                            <w:tcW w:w="1088" w:type="dxa"/>
                          </w:tcPr>
                          <w:p>
                            <w:pPr>
                              <w:pStyle w:val="18"/>
                              <w:spacing w:before="35"/>
                              <w:ind w:left="99" w:right="92"/>
                              <w:rPr>
                                <w:sz w:val="21"/>
                              </w:rPr>
                            </w:pPr>
                            <w:r>
                              <w:rPr>
                                <w:sz w:val="21"/>
                              </w:rPr>
                              <w:t>符合</w:t>
                            </w:r>
                          </w:p>
                        </w:tc>
                      </w:tr>
                    </w:tbl>
                    <w:p>
                      <w:pPr>
                        <w:pStyle w:val="7"/>
                        <w:ind w:left="0"/>
                      </w:pPr>
                    </w:p>
                  </w:txbxContent>
                </v:textbox>
              </v:shape>
            </w:pict>
          </mc:Fallback>
        </mc:AlternateContent>
      </w:r>
      <w:r>
        <w:rPr>
          <w:sz w:val="24"/>
        </w:rPr>
        <w:t>根据以上规范和相关要求，本项目清洁生产定性评价统计见表</w:t>
      </w:r>
      <w:r>
        <w:rPr>
          <w:rFonts w:ascii="Times New Roman" w:eastAsia="Times New Roman"/>
          <w:sz w:val="24"/>
        </w:rPr>
        <w:t>3.4-1</w:t>
      </w:r>
      <w:r>
        <w:rPr>
          <w:spacing w:val="-16"/>
          <w:sz w:val="24"/>
        </w:rPr>
        <w:t>。</w:t>
      </w:r>
      <w:r>
        <w:rPr>
          <w:b/>
          <w:sz w:val="24"/>
        </w:rPr>
        <w:t>表</w:t>
      </w:r>
      <w:r>
        <w:rPr>
          <w:rFonts w:ascii="Times New Roman" w:eastAsia="Times New Roman"/>
          <w:b/>
          <w:sz w:val="24"/>
        </w:rPr>
        <w:t>3.4-1</w:t>
      </w:r>
      <w:r>
        <w:rPr>
          <w:rFonts w:ascii="Times New Roman" w:eastAsia="Times New Roman"/>
          <w:b/>
          <w:sz w:val="24"/>
        </w:rPr>
        <w:tab/>
      </w:r>
      <w:r>
        <w:rPr>
          <w:b/>
          <w:sz w:val="24"/>
        </w:rPr>
        <w:t>项目清洁生产评价指标</w:t>
      </w:r>
    </w:p>
    <w:p>
      <w:pPr>
        <w:spacing w:after="0" w:line="381" w:lineRule="auto"/>
        <w:jc w:val="both"/>
        <w:rPr>
          <w:sz w:val="24"/>
        </w:rPr>
        <w:sectPr>
          <w:footerReference r:id="rId15"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7"/>
        <w:numPr>
          <w:ilvl w:val="3"/>
          <w:numId w:val="29"/>
        </w:numPr>
        <w:tabs>
          <w:tab w:val="left" w:pos="1320"/>
        </w:tabs>
        <w:spacing w:before="152" w:after="0" w:line="240" w:lineRule="auto"/>
        <w:ind w:left="1320" w:right="0" w:hanging="780"/>
        <w:jc w:val="both"/>
        <w:rPr>
          <w:sz w:val="24"/>
        </w:rPr>
      </w:pPr>
      <w:bookmarkStart w:id="211" w:name="3.4.2.2 清洁生产水平分析"/>
      <w:bookmarkEnd w:id="211"/>
      <w:bookmarkStart w:id="212" w:name="3.4.2.2 清洁生产水平分析"/>
      <w:bookmarkEnd w:id="212"/>
      <w:r>
        <w:rPr>
          <w:sz w:val="24"/>
        </w:rPr>
        <w:t>清洁生产水平分析</w:t>
      </w:r>
    </w:p>
    <w:p>
      <w:pPr>
        <w:pStyle w:val="7"/>
        <w:spacing w:before="216" w:line="357" w:lineRule="auto"/>
        <w:ind w:right="577" w:firstLine="480"/>
        <w:jc w:val="both"/>
      </w:pPr>
      <w:r>
        <w:t>根据《中华人民共和国清洁生产促进法》（</w:t>
      </w:r>
      <w:r>
        <w:rPr>
          <w:rFonts w:ascii="Times New Roman" w:eastAsia="Times New Roman"/>
        </w:rPr>
        <w:t>2012</w:t>
      </w:r>
      <w:r>
        <w:rPr>
          <w:spacing w:val="-26"/>
        </w:rPr>
        <w:t>年</w:t>
      </w:r>
      <w:r>
        <w:rPr>
          <w:rFonts w:ascii="Times New Roman" w:eastAsia="Times New Roman"/>
        </w:rPr>
        <w:t>7</w:t>
      </w:r>
      <w:r>
        <w:rPr>
          <w:spacing w:val="-25"/>
        </w:rPr>
        <w:t>月</w:t>
      </w:r>
      <w:r>
        <w:rPr>
          <w:rFonts w:ascii="Times New Roman" w:eastAsia="Times New Roman"/>
        </w:rPr>
        <w:t>1</w:t>
      </w:r>
      <w:r>
        <w:t>日）的要求，本</w:t>
      </w:r>
      <w:r>
        <w:rPr>
          <w:spacing w:val="-6"/>
        </w:rPr>
        <w:t>次评价从生产工艺与装备要求指标、产品指标、原辅材料的选用、资源与能源利</w:t>
      </w:r>
      <w:r>
        <w:t>用、末端治理措施、环境管理等六个方面进行清洁生产分析。</w:t>
      </w:r>
    </w:p>
    <w:p>
      <w:pPr>
        <w:pStyle w:val="7"/>
        <w:spacing w:before="6"/>
        <w:ind w:left="1020"/>
      </w:pPr>
      <w:r>
        <w:t>（</w:t>
      </w:r>
      <w:r>
        <w:rPr>
          <w:rFonts w:ascii="Times New Roman" w:eastAsia="Times New Roman"/>
        </w:rPr>
        <w:t>1</w:t>
      </w:r>
      <w:r>
        <w:t>）生产工艺与装备要求</w:t>
      </w:r>
    </w:p>
    <w:p>
      <w:pPr>
        <w:pStyle w:val="17"/>
        <w:numPr>
          <w:ilvl w:val="0"/>
          <w:numId w:val="35"/>
        </w:numPr>
        <w:tabs>
          <w:tab w:val="left" w:pos="1621"/>
        </w:tabs>
        <w:spacing w:before="150" w:after="0" w:line="360" w:lineRule="auto"/>
        <w:ind w:left="540" w:right="605" w:firstLine="480"/>
        <w:jc w:val="left"/>
        <w:rPr>
          <w:sz w:val="24"/>
        </w:rPr>
      </w:pPr>
      <w:r>
        <w:rPr>
          <w:spacing w:val="-1"/>
          <w:sz w:val="24"/>
        </w:rPr>
        <w:t>项目采取适度规模的集约化养殖方式，有利于采用能耗物耗小、污染</w:t>
      </w:r>
      <w:r>
        <w:rPr>
          <w:sz w:val="24"/>
        </w:rPr>
        <w:t>物排放量少的清洁生产工艺，提高经济效益，提高环境质量。</w:t>
      </w:r>
    </w:p>
    <w:p>
      <w:pPr>
        <w:pStyle w:val="17"/>
        <w:numPr>
          <w:ilvl w:val="0"/>
          <w:numId w:val="35"/>
        </w:numPr>
        <w:tabs>
          <w:tab w:val="left" w:pos="1621"/>
        </w:tabs>
        <w:spacing w:before="0" w:after="0" w:line="357" w:lineRule="auto"/>
        <w:ind w:left="1020" w:right="605" w:firstLine="0"/>
        <w:jc w:val="left"/>
        <w:rPr>
          <w:sz w:val="24"/>
        </w:rPr>
      </w:pPr>
      <w:r>
        <w:rPr>
          <w:spacing w:val="-1"/>
          <w:sz w:val="24"/>
        </w:rPr>
        <w:t>项目养殖场设施完善，羊舍结构合理，设计和建设时将充分考虑环保</w:t>
      </w:r>
      <w:r>
        <w:rPr>
          <w:sz w:val="24"/>
        </w:rPr>
        <w:t>的要求，舍羊舍里的粪便干法清除，动物尿液通过管道收集。</w:t>
      </w:r>
    </w:p>
    <w:p>
      <w:pPr>
        <w:pStyle w:val="17"/>
        <w:numPr>
          <w:ilvl w:val="0"/>
          <w:numId w:val="35"/>
        </w:numPr>
        <w:tabs>
          <w:tab w:val="left" w:pos="1621"/>
        </w:tabs>
        <w:spacing w:before="2" w:after="0" w:line="360" w:lineRule="auto"/>
        <w:ind w:left="540" w:right="605" w:firstLine="480"/>
        <w:jc w:val="left"/>
        <w:rPr>
          <w:sz w:val="24"/>
        </w:rPr>
      </w:pPr>
      <w:r>
        <w:rPr>
          <w:spacing w:val="-1"/>
          <w:sz w:val="24"/>
        </w:rPr>
        <w:t>羊舍使用干清粪工艺，外售给当地农户。通过本项目的建设，养殖场</w:t>
      </w:r>
      <w:r>
        <w:rPr>
          <w:sz w:val="24"/>
        </w:rPr>
        <w:t>内可达到真正意义上的“零排放”，很大程度上减轻了对环境的污染。</w:t>
      </w:r>
    </w:p>
    <w:p>
      <w:pPr>
        <w:pStyle w:val="7"/>
        <w:spacing w:line="304" w:lineRule="exact"/>
        <w:ind w:left="1020"/>
      </w:pPr>
      <w:r>
        <w:t>①按照清洁生产的标准建立养殖基地，全程控制羊的饲养和管理；</w:t>
      </w:r>
    </w:p>
    <w:p>
      <w:pPr>
        <w:pStyle w:val="7"/>
        <w:spacing w:before="154" w:line="360" w:lineRule="auto"/>
        <w:ind w:right="457" w:firstLine="480"/>
      </w:pPr>
      <w:r>
        <w:t>②科学设计日粮，选择优质的饲料，合理使用饲料添加剂，通过在饲料中</w:t>
      </w:r>
      <w:r>
        <w:rPr>
          <w:spacing w:val="-21"/>
        </w:rPr>
        <w:t>加入</w:t>
      </w:r>
      <w:r>
        <w:rPr>
          <w:rFonts w:ascii="Times New Roman" w:hAnsi="Times New Roman" w:eastAsia="Times New Roman"/>
        </w:rPr>
        <w:t>EM</w:t>
      </w:r>
      <w:r>
        <w:rPr>
          <w:spacing w:val="-16"/>
        </w:rPr>
        <w:t>制剂、沸石等添加剂，除提高羊生产性能外，对控制恶臭具有重要作用；</w:t>
      </w:r>
    </w:p>
    <w:p>
      <w:pPr>
        <w:pStyle w:val="7"/>
        <w:spacing w:line="360" w:lineRule="auto"/>
        <w:ind w:right="485" w:firstLine="480"/>
      </w:pPr>
      <w:r>
        <w:t>③圈舍全部采用干清粪工艺，羊尿及时排至储液池，羊粪日产日清，通过减少粪便的停留时间和覆盖面积，可大为降低羊舍废气产生。通过向粪便或羊舍内投放吸附剂（沸石、锯末、膨润土等）减少臭气的散发；加强羊舍消毒杀菌，减少微生物发酵，防止恶臭产生；</w:t>
      </w:r>
    </w:p>
    <w:p>
      <w:pPr>
        <w:pStyle w:val="7"/>
        <w:spacing w:line="360" w:lineRule="auto"/>
        <w:ind w:right="580" w:firstLine="480"/>
      </w:pPr>
      <w:r>
        <w:t>④养殖区重视绿化工作，保持道路清洁、排水沟畅通、地面不积水、定期杀蚊蝇和灭鼠，间隔空旷地段夜间设置灯光诱捕昆虫；</w:t>
      </w:r>
    </w:p>
    <w:p>
      <w:pPr>
        <w:pStyle w:val="7"/>
        <w:spacing w:line="360" w:lineRule="auto"/>
        <w:ind w:right="577" w:firstLine="480"/>
        <w:jc w:val="both"/>
      </w:pPr>
      <w:r>
        <w:rPr>
          <w:spacing w:val="-1"/>
        </w:rPr>
        <w:t>⑤本项目粪污处理方法较好的解决了规模化养殖的污染问题，达到粪便污</w:t>
      </w:r>
      <w:r>
        <w:rPr>
          <w:spacing w:val="-8"/>
        </w:rPr>
        <w:t>染物的综合利用，实现了清洁生产。本项目建成后，将可以形成“饲草—养殖—粪便—生态有机肥—饲草”的生态循环链，初步形成以发酵产物为纽带的生态农</w:t>
      </w:r>
      <w:r>
        <w:rPr>
          <w:spacing w:val="-10"/>
        </w:rPr>
        <w:t>业建设模式。生态养殖场的建设，促进了种植业与养殖业之间的良性循环，提高了养殖效益，改善了人居环境，而生态系统和产业体系的良性互动循环，也实现</w:t>
      </w:r>
      <w:r>
        <w:rPr>
          <w:spacing w:val="-7"/>
        </w:rPr>
        <w:t>了产业的最大增值和农民增收。粪便处理成有机肥，实现了畜牧养殖业无废物排</w:t>
      </w:r>
      <w:r>
        <w:rPr>
          <w:spacing w:val="-10"/>
        </w:rPr>
        <w:t>放，资源再生循环利用，发展了绿色畜牧产业，保证了畜牧业的可持续发展。本</w:t>
      </w:r>
      <w:r>
        <w:t>项目清洁生产水平基本可以达到国内先进水平。</w:t>
      </w:r>
    </w:p>
    <w:p>
      <w:pPr>
        <w:pStyle w:val="17"/>
        <w:numPr>
          <w:ilvl w:val="0"/>
          <w:numId w:val="36"/>
        </w:numPr>
        <w:tabs>
          <w:tab w:val="left" w:pos="1621"/>
        </w:tabs>
        <w:spacing w:before="0" w:after="0" w:line="299" w:lineRule="exact"/>
        <w:ind w:left="1621" w:right="0" w:hanging="601"/>
        <w:jc w:val="left"/>
        <w:rPr>
          <w:sz w:val="24"/>
        </w:rPr>
      </w:pPr>
      <w:r>
        <w:rPr>
          <w:sz w:val="24"/>
        </w:rPr>
        <w:t>产品指标</w:t>
      </w:r>
    </w:p>
    <w:p>
      <w:pPr>
        <w:spacing w:after="0" w:line="299" w:lineRule="exact"/>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7"/>
        <w:ind w:left="0"/>
        <w:rPr>
          <w:sz w:val="8"/>
        </w:rPr>
      </w:pPr>
    </w:p>
    <w:p>
      <w:pPr>
        <w:pStyle w:val="7"/>
        <w:spacing w:before="67" w:line="343" w:lineRule="auto"/>
        <w:ind w:right="577" w:firstLine="480"/>
        <w:jc w:val="both"/>
      </w:pPr>
      <w:r>
        <w:rPr>
          <w:spacing w:val="-8"/>
        </w:rPr>
        <w:t>全面提高秸秆养畜水平，加强动物卫生防疫和健康养殖监督。建立健全健康</w:t>
      </w:r>
      <w:r>
        <w:rPr>
          <w:spacing w:val="-9"/>
        </w:rPr>
        <w:t>养殖管理制度，加强疫病防治和监控，加强上市产品检疫监测，确保产品的质量</w:t>
      </w:r>
      <w:r>
        <w:rPr>
          <w:spacing w:val="-11"/>
        </w:rPr>
        <w:t>安全、计量及卫生标准。杜绝使用不符合国家卫生标准的饲料添加剂，严格按照</w:t>
      </w:r>
      <w:r>
        <w:rPr>
          <w:spacing w:val="-8"/>
        </w:rPr>
        <w:t>绿色产品生产模式生产，并积极申报绿色产品和产地认证，不断提高产品竞争能</w:t>
      </w:r>
      <w:r>
        <w:t>力。通过不断提高秸秆养畜饲管水平，达到提高饲养水平和经济效益目的。</w:t>
      </w:r>
    </w:p>
    <w:p>
      <w:pPr>
        <w:pStyle w:val="7"/>
        <w:spacing w:line="343" w:lineRule="auto"/>
        <w:ind w:right="457" w:firstLine="480"/>
      </w:pPr>
      <w:r>
        <w:rPr>
          <w:spacing w:val="-11"/>
        </w:rPr>
        <w:t>堆肥的使用可有效替代传统的单元素化肥，不仅节约资源、降低了农业成本，</w:t>
      </w:r>
      <w:r>
        <w:rPr>
          <w:spacing w:val="-5"/>
        </w:rPr>
        <w:t>而且可有效降解土壤中难吸收的无机元素，保护了土壤，有利于动植物的生存和人类的健康。</w:t>
      </w:r>
    </w:p>
    <w:p>
      <w:pPr>
        <w:pStyle w:val="17"/>
        <w:numPr>
          <w:ilvl w:val="0"/>
          <w:numId w:val="36"/>
        </w:numPr>
        <w:tabs>
          <w:tab w:val="left" w:pos="1621"/>
        </w:tabs>
        <w:spacing w:before="0" w:after="0" w:line="240" w:lineRule="auto"/>
        <w:ind w:left="1621" w:right="0" w:hanging="601"/>
        <w:jc w:val="left"/>
        <w:rPr>
          <w:sz w:val="24"/>
        </w:rPr>
      </w:pPr>
      <w:r>
        <w:rPr>
          <w:sz w:val="24"/>
        </w:rPr>
        <w:t>原辅材料的选用</w:t>
      </w:r>
    </w:p>
    <w:p>
      <w:pPr>
        <w:pStyle w:val="7"/>
        <w:spacing w:before="135" w:line="343" w:lineRule="auto"/>
        <w:ind w:right="577" w:firstLine="480"/>
        <w:jc w:val="both"/>
      </w:pPr>
      <w:r>
        <w:rPr>
          <w:spacing w:val="2"/>
        </w:rPr>
        <w:t>原材料的选用是清洁生产首先要考虑的问题，只有从源头上加强控制和管</w:t>
      </w:r>
      <w:r>
        <w:rPr>
          <w:spacing w:val="-10"/>
        </w:rPr>
        <w:t>理，减少有毒有害原料的种类和使用量。本项目饲料选用优质的饲料，并合理使</w:t>
      </w:r>
      <w:r>
        <w:rPr>
          <w:spacing w:val="-9"/>
        </w:rPr>
        <w:t>用饲料添加剂，既保证了羊生长需求，又可以抑制恶臭气体产生；消毒药品选用</w:t>
      </w:r>
      <w:r>
        <w:t>高效、低毒、无公害的消毒药剂。</w:t>
      </w:r>
    </w:p>
    <w:p>
      <w:pPr>
        <w:pStyle w:val="17"/>
        <w:numPr>
          <w:ilvl w:val="0"/>
          <w:numId w:val="36"/>
        </w:numPr>
        <w:tabs>
          <w:tab w:val="left" w:pos="1621"/>
        </w:tabs>
        <w:spacing w:before="0" w:after="0" w:line="240" w:lineRule="auto"/>
        <w:ind w:left="1621" w:right="0" w:hanging="601"/>
        <w:jc w:val="left"/>
        <w:rPr>
          <w:sz w:val="24"/>
        </w:rPr>
      </w:pPr>
      <w:r>
        <w:rPr>
          <w:sz w:val="24"/>
        </w:rPr>
        <w:t>资源与能源利用</w:t>
      </w:r>
    </w:p>
    <w:p>
      <w:pPr>
        <w:pStyle w:val="7"/>
        <w:spacing w:before="132" w:line="343" w:lineRule="auto"/>
        <w:ind w:right="577" w:firstLine="480"/>
        <w:jc w:val="both"/>
      </w:pPr>
      <w:r>
        <w:rPr>
          <w:spacing w:val="-6"/>
        </w:rPr>
        <w:t>本项目有助于当地林果产业的无公害化发展，减少了化肥的使用量；示范带</w:t>
      </w:r>
      <w:r>
        <w:rPr>
          <w:spacing w:val="-8"/>
        </w:rPr>
        <w:t>动</w:t>
      </w:r>
      <w:r>
        <w:rPr>
          <w:rFonts w:hint="eastAsia"/>
          <w:spacing w:val="-8"/>
          <w:lang w:eastAsia="zh-CN"/>
        </w:rPr>
        <w:t>莎车</w:t>
      </w:r>
      <w:r>
        <w:rPr>
          <w:spacing w:val="-8"/>
        </w:rPr>
        <w:t>县养殖业向规模化、标准化模式发展，还有利于形成有机农业→绿色优质</w:t>
      </w:r>
      <w:r>
        <w:rPr>
          <w:spacing w:val="-3"/>
        </w:rPr>
        <w:t>饲料→绿色畜牧业</w:t>
      </w:r>
      <w:r>
        <w:t>（</w:t>
      </w:r>
      <w:r>
        <w:rPr>
          <w:spacing w:val="-9"/>
        </w:rPr>
        <w:t>肉、奶、蛋</w:t>
      </w:r>
      <w:r>
        <w:rPr>
          <w:spacing w:val="-10"/>
        </w:rPr>
        <w:t>）</w:t>
      </w:r>
      <w:r>
        <w:rPr>
          <w:spacing w:val="-5"/>
        </w:rPr>
        <w:t>→有机肥料→有机农业的良性循环，同时可带</w:t>
      </w:r>
      <w:r>
        <w:t>动饲料种植、运输、饲料和肉食品加工等产业的发展，促进产业结构调整。</w:t>
      </w:r>
    </w:p>
    <w:p>
      <w:pPr>
        <w:pStyle w:val="7"/>
        <w:spacing w:before="2" w:line="343" w:lineRule="auto"/>
        <w:ind w:right="457" w:firstLine="480"/>
        <w:jc w:val="both"/>
      </w:pPr>
      <w:r>
        <w:t>本项目养殖废水（羊尿）进入垫料层中，最终与羊粪一起发酵生产有机肥，</w:t>
      </w:r>
      <w:r>
        <w:rPr>
          <w:spacing w:val="-16"/>
        </w:rPr>
        <w:t>羊舍采用干清粪工艺，由人工定期清扫，不产生羊舍冲洗废水实现了废物零排放，</w:t>
      </w:r>
      <w:r>
        <w:t>减少环境负荷。</w:t>
      </w:r>
    </w:p>
    <w:p>
      <w:pPr>
        <w:pStyle w:val="17"/>
        <w:numPr>
          <w:ilvl w:val="0"/>
          <w:numId w:val="36"/>
        </w:numPr>
        <w:tabs>
          <w:tab w:val="left" w:pos="1621"/>
        </w:tabs>
        <w:spacing w:before="1" w:after="0" w:line="240" w:lineRule="auto"/>
        <w:ind w:left="1621" w:right="0" w:hanging="601"/>
        <w:jc w:val="left"/>
        <w:rPr>
          <w:sz w:val="24"/>
        </w:rPr>
      </w:pPr>
      <w:r>
        <w:rPr>
          <w:sz w:val="24"/>
        </w:rPr>
        <w:t>末端治理措施</w:t>
      </w:r>
    </w:p>
    <w:p>
      <w:pPr>
        <w:pStyle w:val="7"/>
        <w:spacing w:before="132" w:line="343" w:lineRule="auto"/>
        <w:ind w:right="577" w:firstLine="480"/>
        <w:jc w:val="both"/>
      </w:pPr>
      <w:r>
        <w:rPr>
          <w:spacing w:val="-6"/>
        </w:rPr>
        <w:t>营运期养殖场恶臭通过加强羊舍管理和通风、科学设计日粮、选择优质的饲</w:t>
      </w:r>
      <w:r>
        <w:rPr>
          <w:spacing w:val="-12"/>
        </w:rPr>
        <w:t>料、合理使用饲料添加剂、种植绿化隔离带、严格划定卫生防护距离等措施进行</w:t>
      </w:r>
      <w:r>
        <w:rPr>
          <w:spacing w:val="-10"/>
        </w:rPr>
        <w:t>控制；本项目采用干清粪处理工艺，没有生产废水产生，养殖人员生活污水经自</w:t>
      </w:r>
      <w:r>
        <w:rPr>
          <w:spacing w:val="-6"/>
        </w:rPr>
        <w:t>建的地埋式一体化污水处理装置处理后，用于项目区绿化，不外排。项目外排的</w:t>
      </w:r>
      <w:r>
        <w:rPr>
          <w:position w:val="2"/>
        </w:rPr>
        <w:t>主要是无组织排放的恶臭气体、</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，通过采取相应的治理措施后，均可</w:t>
      </w:r>
      <w:r>
        <w:rPr>
          <w:spacing w:val="-11"/>
          <w:vertAlign w:val="baseline"/>
        </w:rPr>
        <w:t>达标排放，羊粪便出售给当地的农户，其他固体废物全部得到综合利用与妥善处</w:t>
      </w:r>
      <w:r>
        <w:rPr>
          <w:spacing w:val="-12"/>
          <w:vertAlign w:val="baseline"/>
        </w:rPr>
        <w:t>置，实现了废物零排放。本项目主要污染防治措施均本着实现资源合理利用的原</w:t>
      </w:r>
      <w:r>
        <w:rPr>
          <w:vertAlign w:val="baseline"/>
        </w:rPr>
        <w:t>则，将污染物通过治理转化为有用资源进行利用。</w:t>
      </w:r>
    </w:p>
    <w:p>
      <w:pPr>
        <w:pStyle w:val="17"/>
        <w:numPr>
          <w:ilvl w:val="0"/>
          <w:numId w:val="36"/>
        </w:numPr>
        <w:tabs>
          <w:tab w:val="left" w:pos="1621"/>
        </w:tabs>
        <w:spacing w:before="0" w:after="0" w:line="306" w:lineRule="exact"/>
        <w:ind w:left="1621" w:right="0" w:hanging="601"/>
        <w:jc w:val="left"/>
        <w:rPr>
          <w:sz w:val="24"/>
        </w:rPr>
      </w:pPr>
      <w:r>
        <w:rPr>
          <w:sz w:val="24"/>
        </w:rPr>
        <w:t>环境管理</w:t>
      </w:r>
    </w:p>
    <w:p>
      <w:pPr>
        <w:spacing w:after="0" w:line="306" w:lineRule="exact"/>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7"/>
        <w:ind w:left="0"/>
        <w:rPr>
          <w:sz w:val="8"/>
        </w:rPr>
      </w:pPr>
    </w:p>
    <w:p>
      <w:pPr>
        <w:pStyle w:val="7"/>
        <w:spacing w:before="67" w:line="343" w:lineRule="auto"/>
        <w:ind w:right="455" w:firstLine="480"/>
      </w:pPr>
      <w:r>
        <w:rPr>
          <w:spacing w:val="-6"/>
        </w:rPr>
        <w:t>本项目的建设符合国家产业政策，选址、平面布置及污染防治措施符合《畜</w:t>
      </w:r>
      <w:r>
        <w:rPr>
          <w:spacing w:val="-11"/>
        </w:rPr>
        <w:t>禽养殖业污染防治技术规范》</w:t>
      </w:r>
      <w:r>
        <w:rPr>
          <w:spacing w:val="-3"/>
        </w:rPr>
        <w:t>（</w:t>
      </w:r>
      <w:r>
        <w:rPr>
          <w:rFonts w:ascii="Times New Roman" w:eastAsia="Times New Roman"/>
          <w:spacing w:val="-3"/>
        </w:rPr>
        <w:t>HJ/T81-2001</w:t>
      </w:r>
      <w:r>
        <w:rPr>
          <w:spacing w:val="-3"/>
        </w:rPr>
        <w:t>）</w:t>
      </w:r>
      <w:r>
        <w:rPr>
          <w:spacing w:val="-17"/>
        </w:rPr>
        <w:t>、《畜禽规模养殖污染防治条例》、</w:t>
      </w:r>
    </w:p>
    <w:p>
      <w:pPr>
        <w:pStyle w:val="7"/>
        <w:spacing w:line="306" w:lineRule="exact"/>
      </w:pPr>
      <w:r>
        <w:t>《畜禽养殖业污染治理工程技术规范》（</w:t>
      </w:r>
      <w:r>
        <w:rPr>
          <w:rFonts w:ascii="Times New Roman" w:eastAsia="Times New Roman"/>
        </w:rPr>
        <w:t>HJ497-2009</w:t>
      </w:r>
      <w:r>
        <w:t>）等技术文件的要求。</w:t>
      </w:r>
    </w:p>
    <w:p>
      <w:pPr>
        <w:pStyle w:val="7"/>
        <w:spacing w:before="134" w:line="343" w:lineRule="auto"/>
        <w:ind w:right="577" w:firstLine="480"/>
      </w:pPr>
      <w:r>
        <w:rPr>
          <w:spacing w:val="-5"/>
        </w:rPr>
        <w:t>项目建成后企业将设立健全的环境管理机构和专职管理人员，制订较完善环</w:t>
      </w:r>
      <w:r>
        <w:t>境管理制度，严格控制各种污染物的产生及排放，严格控制风险事故的发生。</w:t>
      </w:r>
    </w:p>
    <w:p>
      <w:pPr>
        <w:pStyle w:val="7"/>
        <w:spacing w:line="345" w:lineRule="auto"/>
        <w:ind w:right="577" w:firstLine="480"/>
      </w:pPr>
      <w:r>
        <w:rPr>
          <w:spacing w:val="-9"/>
        </w:rPr>
        <w:t>坚持预防为主、防治结合、综合治理的原则，坚持推行清洁生产，实行生产</w:t>
      </w:r>
      <w:r>
        <w:t>全过程污染控制。环境管理工作内容包括：</w:t>
      </w:r>
    </w:p>
    <w:p>
      <w:pPr>
        <w:pStyle w:val="7"/>
        <w:spacing w:line="343" w:lineRule="auto"/>
        <w:ind w:right="580" w:firstLine="480"/>
      </w:pPr>
      <w:r>
        <w:t>①有效处理生产过程中产生的废水、废气、固体废物，防止对周围环境造成污染或有害影响。</w:t>
      </w:r>
    </w:p>
    <w:p>
      <w:pPr>
        <w:pStyle w:val="7"/>
        <w:spacing w:line="343" w:lineRule="auto"/>
        <w:ind w:right="577" w:firstLine="480"/>
      </w:pPr>
      <w:r>
        <w:t>②生产部具体负责日常的“三废”治理和环境保护工作，符合达标的排放源应树立合格排放标志。</w:t>
      </w:r>
    </w:p>
    <w:p>
      <w:pPr>
        <w:pStyle w:val="7"/>
        <w:spacing w:line="306" w:lineRule="exact"/>
        <w:ind w:left="1020"/>
      </w:pPr>
      <w:r>
        <w:t>③设立“三废”处理人员岗位负责制，实行严格的奖罚制度。</w:t>
      </w:r>
    </w:p>
    <w:p>
      <w:pPr>
        <w:pStyle w:val="7"/>
        <w:spacing w:before="130" w:line="343" w:lineRule="auto"/>
        <w:ind w:right="580" w:firstLine="480"/>
      </w:pPr>
      <w:r>
        <w:t>④环保人员负责维护环保治理设施，在环保治理设施一旦出现故障时，必须立即采取应急措施，以杜绝污染物排放的出现。</w:t>
      </w:r>
    </w:p>
    <w:p>
      <w:pPr>
        <w:pStyle w:val="7"/>
        <w:spacing w:line="345" w:lineRule="auto"/>
        <w:ind w:right="580" w:firstLine="480"/>
      </w:pPr>
      <w:r>
        <w:t>⑤定期进行环保技术业务培训，以提高工作人员的技术素质水平。积极开展环境保护宣传教育活动，普及环保知识，提高全员的环保意识。</w:t>
      </w:r>
    </w:p>
    <w:p>
      <w:pPr>
        <w:pStyle w:val="7"/>
        <w:spacing w:line="303" w:lineRule="exact"/>
        <w:ind w:left="1020"/>
      </w:pPr>
      <w:r>
        <w:t>⑥搞好场区绿化，改善生产区及周围环境，接受环保部门的检查和指导。</w:t>
      </w:r>
    </w:p>
    <w:p>
      <w:pPr>
        <w:pStyle w:val="7"/>
        <w:spacing w:before="130" w:line="345" w:lineRule="auto"/>
        <w:ind w:right="580" w:firstLine="480"/>
      </w:pPr>
      <w:r>
        <w:t>⑦场内原料必须按照有关管理规定贮存、保管等，不得对生产区及其周围环境造成。</w:t>
      </w:r>
    </w:p>
    <w:p>
      <w:pPr>
        <w:pStyle w:val="7"/>
        <w:spacing w:line="343" w:lineRule="auto"/>
        <w:ind w:right="580" w:firstLine="480"/>
      </w:pPr>
      <w:r>
        <w:t>⑧在生产中，由于突发性事件造成排污异常，要立即采取应急措施，防止污染扩大，并及时向环保主管部门汇报，以便做好协调处置工作。</w:t>
      </w:r>
    </w:p>
    <w:p>
      <w:pPr>
        <w:pStyle w:val="7"/>
        <w:ind w:left="1020"/>
      </w:pPr>
      <w:r>
        <w:t>综上所述，本项目符合“清洁生产”要求，贯彻了清洁生产原则。</w:t>
      </w:r>
    </w:p>
    <w:p>
      <w:pPr>
        <w:pStyle w:val="5"/>
        <w:numPr>
          <w:ilvl w:val="2"/>
          <w:numId w:val="29"/>
        </w:numPr>
        <w:tabs>
          <w:tab w:val="left" w:pos="1241"/>
        </w:tabs>
        <w:spacing w:before="165" w:after="0" w:line="240" w:lineRule="auto"/>
        <w:ind w:left="1240" w:right="0" w:hanging="701"/>
        <w:jc w:val="left"/>
        <w:outlineLvl w:val="2"/>
      </w:pPr>
      <w:bookmarkStart w:id="213" w:name="3.4.3 清洁生产建议"/>
      <w:bookmarkEnd w:id="213"/>
      <w:bookmarkStart w:id="214" w:name="3.4.3 清洁生产建议"/>
      <w:bookmarkEnd w:id="214"/>
      <w:bookmarkStart w:id="215" w:name="_Toc23663"/>
      <w:r>
        <w:t>清洁生产建议</w:t>
      </w:r>
      <w:bookmarkEnd w:id="215"/>
    </w:p>
    <w:p>
      <w:pPr>
        <w:pStyle w:val="7"/>
        <w:spacing w:before="188" w:line="343" w:lineRule="auto"/>
        <w:ind w:right="577" w:firstLine="480"/>
        <w:jc w:val="both"/>
      </w:pPr>
      <w:r>
        <w:rPr>
          <w:spacing w:val="-5"/>
        </w:rPr>
        <w:t>建设单位要确保建立健全的环境管理体制和工作制度，建议公司在今后的发</w:t>
      </w:r>
      <w:r>
        <w:t>展过程中，按照质量管理体系（</w:t>
      </w:r>
      <w:r>
        <w:rPr>
          <w:rFonts w:ascii="Times New Roman" w:eastAsia="Times New Roman"/>
        </w:rPr>
        <w:t>ISO9002/QS-9000/ISO14001</w:t>
      </w:r>
      <w:r>
        <w:t>）、</w:t>
      </w:r>
      <w:r>
        <w:rPr>
          <w:rFonts w:ascii="Times New Roman" w:eastAsia="Times New Roman"/>
        </w:rPr>
        <w:t>GMP</w:t>
      </w:r>
      <w:r>
        <w:t>认证的相关要求，切实贯彻落实各项清洁生产措施，保障清洁生产的推行，不断进步。</w:t>
      </w:r>
    </w:p>
    <w:p>
      <w:pPr>
        <w:pStyle w:val="7"/>
        <w:spacing w:before="1"/>
        <w:ind w:left="1020"/>
      </w:pPr>
      <w:r>
        <w:t>为了更好的执行清洁生产方针，本环评建议建设单位考虑以下的清洁措施：</w:t>
      </w:r>
    </w:p>
    <w:p>
      <w:pPr>
        <w:pStyle w:val="7"/>
        <w:spacing w:before="134" w:line="343" w:lineRule="auto"/>
        <w:ind w:right="577" w:firstLine="480"/>
        <w:jc w:val="both"/>
      </w:pPr>
      <w:r>
        <w:t>①成立清洁生产领导小组，每年根据本单位的实际情况制定清洁生产工作</w:t>
      </w:r>
      <w:r>
        <w:rPr>
          <w:spacing w:val="-11"/>
        </w:rPr>
        <w:t>计划，持续不断地开展清洁生产工作。定期开展污染源调查和环境保护设施运行</w:t>
      </w:r>
      <w:r>
        <w:t>标定，有计划、有步骤地开展生产装置环境保护审计工作。</w:t>
      </w:r>
    </w:p>
    <w:p>
      <w:pPr>
        <w:spacing w:after="0" w:line="343"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7"/>
        <w:ind w:left="0"/>
        <w:rPr>
          <w:sz w:val="8"/>
        </w:rPr>
      </w:pPr>
    </w:p>
    <w:p>
      <w:pPr>
        <w:pStyle w:val="7"/>
        <w:spacing w:before="67" w:line="343" w:lineRule="auto"/>
        <w:ind w:right="605" w:firstLine="480"/>
        <w:jc w:val="both"/>
      </w:pPr>
      <w:r>
        <w:t>②提高原料的利用率；完善企业内部管理，减少物料消耗，建立严格的管理制度，落实岗位责任制，加强生产中的现场管理。</w:t>
      </w:r>
    </w:p>
    <w:p>
      <w:pPr>
        <w:pStyle w:val="7"/>
        <w:spacing w:line="345" w:lineRule="auto"/>
        <w:ind w:right="605" w:firstLine="480"/>
        <w:jc w:val="both"/>
      </w:pPr>
      <w:r>
        <w:t>③加强生产设备和污水处理设施维修，及时检修、更换破损的管道、机泵和污染治理设备，尽量减少和防止生产过程中的跑冒滴漏。</w:t>
      </w:r>
    </w:p>
    <w:p>
      <w:pPr>
        <w:pStyle w:val="7"/>
        <w:spacing w:line="343" w:lineRule="auto"/>
        <w:ind w:right="580" w:firstLine="480"/>
        <w:jc w:val="both"/>
      </w:pPr>
      <w:r>
        <w:t>④每日及时清粪，可有效减轻恶臭气体的产生，改善培育舍内环境，减少羊疾病发病率和死亡率。</w:t>
      </w:r>
    </w:p>
    <w:p>
      <w:pPr>
        <w:pStyle w:val="7"/>
        <w:spacing w:line="343" w:lineRule="auto"/>
        <w:ind w:right="577" w:firstLine="480"/>
        <w:jc w:val="both"/>
      </w:pPr>
      <w:r>
        <w:rPr>
          <w:spacing w:val="-1"/>
        </w:rPr>
        <w:t>⑤做好病死羊尸体的处置，病死羊尸体按规范要求坚持无害化处理。出现</w:t>
      </w:r>
      <w:r>
        <w:rPr>
          <w:spacing w:val="-10"/>
        </w:rPr>
        <w:t>死羊后，及时确认病死羊病因，按场内制定的操作流程严格进行无害化处理，因</w:t>
      </w:r>
      <w:r>
        <w:rPr>
          <w:spacing w:val="-5"/>
        </w:rPr>
        <w:t>重大疫病及人畜共患病死亡的羊尸体应先上报当地兽医局、动物疾病预防控制中</w:t>
      </w:r>
      <w:r>
        <w:rPr>
          <w:spacing w:val="-11"/>
        </w:rPr>
        <w:t>心，后由动物疫病预防控制中心、兽医局等有关部门组织对病死羊做统一集中无</w:t>
      </w:r>
      <w:r>
        <w:t>害化处理，不可私自处置、外卖或私自屠宰。</w:t>
      </w:r>
    </w:p>
    <w:p>
      <w:pPr>
        <w:spacing w:after="0" w:line="343"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7"/>
        <w:outlineLvl w:val="0"/>
      </w:pPr>
      <w:bookmarkStart w:id="216" w:name="_Toc3964"/>
      <w:r>
        <w:t>第四章</w:t>
      </w:r>
      <w:r>
        <w:tab/>
      </w:r>
      <w:bookmarkStart w:id="217" w:name="第四章 环境现状调查与评价"/>
      <w:bookmarkEnd w:id="217"/>
      <w:r>
        <w:t>环境现状调查与评价</w:t>
      </w:r>
      <w:bookmarkEnd w:id="216"/>
    </w:p>
    <w:p>
      <w:pPr>
        <w:pStyle w:val="4"/>
        <w:numPr>
          <w:ilvl w:val="1"/>
          <w:numId w:val="37"/>
        </w:numPr>
        <w:tabs>
          <w:tab w:val="left" w:pos="1100"/>
        </w:tabs>
        <w:spacing w:before="315" w:after="0" w:line="240" w:lineRule="auto"/>
        <w:ind w:left="1099" w:right="0" w:hanging="560"/>
        <w:jc w:val="left"/>
        <w:outlineLvl w:val="1"/>
      </w:pPr>
      <w:bookmarkStart w:id="218" w:name="4.1 自然环境概况"/>
      <w:bookmarkEnd w:id="218"/>
      <w:bookmarkStart w:id="219" w:name="_bookmark22"/>
      <w:bookmarkEnd w:id="219"/>
      <w:bookmarkStart w:id="220" w:name="_Toc17384"/>
      <w:r>
        <w:t>自然环境概况</w:t>
      </w:r>
      <w:bookmarkEnd w:id="220"/>
    </w:p>
    <w:p>
      <w:pPr>
        <w:pStyle w:val="7"/>
        <w:spacing w:before="6"/>
        <w:ind w:left="0"/>
        <w:rPr>
          <w:b/>
          <w:sz w:val="28"/>
        </w:rPr>
      </w:pPr>
    </w:p>
    <w:p>
      <w:pPr>
        <w:pStyle w:val="5"/>
        <w:numPr>
          <w:ilvl w:val="2"/>
          <w:numId w:val="37"/>
        </w:numPr>
        <w:tabs>
          <w:tab w:val="left" w:pos="1241"/>
        </w:tabs>
        <w:spacing w:before="0" w:after="0" w:line="240" w:lineRule="auto"/>
        <w:ind w:left="1240" w:right="0" w:hanging="701"/>
        <w:jc w:val="left"/>
        <w:outlineLvl w:val="2"/>
      </w:pPr>
      <w:bookmarkStart w:id="221" w:name="4.1.1 地理位置"/>
      <w:bookmarkEnd w:id="221"/>
      <w:bookmarkStart w:id="222" w:name="4.1.1 地理位置"/>
      <w:bookmarkEnd w:id="222"/>
      <w:bookmarkStart w:id="223" w:name="_Toc24925"/>
      <w:r>
        <w:t>地理位置</w:t>
      </w:r>
      <w:bookmarkEnd w:id="223"/>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480" w:firstLineChars="200"/>
        <w:jc w:val="both"/>
        <w:textAlignment w:val="auto"/>
        <w:rPr>
          <w:rFonts w:hint="eastAsia" w:ascii="Times New Roman" w:hAnsi="Times New Roman" w:eastAsia="宋体" w:cs="Times New Roman"/>
          <w:b w:val="0"/>
          <w:bCs w:val="0"/>
          <w:color w:val="0000FF"/>
          <w:sz w:val="24"/>
          <w:szCs w:val="24"/>
          <w:lang w:val="en-US" w:eastAsia="zh-CN"/>
        </w:rPr>
      </w:pPr>
      <w:r>
        <w:rPr>
          <w:rFonts w:hint="eastAsia" w:ascii="Times New Roman" w:hAnsi="Times New Roman" w:eastAsia="宋体" w:cs="Times New Roman"/>
          <w:b w:val="0"/>
          <w:bCs w:val="0"/>
          <w:color w:val="0000FF"/>
          <w:sz w:val="24"/>
          <w:szCs w:val="24"/>
          <w:lang w:val="en-US" w:eastAsia="zh-CN"/>
        </w:rPr>
        <w:t>本项目建设地点位于莎车县</w:t>
      </w:r>
      <w:r>
        <w:rPr>
          <w:rFonts w:hint="eastAsia" w:ascii="Times New Roman" w:hAnsi="Times New Roman" w:cs="Times New Roman"/>
          <w:b w:val="0"/>
          <w:bCs w:val="0"/>
          <w:color w:val="0000FF"/>
          <w:sz w:val="24"/>
          <w:szCs w:val="24"/>
          <w:lang w:val="en-US" w:eastAsia="zh-CN"/>
        </w:rPr>
        <w:t>阿拉买提</w:t>
      </w:r>
      <w:r>
        <w:rPr>
          <w:rFonts w:hint="eastAsia" w:ascii="Times New Roman" w:hAnsi="Times New Roman" w:eastAsia="宋体" w:cs="Times New Roman"/>
          <w:b w:val="0"/>
          <w:bCs w:val="0"/>
          <w:color w:val="0000FF"/>
          <w:sz w:val="24"/>
          <w:szCs w:val="24"/>
          <w:lang w:val="en-US" w:eastAsia="zh-CN"/>
        </w:rPr>
        <w:t>乡。莎车县位于新疆维吾尔自治区西南部，地处昆仑山北麓、帕米尔高原南侧、塔克拉玛干沙漠和塔里木盆地西南缘、叶尔羌河冲积扇平原中上游，地理坐标：东经76°1′57′′-77°46′30′′，北纬37°27′30′′-39°0′15′′。县境东北与麦盖提县为邻，东南与泽普县、叶城县相望，西与英吉沙县、阿克陶县毗邻，北靠岳普湖县、疏勒县和巴楚县，西南与塔什库尔干县相接，南北最长190km，东西最宽56km，行政区总面积8956.69km</w:t>
      </w:r>
      <w:r>
        <w:rPr>
          <w:rFonts w:hint="eastAsia" w:ascii="Times New Roman" w:hAnsi="Times New Roman" w:eastAsia="宋体" w:cs="Times New Roman"/>
          <w:b w:val="0"/>
          <w:bCs w:val="0"/>
          <w:color w:val="0000FF"/>
          <w:sz w:val="24"/>
          <w:szCs w:val="24"/>
          <w:vertAlign w:val="superscript"/>
          <w:lang w:val="en-US" w:eastAsia="zh-CN"/>
        </w:rPr>
        <w:t>2</w:t>
      </w:r>
      <w:r>
        <w:rPr>
          <w:rFonts w:hint="eastAsia" w:ascii="Times New Roman" w:hAnsi="Times New Roman" w:eastAsia="宋体" w:cs="Times New Roman"/>
          <w:b w:val="0"/>
          <w:bCs w:val="0"/>
          <w:color w:val="0000FF"/>
          <w:sz w:val="24"/>
          <w:szCs w:val="24"/>
          <w:lang w:val="en-US" w:eastAsia="zh-CN"/>
        </w:rPr>
        <w:t>。县城东北距乌鲁木齐市1050km，西北距喀什市165km。阿拉买提镇位于莎车县东北部，叶尔羌河东岸，距莎车县城 43公里，是莎车县北部重要乡镇之一。县道 499 横贯其中，交通便利。</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0"/>
        <w:jc w:val="both"/>
        <w:textAlignment w:val="auto"/>
        <w:rPr>
          <w:rFonts w:hint="eastAsia" w:ascii="Times New Roman" w:hAnsi="Times New Roman" w:eastAsia="宋体" w:cs="Times New Roman"/>
          <w:b w:val="0"/>
          <w:bCs w:val="0"/>
          <w:color w:val="0000FF"/>
          <w:sz w:val="24"/>
          <w:szCs w:val="24"/>
          <w:lang w:val="en-US" w:eastAsia="zh-CN"/>
        </w:rPr>
      </w:pPr>
      <w:r>
        <w:rPr>
          <w:rFonts w:hint="eastAsia" w:ascii="Times New Roman" w:hAnsi="Times New Roman" w:eastAsia="宋体" w:cs="Times New Roman"/>
          <w:b w:val="0"/>
          <w:bCs w:val="0"/>
          <w:color w:val="0000FF"/>
          <w:sz w:val="24"/>
          <w:szCs w:val="24"/>
          <w:lang w:val="en-US" w:eastAsia="zh-CN"/>
        </w:rPr>
        <w:t>阿拉买提镇位于叶尔羌河和提孜那甫河之间，东隔提孜那甫河与麦盖提县的克孜阿瓦提乡相望，东北与佰什坎特镇接壤，北与阿扎提巴格乡相连，西与阿瓦提镇相邻。阿拉买提镇境内通过县道 X499 与周边乡镇、莎车县城联系；X499 向北与麦盖提县相连；向南通过佰什坎特镇可联系莎车县城。</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0"/>
        <w:jc w:val="both"/>
        <w:textAlignment w:val="auto"/>
      </w:pPr>
      <w:r>
        <w:rPr>
          <w:color w:val="0000FF"/>
          <w:sz w:val="24"/>
        </w:rPr>
        <w:t>本项目位于新疆</w:t>
      </w:r>
      <w:r>
        <w:rPr>
          <w:rFonts w:hint="eastAsia"/>
          <w:color w:val="0000FF"/>
          <w:sz w:val="24"/>
          <w:lang w:val="en-US" w:eastAsia="zh-CN"/>
        </w:rPr>
        <w:t>喀什地区莎车县阿拉买提17村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color w:val="0000FF"/>
          <w:sz w:val="24"/>
          <w:lang w:val="en-US" w:eastAsia="zh-CN"/>
        </w:rPr>
        <w:t>28</w:t>
      </w:r>
      <w:r>
        <w:rPr>
          <w:rFonts w:ascii="Times New Roman" w:hAnsi="Times New Roman" w:eastAsia="Times New Roman"/>
          <w:color w:val="0000FF"/>
          <w:sz w:val="24"/>
        </w:rPr>
        <w:t>'</w:t>
      </w:r>
      <w:r>
        <w:rPr>
          <w:rFonts w:hint="eastAsia" w:ascii="Times New Roman" w:hAnsi="Times New Roman"/>
          <w:color w:val="0000FF"/>
          <w:sz w:val="24"/>
          <w:lang w:val="en-US" w:eastAsia="zh-CN"/>
        </w:rPr>
        <w:t>49</w:t>
      </w:r>
      <w:r>
        <w:rPr>
          <w:rFonts w:ascii="Times New Roman" w:hAnsi="Times New Roman" w:eastAsia="Times New Roman"/>
          <w:color w:val="0000FF"/>
          <w:sz w:val="24"/>
        </w:rPr>
        <w:t>.</w:t>
      </w:r>
      <w:r>
        <w:rPr>
          <w:rFonts w:hint="eastAsia" w:ascii="Times New Roman" w:hAnsi="Times New Roman"/>
          <w:color w:val="0000FF"/>
          <w:sz w:val="24"/>
          <w:lang w:val="en-US" w:eastAsia="zh-CN"/>
        </w:rPr>
        <w:t>95</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color w:val="0000FF"/>
          <w:sz w:val="24"/>
          <w:lang w:val="en-US" w:eastAsia="zh-CN"/>
        </w:rPr>
        <w:t>33</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6</w:t>
      </w:r>
      <w:r>
        <w:rPr>
          <w:rFonts w:ascii="Times New Roman" w:hAnsi="Times New Roman" w:eastAsia="Times New Roman"/>
          <w:color w:val="0000FF"/>
          <w:sz w:val="24"/>
        </w:rPr>
        <w:t>.</w:t>
      </w:r>
      <w:r>
        <w:rPr>
          <w:rFonts w:hint="eastAsia" w:ascii="Times New Roman" w:hAnsi="Times New Roman"/>
          <w:color w:val="0000FF"/>
          <w:sz w:val="24"/>
          <w:lang w:val="en-US" w:eastAsia="zh-CN"/>
        </w:rPr>
        <w:t>33</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北</w:t>
      </w:r>
      <w:r>
        <w:rPr>
          <w:color w:val="0000FF"/>
          <w:spacing w:val="-1"/>
          <w:sz w:val="24"/>
        </w:rPr>
        <w:t>侧为道路，隔路为农田，</w:t>
      </w:r>
      <w:r>
        <w:rPr>
          <w:rFonts w:hint="eastAsia"/>
          <w:color w:val="0000FF"/>
          <w:spacing w:val="-15"/>
          <w:sz w:val="24"/>
          <w:lang w:val="en-US" w:eastAsia="zh-CN"/>
        </w:rPr>
        <w:t>南</w:t>
      </w:r>
      <w:r>
        <w:rPr>
          <w:color w:val="0000FF"/>
          <w:spacing w:val="-15"/>
          <w:sz w:val="24"/>
        </w:rPr>
        <w:t>侧约</w:t>
      </w:r>
      <w:r>
        <w:rPr>
          <w:rFonts w:hint="eastAsia" w:ascii="Times New Roman" w:hAnsi="Times New Roman"/>
          <w:color w:val="0000FF"/>
          <w:sz w:val="24"/>
          <w:lang w:val="en-US" w:eastAsia="zh-CN"/>
        </w:rPr>
        <w:t>2</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托万巴格托格克拉村</w:t>
      </w:r>
      <w:r>
        <w:rPr>
          <w:color w:val="0000FF"/>
          <w:spacing w:val="-7"/>
          <w:sz w:val="24"/>
          <w:szCs w:val="24"/>
        </w:rPr>
        <w:t>；</w:t>
      </w:r>
      <w:r>
        <w:rPr>
          <w:color w:val="0000FF"/>
          <w:spacing w:val="-7"/>
          <w:sz w:val="24"/>
        </w:rPr>
        <w:t>养殖区</w:t>
      </w:r>
      <w:r>
        <w:rPr>
          <w:rFonts w:hint="eastAsia"/>
          <w:color w:val="0000FF"/>
          <w:spacing w:val="-7"/>
          <w:sz w:val="24"/>
          <w:lang w:val="en-US" w:eastAsia="zh-CN"/>
        </w:rPr>
        <w:t>西</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color w:val="0000FF"/>
          <w:sz w:val="24"/>
          <w:lang w:val="en-US" w:eastAsia="zh-CN"/>
        </w:rPr>
        <w:t>2</w:t>
      </w:r>
      <w:r>
        <w:rPr>
          <w:rFonts w:hint="eastAsia" w:ascii="Times New Roman" w:hAnsi="Times New Roman" w:eastAsia="宋体"/>
          <w:color w:val="0000FF"/>
          <w:sz w:val="24"/>
          <w:lang w:val="en-US" w:eastAsia="zh-CN"/>
        </w:rPr>
        <w:t>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color w:val="0000FF"/>
          <w:sz w:val="24"/>
          <w:lang w:val="en-US" w:eastAsia="zh-CN"/>
        </w:rPr>
        <w:t>X499</w:t>
      </w:r>
      <w:r>
        <w:rPr>
          <w:rFonts w:hint="eastAsia" w:ascii="Times New Roman" w:hAnsi="Times New Roman" w:eastAsia="宋体"/>
          <w:color w:val="0000FF"/>
          <w:sz w:val="24"/>
          <w:lang w:val="en-US" w:eastAsia="zh-CN"/>
        </w:rPr>
        <w:t>县</w:t>
      </w:r>
      <w:r>
        <w:rPr>
          <w:color w:val="0000FF"/>
          <w:spacing w:val="-6"/>
          <w:sz w:val="24"/>
        </w:rPr>
        <w:t>道</w:t>
      </w:r>
      <w:r>
        <w:t>。</w:t>
      </w:r>
    </w:p>
    <w:p>
      <w:pPr>
        <w:pStyle w:val="5"/>
        <w:numPr>
          <w:ilvl w:val="2"/>
          <w:numId w:val="37"/>
        </w:numPr>
        <w:tabs>
          <w:tab w:val="left" w:pos="1241"/>
        </w:tabs>
        <w:spacing w:before="188" w:after="0" w:line="240" w:lineRule="auto"/>
        <w:ind w:left="1240" w:right="0" w:hanging="701"/>
        <w:jc w:val="left"/>
        <w:outlineLvl w:val="2"/>
      </w:pPr>
      <w:bookmarkStart w:id="224" w:name="4.1.2 地形地貌"/>
      <w:bookmarkEnd w:id="224"/>
      <w:bookmarkStart w:id="225" w:name="4.1.2 地形地貌"/>
      <w:bookmarkEnd w:id="225"/>
      <w:bookmarkStart w:id="226" w:name="_Toc11905"/>
      <w:r>
        <w:t>地形地貌</w:t>
      </w:r>
      <w:bookmarkEnd w:id="226"/>
    </w:p>
    <w:p>
      <w:pPr>
        <w:pStyle w:val="7"/>
        <w:keepNext w:val="0"/>
        <w:keepLines w:val="0"/>
        <w:pageBreakBefore w:val="0"/>
        <w:widowControl w:val="0"/>
        <w:kinsoku/>
        <w:wordWrap/>
        <w:overflowPunct/>
        <w:topLinePunct w:val="0"/>
        <w:bidi w:val="0"/>
        <w:adjustRightInd/>
        <w:snapToGrid/>
        <w:spacing w:line="360" w:lineRule="auto"/>
        <w:ind w:left="220" w:leftChars="100" w:right="220" w:rightChars="100"/>
        <w:jc w:val="both"/>
        <w:textAlignment w:val="auto"/>
        <w:rPr>
          <w:rFonts w:hint="eastAsia" w:ascii="宋体" w:hAnsi="宋体" w:eastAsia="宋体" w:cs="宋体"/>
          <w:b w:val="0"/>
          <w:bCs w:val="0"/>
          <w:color w:val="0000FF"/>
          <w:kern w:val="0"/>
          <w:sz w:val="24"/>
          <w:szCs w:val="24"/>
          <w:highlight w:val="none"/>
          <w:lang w:eastAsia="zh-CN"/>
        </w:rPr>
      </w:pPr>
      <w:r>
        <w:rPr>
          <w:rFonts w:hint="eastAsia" w:ascii="宋体" w:hAnsi="宋体" w:eastAsia="宋体" w:cs="宋体"/>
          <w:b w:val="0"/>
          <w:bCs w:val="0"/>
          <w:color w:val="0000FF"/>
          <w:kern w:val="0"/>
          <w:sz w:val="24"/>
          <w:szCs w:val="24"/>
          <w:highlight w:val="none"/>
        </w:rPr>
        <w:t>莎车县地势总体由西向东倾斜，平均海拔1231.2m，其南部山区海拔1800-4550m，地貌类型有山地、平原、戈壁、沙漠等，其中山地3227.4</w:t>
      </w:r>
      <w:r>
        <w:rPr>
          <w:rFonts w:hint="eastAsia" w:ascii="宋体" w:hAnsi="宋体" w:eastAsia="宋体" w:cs="宋体"/>
          <w:b w:val="0"/>
          <w:bCs w:val="0"/>
          <w:color w:val="0000FF"/>
          <w:sz w:val="24"/>
          <w:szCs w:val="24"/>
          <w:highlight w:val="none"/>
        </w:rPr>
        <w:t>km</w:t>
      </w:r>
      <w:r>
        <w:rPr>
          <w:rFonts w:hint="eastAsia" w:ascii="宋体" w:hAnsi="宋体" w:eastAsia="宋体" w:cs="宋体"/>
          <w:b w:val="0"/>
          <w:bCs w:val="0"/>
          <w:color w:val="0000FF"/>
          <w:sz w:val="24"/>
          <w:szCs w:val="24"/>
          <w:highlight w:val="none"/>
          <w:vertAlign w:val="superscript"/>
        </w:rPr>
        <w:t>2</w:t>
      </w:r>
      <w:r>
        <w:rPr>
          <w:rFonts w:hint="eastAsia" w:ascii="宋体" w:hAnsi="宋体" w:eastAsia="宋体" w:cs="宋体"/>
          <w:b w:val="0"/>
          <w:bCs w:val="0"/>
          <w:color w:val="0000FF"/>
          <w:kern w:val="0"/>
          <w:sz w:val="24"/>
          <w:szCs w:val="24"/>
          <w:highlight w:val="none"/>
        </w:rPr>
        <w:t>，占总面积的39.4％，戈壁161.5</w:t>
      </w:r>
      <w:r>
        <w:rPr>
          <w:rFonts w:hint="eastAsia" w:ascii="宋体" w:hAnsi="宋体" w:eastAsia="宋体" w:cs="宋体"/>
          <w:b w:val="0"/>
          <w:bCs w:val="0"/>
          <w:color w:val="0000FF"/>
          <w:sz w:val="24"/>
          <w:szCs w:val="24"/>
          <w:highlight w:val="none"/>
        </w:rPr>
        <w:t>km</w:t>
      </w:r>
      <w:r>
        <w:rPr>
          <w:rFonts w:hint="eastAsia" w:ascii="宋体" w:hAnsi="宋体" w:eastAsia="宋体" w:cs="宋体"/>
          <w:b w:val="0"/>
          <w:bCs w:val="0"/>
          <w:color w:val="0000FF"/>
          <w:sz w:val="24"/>
          <w:szCs w:val="24"/>
          <w:highlight w:val="none"/>
          <w:vertAlign w:val="superscript"/>
        </w:rPr>
        <w:t>2</w:t>
      </w:r>
      <w:r>
        <w:rPr>
          <w:rFonts w:hint="eastAsia" w:ascii="宋体" w:hAnsi="宋体" w:eastAsia="宋体" w:cs="宋体"/>
          <w:b w:val="0"/>
          <w:bCs w:val="0"/>
          <w:color w:val="0000FF"/>
          <w:kern w:val="0"/>
          <w:sz w:val="24"/>
          <w:szCs w:val="24"/>
          <w:highlight w:val="none"/>
        </w:rPr>
        <w:t>，占总面积的26.2％。县境东北部为叶尔羌河冲积扇平原和塔克拉玛干沙漠，西部为布古里沙漠，西南部为昆仑山</w:t>
      </w:r>
      <w:r>
        <w:rPr>
          <w:rFonts w:hint="eastAsia" w:ascii="宋体" w:hAnsi="宋体" w:eastAsia="宋体" w:cs="宋体"/>
          <w:b w:val="0"/>
          <w:bCs w:val="0"/>
          <w:color w:val="0000FF"/>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莎车县处于叶尔羌河冲积扇平原中上游地带,地势由西向东微微倾斜，呈冲积扇形，地面标高大多介于1100- -3000m 之间，地形地势自南西向北东倾斜，西南部为山岖、东北部为平原区。自山岖向平原按成因可分为五个不同的地貌单元，即:中山区、低山丘陵区、山前洪积砾质倾斜平原区、冲积细土平原区和沙漠区。</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lang w:eastAsia="zh-CN"/>
        </w:rPr>
        <w:t>（</w:t>
      </w:r>
      <w:r>
        <w:rPr>
          <w:rFonts w:hint="eastAsia" w:ascii="宋体" w:hAnsi="宋体" w:eastAsia="宋体" w:cs="宋体"/>
          <w:color w:val="0000FF"/>
          <w:sz w:val="24"/>
          <w:szCs w:val="24"/>
        </w:rPr>
        <w:t>1)侵蚀剥蚀中山</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分布在西南部山区达木斯乡的坎迪里克一科依拉克一提根一带西部，海拔高度3000-4000m，区内山体基岩裸露、高陡,沟谷交错, .植被稀少，相对高差400- -500m，只有局部山谷有原始林带分布，有少数牧民活动。</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(2)剥蚀低山丘陵</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分布在恰热克镇一亚喀艾日克乡 一喀群乡以西和达木斯乡北部、东部一带，海拔高度1700- 3000m，相对高差150- -300m，山体大多平缓浑圆。受叶尔羌河、棋盘河及其支流冲刷切割，沟谷发育，切割深度约100 -200米，主河道两侧分布有1-5级阶地。山体裸露，植被稀少。部分狭长的河沟两岸有牧民居住，为山区牧民主要活动区。</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lang w:eastAsia="zh-CN"/>
        </w:rPr>
        <w:t>（</w:t>
      </w:r>
      <w:r>
        <w:rPr>
          <w:rFonts w:hint="eastAsia" w:ascii="宋体" w:hAnsi="宋体" w:eastAsia="宋体" w:cs="宋体"/>
          <w:color w:val="0000FF"/>
          <w:sz w:val="24"/>
          <w:szCs w:val="24"/>
        </w:rPr>
        <w:t>3)冲洪积砾质平原</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县境西南部，沿低山丘陵区边缘的山前呈环带状展布，海拔高度.1300一1700m,地形平坦开阔，地面坡降5%一15%。地层以砂砾石为主，植被稀少，地下水位埋深大，呈现大片荒漠戈壁景观。区域内人口少，采砂石、修引水渠等工程建设活动较强烈。</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4)风积沙漠</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lang w:eastAsia="zh-CN"/>
        </w:rPr>
      </w:pPr>
      <w:r>
        <w:rPr>
          <w:rFonts w:hint="eastAsia" w:ascii="宋体" w:hAnsi="宋体" w:eastAsia="宋体" w:cs="宋体"/>
          <w:color w:val="0000FF"/>
          <w:sz w:val="24"/>
          <w:szCs w:val="24"/>
        </w:rPr>
        <w:t>分布于调查区西北部、东部的绿洲边缘,海拔高度1100-1200m,由风力吹扬搬运而形成的最新堆积物，是布古里沙漠、塔克拉玛干沙漠的一部分。地表多为波状、垄状、新月形固定、半固定沙丘，其间分布有风蚀洼地，横向沙丘垂直风向排列，宽数十米，比高3 -20m左右。丘间多生长有骆驼刺、红柳、芦苇等植物</w:t>
      </w:r>
      <w:r>
        <w:rPr>
          <w:rFonts w:hint="eastAsia" w:ascii="宋体" w:hAnsi="宋体" w:eastAsia="宋体" w:cs="宋体"/>
          <w:color w:val="0000FF"/>
          <w:sz w:val="24"/>
          <w:szCs w:val="24"/>
          <w:lang w:eastAsia="zh-CN"/>
        </w:rPr>
        <w:t>。</w:t>
      </w:r>
    </w:p>
    <w:p>
      <w:pPr>
        <w:pStyle w:val="5"/>
        <w:numPr>
          <w:ilvl w:val="2"/>
          <w:numId w:val="37"/>
        </w:numPr>
        <w:tabs>
          <w:tab w:val="left" w:pos="1241"/>
        </w:tabs>
        <w:spacing w:before="115" w:after="0" w:line="240" w:lineRule="auto"/>
        <w:ind w:left="1240" w:right="0" w:hanging="701"/>
        <w:jc w:val="left"/>
        <w:outlineLvl w:val="2"/>
      </w:pPr>
      <w:bookmarkStart w:id="227" w:name="4.1.3 气候气象"/>
      <w:bookmarkEnd w:id="227"/>
      <w:bookmarkStart w:id="228" w:name="4.1.3 气候气象"/>
      <w:bookmarkEnd w:id="228"/>
      <w:bookmarkStart w:id="229" w:name="_Toc5501"/>
      <w:r>
        <w:t>气候气象</w:t>
      </w:r>
      <w:bookmarkEnd w:id="229"/>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莎车县属暖温带大陆性气候，四季分明，气候干燥，日照长，昼夜温差大，可满足农作物1年2-3熟的热量要求。</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主要气象要素特征值如下：</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年平均气温：     11.7℃</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极端最高气温：   41.5℃</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极端最低气温：   -24.1℃</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年平均降水量：   56.6mm</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年平均蒸发量：   2657mm</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年平均相对湿度： 52%</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年平均风速：     2m/s</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年主导风向：     西北</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夏季平均风速：   3m/s</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冬季平均风速：   1.2m/s</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年日照时数：     2965h</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年无霜期天数：   220d</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年浮尘天数：     195d</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最大冻土深度：0.98m</w:t>
      </w:r>
    </w:p>
    <w:p>
      <w:pPr>
        <w:pStyle w:val="7"/>
        <w:spacing w:before="8"/>
        <w:ind w:left="0"/>
        <w:rPr>
          <w:sz w:val="9"/>
        </w:rPr>
      </w:pPr>
    </w:p>
    <w:p>
      <w:pPr>
        <w:pStyle w:val="5"/>
        <w:numPr>
          <w:ilvl w:val="2"/>
          <w:numId w:val="37"/>
        </w:numPr>
        <w:tabs>
          <w:tab w:val="left" w:pos="1241"/>
        </w:tabs>
        <w:spacing w:before="73" w:after="0" w:line="240" w:lineRule="auto"/>
        <w:ind w:left="1240" w:right="0" w:hanging="701"/>
        <w:jc w:val="left"/>
        <w:outlineLvl w:val="2"/>
      </w:pPr>
      <w:bookmarkStart w:id="230" w:name="4.1.4 水文地质"/>
      <w:bookmarkEnd w:id="230"/>
      <w:bookmarkStart w:id="231" w:name="4.1.4 水文地质"/>
      <w:bookmarkEnd w:id="231"/>
      <w:bookmarkStart w:id="232" w:name="_Toc30850"/>
      <w:r>
        <w:t>水文地质</w:t>
      </w:r>
      <w:bookmarkEnd w:id="232"/>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内主要分布有叶尔羌河和提孜那甫河，均属叶尔羌河水系。区内河流均发源于西昆仑山北翼，接受冰雪融水、大气降水和泉水的补给。气候对河水径流量影响极大，径流量在时空分布上极不平衡，洪枯流量悬殊。丰水期为5-9 月，占全年径流总量的60- 70%, 枯水期为12 月至翌年4月。</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(1)规模最大的河流为叶尔羌河。叶尔羌河发源于昆仑山北坡,卡群以上集水面积48100km</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,全长1079km, 据卡群水文站资料，多年平均径流量64.57X10*m/a,最大径流量95.6X10*m/a,最小径流量44.67X10m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/a，最大洪峰流量627m/s，多年平均输沙量2740万吨。</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(2)其次为提孜那甫河。该河山区集水面积5370km</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，河流总长335km，出山口后伴随叶河平行流淌，据江卡水文站资料，多年平均径流量8.14X10m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/a,最大径流量11.9X10m/a,最小径流量5.852X10m/a,最大洪峰流量为519m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/s, 最终为渠系引水而消失于麦盖提县境内图木舒克市大部分地段地下水属富水区,有一-定的地下水开采量，无明显的丰枯水期地下水位的动态变化。地下水位年变幅属小变幅区(小于0.5m)，潜水位埋深受地形及水力坡度控制一般在2.0- 5.0m。由于含水层岩性以粉细砂为主，水力坡度较大为</w:t>
      </w:r>
      <w:r>
        <w:rPr>
          <w:rFonts w:hint="eastAsia" w:cs="宋体"/>
          <w:color w:val="0000FF"/>
          <w:sz w:val="24"/>
          <w:szCs w:val="24"/>
          <w:lang w:val="en-US" w:eastAsia="zh-CN"/>
        </w:rPr>
        <w:t>1.36</w:t>
      </w:r>
      <w:r>
        <w:rPr>
          <w:rFonts w:hint="eastAsia" w:ascii="宋体" w:hAnsi="宋体" w:eastAsia="宋体" w:cs="宋体"/>
          <w:color w:val="0000FF"/>
          <w:sz w:val="24"/>
          <w:szCs w:val="24"/>
        </w:rPr>
        <w:t>%,单井涌水量2000-3000m/d,渗透系数8.29m/d,影响半径280.94m。</w:t>
      </w:r>
    </w:p>
    <w:p>
      <w:pPr>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rPr>
        <w:t>水质大部分地段较差，矿化度普遍为1.5- 2g/</w:t>
      </w:r>
      <w:r>
        <w:rPr>
          <w:rFonts w:hint="eastAsia" w:cs="宋体"/>
          <w:color w:val="0000FF"/>
          <w:sz w:val="24"/>
          <w:szCs w:val="24"/>
          <w:lang w:val="en-US" w:eastAsia="zh-CN"/>
        </w:rPr>
        <w:t>L</w:t>
      </w:r>
      <w:r>
        <w:rPr>
          <w:rFonts w:hint="eastAsia" w:ascii="宋体" w:hAnsi="宋体" w:eastAsia="宋体" w:cs="宋体"/>
          <w:color w:val="0000FF"/>
          <w:sz w:val="24"/>
          <w:szCs w:val="24"/>
        </w:rPr>
        <w:t>，不适宜作为生活饮用水。深层承压水埋深超过80m, 矿化度较高，不适宜作为生活饮用水。</w:t>
      </w:r>
    </w:p>
    <w:p>
      <w:pPr>
        <w:keepNext w:val="0"/>
        <w:keepLines w:val="0"/>
        <w:pageBreakBefore w:val="0"/>
        <w:widowControl w:val="0"/>
        <w:kinsoku/>
        <w:wordWrap/>
        <w:overflowPunct/>
        <w:topLinePunct w:val="0"/>
        <w:bidi w:val="0"/>
        <w:adjustRightInd/>
        <w:snapToGrid/>
        <w:spacing w:line="360" w:lineRule="auto"/>
        <w:ind w:left="220" w:leftChars="100" w:right="220" w:rightChars="100"/>
        <w:jc w:val="both"/>
        <w:textAlignment w:val="auto"/>
      </w:pPr>
    </w:p>
    <w:p>
      <w:pPr>
        <w:pStyle w:val="5"/>
        <w:numPr>
          <w:ilvl w:val="2"/>
          <w:numId w:val="37"/>
        </w:numPr>
        <w:tabs>
          <w:tab w:val="left" w:pos="1241"/>
        </w:tabs>
        <w:spacing w:before="118" w:after="0" w:line="240" w:lineRule="auto"/>
        <w:ind w:left="1240" w:right="0" w:hanging="701"/>
        <w:jc w:val="left"/>
        <w:outlineLvl w:val="2"/>
      </w:pPr>
      <w:bookmarkStart w:id="233" w:name="4.1.5 工程地质"/>
      <w:bookmarkEnd w:id="233"/>
      <w:bookmarkStart w:id="234" w:name="4.1.5 工程地质"/>
      <w:bookmarkEnd w:id="234"/>
      <w:bookmarkStart w:id="235" w:name="_Toc15859"/>
      <w:r>
        <w:t>工程地质</w:t>
      </w:r>
      <w:bookmarkEnd w:id="235"/>
    </w:p>
    <w:p>
      <w:pPr>
        <w:pStyle w:val="19"/>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本区位于塔里木盆地西南部，昆仑山北麓。在大地构造位置上属.于昆仑山东西向构造带的北翼，由走向北西西-南东东向的复式剧烈挤压褶皱带和逆掩断裂带组合。本区由南向北排列着一级构造单元:西昆仑山褶皱断裂带(米亚大断裂、科干深断裂及其次- -级断裂 卡拉塔克断裂、阿尔塔什断裂、通库兹阿塔阿格兹断裂)、铁克里克断隆、塔西南坳陷区。</w:t>
      </w:r>
    </w:p>
    <w:p>
      <w:pPr>
        <w:pStyle w:val="19"/>
        <w:keepNext w:val="0"/>
        <w:keepLines w:val="0"/>
        <w:pageBreakBefore w:val="0"/>
        <w:widowControl w:val="0"/>
        <w:kinsoku/>
        <w:wordWrap/>
        <w:overflowPunct/>
        <w:topLinePunct w:val="0"/>
        <w:autoSpaceDE/>
        <w:autoSpaceDN/>
        <w:bidi w:val="0"/>
        <w:adjustRightInd/>
        <w:snapToGrid/>
        <w:spacing w:line="360" w:lineRule="auto"/>
        <w:ind w:left="220" w:leftChars="100" w:right="220" w:rightChars="100" w:firstLine="480" w:firstLineChars="200"/>
        <w:jc w:val="both"/>
        <w:textAlignment w:val="auto"/>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昆仑山褶皱带经受过多次强烈的造山运动，形成褶皱隆起及断裂。在断裂中伴随着剧烈的岩浆活动，使古老的沉积岩发生重结晶的深变质作用。强烈的地壳运动，特别是喜山运动的影响，使塔里木地台南缘上升，断裂活动有所复活，从而形成了山前褶皱带、西南坳陷区。由于这种结果，使上述单元内的次一级构造亦颇为发育。褶皱轴向与昆仑山褶皱基本-致。塔里木地台南缘-西南台坡，具有刚性的基底，历次造山旋回的影响微弱，一般呈缓慢的升降运动，因而形成断块条带状，岩层产状近似水平。下部基岩具褶皱和强烈变质，大部分被第四纪堆积物所覆盖。</w:t>
      </w:r>
    </w:p>
    <w:p>
      <w:pPr>
        <w:pStyle w:val="5"/>
        <w:numPr>
          <w:ilvl w:val="2"/>
          <w:numId w:val="37"/>
        </w:numPr>
        <w:tabs>
          <w:tab w:val="left" w:pos="1241"/>
        </w:tabs>
        <w:spacing w:before="117" w:after="0" w:line="240" w:lineRule="auto"/>
        <w:ind w:left="1240" w:right="0" w:hanging="701"/>
        <w:jc w:val="left"/>
        <w:outlineLvl w:val="2"/>
      </w:pPr>
      <w:bookmarkStart w:id="236" w:name="4.1.6 生态环境"/>
      <w:bookmarkEnd w:id="236"/>
      <w:bookmarkStart w:id="237" w:name="4.1.6 生态环境"/>
      <w:bookmarkEnd w:id="237"/>
      <w:bookmarkStart w:id="238" w:name="_Toc16082"/>
      <w:r>
        <w:t>生态环境</w:t>
      </w:r>
      <w:bookmarkEnd w:id="238"/>
    </w:p>
    <w:p>
      <w:pPr>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480" w:firstLineChars="200"/>
        <w:textAlignment w:val="auto"/>
        <w:rPr>
          <w:rFonts w:hint="eastAsia"/>
          <w:color w:val="0000FF"/>
          <w:sz w:val="24"/>
          <w:szCs w:val="24"/>
        </w:rPr>
      </w:pPr>
      <w:r>
        <w:rPr>
          <w:rFonts w:hint="eastAsia"/>
          <w:color w:val="0000FF"/>
          <w:sz w:val="24"/>
          <w:szCs w:val="24"/>
        </w:rPr>
        <w:t>莎车县属暖温带大陆性气候，有得天独厚的光热水土资源，能满足农作物一年两至三熟的热量要求。农副土特产丰富，种植着棉花、小麦、玉米、巴旦木、玫瑰花、甜瓜、石榴、葡萄、杏等农产品。还有药用价值较高的甘草、党参、麻黄等15种植物，有较高的开发价值。县境内野生动物品种较多，有雪鸡、狐狸、野畜禽、大头鱼、叶河鲟、黄羊、狼、云豹、野兔等。同时，在拍克其乡境内有近万亩的红柳。</w:t>
      </w:r>
    </w:p>
    <w:p>
      <w:pPr>
        <w:pStyle w:val="4"/>
        <w:numPr>
          <w:ilvl w:val="1"/>
          <w:numId w:val="37"/>
        </w:numPr>
        <w:tabs>
          <w:tab w:val="left" w:pos="1100"/>
        </w:tabs>
        <w:spacing w:before="1" w:after="0" w:line="240" w:lineRule="auto"/>
        <w:ind w:left="1099" w:right="0" w:hanging="560"/>
        <w:jc w:val="both"/>
        <w:outlineLvl w:val="1"/>
      </w:pPr>
      <w:bookmarkStart w:id="239" w:name="4.2 环境质量现状调查与评价"/>
      <w:bookmarkEnd w:id="239"/>
      <w:bookmarkStart w:id="240" w:name="_bookmark23"/>
      <w:bookmarkEnd w:id="240"/>
      <w:bookmarkStart w:id="241" w:name="_Toc12943"/>
      <w:r>
        <w:t>环境质量现状调查与评价</w:t>
      </w:r>
      <w:bookmarkEnd w:id="241"/>
    </w:p>
    <w:p>
      <w:pPr>
        <w:pStyle w:val="7"/>
        <w:spacing w:before="5"/>
        <w:ind w:left="0"/>
        <w:rPr>
          <w:b/>
          <w:sz w:val="28"/>
        </w:rPr>
      </w:pPr>
    </w:p>
    <w:p>
      <w:pPr>
        <w:pStyle w:val="5"/>
        <w:numPr>
          <w:ilvl w:val="2"/>
          <w:numId w:val="37"/>
        </w:numPr>
        <w:tabs>
          <w:tab w:val="left" w:pos="1241"/>
        </w:tabs>
        <w:spacing w:before="0" w:after="0" w:line="240" w:lineRule="auto"/>
        <w:ind w:left="1240" w:right="0" w:hanging="701"/>
        <w:jc w:val="both"/>
        <w:outlineLvl w:val="2"/>
      </w:pPr>
      <w:bookmarkStart w:id="242" w:name="4.2.1 环境空气质量现状监测与评价"/>
      <w:bookmarkEnd w:id="242"/>
      <w:bookmarkStart w:id="243" w:name="4.2.1 环境空气质量现状监测与评价"/>
      <w:bookmarkEnd w:id="243"/>
      <w:bookmarkStart w:id="244" w:name="_Toc30329"/>
      <w:r>
        <w:t>环境空气质量现状监测与评价</w:t>
      </w:r>
      <w:bookmarkEnd w:id="244"/>
    </w:p>
    <w:p>
      <w:pPr>
        <w:pStyle w:val="7"/>
        <w:spacing w:before="5"/>
        <w:ind w:left="0"/>
        <w:rPr>
          <w:b/>
          <w:sz w:val="21"/>
        </w:rPr>
      </w:pPr>
    </w:p>
    <w:p>
      <w:pPr>
        <w:pStyle w:val="7"/>
        <w:spacing w:line="364" w:lineRule="auto"/>
        <w:ind w:right="572" w:firstLine="480"/>
        <w:jc w:val="both"/>
      </w:pPr>
      <w:r>
        <w:rPr>
          <w:spacing w:val="-5"/>
        </w:rPr>
        <w:t>根据《环境影响评价技术导则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2"/>
        </w:rPr>
        <w:t>中关于环境空气质</w:t>
      </w:r>
      <w:r>
        <w:rPr>
          <w:spacing w:val="-9"/>
        </w:rPr>
        <w:t>量现状调查与评价的要求，本次应调查项目所在区域环境质量达标情况以及评价</w:t>
      </w:r>
      <w:r>
        <w:t>范围内有环境质量标准的评价因子的环境质量监测数据。</w:t>
      </w:r>
    </w:p>
    <w:p>
      <w:pPr>
        <w:pStyle w:val="17"/>
        <w:numPr>
          <w:ilvl w:val="3"/>
          <w:numId w:val="38"/>
        </w:numPr>
        <w:tabs>
          <w:tab w:val="left" w:pos="1320"/>
        </w:tabs>
        <w:spacing w:before="12" w:after="0" w:line="240" w:lineRule="auto"/>
        <w:ind w:left="1320" w:right="0" w:hanging="780"/>
        <w:jc w:val="both"/>
        <w:rPr>
          <w:sz w:val="24"/>
        </w:rPr>
      </w:pPr>
      <w:bookmarkStart w:id="245" w:name="4.2.1.1 区域空气质量达标判定"/>
      <w:bookmarkEnd w:id="245"/>
      <w:bookmarkStart w:id="246" w:name="4.2.1.1 区域空气质量达标判定"/>
      <w:bookmarkEnd w:id="246"/>
      <w:r>
        <w:rPr>
          <w:sz w:val="24"/>
        </w:rPr>
        <w:t>区域空气质量达标判定</w:t>
      </w:r>
    </w:p>
    <w:p>
      <w:pPr>
        <w:pStyle w:val="7"/>
        <w:spacing w:before="167" w:line="364" w:lineRule="auto"/>
        <w:ind w:right="577" w:firstLine="480"/>
        <w:jc w:val="both"/>
      </w:pPr>
      <w:r>
        <w:rPr>
          <w:spacing w:val="-1"/>
        </w:rPr>
        <w:t>《环境影响评价技术导则大气环境》</w:t>
      </w:r>
      <w:r>
        <w:t>（</w:t>
      </w:r>
      <w:r>
        <w:rPr>
          <w:rFonts w:ascii="Times New Roman" w:hAnsi="Times New Roman" w:eastAsia="Times New Roman"/>
        </w:rPr>
        <w:t>HJ2.2-2018</w:t>
      </w:r>
      <w:r>
        <w:t>）</w:t>
      </w:r>
      <w:r>
        <w:rPr>
          <w:spacing w:val="-5"/>
        </w:rPr>
        <w:t>规定：“城市环境空气</w:t>
      </w:r>
      <w:r>
        <w:rPr>
          <w:spacing w:val="-5"/>
          <w:position w:val="2"/>
        </w:rPr>
        <w:t>质量达标情况评价指标为</w:t>
      </w:r>
      <w:r>
        <w:rPr>
          <w:rFonts w:ascii="Times New Roman" w:hAnsi="Times New Roman" w:eastAsia="Times New Roman"/>
          <w:position w:val="2"/>
        </w:rPr>
        <w:t>SO</w:t>
      </w:r>
      <w:r>
        <w:rPr>
          <w:rFonts w:ascii="Times New Roman" w:hAnsi="Times New Roman" w:eastAsia="Times New Roman"/>
          <w:position w:val="2"/>
          <w:vertAlign w:val="subscript"/>
        </w:rPr>
        <w:t>2</w:t>
      </w:r>
      <w:r>
        <w:rPr>
          <w:spacing w:val="-15"/>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spacing w:val="-15"/>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spacing w:val="-15"/>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2.5</w:t>
      </w:r>
      <w:r>
        <w:rPr>
          <w:spacing w:val="-15"/>
          <w:position w:val="2"/>
          <w:vertAlign w:val="baseline"/>
        </w:rPr>
        <w:t>、</w:t>
      </w:r>
      <w:r>
        <w:rPr>
          <w:rFonts w:ascii="Times New Roman" w:hAnsi="Times New Roman" w:eastAsia="Times New Roman"/>
          <w:position w:val="2"/>
          <w:vertAlign w:val="baseline"/>
        </w:rPr>
        <w:t>CO</w:t>
      </w:r>
      <w:r>
        <w:rPr>
          <w:spacing w:val="-28"/>
          <w:position w:val="2"/>
          <w:vertAlign w:val="baseline"/>
        </w:rPr>
        <w:t>和</w:t>
      </w:r>
      <w:r>
        <w:rPr>
          <w:rFonts w:ascii="Times New Roman" w:hAnsi="Times New Roman" w:eastAsia="Times New Roman"/>
          <w:spacing w:val="-5"/>
          <w:position w:val="2"/>
          <w:vertAlign w:val="baseline"/>
        </w:rPr>
        <w:t>O</w:t>
      </w:r>
      <w:r>
        <w:rPr>
          <w:rFonts w:ascii="Times New Roman" w:hAnsi="Times New Roman" w:eastAsia="Times New Roman"/>
          <w:spacing w:val="-5"/>
          <w:position w:val="2"/>
          <w:vertAlign w:val="subscript"/>
        </w:rPr>
        <w:t>3</w:t>
      </w:r>
      <w:r>
        <w:rPr>
          <w:spacing w:val="-6"/>
          <w:position w:val="2"/>
          <w:vertAlign w:val="baseline"/>
        </w:rPr>
        <w:t>，六项污染物全部</w:t>
      </w:r>
      <w:r>
        <w:rPr>
          <w:spacing w:val="-8"/>
          <w:vertAlign w:val="baseline"/>
        </w:rPr>
        <w:t>达标即为城市环境空气质量达标”，本环评选取</w:t>
      </w:r>
      <w:r>
        <w:rPr>
          <w:rFonts w:hint="default" w:ascii="Times New Roman" w:hAnsi="Times New Roman" w:cs="Times New Roman"/>
          <w:color w:val="0000FF"/>
          <w:sz w:val="24"/>
          <w:highlight w:val="none"/>
          <w:lang w:eastAsia="zh-CN"/>
        </w:rPr>
        <w:t>喀什</w:t>
      </w:r>
      <w:r>
        <w:rPr>
          <w:rFonts w:hint="default" w:ascii="Times New Roman" w:hAnsi="Times New Roman" w:cs="Times New Roman"/>
          <w:color w:val="0000FF"/>
          <w:sz w:val="24"/>
          <w:highlight w:val="none"/>
        </w:rPr>
        <w:t>地区空气质量指数月统计历史数据</w:t>
      </w:r>
      <w:r>
        <w:rPr>
          <w:vertAlign w:val="baseline"/>
        </w:rPr>
        <w:t>进行项目区环境空气质量达标分析。</w:t>
      </w:r>
    </w:p>
    <w:p>
      <w:pPr>
        <w:tabs>
          <w:tab w:val="left" w:pos="4132"/>
        </w:tabs>
        <w:spacing w:before="0" w:line="424" w:lineRule="auto"/>
        <w:ind w:left="2613" w:right="2324" w:hanging="1594"/>
        <w:jc w:val="both"/>
        <w:rPr>
          <w:b/>
          <w:sz w:val="24"/>
        </w:rPr>
      </w:pPr>
      <w:r>
        <w:rPr>
          <w:sz w:val="24"/>
        </w:rPr>
        <w:t>环境空气质量模型技术支持服子系统筛选结果见表</w:t>
      </w:r>
      <w:r>
        <w:rPr>
          <w:rFonts w:ascii="Times New Roman" w:eastAsia="Times New Roman"/>
          <w:sz w:val="24"/>
        </w:rPr>
        <w:t>4.2-1</w:t>
      </w:r>
      <w:r>
        <w:rPr>
          <w:spacing w:val="-16"/>
          <w:sz w:val="24"/>
        </w:rPr>
        <w:t>。</w:t>
      </w:r>
      <w:r>
        <w:rPr>
          <w:b/>
          <w:sz w:val="24"/>
        </w:rPr>
        <w:t>表</w:t>
      </w:r>
      <w:r>
        <w:rPr>
          <w:rFonts w:ascii="Times New Roman" w:eastAsia="Times New Roman"/>
          <w:b/>
          <w:sz w:val="24"/>
        </w:rPr>
        <w:t>4.2-1</w:t>
      </w:r>
      <w:r>
        <w:rPr>
          <w:rFonts w:ascii="Times New Roman" w:eastAsia="Times New Roman"/>
          <w:b/>
          <w:sz w:val="24"/>
        </w:rPr>
        <w:tab/>
      </w:r>
      <w:r>
        <w:rPr>
          <w:b/>
          <w:sz w:val="24"/>
        </w:rPr>
        <w:t>基本污染物环境质量现状</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614"/>
        <w:gridCol w:w="960"/>
        <w:gridCol w:w="1104"/>
        <w:gridCol w:w="737"/>
        <w:gridCol w:w="681"/>
        <w:gridCol w:w="655"/>
        <w:gridCol w:w="840"/>
        <w:gridCol w:w="719"/>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月份</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AQI</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范围</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质量等级</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2.5</w:t>
            </w:r>
          </w:p>
        </w:tc>
        <w:tc>
          <w:tcPr>
            <w:tcW w:w="68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10</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SO</w:t>
            </w:r>
            <w:r>
              <w:rPr>
                <w:rFonts w:hint="default" w:ascii="Times New Roman" w:hAnsi="Times New Roman" w:cs="Times New Roman"/>
                <w:color w:val="0000FF"/>
                <w:sz w:val="21"/>
                <w:szCs w:val="21"/>
                <w:highlight w:val="none"/>
                <w:vertAlign w:val="subscript"/>
              </w:rPr>
              <w:t>2</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cs="Times New Roman"/>
                <w:b/>
                <w:color w:val="0000FF"/>
                <w:sz w:val="21"/>
                <w:szCs w:val="21"/>
                <w:highlight w:val="none"/>
              </w:rPr>
            </w:pPr>
            <w:r>
              <w:rPr>
                <w:rFonts w:hint="default" w:ascii="Times New Roman" w:hAnsi="Times New Roman" w:cs="Times New Roman"/>
                <w:color w:val="0000FF"/>
                <w:sz w:val="21"/>
                <w:szCs w:val="21"/>
                <w:highlight w:val="none"/>
              </w:rPr>
              <w:t>CO</w:t>
            </w:r>
          </w:p>
        </w:tc>
        <w:tc>
          <w:tcPr>
            <w:tcW w:w="71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NO</w:t>
            </w:r>
            <w:r>
              <w:rPr>
                <w:rFonts w:hint="default" w:ascii="Times New Roman" w:hAnsi="Times New Roman" w:cs="Times New Roman"/>
                <w:color w:val="0000FF"/>
                <w:sz w:val="21"/>
                <w:szCs w:val="21"/>
                <w:highlight w:val="none"/>
                <w:vertAlign w:val="subscript"/>
              </w:rPr>
              <w:t>2</w:t>
            </w:r>
          </w:p>
        </w:tc>
        <w:tc>
          <w:tcPr>
            <w:tcW w:w="65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O</w:t>
            </w:r>
            <w:r>
              <w:rPr>
                <w:rFonts w:hint="default" w:ascii="Times New Roman" w:hAnsi="Times New Roman" w:cs="Times New Roman"/>
                <w:color w:val="0000FF"/>
                <w:sz w:val="21"/>
                <w:szCs w:val="21"/>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205</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0~430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重度污染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122</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314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2571</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40</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2018年2月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124</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0~246</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val="en-US"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2029</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27</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2018年3月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43</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0~155</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eastAsia="zh-CN"/>
              </w:rPr>
              <w:t>优</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67</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1232</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23</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2018年4月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32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0~149</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优</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710</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23</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2018年5月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51</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0~218</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良</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558</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2018年6月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156</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80~500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中度污染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533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22</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2018年7月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135</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85~500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555</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24</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2018年8月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102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61~154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106</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587</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24</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2018年9月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111</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59~334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44</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593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28</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2018年10月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97~194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916</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46</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2018年11月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126</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54~315</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1633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42</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2018年12月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233</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120~500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重度污染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114</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340</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2194</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46</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67</w:t>
            </w:r>
          </w:p>
        </w:tc>
      </w:tr>
    </w:tbl>
    <w:p>
      <w:pPr>
        <w:pStyle w:val="7"/>
        <w:ind w:left="0"/>
        <w:rPr>
          <w:b/>
          <w:sz w:val="26"/>
        </w:rPr>
      </w:pPr>
    </w:p>
    <w:p>
      <w:pPr>
        <w:spacing w:line="360" w:lineRule="auto"/>
        <w:ind w:firstLine="480" w:firstLineChars="200"/>
        <w:rPr>
          <w:rFonts w:hint="default" w:ascii="Times New Roman" w:hAnsi="Times New Roman" w:cs="Times New Roman"/>
          <w:b/>
          <w:bCs/>
          <w:color w:val="0000FF"/>
          <w:sz w:val="24"/>
          <w:highlight w:val="none"/>
        </w:rPr>
      </w:pPr>
      <w:r>
        <w:rPr>
          <w:rFonts w:hint="default" w:ascii="Times New Roman" w:hAnsi="Times New Roman" w:cs="Times New Roman"/>
          <w:color w:val="0000FF"/>
          <w:sz w:val="24"/>
          <w:highlight w:val="none"/>
        </w:rPr>
        <w:t>本项目评价标准执行《环境空气质量标准》（GB3095-2012）中二级标准，具体见表</w:t>
      </w:r>
      <w:r>
        <w:rPr>
          <w:rFonts w:hint="eastAsia" w:ascii="Times New Roman" w:hAnsi="Times New Roman" w:cs="Times New Roman"/>
          <w:color w:val="0000FF"/>
          <w:sz w:val="24"/>
          <w:highlight w:val="none"/>
          <w:lang w:val="en-US" w:eastAsia="zh-CN"/>
        </w:rPr>
        <w:t>4.2.1.2</w:t>
      </w:r>
      <w:r>
        <w:rPr>
          <w:rFonts w:hint="default" w:ascii="Times New Roman" w:hAnsi="Times New Roman" w:cs="Times New Roman"/>
          <w:b/>
          <w:bCs/>
          <w:color w:val="0000FF"/>
          <w:sz w:val="24"/>
          <w:highlight w:val="none"/>
        </w:rPr>
        <w:t>。</w:t>
      </w:r>
    </w:p>
    <w:p>
      <w:pPr>
        <w:pStyle w:val="20"/>
        <w:adjustRightInd w:val="0"/>
        <w:snapToGrid w:val="0"/>
        <w:rPr>
          <w:rFonts w:hint="default" w:ascii="Times New Roman" w:hAnsi="Times New Roman" w:cs="Times New Roman"/>
          <w:b/>
          <w:color w:val="0000FF"/>
          <w:sz w:val="21"/>
          <w:szCs w:val="21"/>
          <w:highlight w:val="none"/>
          <w:lang w:val="en-US" w:eastAsia="zh-CN"/>
        </w:rPr>
      </w:pPr>
      <w:r>
        <w:rPr>
          <w:rFonts w:hint="default" w:ascii="Times New Roman" w:hAnsi="Times New Roman" w:cs="Times New Roman"/>
          <w:b/>
          <w:color w:val="0000FF"/>
          <w:sz w:val="21"/>
          <w:szCs w:val="21"/>
          <w:highlight w:val="none"/>
          <w:lang w:val="en-US" w:eastAsia="zh-CN"/>
        </w:rPr>
        <w:t>表</w:t>
      </w:r>
      <w:r>
        <w:rPr>
          <w:rFonts w:hint="eastAsia" w:ascii="Times New Roman" w:hAnsi="Times New Roman" w:cs="Times New Roman"/>
          <w:b/>
          <w:color w:val="0000FF"/>
          <w:sz w:val="21"/>
          <w:szCs w:val="21"/>
          <w:highlight w:val="none"/>
          <w:lang w:val="en-US" w:eastAsia="zh-CN"/>
        </w:rPr>
        <w:t>4.2.1.2</w:t>
      </w:r>
      <w:r>
        <w:rPr>
          <w:rFonts w:hint="default" w:ascii="Times New Roman" w:hAnsi="Times New Roman" w:cs="Times New Roman"/>
          <w:b/>
          <w:color w:val="0000FF"/>
          <w:sz w:val="21"/>
          <w:szCs w:val="21"/>
          <w:highlight w:val="none"/>
          <w:lang w:val="en-US" w:eastAsia="zh-CN"/>
        </w:rPr>
        <w:t xml:space="preserve">  评价标准  μg/m</w:t>
      </w:r>
      <w:r>
        <w:rPr>
          <w:rFonts w:hint="default" w:ascii="Times New Roman" w:hAnsi="Times New Roman" w:cs="Times New Roman"/>
          <w:b/>
          <w:color w:val="0000FF"/>
          <w:sz w:val="21"/>
          <w:szCs w:val="21"/>
          <w:highlight w:val="none"/>
          <w:vertAlign w:val="superscript"/>
          <w:lang w:val="en-US" w:eastAsia="zh-CN"/>
        </w:rPr>
        <w:t>3</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033"/>
        <w:gridCol w:w="1033"/>
        <w:gridCol w:w="1033"/>
        <w:gridCol w:w="1033"/>
        <w:gridCol w:w="1033"/>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评价因子</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PM</w:t>
            </w:r>
            <w:r>
              <w:rPr>
                <w:rFonts w:hint="default" w:ascii="Times New Roman" w:hAnsi="Times New Roman" w:cs="Times New Roman"/>
                <w:b/>
                <w:bCs/>
                <w:color w:val="0000FF"/>
                <w:sz w:val="21"/>
                <w:szCs w:val="21"/>
                <w:highlight w:val="none"/>
                <w:vertAlign w:val="subscript"/>
              </w:rPr>
              <w:t>2.5</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PM</w:t>
            </w:r>
            <w:r>
              <w:rPr>
                <w:rFonts w:hint="default" w:ascii="Times New Roman" w:hAnsi="Times New Roman" w:cs="Times New Roman"/>
                <w:b/>
                <w:bCs/>
                <w:color w:val="0000FF"/>
                <w:sz w:val="21"/>
                <w:szCs w:val="21"/>
                <w:highlight w:val="none"/>
                <w:vertAlign w:val="subscript"/>
              </w:rPr>
              <w:t>10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SO</w:t>
            </w:r>
            <w:r>
              <w:rPr>
                <w:rFonts w:hint="default" w:ascii="Times New Roman" w:hAnsi="Times New Roman" w:cs="Times New Roman"/>
                <w:b/>
                <w:bCs/>
                <w:color w:val="0000FF"/>
                <w:sz w:val="21"/>
                <w:szCs w:val="21"/>
                <w:highlight w:val="none"/>
                <w:vertAlign w:val="subscript"/>
              </w:rPr>
              <w:t>2</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CO</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NO</w:t>
            </w:r>
            <w:r>
              <w:rPr>
                <w:rFonts w:hint="default" w:ascii="Times New Roman" w:hAnsi="Times New Roman" w:cs="Times New Roman"/>
                <w:b/>
                <w:bCs/>
                <w:color w:val="0000FF"/>
                <w:sz w:val="21"/>
                <w:szCs w:val="21"/>
                <w:highlight w:val="none"/>
                <w:vertAlign w:val="subscript"/>
              </w:rPr>
              <w:t>2</w:t>
            </w:r>
          </w:p>
        </w:tc>
        <w:tc>
          <w:tcPr>
            <w:tcW w:w="1776"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O</w:t>
            </w:r>
            <w:r>
              <w:rPr>
                <w:rFonts w:hint="default" w:ascii="Times New Roman" w:hAnsi="Times New Roman" w:cs="Times New Roman"/>
                <w:b/>
                <w:bCs/>
                <w:color w:val="0000FF"/>
                <w:sz w:val="21"/>
                <w:szCs w:val="21"/>
                <w:highlight w:val="none"/>
                <w:vertAlign w:val="subscript"/>
              </w:rPr>
              <w:t>3</w:t>
            </w:r>
            <w:r>
              <w:rPr>
                <w:rFonts w:hint="default" w:ascii="Times New Roman" w:hAnsi="Times New Roman" w:cs="Times New Roman"/>
                <w:b/>
                <w:bCs/>
                <w:color w:val="0000FF"/>
                <w:sz w:val="21"/>
                <w:szCs w:val="21"/>
                <w:highlight w:val="none"/>
              </w:rPr>
              <w:t>（8小时均值）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tcBorders>
              <w:tl2br w:val="nil"/>
              <w:tr2bl w:val="nil"/>
            </w:tcBorders>
            <w:noWrap w:val="0"/>
            <w:vAlign w:val="center"/>
          </w:tcPr>
          <w:p>
            <w:pPr>
              <w:spacing w:line="400" w:lineRule="exact"/>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标准值</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35</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70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60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4000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40</w:t>
            </w:r>
          </w:p>
        </w:tc>
        <w:tc>
          <w:tcPr>
            <w:tcW w:w="1776"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160</w:t>
            </w:r>
          </w:p>
        </w:tc>
      </w:tr>
    </w:tbl>
    <w:p>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根据历史数据，PM</w:t>
      </w:r>
      <w:r>
        <w:rPr>
          <w:rFonts w:hint="default" w:ascii="Times New Roman" w:hAnsi="Times New Roman" w:cs="Times New Roman"/>
          <w:color w:val="0000FF"/>
          <w:sz w:val="24"/>
          <w:highlight w:val="none"/>
          <w:vertAlign w:val="subscript"/>
        </w:rPr>
        <w:t>2.5</w:t>
      </w:r>
      <w:r>
        <w:rPr>
          <w:rFonts w:hint="default" w:ascii="Times New Roman" w:hAnsi="Times New Roman" w:cs="Times New Roman"/>
          <w:color w:val="0000FF"/>
          <w:sz w:val="24"/>
          <w:highlight w:val="none"/>
        </w:rPr>
        <w:t>、PM</w:t>
      </w:r>
      <w:r>
        <w:rPr>
          <w:rFonts w:hint="default" w:ascii="Times New Roman" w:hAnsi="Times New Roman" w:cs="Times New Roman"/>
          <w:color w:val="0000FF"/>
          <w:sz w:val="24"/>
          <w:highlight w:val="none"/>
          <w:vertAlign w:val="subscript"/>
        </w:rPr>
        <w:t>10</w:t>
      </w:r>
      <w:r>
        <w:rPr>
          <w:rFonts w:hint="default" w:ascii="Times New Roman" w:hAnsi="Times New Roman" w:cs="Times New Roman"/>
          <w:color w:val="0000FF"/>
          <w:sz w:val="24"/>
          <w:highlight w:val="none"/>
        </w:rPr>
        <w:t>、NO</w:t>
      </w:r>
      <w:r>
        <w:rPr>
          <w:rFonts w:hint="default" w:ascii="Times New Roman" w:hAnsi="Times New Roman" w:cs="Times New Roman"/>
          <w:color w:val="0000FF"/>
          <w:sz w:val="24"/>
          <w:highlight w:val="none"/>
          <w:vertAlign w:val="subscript"/>
        </w:rPr>
        <w:t>2</w:t>
      </w:r>
      <w:r>
        <w:rPr>
          <w:rFonts w:hint="default" w:ascii="Times New Roman" w:hAnsi="Times New Roman" w:cs="Times New Roman"/>
          <w:color w:val="0000FF"/>
          <w:sz w:val="24"/>
          <w:highlight w:val="none"/>
        </w:rPr>
        <w:t>存在超标，SO</w:t>
      </w:r>
      <w:r>
        <w:rPr>
          <w:rFonts w:hint="default" w:ascii="Times New Roman" w:hAnsi="Times New Roman" w:cs="Times New Roman"/>
          <w:color w:val="0000FF"/>
          <w:sz w:val="24"/>
          <w:highlight w:val="none"/>
          <w:vertAlign w:val="subscript"/>
        </w:rPr>
        <w:t>2</w:t>
      </w:r>
      <w:r>
        <w:rPr>
          <w:rFonts w:hint="default" w:ascii="Times New Roman" w:hAnsi="Times New Roman" w:cs="Times New Roman"/>
          <w:color w:val="0000FF"/>
          <w:sz w:val="24"/>
          <w:highlight w:val="none"/>
        </w:rPr>
        <w:t>、CO、O</w:t>
      </w:r>
      <w:r>
        <w:rPr>
          <w:rFonts w:hint="default" w:ascii="Times New Roman" w:hAnsi="Times New Roman" w:cs="Times New Roman"/>
          <w:color w:val="0000FF"/>
          <w:sz w:val="24"/>
          <w:highlight w:val="none"/>
          <w:vertAlign w:val="subscript"/>
        </w:rPr>
        <w:t>3</w:t>
      </w:r>
      <w:r>
        <w:rPr>
          <w:rFonts w:hint="default" w:ascii="Times New Roman" w:hAnsi="Times New Roman" w:cs="Times New Roman"/>
          <w:color w:val="0000FF"/>
          <w:sz w:val="24"/>
          <w:highlight w:val="none"/>
        </w:rPr>
        <w:t>未超标。</w:t>
      </w:r>
    </w:p>
    <w:p>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PM</w:t>
      </w:r>
      <w:r>
        <w:rPr>
          <w:rFonts w:hint="default" w:ascii="Times New Roman" w:hAnsi="Times New Roman" w:cs="Times New Roman"/>
          <w:color w:val="0000FF"/>
          <w:sz w:val="24"/>
          <w:highlight w:val="none"/>
          <w:vertAlign w:val="subscript"/>
        </w:rPr>
        <w:t>2.5</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13~122</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，在1月~2月、</w:t>
      </w:r>
      <w:r>
        <w:rPr>
          <w:rFonts w:hint="default" w:ascii="Times New Roman" w:hAnsi="Times New Roman" w:cs="Times New Roman"/>
          <w:color w:val="0000FF"/>
          <w:sz w:val="24"/>
          <w:highlight w:val="none"/>
          <w:lang w:val="en-US" w:eastAsia="zh-CN"/>
        </w:rPr>
        <w:t>9</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50</w:t>
      </w:r>
      <w:r>
        <w:rPr>
          <w:rFonts w:hint="default" w:ascii="Times New Roman" w:hAnsi="Times New Roman" w:cs="Times New Roman"/>
          <w:color w:val="0000FF"/>
          <w:sz w:val="24"/>
          <w:highlight w:val="none"/>
        </w:rPr>
        <w:t>%，最大浓度超标倍数为</w:t>
      </w:r>
      <w:r>
        <w:rPr>
          <w:rFonts w:hint="default" w:ascii="Times New Roman" w:hAnsi="Times New Roman" w:cs="Times New Roman"/>
          <w:color w:val="0000FF"/>
          <w:sz w:val="24"/>
          <w:highlight w:val="none"/>
          <w:lang w:val="en-US" w:eastAsia="zh-CN"/>
        </w:rPr>
        <w:t>2.49</w:t>
      </w:r>
      <w:r>
        <w:rPr>
          <w:rFonts w:hint="default" w:ascii="Times New Roman" w:hAnsi="Times New Roman" w:cs="Times New Roman"/>
          <w:color w:val="0000FF"/>
          <w:sz w:val="24"/>
          <w:highlight w:val="none"/>
        </w:rPr>
        <w:t>倍；PM</w:t>
      </w:r>
      <w:r>
        <w:rPr>
          <w:rFonts w:hint="default" w:ascii="Times New Roman" w:hAnsi="Times New Roman" w:cs="Times New Roman"/>
          <w:color w:val="0000FF"/>
          <w:sz w:val="24"/>
          <w:highlight w:val="none"/>
          <w:vertAlign w:val="subscript"/>
        </w:rPr>
        <w:t>10</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43~340</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，在1月~2月、</w:t>
      </w:r>
      <w:r>
        <w:rPr>
          <w:rFonts w:hint="default" w:ascii="Times New Roman" w:hAnsi="Times New Roman" w:cs="Times New Roman"/>
          <w:color w:val="0000FF"/>
          <w:sz w:val="24"/>
          <w:highlight w:val="none"/>
          <w:lang w:val="en-US" w:eastAsia="zh-CN"/>
        </w:rPr>
        <w:t>8</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58.33</w:t>
      </w:r>
      <w:r>
        <w:rPr>
          <w:rFonts w:hint="default" w:ascii="Times New Roman" w:hAnsi="Times New Roman" w:cs="Times New Roman"/>
          <w:color w:val="0000FF"/>
          <w:sz w:val="24"/>
          <w:highlight w:val="none"/>
        </w:rPr>
        <w:t>%，最大污染浓度超标倍数</w:t>
      </w:r>
      <w:r>
        <w:rPr>
          <w:rFonts w:hint="default" w:ascii="Times New Roman" w:hAnsi="Times New Roman" w:cs="Times New Roman"/>
          <w:color w:val="0000FF"/>
          <w:sz w:val="24"/>
          <w:highlight w:val="none"/>
          <w:lang w:val="en-US" w:eastAsia="zh-CN"/>
        </w:rPr>
        <w:t>3.86</w:t>
      </w:r>
      <w:r>
        <w:rPr>
          <w:rFonts w:hint="default" w:ascii="Times New Roman" w:hAnsi="Times New Roman" w:cs="Times New Roman"/>
          <w:color w:val="0000FF"/>
          <w:sz w:val="24"/>
          <w:highlight w:val="none"/>
        </w:rPr>
        <w:t>倍</w:t>
      </w:r>
      <w:r>
        <w:rPr>
          <w:rFonts w:hint="default"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lang w:val="en-US" w:eastAsia="zh-CN"/>
        </w:rPr>
        <w:t>NO</w:t>
      </w:r>
      <w:r>
        <w:rPr>
          <w:rFonts w:hint="default" w:ascii="Times New Roman" w:hAnsi="Times New Roman" w:cs="Times New Roman"/>
          <w:color w:val="0000FF"/>
          <w:sz w:val="24"/>
          <w:highlight w:val="none"/>
          <w:vertAlign w:val="subscript"/>
          <w:lang w:val="en-US" w:eastAsia="zh-CN"/>
        </w:rPr>
        <w:t>2</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19~46</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w:t>
      </w:r>
      <w:r>
        <w:rPr>
          <w:rFonts w:hint="default" w:ascii="Times New Roman" w:hAnsi="Times New Roman" w:cs="Times New Roman"/>
          <w:color w:val="0000FF"/>
          <w:sz w:val="24"/>
          <w:highlight w:val="none"/>
          <w:lang w:val="en-US" w:eastAsia="zh-CN"/>
        </w:rPr>
        <w:t>10</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25</w:t>
      </w:r>
      <w:r>
        <w:rPr>
          <w:rFonts w:hint="default" w:ascii="Times New Roman" w:hAnsi="Times New Roman" w:cs="Times New Roman"/>
          <w:color w:val="0000FF"/>
          <w:sz w:val="24"/>
          <w:highlight w:val="none"/>
        </w:rPr>
        <w:t>%，最大污染浓度超标倍数</w:t>
      </w:r>
      <w:r>
        <w:rPr>
          <w:rFonts w:hint="default" w:ascii="Times New Roman" w:hAnsi="Times New Roman" w:cs="Times New Roman"/>
          <w:color w:val="0000FF"/>
          <w:sz w:val="24"/>
          <w:highlight w:val="none"/>
          <w:lang w:val="en-US" w:eastAsia="zh-CN"/>
        </w:rPr>
        <w:t>0.15</w:t>
      </w:r>
      <w:r>
        <w:rPr>
          <w:rFonts w:hint="default" w:ascii="Times New Roman" w:hAnsi="Times New Roman" w:cs="Times New Roman"/>
          <w:color w:val="0000FF"/>
          <w:sz w:val="24"/>
          <w:highlight w:val="none"/>
        </w:rPr>
        <w:t>倍。</w:t>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评价方法</w:t>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评价采用单因子占标率法，单因子占标率法的数学表达式为：</w:t>
      </w:r>
    </w:p>
    <w:p>
      <w:pPr>
        <w:snapToGrid w:val="0"/>
        <w:spacing w:line="360" w:lineRule="auto"/>
        <w:ind w:firstLine="480" w:firstLineChars="200"/>
        <w:jc w:val="center"/>
        <w:rPr>
          <w:rFonts w:ascii="Times New Roman" w:hAnsi="Times New Roman" w:cs="Times New Roman"/>
          <w:color w:val="0000FF"/>
          <w:sz w:val="24"/>
          <w:szCs w:val="24"/>
        </w:rPr>
      </w:pPr>
      <w:r>
        <w:rPr>
          <w:rFonts w:ascii="Times New Roman" w:hAnsi="Times New Roman" w:cs="Times New Roman"/>
          <w:color w:val="0000FF"/>
          <w:sz w:val="24"/>
          <w:szCs w:val="24"/>
        </w:rPr>
        <w:drawing>
          <wp:inline distT="0" distB="0" distL="114300" distR="114300">
            <wp:extent cx="1143000" cy="485775"/>
            <wp:effectExtent l="0" t="0" r="0" b="9525"/>
            <wp:docPr id="4" name="图片 2" descr="C:\Users\Administrator.USER-20170815BF\AppData\Roaming\Tencent\Users\1486276306\QQ\WinTemp\RichOle\G]4EX`W[N[)33%%F%A[%]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USER-20170815BF\AppData\Roaming\Tencent\Users\1486276306\QQ\WinTemp\RichOle\G]4EX`W[N[)33%%F%A[%]GW.png"/>
                    <pic:cNvPicPr>
                      <a:picLocks noChangeAspect="1"/>
                    </pic:cNvPicPr>
                  </pic:nvPicPr>
                  <pic:blipFill>
                    <a:blip r:embed="rId39"/>
                    <a:stretch>
                      <a:fillRect/>
                    </a:stretch>
                  </pic:blipFill>
                  <pic:spPr>
                    <a:xfrm>
                      <a:off x="0" y="0"/>
                      <a:ext cx="1143000" cy="485775"/>
                    </a:xfrm>
                    <a:prstGeom prst="rect">
                      <a:avLst/>
                    </a:prstGeom>
                    <a:noFill/>
                    <a:ln>
                      <a:noFill/>
                    </a:ln>
                  </pic:spPr>
                </pic:pic>
              </a:graphicData>
            </a:graphic>
          </wp:inline>
        </w:drawing>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式中：P</w:t>
      </w:r>
      <w:r>
        <w:rPr>
          <w:rFonts w:ascii="Times New Roman" w:hAnsi="Times New Roman" w:cs="Times New Roman"/>
          <w:color w:val="0000FF"/>
          <w:sz w:val="24"/>
          <w:szCs w:val="24"/>
          <w:vertAlign w:val="subscript"/>
        </w:rPr>
        <w:t>i</w:t>
      </w:r>
      <w:r>
        <w:rPr>
          <w:rFonts w:ascii="Times New Roman" w:hAnsi="Times New Roman" w:cs="Times New Roman"/>
          <w:color w:val="0000FF"/>
          <w:sz w:val="24"/>
          <w:szCs w:val="24"/>
        </w:rPr>
        <w:t>——第i个污染物的最大地面质量浓度占标率，%；</w:t>
      </w:r>
    </w:p>
    <w:p>
      <w:pPr>
        <w:snapToGrid w:val="0"/>
        <w:spacing w:line="360" w:lineRule="auto"/>
        <w:ind w:firstLine="1200" w:firstLineChars="500"/>
        <w:rPr>
          <w:rFonts w:ascii="Times New Roman" w:hAnsi="Times New Roman" w:cs="Times New Roman"/>
          <w:color w:val="0000FF"/>
          <w:sz w:val="24"/>
          <w:szCs w:val="24"/>
        </w:rPr>
      </w:pPr>
      <w:r>
        <w:rPr>
          <w:rFonts w:ascii="Times New Roman" w:hAnsi="Times New Roman" w:cs="Times New Roman"/>
          <w:color w:val="0000FF"/>
          <w:sz w:val="24"/>
          <w:szCs w:val="24"/>
        </w:rPr>
        <w:t>C</w:t>
      </w:r>
      <w:r>
        <w:rPr>
          <w:rFonts w:ascii="Times New Roman" w:hAnsi="Times New Roman" w:cs="Times New Roman"/>
          <w:color w:val="0000FF"/>
          <w:sz w:val="24"/>
          <w:szCs w:val="24"/>
          <w:vertAlign w:val="subscript"/>
        </w:rPr>
        <w:t>i</w:t>
      </w:r>
      <w:r>
        <w:rPr>
          <w:rFonts w:ascii="Times New Roman" w:hAnsi="Times New Roman" w:cs="Times New Roman"/>
          <w:color w:val="0000FF"/>
          <w:sz w:val="24"/>
          <w:szCs w:val="24"/>
        </w:rPr>
        <w:t>——采用估算模式计算出的第i个污染物的最大地面质量浓度，mg/m</w:t>
      </w:r>
      <w:r>
        <w:rPr>
          <w:rFonts w:ascii="Times New Roman" w:hAnsi="Times New Roman" w:cs="Times New Roman"/>
          <w:color w:val="0000FF"/>
          <w:sz w:val="24"/>
          <w:szCs w:val="24"/>
          <w:vertAlign w:val="superscript"/>
        </w:rPr>
        <w:t>3</w:t>
      </w:r>
      <w:r>
        <w:rPr>
          <w:rFonts w:ascii="Times New Roman" w:hAnsi="Times New Roman" w:cs="Times New Roman"/>
          <w:color w:val="0000FF"/>
          <w:sz w:val="24"/>
          <w:szCs w:val="24"/>
        </w:rPr>
        <w:t>；</w:t>
      </w:r>
    </w:p>
    <w:p>
      <w:pPr>
        <w:snapToGrid w:val="0"/>
        <w:spacing w:line="360" w:lineRule="auto"/>
        <w:ind w:firstLine="1200" w:firstLineChars="500"/>
        <w:rPr>
          <w:rFonts w:ascii="Times New Roman" w:hAnsi="Times New Roman" w:cs="Times New Roman"/>
          <w:color w:val="0000FF"/>
          <w:sz w:val="24"/>
          <w:szCs w:val="24"/>
        </w:rPr>
      </w:pPr>
      <w:r>
        <w:rPr>
          <w:rFonts w:ascii="Times New Roman" w:hAnsi="Times New Roman" w:cs="Times New Roman"/>
          <w:color w:val="0000FF"/>
          <w:sz w:val="24"/>
          <w:szCs w:val="24"/>
        </w:rPr>
        <w:t>C</w:t>
      </w:r>
      <w:r>
        <w:rPr>
          <w:rFonts w:ascii="Times New Roman" w:hAnsi="Times New Roman" w:cs="Times New Roman"/>
          <w:color w:val="0000FF"/>
          <w:sz w:val="24"/>
          <w:szCs w:val="24"/>
          <w:vertAlign w:val="subscript"/>
        </w:rPr>
        <w:t>oi</w:t>
      </w:r>
      <w:r>
        <w:rPr>
          <w:rFonts w:ascii="Times New Roman" w:hAnsi="Times New Roman" w:cs="Times New Roman"/>
          <w:color w:val="0000FF"/>
          <w:sz w:val="24"/>
          <w:szCs w:val="24"/>
        </w:rPr>
        <w:t>——第i个污染物的环境空气质量浓度标准，mg/m</w:t>
      </w:r>
      <w:r>
        <w:rPr>
          <w:rFonts w:ascii="Times New Roman" w:hAnsi="Times New Roman" w:cs="Times New Roman"/>
          <w:color w:val="0000FF"/>
          <w:sz w:val="24"/>
          <w:szCs w:val="24"/>
          <w:vertAlign w:val="superscript"/>
        </w:rPr>
        <w:t>3</w:t>
      </w:r>
      <w:r>
        <w:rPr>
          <w:rFonts w:ascii="Times New Roman" w:hAnsi="Times New Roman" w:cs="Times New Roman"/>
          <w:color w:val="0000FF"/>
          <w:sz w:val="24"/>
          <w:szCs w:val="24"/>
        </w:rPr>
        <w:t>。</w:t>
      </w:r>
    </w:p>
    <w:p>
      <w:pPr>
        <w:ind w:firstLine="480" w:firstLineChars="200"/>
        <w:rPr>
          <w:rFonts w:hint="default" w:ascii="Times New Roman" w:hAnsi="Times New Roman" w:eastAsia="宋体" w:cs="Times New Roman"/>
          <w:b w:val="0"/>
          <w:color w:val="0000FF"/>
          <w:sz w:val="24"/>
          <w:szCs w:val="20"/>
          <w:highlight w:val="none"/>
        </w:rPr>
      </w:pPr>
    </w:p>
    <w:p>
      <w:pPr>
        <w:ind w:firstLine="480" w:firstLineChars="200"/>
        <w:rPr>
          <w:rFonts w:hint="default" w:ascii="Times New Roman" w:hAnsi="Times New Roman" w:eastAsia="宋体" w:cs="Times New Roman"/>
          <w:b w:val="0"/>
          <w:bCs w:val="0"/>
          <w:color w:val="0000FF"/>
          <w:sz w:val="24"/>
          <w:szCs w:val="20"/>
          <w:highlight w:val="none"/>
        </w:rPr>
      </w:pPr>
      <w:r>
        <w:rPr>
          <w:rFonts w:hint="default" w:ascii="Times New Roman" w:hAnsi="Times New Roman" w:eastAsia="宋体" w:cs="Times New Roman"/>
          <w:b w:val="0"/>
          <w:color w:val="0000FF"/>
          <w:sz w:val="24"/>
          <w:szCs w:val="20"/>
          <w:highlight w:val="none"/>
        </w:rPr>
        <w:t>达标判定结果见表</w:t>
      </w:r>
      <w:r>
        <w:rPr>
          <w:rFonts w:hint="eastAsia" w:ascii="Times New Roman" w:hAnsi="Times New Roman" w:eastAsia="宋体" w:cs="Times New Roman"/>
          <w:b w:val="0"/>
          <w:color w:val="0000FF"/>
          <w:sz w:val="24"/>
          <w:szCs w:val="20"/>
          <w:highlight w:val="none"/>
          <w:lang w:val="en-US" w:eastAsia="zh-CN"/>
        </w:rPr>
        <w:t>4.2.1.4</w:t>
      </w:r>
      <w:r>
        <w:rPr>
          <w:rFonts w:hint="default" w:ascii="Times New Roman" w:hAnsi="Times New Roman" w:eastAsia="宋体" w:cs="Times New Roman"/>
          <w:b w:val="0"/>
          <w:color w:val="0000FF"/>
          <w:sz w:val="24"/>
          <w:szCs w:val="20"/>
          <w:highlight w:val="none"/>
        </w:rPr>
        <w:t>。</w:t>
      </w:r>
    </w:p>
    <w:p>
      <w:pPr>
        <w:topLinePunct/>
        <w:jc w:val="center"/>
        <w:rPr>
          <w:rFonts w:hint="default" w:ascii="Times New Roman" w:hAnsi="Times New Roman" w:cs="Times New Roman"/>
          <w:b/>
          <w:color w:val="0000FF"/>
          <w:sz w:val="21"/>
          <w:szCs w:val="21"/>
          <w:highlight w:val="none"/>
        </w:rPr>
      </w:pPr>
      <w:r>
        <w:rPr>
          <w:rFonts w:hint="default" w:ascii="Times New Roman" w:hAnsi="Times New Roman" w:eastAsia="宋体" w:cs="Times New Roman"/>
          <w:b/>
          <w:bCs/>
          <w:color w:val="0000FF"/>
          <w:sz w:val="24"/>
          <w:szCs w:val="20"/>
          <w:highlight w:val="none"/>
        </w:rPr>
        <w:t>表</w:t>
      </w:r>
      <w:r>
        <w:rPr>
          <w:rFonts w:hint="eastAsia" w:ascii="Times New Roman" w:hAnsi="Times New Roman" w:eastAsia="宋体" w:cs="Times New Roman"/>
          <w:b/>
          <w:bCs/>
          <w:color w:val="0000FF"/>
          <w:sz w:val="24"/>
          <w:szCs w:val="20"/>
          <w:highlight w:val="none"/>
          <w:lang w:val="en-US" w:eastAsia="zh-CN"/>
        </w:rPr>
        <w:t>4.2.1.4</w:t>
      </w:r>
      <w:r>
        <w:rPr>
          <w:rFonts w:hint="default" w:ascii="Times New Roman" w:hAnsi="Times New Roman" w:cs="Times New Roman"/>
          <w:b/>
          <w:color w:val="0000FF"/>
          <w:sz w:val="21"/>
          <w:szCs w:val="21"/>
          <w:highlight w:val="none"/>
          <w:lang w:val="en-US" w:eastAsia="zh-CN"/>
        </w:rPr>
        <w:t xml:space="preserve"> </w:t>
      </w:r>
      <w:r>
        <w:rPr>
          <w:rFonts w:hint="default" w:ascii="Times New Roman" w:hAnsi="Times New Roman" w:cs="Times New Roman"/>
          <w:b/>
          <w:color w:val="0000FF"/>
          <w:sz w:val="21"/>
          <w:szCs w:val="21"/>
          <w:highlight w:val="none"/>
        </w:rPr>
        <w:t>达标判定结果表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2050"/>
        <w:gridCol w:w="1503"/>
        <w:gridCol w:w="1128"/>
        <w:gridCol w:w="87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污染物</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年评价指标</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现状浓度（μg/m</w:t>
            </w:r>
            <w:r>
              <w:rPr>
                <w:rFonts w:hint="default" w:ascii="Times New Roman" w:hAnsi="Times New Roman" w:cs="Times New Roman"/>
                <w:bCs/>
                <w:color w:val="0000FF"/>
                <w:sz w:val="21"/>
                <w:szCs w:val="21"/>
                <w:highlight w:val="none"/>
                <w:vertAlign w:val="superscript"/>
              </w:rPr>
              <w:t>3</w:t>
            </w:r>
            <w:r>
              <w:rPr>
                <w:rFonts w:hint="default" w:ascii="Times New Roman" w:hAnsi="Times New Roman" w:cs="Times New Roman"/>
                <w:bCs/>
                <w:color w:val="0000FF"/>
                <w:sz w:val="21"/>
                <w:szCs w:val="21"/>
                <w:highlight w:val="none"/>
              </w:rPr>
              <w:t>）</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标准值（μg/m</w:t>
            </w:r>
            <w:r>
              <w:rPr>
                <w:rFonts w:hint="default" w:ascii="Times New Roman" w:hAnsi="Times New Roman" w:cs="Times New Roman"/>
                <w:bCs/>
                <w:color w:val="0000FF"/>
                <w:sz w:val="21"/>
                <w:szCs w:val="21"/>
                <w:highlight w:val="none"/>
                <w:vertAlign w:val="superscript"/>
              </w:rPr>
              <w:t>3</w:t>
            </w:r>
            <w:r>
              <w:rPr>
                <w:rFonts w:hint="default" w:ascii="Times New Roman" w:hAnsi="Times New Roman" w:cs="Times New Roman"/>
                <w:bCs/>
                <w:color w:val="0000FF"/>
                <w:sz w:val="21"/>
                <w:szCs w:val="21"/>
                <w:highlight w:val="none"/>
              </w:rPr>
              <w:t>）</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占标率</w:t>
            </w:r>
          </w:p>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lang w:eastAsia="zh-CN"/>
              </w:rPr>
              <w:t>（</w:t>
            </w:r>
            <w:r>
              <w:rPr>
                <w:rFonts w:hint="default" w:ascii="Times New Roman" w:hAnsi="Times New Roman" w:cs="Times New Roman"/>
                <w:bCs/>
                <w:color w:val="0000FF"/>
                <w:sz w:val="21"/>
                <w:szCs w:val="21"/>
                <w:highlight w:val="none"/>
                <w:lang w:val="en-US" w:eastAsia="zh-CN"/>
              </w:rPr>
              <w:t>%</w:t>
            </w:r>
            <w:r>
              <w:rPr>
                <w:rFonts w:hint="default" w:ascii="Times New Roman" w:hAnsi="Times New Roman" w:cs="Times New Roman"/>
                <w:bCs/>
                <w:color w:val="0000FF"/>
                <w:sz w:val="21"/>
                <w:szCs w:val="21"/>
                <w:highlight w:val="none"/>
                <w:lang w:eastAsia="zh-CN"/>
              </w:rPr>
              <w:t>）</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2.5</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51.6</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35</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147.4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10</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145.8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70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208.3</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SO</w:t>
            </w:r>
            <w:r>
              <w:rPr>
                <w:rFonts w:hint="default" w:ascii="Times New Roman" w:hAnsi="Times New Roman" w:cs="Times New Roman"/>
                <w:color w:val="0000FF"/>
                <w:sz w:val="21"/>
                <w:szCs w:val="21"/>
                <w:highlight w:val="none"/>
                <w:vertAlign w:val="subscript"/>
              </w:rPr>
              <w:t>2</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8.8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60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14.7</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CO</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1175.9</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4000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29.4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NO</w:t>
            </w:r>
            <w:r>
              <w:rPr>
                <w:rFonts w:hint="default" w:ascii="Times New Roman" w:hAnsi="Times New Roman" w:cs="Times New Roman"/>
                <w:color w:val="0000FF"/>
                <w:sz w:val="21"/>
                <w:szCs w:val="21"/>
                <w:highlight w:val="none"/>
                <w:vertAlign w:val="subscript"/>
              </w:rPr>
              <w:t>2</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30.3</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40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75.8</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O</w:t>
            </w:r>
            <w:r>
              <w:rPr>
                <w:rFonts w:hint="default" w:ascii="Times New Roman" w:hAnsi="Times New Roman" w:cs="Times New Roman"/>
                <w:color w:val="0000FF"/>
                <w:sz w:val="21"/>
                <w:szCs w:val="21"/>
                <w:highlight w:val="none"/>
                <w:vertAlign w:val="subscript"/>
              </w:rPr>
              <w:t>3</w:t>
            </w:r>
            <w:r>
              <w:rPr>
                <w:rFonts w:hint="default" w:ascii="Times New Roman" w:hAnsi="Times New Roman" w:cs="Times New Roman"/>
                <w:color w:val="0000FF"/>
                <w:sz w:val="21"/>
                <w:szCs w:val="21"/>
                <w:highlight w:val="none"/>
              </w:rPr>
              <w:t>（8小时均值）</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8h平均质量浓度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107.8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160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67.4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bl>
    <w:p>
      <w:pPr>
        <w:widowControl/>
        <w:spacing w:line="360" w:lineRule="auto"/>
        <w:ind w:firstLine="480" w:firstLineChars="200"/>
        <w:rPr>
          <w:color w:val="0000FF"/>
          <w:sz w:val="24"/>
          <w:szCs w:val="24"/>
          <w:highlight w:val="none"/>
          <w:lang w:bidi="ar"/>
        </w:rPr>
      </w:pPr>
      <w:r>
        <w:rPr>
          <w:rFonts w:hint="default" w:ascii="Times New Roman" w:hAnsi="Times New Roman" w:cs="Times New Roman"/>
          <w:color w:val="0000FF"/>
          <w:sz w:val="24"/>
          <w:szCs w:val="24"/>
          <w:highlight w:val="none"/>
        </w:rPr>
        <w:t>按照《环境空气质量标准》（GB3095-2012）规定，</w:t>
      </w:r>
      <w:r>
        <w:rPr>
          <w:rFonts w:hint="default" w:ascii="Times New Roman" w:hAnsi="Times New Roman" w:cs="Times New Roman"/>
          <w:color w:val="0000FF"/>
          <w:sz w:val="24"/>
          <w:szCs w:val="24"/>
          <w:highlight w:val="none"/>
          <w:lang w:eastAsia="zh-CN"/>
        </w:rPr>
        <w:t>喀什</w:t>
      </w:r>
      <w:r>
        <w:rPr>
          <w:rFonts w:hint="default" w:ascii="Times New Roman" w:hAnsi="Times New Roman" w:cs="Times New Roman"/>
          <w:color w:val="0000FF"/>
          <w:sz w:val="24"/>
          <w:szCs w:val="24"/>
          <w:highlight w:val="none"/>
        </w:rPr>
        <w:t>地区2018年平均质量浓度PM</w:t>
      </w:r>
      <w:r>
        <w:rPr>
          <w:rFonts w:hint="default" w:ascii="Times New Roman" w:hAnsi="Times New Roman" w:cs="Times New Roman"/>
          <w:color w:val="0000FF"/>
          <w:sz w:val="24"/>
          <w:szCs w:val="24"/>
          <w:highlight w:val="none"/>
          <w:vertAlign w:val="subscript"/>
        </w:rPr>
        <w:t>10</w:t>
      </w:r>
      <w:r>
        <w:rPr>
          <w:rFonts w:hint="default" w:ascii="Times New Roman" w:hAnsi="Times New Roman" w:cs="Times New Roman"/>
          <w:color w:val="0000FF"/>
          <w:sz w:val="24"/>
          <w:szCs w:val="24"/>
          <w:highlight w:val="none"/>
        </w:rPr>
        <w:t>、PM</w:t>
      </w:r>
      <w:r>
        <w:rPr>
          <w:rFonts w:hint="default" w:ascii="Times New Roman" w:hAnsi="Times New Roman" w:cs="Times New Roman"/>
          <w:color w:val="0000FF"/>
          <w:sz w:val="24"/>
          <w:szCs w:val="24"/>
          <w:highlight w:val="none"/>
          <w:vertAlign w:val="subscript"/>
        </w:rPr>
        <w:t>2.5</w:t>
      </w:r>
      <w:r>
        <w:rPr>
          <w:rFonts w:hint="default" w:ascii="Times New Roman" w:hAnsi="Times New Roman" w:cs="Times New Roman"/>
          <w:color w:val="0000FF"/>
          <w:sz w:val="24"/>
          <w:szCs w:val="24"/>
          <w:highlight w:val="none"/>
          <w:lang w:eastAsia="zh-CN"/>
        </w:rPr>
        <w:t>超过二级标准限值，占标率分别为</w:t>
      </w:r>
      <w:r>
        <w:rPr>
          <w:rFonts w:hint="default" w:ascii="Times New Roman" w:hAnsi="Times New Roman" w:cs="Times New Roman"/>
          <w:color w:val="0000FF"/>
          <w:sz w:val="24"/>
          <w:szCs w:val="24"/>
          <w:highlight w:val="none"/>
          <w:lang w:val="en-US" w:eastAsia="zh-CN"/>
        </w:rPr>
        <w:t>147.4%、208.3%，</w:t>
      </w:r>
      <w:r>
        <w:rPr>
          <w:rFonts w:hint="default" w:ascii="Times New Roman" w:hAnsi="Times New Roman" w:cs="Times New Roman"/>
          <w:color w:val="0000FF"/>
          <w:sz w:val="24"/>
          <w:szCs w:val="24"/>
          <w:highlight w:val="none"/>
        </w:rPr>
        <w:t>SO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、NO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、O</w:t>
      </w:r>
      <w:r>
        <w:rPr>
          <w:rFonts w:hint="default" w:ascii="Times New Roman" w:hAnsi="Times New Roman" w:cs="Times New Roman"/>
          <w:color w:val="0000FF"/>
          <w:sz w:val="24"/>
          <w:szCs w:val="24"/>
          <w:highlight w:val="none"/>
          <w:vertAlign w:val="subscript"/>
        </w:rPr>
        <w:t>3</w:t>
      </w:r>
      <w:r>
        <w:rPr>
          <w:rFonts w:hint="default" w:ascii="Times New Roman" w:hAnsi="Times New Roman" w:cs="Times New Roman"/>
          <w:color w:val="0000FF"/>
          <w:sz w:val="24"/>
          <w:szCs w:val="24"/>
          <w:highlight w:val="none"/>
        </w:rPr>
        <w:t>、CO均未超出二级标准限值，说明该地区环境质量</w:t>
      </w:r>
      <w:r>
        <w:rPr>
          <w:rFonts w:hint="default" w:ascii="Times New Roman" w:hAnsi="Times New Roman" w:cs="Times New Roman"/>
          <w:color w:val="0000FF"/>
          <w:sz w:val="24"/>
          <w:szCs w:val="24"/>
          <w:highlight w:val="none"/>
          <w:lang w:eastAsia="zh-CN"/>
        </w:rPr>
        <w:t>一般</w:t>
      </w:r>
      <w:r>
        <w:rPr>
          <w:rFonts w:hint="default" w:ascii="Times New Roman" w:hAnsi="Times New Roman" w:cs="Times New Roman"/>
          <w:color w:val="0000FF"/>
          <w:sz w:val="24"/>
          <w:szCs w:val="24"/>
          <w:highlight w:val="none"/>
        </w:rPr>
        <w:t>。</w:t>
      </w:r>
      <w:r>
        <w:rPr>
          <w:rFonts w:hint="eastAsia"/>
          <w:color w:val="0000FF"/>
          <w:sz w:val="24"/>
          <w:szCs w:val="24"/>
          <w:highlight w:val="none"/>
          <w:lang w:bidi="ar"/>
        </w:rPr>
        <w:t>参照《环境影响评价技术导则·大气环境》(HJ2.2-2018)中6.4.1项目所在区域达标判断规定：“城市环境空气质量达标情况评价指标为SO</w:t>
      </w:r>
      <w:r>
        <w:rPr>
          <w:rFonts w:hint="eastAsia"/>
          <w:color w:val="0000FF"/>
          <w:sz w:val="24"/>
          <w:szCs w:val="24"/>
          <w:highlight w:val="none"/>
          <w:vertAlign w:val="subscript"/>
          <w:lang w:bidi="ar"/>
        </w:rPr>
        <w:t>2</w:t>
      </w:r>
      <w:r>
        <w:rPr>
          <w:rFonts w:hint="eastAsia"/>
          <w:color w:val="0000FF"/>
          <w:sz w:val="24"/>
          <w:szCs w:val="24"/>
          <w:highlight w:val="none"/>
          <w:lang w:bidi="ar"/>
        </w:rPr>
        <w:t>、NO</w:t>
      </w:r>
      <w:r>
        <w:rPr>
          <w:rFonts w:hint="eastAsia"/>
          <w:color w:val="0000FF"/>
          <w:sz w:val="24"/>
          <w:szCs w:val="24"/>
          <w:highlight w:val="none"/>
          <w:vertAlign w:val="subscript"/>
          <w:lang w:bidi="ar"/>
        </w:rPr>
        <w:t>2</w:t>
      </w:r>
      <w:r>
        <w:rPr>
          <w:rFonts w:hint="eastAsia"/>
          <w:color w:val="0000FF"/>
          <w:sz w:val="24"/>
          <w:szCs w:val="24"/>
          <w:highlight w:val="none"/>
          <w:lang w:bidi="ar"/>
        </w:rPr>
        <w:t>、PM</w:t>
      </w:r>
      <w:r>
        <w:rPr>
          <w:rFonts w:hint="eastAsia"/>
          <w:color w:val="0000FF"/>
          <w:sz w:val="24"/>
          <w:szCs w:val="24"/>
          <w:highlight w:val="none"/>
          <w:vertAlign w:val="subscript"/>
          <w:lang w:bidi="ar"/>
        </w:rPr>
        <w:t>10</w:t>
      </w:r>
      <w:r>
        <w:rPr>
          <w:rFonts w:hint="eastAsia"/>
          <w:color w:val="0000FF"/>
          <w:sz w:val="24"/>
          <w:szCs w:val="24"/>
          <w:highlight w:val="none"/>
          <w:lang w:bidi="ar"/>
        </w:rPr>
        <w:t>、PM</w:t>
      </w:r>
      <w:r>
        <w:rPr>
          <w:rFonts w:hint="eastAsia"/>
          <w:color w:val="0000FF"/>
          <w:sz w:val="24"/>
          <w:szCs w:val="24"/>
          <w:highlight w:val="none"/>
          <w:vertAlign w:val="subscript"/>
          <w:lang w:bidi="ar"/>
        </w:rPr>
        <w:t>2.5</w:t>
      </w:r>
      <w:r>
        <w:rPr>
          <w:rFonts w:hint="eastAsia"/>
          <w:color w:val="0000FF"/>
          <w:sz w:val="24"/>
          <w:szCs w:val="24"/>
          <w:highlight w:val="none"/>
          <w:lang w:bidi="ar"/>
        </w:rPr>
        <w:t>、CO、O</w:t>
      </w:r>
      <w:r>
        <w:rPr>
          <w:rFonts w:hint="eastAsia"/>
          <w:color w:val="0000FF"/>
          <w:sz w:val="24"/>
          <w:szCs w:val="24"/>
          <w:highlight w:val="none"/>
          <w:vertAlign w:val="subscript"/>
          <w:lang w:bidi="ar"/>
        </w:rPr>
        <w:t>3</w:t>
      </w:r>
      <w:r>
        <w:rPr>
          <w:rFonts w:hint="eastAsia"/>
          <w:color w:val="0000FF"/>
          <w:sz w:val="24"/>
          <w:szCs w:val="24"/>
          <w:highlight w:val="none"/>
          <w:lang w:bidi="ar"/>
        </w:rPr>
        <w:t>，六项污染物全部达标即为城市环境空气质量达标”可知，本项目所在区域属于不达标区。</w:t>
      </w:r>
    </w:p>
    <w:p>
      <w:pPr>
        <w:widowControl/>
        <w:spacing w:line="360" w:lineRule="auto"/>
        <w:ind w:firstLine="480" w:firstLineChars="200"/>
        <w:rPr>
          <w:rFonts w:hint="default" w:ascii="Times New Roman" w:hAnsi="Times New Roman" w:eastAsia="宋体" w:cs="Times New Roman"/>
          <w:color w:val="0000FF"/>
          <w:sz w:val="24"/>
          <w:szCs w:val="24"/>
          <w:highlight w:val="none"/>
        </w:rPr>
      </w:pPr>
      <w:r>
        <w:rPr>
          <w:rFonts w:hint="eastAsia"/>
          <w:color w:val="0000FF"/>
          <w:sz w:val="24"/>
          <w:szCs w:val="24"/>
          <w:highlight w:val="none"/>
          <w:lang w:eastAsia="zh-CN"/>
        </w:rPr>
        <w:t>根据《关于在南疆四地州深度贫困地区实施</w:t>
      </w:r>
      <w:r>
        <w:rPr>
          <w:rFonts w:hint="eastAsia"/>
          <w:color w:val="0000FF"/>
          <w:sz w:val="24"/>
          <w:szCs w:val="24"/>
          <w:highlight w:val="none"/>
          <w:lang w:val="en-US" w:eastAsia="zh-CN"/>
        </w:rPr>
        <w:t>&lt;环境影响评价技术导则 大气环境(HJ2.2-2018)&gt;差别化政策有关事宜的复函</w:t>
      </w:r>
      <w:r>
        <w:rPr>
          <w:rFonts w:hint="eastAsia"/>
          <w:color w:val="0000FF"/>
          <w:sz w:val="24"/>
          <w:szCs w:val="24"/>
          <w:highlight w:val="none"/>
          <w:lang w:eastAsia="zh-CN"/>
        </w:rPr>
        <w:t>》(环办环评函</w:t>
      </w:r>
      <w:r>
        <w:rPr>
          <w:rFonts w:hint="eastAsia"/>
          <w:color w:val="0000FF"/>
          <w:sz w:val="24"/>
          <w:szCs w:val="24"/>
          <w:highlight w:val="none"/>
          <w:lang w:val="en-US" w:eastAsia="zh-CN"/>
        </w:rPr>
        <w:t>[2019]590号</w:t>
      </w:r>
      <w:r>
        <w:rPr>
          <w:rFonts w:hint="eastAsia"/>
          <w:color w:val="0000FF"/>
          <w:sz w:val="24"/>
          <w:szCs w:val="24"/>
          <w:highlight w:val="none"/>
          <w:lang w:eastAsia="zh-CN"/>
        </w:rPr>
        <w:t>)要求，对喀什地区实行环境影响评价差别化政策，可不进行颗粒物区域削减。</w:t>
      </w:r>
      <w:r>
        <w:rPr>
          <w:rFonts w:hint="eastAsia"/>
          <w:color w:val="0000FF"/>
          <w:sz w:val="24"/>
          <w:szCs w:val="24"/>
          <w:highlight w:val="none"/>
        </w:rPr>
        <w:t>本项目实施后</w:t>
      </w:r>
      <w:r>
        <w:rPr>
          <w:rFonts w:hint="eastAsia"/>
          <w:color w:val="0000FF"/>
          <w:sz w:val="24"/>
          <w:szCs w:val="24"/>
          <w:highlight w:val="none"/>
          <w:lang w:eastAsia="zh-CN"/>
        </w:rPr>
        <w:t>建设单位</w:t>
      </w:r>
      <w:r>
        <w:rPr>
          <w:rFonts w:hint="eastAsia"/>
          <w:color w:val="0000FF"/>
          <w:sz w:val="24"/>
          <w:szCs w:val="24"/>
          <w:highlight w:val="none"/>
        </w:rPr>
        <w:t>应不断强化大气污染防治措施</w:t>
      </w:r>
      <w:r>
        <w:rPr>
          <w:rFonts w:hint="eastAsia"/>
          <w:color w:val="0000FF"/>
          <w:sz w:val="24"/>
          <w:szCs w:val="24"/>
          <w:highlight w:val="none"/>
          <w:lang w:eastAsia="zh-CN"/>
        </w:rPr>
        <w:t>。</w:t>
      </w:r>
    </w:p>
    <w:p>
      <w:pPr>
        <w:pStyle w:val="17"/>
        <w:numPr>
          <w:ilvl w:val="3"/>
          <w:numId w:val="38"/>
        </w:numPr>
        <w:tabs>
          <w:tab w:val="left" w:pos="1320"/>
        </w:tabs>
        <w:spacing w:before="16" w:after="0" w:line="240" w:lineRule="auto"/>
        <w:ind w:left="1320" w:right="0" w:hanging="780"/>
        <w:jc w:val="left"/>
        <w:rPr>
          <w:sz w:val="24"/>
        </w:rPr>
      </w:pPr>
      <w:bookmarkStart w:id="247" w:name="4.2.1.2 其他污染物补充监测结果与评价"/>
      <w:bookmarkEnd w:id="247"/>
      <w:bookmarkStart w:id="248" w:name="4.2.1.2 其他污染物补充监测结果与评价"/>
      <w:bookmarkEnd w:id="248"/>
      <w:r>
        <w:rPr>
          <w:sz w:val="24"/>
        </w:rPr>
        <w:t>其他污染物补充监测结果与评价</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rPr>
        <w:t>本项目环境空气特征污染物为氨、硫化氢、现状监测委托</w:t>
      </w:r>
      <w:r>
        <w:rPr>
          <w:rFonts w:hint="eastAsia" w:ascii="Times New Roman" w:hAnsi="Times New Roman" w:eastAsia="宋体" w:cs="Times New Roman"/>
          <w:color w:val="0000FF"/>
          <w:sz w:val="24"/>
          <w:lang w:val="en-US" w:eastAsia="zh-CN"/>
        </w:rPr>
        <w:t>新疆环疆绿源环保科技</w:t>
      </w:r>
      <w:r>
        <w:rPr>
          <w:rFonts w:hint="eastAsia" w:ascii="Times New Roman" w:hAnsi="Times New Roman" w:eastAsia="宋体" w:cs="Times New Roman"/>
          <w:color w:val="0000FF"/>
          <w:sz w:val="24"/>
        </w:rPr>
        <w:t>科技有限公司于</w:t>
      </w:r>
      <w:r>
        <w:rPr>
          <w:rFonts w:hint="eastAsia" w:ascii="Times New Roman" w:hAnsi="Times New Roman" w:eastAsia="宋体" w:cs="Times New Roman"/>
          <w:color w:val="FF0000"/>
          <w:sz w:val="24"/>
        </w:rPr>
        <w:t>20</w:t>
      </w:r>
      <w:r>
        <w:rPr>
          <w:rFonts w:hint="eastAsia" w:ascii="Times New Roman" w:hAnsi="Times New Roman" w:eastAsia="宋体" w:cs="Times New Roman"/>
          <w:color w:val="FF0000"/>
          <w:sz w:val="24"/>
          <w:lang w:val="en-US" w:eastAsia="zh-CN"/>
        </w:rPr>
        <w:t>20</w:t>
      </w:r>
      <w:r>
        <w:rPr>
          <w:rFonts w:hint="eastAsia"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1</w:t>
      </w:r>
      <w:r>
        <w:rPr>
          <w:rFonts w:hint="eastAsia" w:ascii="Times New Roman" w:hAnsi="Times New Roman" w:eastAsia="宋体" w:cs="Times New Roman"/>
          <w:color w:val="FF0000"/>
          <w:sz w:val="24"/>
        </w:rPr>
        <w:t>月</w:t>
      </w:r>
      <w:r>
        <w:rPr>
          <w:rFonts w:hint="eastAsia" w:ascii="Times New Roman" w:hAnsi="Times New Roman" w:cs="Times New Roman"/>
          <w:color w:val="FF0000"/>
          <w:sz w:val="24"/>
          <w:lang w:val="en-US" w:eastAsia="zh-CN"/>
        </w:rPr>
        <w:t>9</w:t>
      </w:r>
      <w:r>
        <w:rPr>
          <w:rFonts w:hint="eastAsia" w:ascii="Times New Roman" w:hAnsi="Times New Roman" w:eastAsia="宋体" w:cs="Times New Roman"/>
          <w:color w:val="FF0000"/>
          <w:sz w:val="24"/>
        </w:rPr>
        <w:t>日至</w:t>
      </w:r>
      <w:r>
        <w:rPr>
          <w:rFonts w:hint="eastAsia" w:ascii="Times New Roman" w:hAnsi="Times New Roman" w:eastAsia="宋体" w:cs="Times New Roman"/>
          <w:color w:val="FF0000"/>
          <w:sz w:val="24"/>
          <w:lang w:val="en-US" w:eastAsia="zh-CN"/>
        </w:rPr>
        <w:t>1</w:t>
      </w:r>
      <w:r>
        <w:rPr>
          <w:rFonts w:hint="eastAsia" w:ascii="Times New Roman" w:hAnsi="Times New Roman" w:eastAsia="宋体" w:cs="Times New Roman"/>
          <w:color w:val="FF0000"/>
          <w:sz w:val="24"/>
        </w:rPr>
        <w:t>月</w:t>
      </w:r>
      <w:r>
        <w:rPr>
          <w:rFonts w:hint="eastAsia" w:ascii="Times New Roman" w:hAnsi="Times New Roman" w:cs="Times New Roman"/>
          <w:color w:val="FF0000"/>
          <w:sz w:val="24"/>
          <w:lang w:val="en-US" w:eastAsia="zh-CN"/>
        </w:rPr>
        <w:t>15</w:t>
      </w:r>
      <w:r>
        <w:rPr>
          <w:rFonts w:hint="eastAsia" w:ascii="Times New Roman" w:hAnsi="Times New Roman" w:eastAsia="宋体" w:cs="Times New Roman"/>
          <w:color w:val="FF0000"/>
          <w:sz w:val="24"/>
        </w:rPr>
        <w:t>日</w:t>
      </w:r>
      <w:r>
        <w:rPr>
          <w:rFonts w:hint="eastAsia" w:ascii="Times New Roman" w:hAnsi="Times New Roman" w:eastAsia="宋体" w:cs="Times New Roman"/>
          <w:color w:val="0000FF"/>
          <w:sz w:val="24"/>
        </w:rPr>
        <w:t>日对项目区进行监测，作为本次环评大气环境现状的评价依据。</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监测点位</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根据《环境影响评价技术导则 大气环境》（HJ 2.2-2018），考虑评价区域地形情况，兼顾主导风向的原则，设置了2个现状监测点，分别为厂区</w:t>
      </w:r>
      <w:r>
        <w:rPr>
          <w:rFonts w:hint="eastAsia" w:ascii="Times New Roman" w:hAnsi="Times New Roman" w:eastAsia="宋体" w:cs="Times New Roman"/>
          <w:color w:val="0000FF"/>
          <w:sz w:val="24"/>
          <w:lang w:val="en-US" w:eastAsia="zh-CN"/>
        </w:rPr>
        <w:t>上风向</w:t>
      </w:r>
      <w:r>
        <w:rPr>
          <w:rFonts w:hint="default" w:ascii="Times New Roman" w:hAnsi="Times New Roman" w:eastAsia="宋体" w:cs="Times New Roman"/>
          <w:color w:val="0000FF"/>
          <w:sz w:val="24"/>
        </w:rPr>
        <w:t>及下风向</w:t>
      </w:r>
      <w:r>
        <w:rPr>
          <w:rFonts w:hint="eastAsia" w:ascii="Times New Roman" w:hAnsi="Times New Roman" w:eastAsia="宋体" w:cs="Times New Roman"/>
          <w:color w:val="0000FF"/>
          <w:sz w:val="24"/>
          <w:lang w:val="en-US" w:eastAsia="zh-CN"/>
        </w:rPr>
        <w:t>区域</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监测因子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其他污染物：</w:t>
      </w:r>
      <w:r>
        <w:rPr>
          <w:rFonts w:hint="eastAsia" w:ascii="Times New Roman" w:hAnsi="Times New Roman" w:eastAsia="宋体" w:cs="Times New Roman"/>
          <w:color w:val="0000FF"/>
          <w:sz w:val="24"/>
        </w:rPr>
        <w:t>氨、硫化氢、</w:t>
      </w:r>
      <w:r>
        <w:rPr>
          <w:rFonts w:hint="eastAsia" w:ascii="Times New Roman" w:hAnsi="Times New Roman" w:eastAsia="宋体" w:cs="Times New Roman"/>
          <w:color w:val="0000FF"/>
          <w:sz w:val="24"/>
          <w:lang w:val="en-US" w:eastAsia="zh-CN"/>
        </w:rPr>
        <w:t>共2个监测因子</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3</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监测频次</w:t>
      </w:r>
    </w:p>
    <w:p>
      <w:pPr>
        <w:spacing w:line="360" w:lineRule="auto"/>
        <w:ind w:firstLine="480" w:firstLineChars="200"/>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rPr>
        <w:t>采</w:t>
      </w:r>
      <w:r>
        <w:rPr>
          <w:rFonts w:hint="default" w:ascii="Times New Roman" w:hAnsi="Times New Roman" w:eastAsia="宋体" w:cs="Times New Roman"/>
          <w:color w:val="0000FF"/>
          <w:sz w:val="24"/>
          <w:lang w:eastAsia="zh-CN"/>
        </w:rPr>
        <w:t>样频次按《环境监测技术规范》（大气部分）执行</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连续监测7天，每天采样4次</w:t>
      </w:r>
      <w:r>
        <w:rPr>
          <w:rFonts w:hint="default" w:ascii="Times New Roman" w:hAnsi="Times New Roman" w:eastAsia="宋体" w:cs="Times New Roman"/>
          <w:color w:val="0000FF"/>
          <w:sz w:val="24"/>
          <w:lang w:eastAsia="zh-CN"/>
        </w:rPr>
        <w:t>。</w:t>
      </w:r>
    </w:p>
    <w:p>
      <w:pPr>
        <w:spacing w:line="360" w:lineRule="auto"/>
        <w:ind w:firstLine="480" w:firstLineChars="200"/>
        <w:rPr>
          <w:rFonts w:hint="default"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4</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eastAsia="zh-CN"/>
        </w:rPr>
        <w:t>评价标准</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氨、硫化氢</w:t>
      </w:r>
      <w:r>
        <w:rPr>
          <w:rFonts w:hint="eastAsia" w:ascii="Times New Roman" w:hAnsi="Times New Roman" w:eastAsia="宋体" w:cs="Times New Roman"/>
          <w:color w:val="0000FF"/>
          <w:sz w:val="24"/>
          <w:lang w:eastAsia="zh-CN"/>
        </w:rPr>
        <w:t>执行《环</w:t>
      </w:r>
      <w:r>
        <w:rPr>
          <w:rFonts w:hint="eastAsia" w:ascii="Times New Roman" w:hAnsi="Times New Roman" w:eastAsia="宋体" w:cs="Times New Roman"/>
          <w:color w:val="0000FF"/>
          <w:sz w:val="24"/>
          <w:lang w:val="en-US" w:eastAsia="zh-CN"/>
        </w:rPr>
        <w:t>境影响评价技术导则大气环境》（HJ2.2-2018）附录D中其他污染物空气质量浓度参考限值。</w:t>
      </w:r>
    </w:p>
    <w:p>
      <w:pPr>
        <w:ind w:firstLine="422"/>
        <w:jc w:val="center"/>
        <w:rPr>
          <w:rFonts w:hint="eastAsia" w:ascii="宋体" w:hAnsi="宋体"/>
          <w:b/>
          <w:color w:val="0000FF"/>
          <w:sz w:val="21"/>
          <w:szCs w:val="21"/>
        </w:rPr>
      </w:pPr>
      <w:r>
        <w:rPr>
          <w:rFonts w:hint="eastAsia" w:ascii="宋体" w:hAnsi="宋体"/>
          <w:b/>
          <w:color w:val="0000FF"/>
          <w:sz w:val="21"/>
          <w:szCs w:val="21"/>
        </w:rPr>
        <w:t>表4</w:t>
      </w:r>
      <w:r>
        <w:rPr>
          <w:rFonts w:hint="eastAsia" w:ascii="宋体" w:hAnsi="宋体"/>
          <w:b/>
          <w:color w:val="0000FF"/>
          <w:sz w:val="21"/>
          <w:szCs w:val="21"/>
          <w:lang w:val="en-US" w:eastAsia="zh-CN"/>
        </w:rPr>
        <w:t>.2</w:t>
      </w:r>
      <w:r>
        <w:rPr>
          <w:rFonts w:hint="eastAsia" w:ascii="宋体" w:hAnsi="宋体"/>
          <w:b/>
          <w:color w:val="0000FF"/>
          <w:sz w:val="21"/>
          <w:szCs w:val="21"/>
        </w:rPr>
        <w:t>-</w:t>
      </w:r>
      <w:r>
        <w:rPr>
          <w:rFonts w:hint="eastAsia" w:ascii="宋体" w:hAnsi="宋体"/>
          <w:b/>
          <w:color w:val="0000FF"/>
          <w:sz w:val="21"/>
          <w:szCs w:val="21"/>
          <w:lang w:val="en-US" w:eastAsia="zh-CN"/>
        </w:rPr>
        <w:t xml:space="preserve">2  </w:t>
      </w:r>
      <w:r>
        <w:rPr>
          <w:rFonts w:hint="eastAsia" w:ascii="宋体" w:hAnsi="宋体"/>
          <w:b/>
          <w:color w:val="0000FF"/>
          <w:sz w:val="21"/>
          <w:szCs w:val="21"/>
        </w:rPr>
        <w:t>环境空气质量标准</w:t>
      </w:r>
    </w:p>
    <w:tbl>
      <w:tblPr>
        <w:tblStyle w:val="14"/>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40"/>
        <w:gridCol w:w="1740"/>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序号</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污染物</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标准值</w:t>
            </w:r>
          </w:p>
        </w:tc>
        <w:tc>
          <w:tcPr>
            <w:tcW w:w="4215"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1</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硫化氢</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10</w:t>
            </w:r>
            <w:r>
              <w:rPr>
                <w:rFonts w:hint="eastAsia" w:ascii="宋体" w:hAnsi="宋体"/>
                <w:color w:val="0000FF"/>
                <w:sz w:val="21"/>
                <w:szCs w:val="21"/>
                <w:lang w:val="en-US" w:eastAsia="zh-CN"/>
              </w:rPr>
              <w:t xml:space="preserve"> </w:t>
            </w:r>
            <w:r>
              <w:rPr>
                <w:rFonts w:hint="default" w:ascii="Times New Roman" w:hAnsi="Times New Roman" w:eastAsia="宋体" w:cs="Times New Roman"/>
                <w:color w:val="0000FF"/>
                <w:sz w:val="21"/>
                <w:szCs w:val="21"/>
              </w:rPr>
              <w:t>μg/m</w:t>
            </w:r>
            <w:r>
              <w:rPr>
                <w:rFonts w:hint="default" w:ascii="Times New Roman" w:hAnsi="Times New Roman" w:eastAsia="宋体" w:cs="Times New Roman"/>
                <w:color w:val="0000FF"/>
                <w:sz w:val="21"/>
                <w:szCs w:val="21"/>
                <w:vertAlign w:val="superscript"/>
              </w:rPr>
              <w:t>3</w:t>
            </w:r>
          </w:p>
        </w:tc>
        <w:tc>
          <w:tcPr>
            <w:tcW w:w="4215" w:type="dxa"/>
            <w:vMerge w:val="restart"/>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《环境影响评价技术导则大气环境》（HJ/T2.2-2018）附录D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2</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氨气</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200</w:t>
            </w:r>
            <w:r>
              <w:rPr>
                <w:rFonts w:hint="eastAsia" w:ascii="宋体" w:hAnsi="宋体"/>
                <w:color w:val="0000FF"/>
                <w:sz w:val="21"/>
                <w:szCs w:val="21"/>
                <w:lang w:val="en-US" w:eastAsia="zh-CN"/>
              </w:rPr>
              <w:t xml:space="preserve"> </w:t>
            </w:r>
            <w:r>
              <w:rPr>
                <w:rFonts w:hint="default" w:ascii="Times New Roman" w:hAnsi="Times New Roman" w:eastAsia="宋体" w:cs="Times New Roman"/>
                <w:color w:val="0000FF"/>
                <w:sz w:val="21"/>
                <w:szCs w:val="21"/>
              </w:rPr>
              <w:t>μg/m</w:t>
            </w:r>
            <w:r>
              <w:rPr>
                <w:rFonts w:hint="default" w:ascii="Times New Roman" w:hAnsi="Times New Roman" w:eastAsia="宋体" w:cs="Times New Roman"/>
                <w:color w:val="0000FF"/>
                <w:sz w:val="21"/>
                <w:szCs w:val="21"/>
                <w:vertAlign w:val="superscript"/>
              </w:rPr>
              <w:t>3</w:t>
            </w:r>
          </w:p>
        </w:tc>
        <w:tc>
          <w:tcPr>
            <w:tcW w:w="4215" w:type="dxa"/>
            <w:vMerge w:val="continue"/>
            <w:noWrap w:val="0"/>
            <w:vAlign w:val="center"/>
          </w:tcPr>
          <w:p>
            <w:pPr>
              <w:spacing w:line="240" w:lineRule="auto"/>
              <w:ind w:firstLine="0" w:firstLineChars="0"/>
              <w:jc w:val="center"/>
              <w:rPr>
                <w:rFonts w:hint="eastAsia" w:ascii="宋体" w:hAnsi="宋体"/>
                <w:color w:val="0000FF"/>
                <w:sz w:val="21"/>
                <w:szCs w:val="21"/>
              </w:rPr>
            </w:pPr>
          </w:p>
        </w:tc>
      </w:tr>
    </w:tbl>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5</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评价方法</w:t>
      </w:r>
    </w:p>
    <w:p>
      <w:pPr>
        <w:spacing w:line="360" w:lineRule="auto"/>
        <w:ind w:firstLine="480" w:firstLineChars="200"/>
        <w:rPr>
          <w:rFonts w:hint="default" w:ascii="Times New Roman" w:hAnsi="Times New Roman" w:eastAsia="宋体" w:cs="Times New Roman"/>
          <w:color w:val="0000FF"/>
          <w:sz w:val="24"/>
          <w:lang w:val="en-US"/>
        </w:rPr>
      </w:pPr>
      <w:r>
        <w:rPr>
          <w:rFonts w:hint="default" w:ascii="Times New Roman" w:hAnsi="Times New Roman" w:eastAsia="宋体" w:cs="Times New Roman"/>
          <w:color w:val="0000FF"/>
          <w:sz w:val="24"/>
        </w:rPr>
        <w:t>采用单因子污染指数法进行评价，其评价模式</w:t>
      </w:r>
      <w:r>
        <w:rPr>
          <w:rFonts w:hint="eastAsia" w:ascii="Times New Roman" w:hAnsi="Times New Roman" w:eastAsia="宋体" w:cs="Times New Roman"/>
          <w:color w:val="0000FF"/>
          <w:sz w:val="24"/>
          <w:lang w:val="en-US" w:eastAsia="zh-CN"/>
        </w:rPr>
        <w:t>、计算公式与常规空气因子达标判定部分相同。</w:t>
      </w:r>
    </w:p>
    <w:p>
      <w:pPr>
        <w:spacing w:line="360" w:lineRule="auto"/>
        <w:ind w:firstLine="360" w:firstLineChars="15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6</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监测结果与分析</w:t>
      </w:r>
    </w:p>
    <w:p>
      <w:pPr>
        <w:spacing w:line="360" w:lineRule="auto"/>
        <w:ind w:firstLine="360" w:firstLineChars="15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环境空气监测结果见表4.2-</w:t>
      </w:r>
      <w:r>
        <w:rPr>
          <w:rFonts w:hint="eastAsia" w:ascii="Times New Roman" w:hAnsi="Times New Roman" w:eastAsia="宋体" w:cs="Times New Roman"/>
          <w:color w:val="0000FF"/>
          <w:sz w:val="24"/>
          <w:lang w:val="en-US" w:eastAsia="zh-CN"/>
        </w:rPr>
        <w:t>3</w:t>
      </w:r>
      <w:r>
        <w:rPr>
          <w:rFonts w:hint="default" w:ascii="Times New Roman" w:hAnsi="Times New Roman" w:eastAsia="宋体" w:cs="Times New Roman"/>
          <w:color w:val="0000FF"/>
          <w:sz w:val="24"/>
        </w:rPr>
        <w:t>。</w:t>
      </w:r>
    </w:p>
    <w:p>
      <w:pPr>
        <w:spacing w:line="360" w:lineRule="auto"/>
        <w:ind w:firstLine="1546" w:firstLineChars="700"/>
        <w:jc w:val="both"/>
        <w:rPr>
          <w:rFonts w:hint="default" w:ascii="Times New Roman" w:hAnsi="Times New Roman" w:eastAsia="宋体" w:cs="Times New Roman"/>
          <w:b/>
          <w:bCs/>
          <w:color w:val="0000FF"/>
        </w:rPr>
      </w:pPr>
      <w:r>
        <w:rPr>
          <w:rFonts w:hint="default" w:ascii="Times New Roman" w:hAnsi="Times New Roman" w:eastAsia="宋体" w:cs="Times New Roman"/>
          <w:b/>
          <w:bCs/>
          <w:color w:val="0000FF"/>
        </w:rPr>
        <w:t>表4.2-</w:t>
      </w:r>
      <w:r>
        <w:rPr>
          <w:rFonts w:hint="eastAsia" w:ascii="Times New Roman" w:hAnsi="Times New Roman" w:eastAsia="宋体" w:cs="Times New Roman"/>
          <w:b/>
          <w:bCs/>
          <w:color w:val="0000FF"/>
          <w:lang w:val="en-US" w:eastAsia="zh-CN"/>
        </w:rPr>
        <w:t>3</w:t>
      </w:r>
      <w:r>
        <w:rPr>
          <w:rFonts w:hint="default" w:ascii="Times New Roman" w:hAnsi="Times New Roman" w:eastAsia="宋体" w:cs="Times New Roman"/>
          <w:b/>
          <w:bCs/>
          <w:color w:val="0000FF"/>
        </w:rPr>
        <w:t xml:space="preserve">      </w:t>
      </w:r>
      <w:r>
        <w:rPr>
          <w:rFonts w:hint="eastAsia" w:ascii="Times New Roman" w:hAnsi="Times New Roman" w:eastAsia="宋体" w:cs="Times New Roman"/>
          <w:b/>
          <w:bCs/>
          <w:color w:val="0000FF"/>
          <w:lang w:val="en-US" w:eastAsia="zh-CN"/>
        </w:rPr>
        <w:t xml:space="preserve">   </w:t>
      </w:r>
      <w:r>
        <w:rPr>
          <w:rFonts w:hint="default" w:ascii="Times New Roman" w:hAnsi="Times New Roman" w:eastAsia="宋体" w:cs="Times New Roman"/>
          <w:b/>
          <w:bCs/>
          <w:color w:val="0000FF"/>
        </w:rPr>
        <w:t xml:space="preserve">  </w:t>
      </w:r>
      <w:r>
        <w:rPr>
          <w:rFonts w:hint="eastAsia" w:ascii="Times New Roman" w:hAnsi="Times New Roman" w:eastAsia="宋体" w:cs="Times New Roman"/>
          <w:b/>
          <w:bCs/>
          <w:color w:val="0000FF"/>
          <w:lang w:val="en-US" w:eastAsia="zh-CN"/>
        </w:rPr>
        <w:t>特征空气因子</w:t>
      </w:r>
      <w:r>
        <w:rPr>
          <w:rFonts w:hint="default" w:ascii="Times New Roman" w:hAnsi="Times New Roman" w:eastAsia="宋体" w:cs="Times New Roman"/>
          <w:b/>
          <w:bCs/>
          <w:color w:val="0000FF"/>
        </w:rPr>
        <w:t xml:space="preserve">监测及评价结果 </w:t>
      </w:r>
    </w:p>
    <w:tbl>
      <w:tblPr>
        <w:tblStyle w:val="14"/>
        <w:tblW w:w="9178" w:type="dxa"/>
        <w:tblInd w:w="0" w:type="dxa"/>
        <w:tblLayout w:type="autofit"/>
        <w:tblCellMar>
          <w:top w:w="0" w:type="dxa"/>
          <w:left w:w="0" w:type="dxa"/>
          <w:bottom w:w="0" w:type="dxa"/>
          <w:right w:w="0" w:type="dxa"/>
        </w:tblCellMar>
      </w:tblPr>
      <w:tblGrid>
        <w:gridCol w:w="1591"/>
        <w:gridCol w:w="1609"/>
        <w:gridCol w:w="2034"/>
        <w:gridCol w:w="1397"/>
        <w:gridCol w:w="1273"/>
        <w:gridCol w:w="1274"/>
      </w:tblGrid>
      <w:tr>
        <w:tblPrEx>
          <w:tblCellMar>
            <w:top w:w="0" w:type="dxa"/>
            <w:left w:w="0" w:type="dxa"/>
            <w:bottom w:w="0" w:type="dxa"/>
            <w:right w:w="0" w:type="dxa"/>
          </w:tblCellMar>
        </w:tblPrEx>
        <w:trPr>
          <w:trHeight w:val="297" w:hRule="atLeast"/>
        </w:trPr>
        <w:tc>
          <w:tcPr>
            <w:tcW w:w="15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采样地点</w:t>
            </w: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采样日期</w:t>
            </w:r>
          </w:p>
        </w:tc>
        <w:tc>
          <w:tcPr>
            <w:tcW w:w="203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样品编号</w:t>
            </w:r>
          </w:p>
        </w:tc>
        <w:tc>
          <w:tcPr>
            <w:tcW w:w="13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采样频次</w:t>
            </w:r>
          </w:p>
        </w:tc>
        <w:tc>
          <w:tcPr>
            <w:tcW w:w="254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检测项目（mg/m3）</w:t>
            </w:r>
          </w:p>
        </w:tc>
      </w:tr>
      <w:tr>
        <w:tblPrEx>
          <w:tblCellMar>
            <w:top w:w="0" w:type="dxa"/>
            <w:left w:w="0" w:type="dxa"/>
            <w:bottom w:w="0" w:type="dxa"/>
            <w:right w:w="0" w:type="dxa"/>
          </w:tblCellMar>
        </w:tblPrEx>
        <w:trPr>
          <w:trHeight w:val="297"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20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3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2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硫化氢</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氨</w:t>
            </w:r>
          </w:p>
        </w:tc>
      </w:tr>
      <w:tr>
        <w:tblPrEx>
          <w:tblCellMar>
            <w:top w:w="0" w:type="dxa"/>
            <w:left w:w="0" w:type="dxa"/>
            <w:bottom w:w="0" w:type="dxa"/>
            <w:right w:w="0" w:type="dxa"/>
          </w:tblCellMar>
        </w:tblPrEx>
        <w:trPr>
          <w:trHeight w:val="405" w:hRule="atLeast"/>
        </w:trPr>
        <w:tc>
          <w:tcPr>
            <w:tcW w:w="15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W1:项目区上风向（主导风向）：北风</w:t>
            </w: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13</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20200012-W1-5-1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0.06</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20200012-W1-5-2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0.05</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20200012-W1-5-3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0.07</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20200012-W1-5-4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0.06</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14</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20200012-W1-6-1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0.06</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20200012-W1-6-2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0.07</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20200012-W1-6-3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0.06</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20200012-W1-6-4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0.05</w:t>
            </w:r>
          </w:p>
        </w:tc>
      </w:tr>
      <w:tr>
        <w:tblPrEx>
          <w:tblCellMar>
            <w:top w:w="0" w:type="dxa"/>
            <w:left w:w="0" w:type="dxa"/>
            <w:bottom w:w="0" w:type="dxa"/>
            <w:right w:w="0" w:type="dxa"/>
          </w:tblCellMar>
        </w:tblPrEx>
        <w:trPr>
          <w:trHeight w:val="38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15</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20200012-W1-7-1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0.07</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20200012-W1-7-2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0.06</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20200012-W1-7-3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0.05</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20200012-W1-7-4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0.05</w:t>
            </w:r>
          </w:p>
        </w:tc>
      </w:tr>
      <w:tr>
        <w:tblPrEx>
          <w:tblCellMar>
            <w:top w:w="0" w:type="dxa"/>
            <w:left w:w="0" w:type="dxa"/>
            <w:bottom w:w="0" w:type="dxa"/>
            <w:right w:w="0" w:type="dxa"/>
          </w:tblCellMar>
        </w:tblPrEx>
        <w:trPr>
          <w:trHeight w:val="310" w:hRule="atLeast"/>
        </w:trPr>
        <w:tc>
          <w:tcPr>
            <w:tcW w:w="15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W2:项目区下风向（主导风向）：北风</w:t>
            </w: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9</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0.08</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10</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0.10</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11</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0.08</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13</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0.08</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0.10</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14</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0.08</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0.11</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0.10</w:t>
            </w:r>
          </w:p>
        </w:tc>
      </w:tr>
      <w:tr>
        <w:tblPrEx>
          <w:tblCellMar>
            <w:top w:w="0" w:type="dxa"/>
            <w:left w:w="0" w:type="dxa"/>
            <w:bottom w:w="0" w:type="dxa"/>
            <w:right w:w="0" w:type="dxa"/>
          </w:tblCellMar>
        </w:tblPrEx>
        <w:trPr>
          <w:trHeight w:val="34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0.09</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1月</w:t>
            </w:r>
            <w:r>
              <w:rPr>
                <w:rFonts w:hint="eastAsia" w:cs="宋体"/>
                <w:i w:val="0"/>
                <w:color w:val="FF0000"/>
                <w:kern w:val="0"/>
                <w:sz w:val="21"/>
                <w:szCs w:val="21"/>
                <w:u w:val="none"/>
                <w:lang w:val="en-US" w:eastAsia="zh-CN" w:bidi="ar"/>
              </w:rPr>
              <w:t>15</w:t>
            </w:r>
            <w:r>
              <w:rPr>
                <w:rFonts w:hint="eastAsia" w:ascii="宋体" w:hAnsi="宋体" w:eastAsia="宋体" w:cs="宋体"/>
                <w:i w:val="0"/>
                <w:color w:val="FF0000"/>
                <w:kern w:val="0"/>
                <w:sz w:val="21"/>
                <w:szCs w:val="21"/>
                <w:u w:val="none"/>
                <w:lang w:val="en-US" w:eastAsia="zh-CN" w:bidi="ar"/>
              </w:rPr>
              <w:t>日</w:t>
            </w: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第1次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0.10</w:t>
            </w:r>
          </w:p>
        </w:tc>
      </w:tr>
      <w:tr>
        <w:tblPrEx>
          <w:tblCellMar>
            <w:top w:w="0" w:type="dxa"/>
            <w:left w:w="0" w:type="dxa"/>
            <w:bottom w:w="0" w:type="dxa"/>
            <w:right w:w="0" w:type="dxa"/>
          </w:tblCellMar>
        </w:tblPrEx>
        <w:trPr>
          <w:trHeight w:val="325"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I-W1-1-2</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第2次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0.08</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I-W1-1-3</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第3次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0.09</w:t>
            </w:r>
          </w:p>
        </w:tc>
      </w:tr>
      <w:tr>
        <w:tblPrEx>
          <w:tblCellMar>
            <w:top w:w="0" w:type="dxa"/>
            <w:left w:w="0" w:type="dxa"/>
            <w:bottom w:w="0" w:type="dxa"/>
            <w:right w:w="0" w:type="dxa"/>
          </w:tblCellMar>
        </w:tblPrEx>
        <w:trPr>
          <w:trHeight w:val="310" w:hRule="atLeast"/>
        </w:trPr>
        <w:tc>
          <w:tcPr>
            <w:tcW w:w="15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default" w:ascii="Times New Roman" w:hAnsi="Times New Roman" w:eastAsia="宋体" w:cs="Times New Roman"/>
                <w:i w:val="0"/>
                <w:color w:val="FF0000"/>
                <w:sz w:val="21"/>
                <w:szCs w:val="21"/>
                <w:u w:val="none"/>
              </w:rPr>
            </w:pPr>
          </w:p>
        </w:tc>
        <w:tc>
          <w:tcPr>
            <w:tcW w:w="16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20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w:t>
            </w:r>
            <w:r>
              <w:rPr>
                <w:rFonts w:hint="eastAsia" w:cs="宋体"/>
                <w:i w:val="0"/>
                <w:color w:val="FF0000"/>
                <w:kern w:val="0"/>
                <w:sz w:val="21"/>
                <w:szCs w:val="21"/>
                <w:u w:val="none"/>
                <w:lang w:val="en-US" w:eastAsia="zh-CN" w:bidi="ar"/>
              </w:rPr>
              <w:t>12</w:t>
            </w:r>
            <w:r>
              <w:rPr>
                <w:rFonts w:hint="eastAsia" w:ascii="宋体" w:hAnsi="宋体" w:eastAsia="宋体" w:cs="宋体"/>
                <w:i w:val="0"/>
                <w:color w:val="FF0000"/>
                <w:kern w:val="0"/>
                <w:sz w:val="21"/>
                <w:szCs w:val="21"/>
                <w:u w:val="none"/>
                <w:lang w:val="en-US" w:eastAsia="zh-CN" w:bidi="ar"/>
              </w:rPr>
              <w:t>I-W1-1-4</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第4次</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olor w:val="FF0000"/>
              </w:rPr>
              <w:t>0.10</w:t>
            </w:r>
          </w:p>
        </w:tc>
      </w:tr>
      <w:tr>
        <w:tblPrEx>
          <w:tblCellMar>
            <w:top w:w="0" w:type="dxa"/>
            <w:left w:w="0" w:type="dxa"/>
            <w:bottom w:w="0" w:type="dxa"/>
            <w:right w:w="0" w:type="dxa"/>
          </w:tblCellMar>
        </w:tblPrEx>
        <w:trPr>
          <w:trHeight w:val="310" w:hRule="atLeast"/>
        </w:trPr>
        <w:tc>
          <w:tcPr>
            <w:tcW w:w="6631"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七日监测浓度范围</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&lt;0.005</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0.05-0.1</w:t>
            </w:r>
            <w:r>
              <w:rPr>
                <w:rFonts w:hint="eastAsia" w:cs="宋体"/>
                <w:i w:val="0"/>
                <w:color w:val="FF0000"/>
                <w:kern w:val="0"/>
                <w:sz w:val="22"/>
                <w:szCs w:val="22"/>
                <w:u w:val="none"/>
                <w:lang w:val="en-US" w:eastAsia="zh-CN" w:bidi="ar"/>
              </w:rPr>
              <w:t>1</w:t>
            </w:r>
          </w:p>
        </w:tc>
      </w:tr>
      <w:tr>
        <w:tblPrEx>
          <w:tblCellMar>
            <w:top w:w="0" w:type="dxa"/>
            <w:left w:w="0" w:type="dxa"/>
            <w:bottom w:w="0" w:type="dxa"/>
            <w:right w:w="0" w:type="dxa"/>
          </w:tblCellMar>
        </w:tblPrEx>
        <w:trPr>
          <w:trHeight w:val="310" w:hRule="atLeast"/>
        </w:trPr>
        <w:tc>
          <w:tcPr>
            <w:tcW w:w="6631"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环境标准</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0.01</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0.2</w:t>
            </w:r>
          </w:p>
        </w:tc>
      </w:tr>
      <w:tr>
        <w:tblPrEx>
          <w:tblCellMar>
            <w:top w:w="0" w:type="dxa"/>
            <w:left w:w="0" w:type="dxa"/>
            <w:bottom w:w="0" w:type="dxa"/>
            <w:right w:w="0" w:type="dxa"/>
          </w:tblCellMar>
        </w:tblPrEx>
        <w:trPr>
          <w:trHeight w:val="310" w:hRule="atLeast"/>
        </w:trPr>
        <w:tc>
          <w:tcPr>
            <w:tcW w:w="6631"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最大占标率（%）</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50</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cs="宋体"/>
                <w:i w:val="0"/>
                <w:color w:val="FF0000"/>
                <w:kern w:val="0"/>
                <w:sz w:val="22"/>
                <w:szCs w:val="22"/>
                <w:u w:val="none"/>
                <w:lang w:val="en-US" w:eastAsia="zh-CN" w:bidi="ar"/>
              </w:rPr>
              <w:t>55</w:t>
            </w:r>
          </w:p>
        </w:tc>
      </w:tr>
      <w:tr>
        <w:tblPrEx>
          <w:tblCellMar>
            <w:top w:w="0" w:type="dxa"/>
            <w:left w:w="0" w:type="dxa"/>
            <w:bottom w:w="0" w:type="dxa"/>
            <w:right w:w="0" w:type="dxa"/>
          </w:tblCellMar>
        </w:tblPrEx>
        <w:trPr>
          <w:trHeight w:val="310" w:hRule="atLeast"/>
        </w:trPr>
        <w:tc>
          <w:tcPr>
            <w:tcW w:w="6631"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最大超标率（%）</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w:t>
            </w:r>
          </w:p>
        </w:tc>
      </w:tr>
      <w:tr>
        <w:tblPrEx>
          <w:tblCellMar>
            <w:top w:w="0" w:type="dxa"/>
            <w:left w:w="0" w:type="dxa"/>
            <w:bottom w:w="0" w:type="dxa"/>
            <w:right w:w="0" w:type="dxa"/>
          </w:tblCellMar>
        </w:tblPrEx>
        <w:trPr>
          <w:trHeight w:val="355" w:hRule="atLeast"/>
        </w:trPr>
        <w:tc>
          <w:tcPr>
            <w:tcW w:w="6631"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最大超标倍数</w:t>
            </w:r>
          </w:p>
        </w:tc>
        <w:tc>
          <w:tcPr>
            <w:tcW w:w="12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w:t>
            </w:r>
          </w:p>
        </w:tc>
        <w:tc>
          <w:tcPr>
            <w:tcW w:w="1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w:t>
            </w:r>
          </w:p>
        </w:tc>
      </w:tr>
    </w:tbl>
    <w:p>
      <w:pPr>
        <w:pStyle w:val="7"/>
        <w:spacing w:before="11"/>
        <w:ind w:left="0"/>
        <w:rPr>
          <w:b/>
          <w:sz w:val="4"/>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rightChars="0" w:firstLine="480" w:firstLineChars="200"/>
        <w:jc w:val="both"/>
        <w:textAlignment w:val="auto"/>
        <w:rPr>
          <w:b w:val="0"/>
          <w:bCs w:val="0"/>
          <w:color w:val="0000FF"/>
          <w:sz w:val="24"/>
          <w:szCs w:val="24"/>
        </w:rPr>
      </w:pPr>
      <w:bookmarkStart w:id="249" w:name="4.2.2 地下水环境质量现状监测与评价"/>
      <w:bookmarkEnd w:id="249"/>
      <w:bookmarkStart w:id="250" w:name="4.2.2 地下水环境质量现状监测与评价"/>
      <w:bookmarkEnd w:id="250"/>
      <w:r>
        <w:rPr>
          <w:rFonts w:hint="default"/>
          <w:b w:val="0"/>
          <w:bCs w:val="0"/>
          <w:color w:val="0000FF"/>
          <w:sz w:val="24"/>
          <w:szCs w:val="24"/>
        </w:rPr>
        <w:t>由表4.2-3可以看出：</w:t>
      </w:r>
      <w:r>
        <w:rPr>
          <w:rFonts w:hint="eastAsia"/>
          <w:b w:val="0"/>
          <w:bCs w:val="0"/>
          <w:color w:val="0000FF"/>
          <w:sz w:val="24"/>
          <w:szCs w:val="24"/>
          <w:lang w:val="en-US" w:eastAsia="zh-CN"/>
        </w:rPr>
        <w:t>氨、硫化氢</w:t>
      </w:r>
      <w:r>
        <w:rPr>
          <w:rFonts w:hint="default"/>
          <w:b w:val="0"/>
          <w:bCs w:val="0"/>
          <w:color w:val="0000FF"/>
          <w:sz w:val="24"/>
          <w:szCs w:val="24"/>
        </w:rPr>
        <w:t>小时值满足《环境影响评价技术导则  大气环境》（HJ2.2-2018）附录D</w:t>
      </w:r>
      <w:r>
        <w:rPr>
          <w:rFonts w:hint="eastAsia"/>
          <w:b w:val="0"/>
          <w:bCs w:val="0"/>
          <w:color w:val="0000FF"/>
          <w:sz w:val="24"/>
          <w:szCs w:val="24"/>
          <w:lang w:val="en-US" w:eastAsia="zh-CN"/>
        </w:rPr>
        <w:t>中相应的标准限值要求</w:t>
      </w:r>
      <w:r>
        <w:rPr>
          <w:rFonts w:hint="default"/>
          <w:b w:val="0"/>
          <w:bCs w:val="0"/>
          <w:color w:val="0000FF"/>
          <w:sz w:val="24"/>
          <w:szCs w:val="24"/>
          <w:lang w:val="en-US" w:eastAsia="zh-CN"/>
        </w:rPr>
        <w:t>，</w:t>
      </w:r>
      <w:r>
        <w:rPr>
          <w:rFonts w:hint="eastAsia"/>
          <w:b w:val="0"/>
          <w:bCs w:val="0"/>
          <w:color w:val="0000FF"/>
          <w:sz w:val="24"/>
          <w:szCs w:val="24"/>
          <w:lang w:val="en-US" w:eastAsia="zh-CN"/>
        </w:rPr>
        <w:t>结果</w:t>
      </w:r>
      <w:r>
        <w:rPr>
          <w:rFonts w:hint="default"/>
          <w:b w:val="0"/>
          <w:bCs w:val="0"/>
          <w:color w:val="0000FF"/>
          <w:sz w:val="24"/>
          <w:szCs w:val="24"/>
        </w:rPr>
        <w:t>显示</w:t>
      </w:r>
      <w:r>
        <w:rPr>
          <w:rFonts w:hint="eastAsia"/>
          <w:b w:val="0"/>
          <w:bCs w:val="0"/>
          <w:color w:val="0000FF"/>
          <w:sz w:val="24"/>
          <w:szCs w:val="24"/>
          <w:lang w:val="en-US" w:eastAsia="zh-CN"/>
        </w:rPr>
        <w:t>项目所在区域空气环境本底值中与本项目相关的</w:t>
      </w:r>
      <w:r>
        <w:rPr>
          <w:rFonts w:hint="default"/>
          <w:b w:val="0"/>
          <w:bCs w:val="0"/>
          <w:color w:val="0000FF"/>
          <w:sz w:val="24"/>
          <w:szCs w:val="24"/>
        </w:rPr>
        <w:t>特征</w:t>
      </w:r>
      <w:r>
        <w:rPr>
          <w:rFonts w:hint="eastAsia"/>
          <w:b w:val="0"/>
          <w:bCs w:val="0"/>
          <w:color w:val="0000FF"/>
          <w:sz w:val="24"/>
          <w:szCs w:val="24"/>
          <w:lang w:val="en-US" w:eastAsia="zh-CN"/>
        </w:rPr>
        <w:t>空气</w:t>
      </w:r>
      <w:r>
        <w:rPr>
          <w:rFonts w:hint="default"/>
          <w:b w:val="0"/>
          <w:bCs w:val="0"/>
          <w:color w:val="0000FF"/>
          <w:sz w:val="24"/>
          <w:szCs w:val="24"/>
        </w:rPr>
        <w:t>污染物</w:t>
      </w:r>
      <w:r>
        <w:rPr>
          <w:rFonts w:hint="eastAsia"/>
          <w:b w:val="0"/>
          <w:bCs w:val="0"/>
          <w:color w:val="0000FF"/>
          <w:sz w:val="24"/>
          <w:szCs w:val="24"/>
          <w:lang w:val="en-US" w:eastAsia="zh-CN"/>
        </w:rPr>
        <w:t>达标</w:t>
      </w:r>
      <w:r>
        <w:rPr>
          <w:rFonts w:hint="eastAsia"/>
          <w:b w:val="0"/>
          <w:bCs w:val="0"/>
          <w:color w:val="0000FF"/>
          <w:sz w:val="24"/>
          <w:szCs w:val="24"/>
          <w:lang w:eastAsia="zh-CN"/>
        </w:rPr>
        <w:t>，</w:t>
      </w:r>
      <w:r>
        <w:rPr>
          <w:rFonts w:hint="eastAsia"/>
          <w:b w:val="0"/>
          <w:bCs w:val="0"/>
          <w:color w:val="0000FF"/>
          <w:sz w:val="24"/>
          <w:szCs w:val="24"/>
          <w:lang w:val="en-US" w:eastAsia="zh-CN"/>
        </w:rPr>
        <w:t>空气环境本底值较好</w:t>
      </w:r>
      <w:r>
        <w:rPr>
          <w:rFonts w:hint="eastAsia"/>
          <w:b w:val="0"/>
          <w:bCs w:val="0"/>
          <w:color w:val="0000FF"/>
          <w:sz w:val="24"/>
          <w:szCs w:val="24"/>
          <w:lang w:eastAsia="zh-CN"/>
        </w:rPr>
        <w:t>。</w:t>
      </w:r>
    </w:p>
    <w:p>
      <w:pPr>
        <w:pStyle w:val="5"/>
        <w:numPr>
          <w:ilvl w:val="2"/>
          <w:numId w:val="37"/>
        </w:numPr>
        <w:tabs>
          <w:tab w:val="left" w:pos="1241"/>
        </w:tabs>
        <w:spacing w:before="120" w:after="0" w:line="240" w:lineRule="auto"/>
        <w:ind w:left="1240" w:right="0" w:hanging="701"/>
        <w:jc w:val="left"/>
        <w:outlineLvl w:val="2"/>
      </w:pPr>
      <w:bookmarkStart w:id="251" w:name="_Toc1741"/>
      <w:r>
        <w:t>地下水环境质量现状监测与评价</w:t>
      </w:r>
      <w:bookmarkEnd w:id="251"/>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项目废水排放与区域地表水体关联不大，对照《环境影响评价技术导则地表水环境》（</w:t>
      </w:r>
      <w:r>
        <w:rPr>
          <w:rFonts w:hint="default" w:ascii="Times New Roman" w:hAnsi="Times New Roman" w:eastAsia="宋体" w:cs="Times New Roman"/>
          <w:color w:val="0000FF"/>
          <w:sz w:val="24"/>
          <w:lang w:val="en-US" w:eastAsia="zh-CN"/>
        </w:rPr>
        <w:t>HJ 2.3-2018</w:t>
      </w:r>
      <w:r>
        <w:rPr>
          <w:rFonts w:hint="eastAsia" w:ascii="Times New Roman" w:hAnsi="Times New Roman" w:eastAsia="宋体" w:cs="Times New Roman"/>
          <w:color w:val="0000FF"/>
          <w:sz w:val="24"/>
          <w:lang w:val="en-US" w:eastAsia="zh-CN"/>
        </w:rPr>
        <w:t>）有关评价等级确定的规定，地表水环境评价工作等级为三级</w:t>
      </w:r>
      <w:r>
        <w:rPr>
          <w:rFonts w:hint="default" w:ascii="Times New Roman" w:hAnsi="Times New Roman" w:eastAsia="宋体" w:cs="Times New Roman"/>
          <w:color w:val="0000FF"/>
          <w:sz w:val="24"/>
          <w:lang w:val="en-US" w:eastAsia="zh-CN"/>
        </w:rPr>
        <w:t>B</w:t>
      </w:r>
      <w:r>
        <w:rPr>
          <w:rFonts w:hint="eastAsia" w:ascii="Times New Roman" w:hAnsi="Times New Roman" w:eastAsia="宋体" w:cs="Times New Roman"/>
          <w:color w:val="0000FF"/>
          <w:sz w:val="24"/>
          <w:lang w:val="en-US" w:eastAsia="zh-CN"/>
        </w:rPr>
        <w:t>，故本次评价不对区域地表水环境情况开展调查与评价。</w:t>
      </w:r>
    </w:p>
    <w:p>
      <w:pPr>
        <w:spacing w:line="360" w:lineRule="auto"/>
        <w:ind w:firstLine="480" w:firstLineChars="200"/>
        <w:rPr>
          <w:rFonts w:hint="default" w:ascii="Times New Roman" w:hAnsi="Times New Roman" w:eastAsia="宋体" w:cs="Times New Roman"/>
          <w:color w:val="FF0000"/>
          <w:sz w:val="24"/>
        </w:rPr>
      </w:pPr>
      <w:r>
        <w:rPr>
          <w:rFonts w:hint="eastAsia" w:ascii="Times New Roman" w:hAnsi="Times New Roman" w:eastAsia="宋体" w:cs="Times New Roman"/>
          <w:color w:val="0000FF"/>
          <w:sz w:val="24"/>
          <w:lang w:val="en-US" w:eastAsia="zh-CN"/>
        </w:rPr>
        <w:t>根据项目所在区域情况，主要对地下水质量开展现状评价，对照</w:t>
      </w:r>
      <w:r>
        <w:rPr>
          <w:rFonts w:hint="default" w:ascii="Times New Roman" w:hAnsi="Times New Roman" w:eastAsia="宋体" w:cs="Times New Roman"/>
          <w:color w:val="0000FF"/>
          <w:sz w:val="24"/>
        </w:rPr>
        <w:t>《环境影响评价技术导则 地下水环境》（HJ610-2016）</w:t>
      </w:r>
      <w:r>
        <w:rPr>
          <w:rFonts w:hint="eastAsia" w:ascii="Times New Roman" w:hAnsi="Times New Roman" w:eastAsia="宋体" w:cs="Times New Roman"/>
          <w:color w:val="0000FF"/>
          <w:sz w:val="24"/>
          <w:lang w:val="en-US" w:eastAsia="zh-CN"/>
        </w:rPr>
        <w:t>及其附表A，结合建设项目特征，项目地下水评价工作等级为三级。</w:t>
      </w:r>
      <w:r>
        <w:rPr>
          <w:rFonts w:hint="default" w:ascii="Times New Roman" w:hAnsi="Times New Roman" w:eastAsia="宋体" w:cs="Times New Roman"/>
          <w:color w:val="0000FF"/>
          <w:sz w:val="24"/>
        </w:rPr>
        <w:t>本次评价</w:t>
      </w:r>
      <w:r>
        <w:rPr>
          <w:rFonts w:hint="eastAsia" w:ascii="Times New Roman" w:hAnsi="Times New Roman" w:eastAsia="宋体" w:cs="Times New Roman"/>
          <w:color w:val="0000FF"/>
          <w:sz w:val="24"/>
          <w:lang w:val="en-US" w:eastAsia="zh-CN"/>
        </w:rPr>
        <w:t>委托新疆环疆绿源环保科技有限公司对项目所在区域</w:t>
      </w:r>
      <w:r>
        <w:rPr>
          <w:rFonts w:hint="default" w:ascii="Times New Roman" w:hAnsi="Times New Roman" w:eastAsia="宋体" w:cs="Times New Roman"/>
          <w:color w:val="0000FF"/>
          <w:sz w:val="24"/>
        </w:rPr>
        <w:t>地下水环境质量</w:t>
      </w:r>
      <w:r>
        <w:rPr>
          <w:rFonts w:hint="eastAsia" w:ascii="Times New Roman" w:hAnsi="Times New Roman" w:eastAsia="宋体" w:cs="Times New Roman"/>
          <w:color w:val="0000FF"/>
          <w:sz w:val="24"/>
          <w:lang w:val="en-US" w:eastAsia="zh-CN"/>
        </w:rPr>
        <w:t>开展</w:t>
      </w:r>
      <w:r>
        <w:rPr>
          <w:rFonts w:hint="default" w:ascii="Times New Roman" w:hAnsi="Times New Roman" w:eastAsia="宋体" w:cs="Times New Roman"/>
          <w:color w:val="0000FF"/>
          <w:sz w:val="24"/>
        </w:rPr>
        <w:t>监测</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本次评价对检测数据进行分析进而对项目所在区域的地下水质量现状进行论述</w:t>
      </w:r>
      <w:r>
        <w:rPr>
          <w:rFonts w:hint="default" w:ascii="Times New Roman" w:hAnsi="Times New Roman" w:eastAsia="宋体" w:cs="Times New Roman"/>
          <w:color w:val="auto"/>
          <w:sz w:val="24"/>
        </w:rPr>
        <w:t>。</w:t>
      </w:r>
    </w:p>
    <w:p>
      <w:pPr>
        <w:numPr>
          <w:ilvl w:val="0"/>
          <w:numId w:val="39"/>
        </w:num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监测点布设</w:t>
      </w:r>
    </w:p>
    <w:p>
      <w:pPr>
        <w:numPr>
          <w:ilvl w:val="0"/>
          <w:numId w:val="0"/>
        </w:numPr>
        <w:spacing w:line="360" w:lineRule="auto"/>
        <w:ind w:firstLine="720" w:firstLineChars="3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地下水共设一个监测点</w:t>
      </w:r>
    </w:p>
    <w:p>
      <w:pPr>
        <w:spacing w:line="360" w:lineRule="auto"/>
        <w:ind w:firstLine="480" w:firstLineChars="200"/>
        <w:rPr>
          <w:rFonts w:hint="default" w:ascii="Times New Roman" w:hAnsi="Times New Roman" w:eastAsia="宋体" w:cs="Times New Roman"/>
          <w:color w:val="0000FF"/>
          <w:sz w:val="24"/>
        </w:rPr>
      </w:pPr>
      <w:bookmarkStart w:id="252" w:name="_Ref501143538"/>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监测因子</w:t>
      </w:r>
    </w:p>
    <w:p>
      <w:pPr>
        <w:spacing w:line="360" w:lineRule="auto"/>
        <w:ind w:firstLine="480" w:firstLineChars="200"/>
        <w:rPr>
          <w:rFonts w:hint="eastAsia" w:ascii="Times New Roman" w:hAnsi="Times New Roman" w:eastAsia="宋体" w:cs="Times New Roman"/>
          <w:b w:val="0"/>
          <w:bCs w:val="0"/>
          <w:color w:val="0000FF"/>
          <w:sz w:val="24"/>
          <w:lang w:val="en-US" w:eastAsia="zh-CN"/>
        </w:rPr>
      </w:pPr>
      <w:r>
        <w:rPr>
          <w:rFonts w:hint="default" w:ascii="Times New Roman" w:hAnsi="Times New Roman" w:eastAsia="宋体" w:cs="Times New Roman"/>
          <w:b w:val="0"/>
          <w:bCs w:val="0"/>
          <w:color w:val="0000FF"/>
          <w:sz w:val="24"/>
        </w:rPr>
        <w:t>根据《环境影响评价技术导则 地下水环境》（HJ 610-2016）的要求，结合《环境影响评价技术导则 地表水环境》（HJ2.3-2018），考虑项目潜在污染特征因子，地下水现状监测因子选取以下</w:t>
      </w:r>
      <w:r>
        <w:rPr>
          <w:rFonts w:hint="eastAsia" w:ascii="Times New Roman" w:hAnsi="Times New Roman" w:eastAsia="宋体" w:cs="Times New Roman"/>
          <w:b w:val="0"/>
          <w:bCs w:val="0"/>
          <w:color w:val="0000FF"/>
          <w:sz w:val="24"/>
          <w:lang w:val="en-US" w:eastAsia="zh-CN"/>
        </w:rPr>
        <w:t>22</w:t>
      </w:r>
      <w:r>
        <w:rPr>
          <w:rFonts w:hint="default" w:ascii="Times New Roman" w:hAnsi="Times New Roman" w:eastAsia="宋体" w:cs="Times New Roman"/>
          <w:b w:val="0"/>
          <w:bCs w:val="0"/>
          <w:color w:val="0000FF"/>
          <w:sz w:val="24"/>
        </w:rPr>
        <w:t>项：</w:t>
      </w:r>
      <w:r>
        <w:rPr>
          <w:rFonts w:hint="eastAsia" w:ascii="Times New Roman" w:hAnsi="Times New Roman" w:eastAsia="宋体" w:cs="Times New Roman"/>
          <w:b w:val="0"/>
          <w:bCs w:val="0"/>
          <w:color w:val="0000FF"/>
          <w:sz w:val="24"/>
          <w:lang w:val="en-US" w:eastAsia="zh-CN"/>
        </w:rPr>
        <w:t>pH</w:t>
      </w:r>
      <w:r>
        <w:rPr>
          <w:rFonts w:hint="default" w:ascii="Times New Roman" w:hAnsi="Times New Roman" w:eastAsia="宋体" w:cs="Times New Roman"/>
          <w:b w:val="0"/>
          <w:bCs w:val="0"/>
          <w:color w:val="0000FF"/>
          <w:sz w:val="24"/>
        </w:rPr>
        <w:t>、</w:t>
      </w:r>
      <w:r>
        <w:rPr>
          <w:rFonts w:hint="eastAsia" w:ascii="Times New Roman" w:hAnsi="Times New Roman" w:eastAsia="宋体" w:cs="Times New Roman"/>
          <w:b w:val="0"/>
          <w:bCs w:val="0"/>
          <w:color w:val="0000FF"/>
          <w:sz w:val="24"/>
          <w:lang w:val="en-US" w:eastAsia="zh-CN"/>
        </w:rPr>
        <w:t>总硬度、高锰酸盐指数、氨氮、硫酸盐、氯化物、硝酸盐氮、氟化物、挥发酚、亚硝酸盐氮、氰化物、六价铬、硫化物、溶解性总固体、总大肠菌群、菌落总数、汞、砷、铅、镉、铁、钠。</w:t>
      </w:r>
    </w:p>
    <w:p>
      <w:pPr>
        <w:spacing w:line="360" w:lineRule="auto"/>
        <w:ind w:firstLine="480" w:firstLineChars="200"/>
        <w:rPr>
          <w:rFonts w:hint="default"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3</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eastAsia="zh-CN"/>
        </w:rPr>
        <w:t>采样时间</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FF0000"/>
          <w:sz w:val="24"/>
          <w:lang w:val="en-US" w:eastAsia="zh-CN"/>
        </w:rPr>
        <w:t>2020年1月</w:t>
      </w:r>
      <w:r>
        <w:rPr>
          <w:rFonts w:hint="eastAsia" w:ascii="Times New Roman" w:hAnsi="Times New Roman" w:cs="Times New Roman"/>
          <w:color w:val="FF0000"/>
          <w:sz w:val="24"/>
          <w:lang w:val="en-US" w:eastAsia="zh-CN"/>
        </w:rPr>
        <w:t>9</w:t>
      </w:r>
      <w:r>
        <w:rPr>
          <w:rFonts w:hint="eastAsia" w:ascii="Times New Roman" w:hAnsi="Times New Roman" w:eastAsia="宋体" w:cs="Times New Roman"/>
          <w:color w:val="FF0000"/>
          <w:sz w:val="24"/>
          <w:lang w:val="en-US" w:eastAsia="zh-CN"/>
        </w:rPr>
        <w:t>日-15日</w:t>
      </w:r>
      <w:r>
        <w:rPr>
          <w:rFonts w:hint="default" w:ascii="Times New Roman" w:hAnsi="Times New Roman" w:eastAsia="宋体" w:cs="Times New Roman"/>
          <w:color w:val="0000FF"/>
          <w:sz w:val="24"/>
        </w:rPr>
        <w:t>。</w:t>
      </w:r>
    </w:p>
    <w:bookmarkEnd w:id="252"/>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（4）</w:t>
      </w:r>
      <w:r>
        <w:rPr>
          <w:rFonts w:hint="default" w:ascii="Times New Roman" w:hAnsi="Times New Roman" w:eastAsia="宋体" w:cs="Times New Roman"/>
          <w:color w:val="0000FF"/>
          <w:sz w:val="24"/>
          <w:lang w:val="en-US" w:eastAsia="zh-CN"/>
        </w:rPr>
        <w:t>评价依据和标准</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本次采用《地下水质量标准》（GB/T14848-2017）中的Ⅲ类标准进行评价，地下水质量标准中没有的项目参照《生活饮用水卫生标准》（GB 5749-2006）进行评价，评价标准见表</w:t>
      </w:r>
      <w:r>
        <w:rPr>
          <w:rFonts w:hint="eastAsia" w:ascii="Times New Roman" w:hAnsi="Times New Roman" w:eastAsia="宋体" w:cs="Times New Roman"/>
          <w:color w:val="0000FF"/>
          <w:sz w:val="24"/>
          <w:lang w:val="en-US" w:eastAsia="zh-CN"/>
        </w:rPr>
        <w:t>4.2</w:t>
      </w:r>
      <w:r>
        <w:rPr>
          <w:rFonts w:hint="default" w:ascii="Times New Roman" w:hAnsi="Times New Roman" w:eastAsia="宋体" w:cs="Times New Roman"/>
          <w:color w:val="0000FF"/>
          <w:sz w:val="24"/>
        </w:rPr>
        <w:t>-</w:t>
      </w:r>
      <w:r>
        <w:rPr>
          <w:rFonts w:hint="eastAsia" w:ascii="Times New Roman" w:hAnsi="Times New Roman" w:eastAsia="宋体" w:cs="Times New Roman"/>
          <w:color w:val="0000FF"/>
          <w:sz w:val="24"/>
          <w:lang w:val="en-US" w:eastAsia="zh-CN"/>
        </w:rPr>
        <w:t>5</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（5）</w:t>
      </w:r>
      <w:r>
        <w:rPr>
          <w:rFonts w:hint="default" w:ascii="Times New Roman" w:hAnsi="Times New Roman" w:eastAsia="宋体" w:cs="Times New Roman"/>
          <w:color w:val="0000FF"/>
          <w:sz w:val="24"/>
          <w:lang w:val="en-US" w:eastAsia="zh-CN"/>
        </w:rPr>
        <w:t>评价方法</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评价方法采用单因子标准指数法，单项指标的水质指数计算公式为：</w:t>
      </w:r>
    </w:p>
    <w:p>
      <w:pPr>
        <w:spacing w:line="360" w:lineRule="auto"/>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533400" cy="4572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0"/>
                    <a:stretch>
                      <a:fillRect/>
                    </a:stretch>
                  </pic:blipFill>
                  <pic:spPr>
                    <a:xfrm>
                      <a:off x="0" y="0"/>
                      <a:ext cx="533400" cy="45720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式中：</w:t>
      </w:r>
      <w:r>
        <w:rPr>
          <w:rFonts w:hint="default" w:ascii="Times New Roman" w:hAnsi="Times New Roman" w:eastAsia="宋体" w:cs="Times New Roman"/>
          <w:i/>
          <w:color w:val="0000FF"/>
          <w:sz w:val="24"/>
        </w:rPr>
        <w:t>S</w:t>
      </w:r>
      <w:r>
        <w:rPr>
          <w:rFonts w:hint="default" w:ascii="Times New Roman" w:hAnsi="Times New Roman" w:eastAsia="宋体" w:cs="Times New Roman"/>
          <w:i/>
          <w:color w:val="0000FF"/>
          <w:sz w:val="24"/>
          <w:vertAlign w:val="subscript"/>
        </w:rPr>
        <w:t>ij</w:t>
      </w:r>
      <w:r>
        <w:rPr>
          <w:rFonts w:hint="default" w:ascii="Times New Roman" w:hAnsi="Times New Roman" w:eastAsia="宋体" w:cs="Times New Roman"/>
          <w:color w:val="0000FF"/>
          <w:sz w:val="24"/>
        </w:rPr>
        <w:t>—单项水质参数i在第j点的标准指数；</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C</w:t>
      </w:r>
      <w:r>
        <w:rPr>
          <w:rFonts w:hint="default" w:ascii="Times New Roman" w:hAnsi="Times New Roman" w:eastAsia="宋体" w:cs="Times New Roman"/>
          <w:i/>
          <w:color w:val="0000FF"/>
          <w:sz w:val="24"/>
          <w:vertAlign w:val="subscript"/>
        </w:rPr>
        <w:t>ij</w:t>
      </w:r>
      <w:r>
        <w:rPr>
          <w:rFonts w:hint="default" w:ascii="Times New Roman" w:hAnsi="Times New Roman" w:eastAsia="宋体" w:cs="Times New Roman"/>
          <w:color w:val="0000FF"/>
          <w:sz w:val="24"/>
        </w:rPr>
        <w:t>—第i种污染物在第j点的监测结果，mg/L；</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C</w:t>
      </w:r>
      <w:r>
        <w:rPr>
          <w:rFonts w:hint="default" w:ascii="Times New Roman" w:hAnsi="Times New Roman" w:eastAsia="宋体" w:cs="Times New Roman"/>
          <w:i/>
          <w:color w:val="0000FF"/>
          <w:sz w:val="24"/>
          <w:vertAlign w:val="subscript"/>
        </w:rPr>
        <w:t>0</w:t>
      </w:r>
      <w:r>
        <w:rPr>
          <w:rFonts w:hint="default" w:ascii="Times New Roman" w:hAnsi="Times New Roman" w:eastAsia="宋体" w:cs="Times New Roman"/>
          <w:color w:val="0000FF"/>
          <w:sz w:val="24"/>
        </w:rPr>
        <w:t>—第i种污染物评价标准，mg/L。</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pH的标准指数公式：</w:t>
      </w:r>
    </w:p>
    <w:p>
      <w:pPr>
        <w:spacing w:line="360" w:lineRule="auto"/>
        <w:ind w:firstLine="480" w:firstLineChars="200"/>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1209675" cy="45720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1"/>
                    <a:stretch>
                      <a:fillRect/>
                    </a:stretch>
                  </pic:blipFill>
                  <pic:spPr>
                    <a:xfrm>
                      <a:off x="0" y="0"/>
                      <a:ext cx="1209675" cy="457200"/>
                    </a:xfrm>
                    <a:prstGeom prst="rect">
                      <a:avLst/>
                    </a:prstGeom>
                    <a:noFill/>
                    <a:ln>
                      <a:noFill/>
                    </a:ln>
                  </pic:spPr>
                </pic:pic>
              </a:graphicData>
            </a:graphic>
          </wp:inline>
        </w:drawing>
      </w:r>
      <w:r>
        <w:rPr>
          <w:rFonts w:hint="default" w:ascii="Times New Roman" w:hAnsi="Times New Roman" w:eastAsia="宋体" w:cs="Times New Roman"/>
          <w:color w:val="0000FF"/>
          <w:sz w:val="24"/>
        </w:rPr>
        <w:t xml:space="preserve">     pH</w:t>
      </w:r>
      <w:r>
        <w:rPr>
          <w:rFonts w:hint="default" w:ascii="Times New Roman" w:hAnsi="Times New Roman" w:eastAsia="宋体" w:cs="Times New Roman"/>
          <w:color w:val="0000FF"/>
          <w:sz w:val="24"/>
          <w:vertAlign w:val="subscript"/>
        </w:rPr>
        <w:t xml:space="preserve">j </w:t>
      </w:r>
      <w:r>
        <w:rPr>
          <w:rFonts w:hint="default" w:ascii="Times New Roman" w:hAnsi="Times New Roman" w:eastAsia="宋体" w:cs="Times New Roman"/>
          <w:color w:val="0000FF"/>
          <w:sz w:val="24"/>
        </w:rPr>
        <w:t>&gt; 7.0</w:t>
      </w:r>
    </w:p>
    <w:p>
      <w:pPr>
        <w:spacing w:line="360" w:lineRule="auto"/>
        <w:ind w:firstLine="480" w:firstLineChars="200"/>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1210310" cy="4572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2"/>
                    <a:stretch>
                      <a:fillRect/>
                    </a:stretch>
                  </pic:blipFill>
                  <pic:spPr>
                    <a:xfrm>
                      <a:off x="0" y="0"/>
                      <a:ext cx="1210310" cy="457200"/>
                    </a:xfrm>
                    <a:prstGeom prst="rect">
                      <a:avLst/>
                    </a:prstGeom>
                    <a:noFill/>
                    <a:ln>
                      <a:noFill/>
                    </a:ln>
                  </pic:spPr>
                </pic:pic>
              </a:graphicData>
            </a:graphic>
          </wp:inline>
        </w:drawing>
      </w:r>
      <w:r>
        <w:rPr>
          <w:rFonts w:hint="default" w:ascii="Times New Roman" w:hAnsi="Times New Roman" w:eastAsia="宋体" w:cs="Times New Roman"/>
          <w:color w:val="0000FF"/>
          <w:sz w:val="24"/>
        </w:rPr>
        <w:t xml:space="preserve">     pH</w:t>
      </w:r>
      <w:r>
        <w:rPr>
          <w:rFonts w:hint="default" w:ascii="Times New Roman" w:hAnsi="Times New Roman" w:eastAsia="宋体" w:cs="Times New Roman"/>
          <w:color w:val="0000FF"/>
          <w:sz w:val="24"/>
          <w:vertAlign w:val="subscript"/>
        </w:rPr>
        <w:t xml:space="preserve">j </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 xml:space="preserve"> 7.0</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式中：</w:t>
      </w:r>
      <w:r>
        <w:rPr>
          <w:rFonts w:hint="default" w:ascii="Times New Roman" w:hAnsi="Times New Roman" w:eastAsia="宋体" w:cs="Times New Roman"/>
          <w:i/>
          <w:color w:val="0000FF"/>
          <w:sz w:val="24"/>
        </w:rPr>
        <w:t>S</w:t>
      </w:r>
      <w:r>
        <w:rPr>
          <w:rFonts w:hint="default" w:ascii="Times New Roman" w:hAnsi="Times New Roman" w:eastAsia="宋体" w:cs="Times New Roman"/>
          <w:i/>
          <w:color w:val="0000FF"/>
          <w:sz w:val="24"/>
          <w:vertAlign w:val="subscript"/>
        </w:rPr>
        <w:t>PH，j</w:t>
      </w:r>
      <w:r>
        <w:rPr>
          <w:rFonts w:hint="default" w:ascii="Times New Roman" w:hAnsi="Times New Roman" w:eastAsia="宋体" w:cs="Times New Roman"/>
          <w:color w:val="0000FF"/>
          <w:sz w:val="24"/>
        </w:rPr>
        <w:t>――pH值的单项标准指数；</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j</w:t>
      </w:r>
      <w:r>
        <w:rPr>
          <w:rFonts w:hint="default" w:ascii="Times New Roman" w:hAnsi="Times New Roman" w:eastAsia="宋体" w:cs="Times New Roman"/>
          <w:color w:val="0000FF"/>
          <w:sz w:val="24"/>
        </w:rPr>
        <w:t>——j点pH值监测值上限；</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su</w:t>
      </w:r>
      <w:r>
        <w:rPr>
          <w:rFonts w:hint="default" w:ascii="Times New Roman" w:hAnsi="Times New Roman" w:eastAsia="宋体" w:cs="Times New Roman"/>
          <w:color w:val="0000FF"/>
          <w:sz w:val="24"/>
        </w:rPr>
        <w:t>——水质标准中pH值上限；</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sd</w:t>
      </w:r>
      <w:r>
        <w:rPr>
          <w:rFonts w:hint="default" w:ascii="Times New Roman" w:hAnsi="Times New Roman" w:eastAsia="宋体" w:cs="Times New Roman"/>
          <w:color w:val="0000FF"/>
          <w:sz w:val="24"/>
        </w:rPr>
        <w:t>——水质标准中pH值下限。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评价时，水质参数的标准指数＞1，表明该水质参数超过了规定的水质标准限值，水质参数的标准指数越大，表明该水质参数超标越严重。</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（6）</w:t>
      </w:r>
      <w:r>
        <w:rPr>
          <w:rFonts w:hint="default" w:ascii="Times New Roman" w:hAnsi="Times New Roman" w:eastAsia="宋体" w:cs="Times New Roman"/>
          <w:color w:val="0000FF"/>
          <w:sz w:val="24"/>
          <w:lang w:val="en-US" w:eastAsia="zh-CN"/>
        </w:rPr>
        <w:t>监测结果</w:t>
      </w:r>
      <w:r>
        <w:rPr>
          <w:rFonts w:hint="eastAsia" w:ascii="Times New Roman" w:hAnsi="Times New Roman" w:eastAsia="宋体" w:cs="Times New Roman"/>
          <w:color w:val="0000FF"/>
          <w:sz w:val="24"/>
          <w:lang w:val="en-US" w:eastAsia="zh-CN"/>
        </w:rPr>
        <w:t>与评价</w:t>
      </w:r>
    </w:p>
    <w:p>
      <w:pPr>
        <w:spacing w:line="360" w:lineRule="auto"/>
        <w:ind w:firstLine="480" w:firstLineChars="200"/>
        <w:rPr>
          <w:rFonts w:hint="default" w:ascii="Times New Roman" w:hAnsi="Times New Roman" w:eastAsia="宋体" w:cs="Times New Roman"/>
          <w:color w:val="0000FF"/>
          <w:sz w:val="24"/>
          <w:lang w:val="en-US"/>
        </w:rPr>
      </w:pPr>
      <w:r>
        <w:rPr>
          <w:rFonts w:hint="default" w:ascii="Times New Roman" w:hAnsi="Times New Roman" w:eastAsia="宋体" w:cs="Times New Roman"/>
          <w:color w:val="0000FF"/>
          <w:sz w:val="24"/>
        </w:rPr>
        <w:t>地下水水质现状监测</w:t>
      </w:r>
      <w:r>
        <w:rPr>
          <w:rFonts w:hint="eastAsia" w:ascii="Times New Roman" w:hAnsi="Times New Roman" w:eastAsia="宋体" w:cs="Times New Roman"/>
          <w:color w:val="0000FF"/>
          <w:sz w:val="24"/>
          <w:lang w:val="en-US" w:eastAsia="zh-CN"/>
        </w:rPr>
        <w:t>评价</w:t>
      </w:r>
      <w:r>
        <w:rPr>
          <w:rFonts w:hint="default" w:ascii="Times New Roman" w:hAnsi="Times New Roman" w:eastAsia="宋体" w:cs="Times New Roman"/>
          <w:color w:val="0000FF"/>
          <w:sz w:val="24"/>
        </w:rPr>
        <w:t>结果表4.2-</w:t>
      </w:r>
      <w:r>
        <w:rPr>
          <w:rFonts w:hint="eastAsia" w:ascii="Times New Roman" w:hAnsi="Times New Roman" w:eastAsia="宋体" w:cs="Times New Roman"/>
          <w:color w:val="0000FF"/>
          <w:sz w:val="24"/>
          <w:lang w:val="en-US" w:eastAsia="zh-CN"/>
        </w:rPr>
        <w:t>5</w:t>
      </w:r>
      <w:r>
        <w:rPr>
          <w:rFonts w:hint="eastAsia" w:ascii="Times New Roman" w:hAnsi="Times New Roman" w:cs="Times New Roman"/>
          <w:color w:val="0000FF"/>
          <w:sz w:val="24"/>
          <w:lang w:val="en-US" w:eastAsia="zh-CN"/>
        </w:rPr>
        <w:t>.</w:t>
      </w:r>
    </w:p>
    <w:p>
      <w:pPr>
        <w:spacing w:line="360" w:lineRule="auto"/>
        <w:ind w:firstLine="422" w:firstLineChars="200"/>
        <w:rPr>
          <w:rFonts w:hint="default" w:ascii="Times New Roman" w:hAnsi="Times New Roman" w:eastAsia="宋体" w:cs="Times New Roman"/>
          <w:color w:val="0000FF"/>
          <w:sz w:val="24"/>
        </w:rPr>
      </w:pPr>
      <w:r>
        <w:rPr>
          <w:rFonts w:hint="default" w:ascii="Times New Roman" w:hAnsi="Times New Roman" w:eastAsia="宋体" w:cs="Times New Roman"/>
          <w:b/>
          <w:bCs/>
          <w:color w:val="0000FF"/>
          <w:sz w:val="21"/>
          <w:szCs w:val="21"/>
        </w:rPr>
        <w:t>表4.2-</w:t>
      </w:r>
      <w:r>
        <w:rPr>
          <w:rFonts w:hint="eastAsia" w:ascii="Times New Roman" w:hAnsi="Times New Roman" w:eastAsia="宋体" w:cs="Times New Roman"/>
          <w:b/>
          <w:bCs/>
          <w:color w:val="0000FF"/>
          <w:sz w:val="21"/>
          <w:szCs w:val="21"/>
          <w:lang w:val="en-US" w:eastAsia="zh-CN"/>
        </w:rPr>
        <w:t>5</w:t>
      </w:r>
      <w:r>
        <w:rPr>
          <w:rFonts w:hint="default" w:ascii="Times New Roman" w:hAnsi="Times New Roman" w:eastAsia="宋体" w:cs="Times New Roman"/>
          <w:b/>
          <w:bCs/>
          <w:color w:val="0000FF"/>
          <w:sz w:val="21"/>
          <w:szCs w:val="21"/>
        </w:rPr>
        <w:t xml:space="preserve">       </w:t>
      </w:r>
      <w:r>
        <w:rPr>
          <w:rFonts w:hint="eastAsia" w:ascii="Times New Roman" w:hAnsi="Times New Roman" w:eastAsia="宋体" w:cs="Times New Roman"/>
          <w:b/>
          <w:bCs/>
          <w:color w:val="0000FF"/>
          <w:sz w:val="21"/>
          <w:szCs w:val="21"/>
          <w:lang w:val="en-US" w:eastAsia="zh-CN"/>
        </w:rPr>
        <w:t xml:space="preserve">          </w:t>
      </w:r>
      <w:r>
        <w:rPr>
          <w:rFonts w:hint="default" w:ascii="Times New Roman" w:hAnsi="Times New Roman" w:eastAsia="宋体" w:cs="Times New Roman"/>
          <w:b/>
          <w:bCs/>
          <w:color w:val="0000FF"/>
          <w:sz w:val="21"/>
          <w:szCs w:val="21"/>
        </w:rPr>
        <w:t xml:space="preserve">   地下水水质监测</w:t>
      </w:r>
      <w:r>
        <w:rPr>
          <w:rFonts w:hint="eastAsia" w:ascii="Times New Roman" w:hAnsi="Times New Roman" w:cs="Times New Roman"/>
          <w:b/>
          <w:bCs/>
          <w:color w:val="0000FF"/>
          <w:sz w:val="21"/>
          <w:szCs w:val="21"/>
          <w:lang w:val="en-US" w:eastAsia="zh-CN"/>
        </w:rPr>
        <w:t>评价</w:t>
      </w:r>
      <w:r>
        <w:rPr>
          <w:rFonts w:hint="default" w:ascii="Times New Roman" w:hAnsi="Times New Roman" w:eastAsia="宋体" w:cs="Times New Roman"/>
          <w:b/>
          <w:bCs/>
          <w:color w:val="0000FF"/>
          <w:sz w:val="21"/>
          <w:szCs w:val="21"/>
        </w:rPr>
        <w:t>结果一览表</w:t>
      </w:r>
    </w:p>
    <w:tbl>
      <w:tblPr>
        <w:tblStyle w:val="14"/>
        <w:tblW w:w="9478" w:type="dxa"/>
        <w:tblInd w:w="0" w:type="dxa"/>
        <w:tblLayout w:type="autofit"/>
        <w:tblCellMar>
          <w:top w:w="0" w:type="dxa"/>
          <w:left w:w="0" w:type="dxa"/>
          <w:bottom w:w="0" w:type="dxa"/>
          <w:right w:w="0" w:type="dxa"/>
        </w:tblCellMar>
      </w:tblPr>
      <w:tblGrid>
        <w:gridCol w:w="1003"/>
        <w:gridCol w:w="1764"/>
        <w:gridCol w:w="1574"/>
        <w:gridCol w:w="1989"/>
        <w:gridCol w:w="1574"/>
        <w:gridCol w:w="1574"/>
      </w:tblGrid>
      <w:tr>
        <w:tblPrEx>
          <w:tblCellMar>
            <w:top w:w="0" w:type="dxa"/>
            <w:left w:w="0" w:type="dxa"/>
            <w:bottom w:w="0" w:type="dxa"/>
            <w:right w:w="0" w:type="dxa"/>
          </w:tblCellMar>
        </w:tblPrEx>
        <w:trPr>
          <w:trHeight w:val="293" w:hRule="atLeast"/>
        </w:trPr>
        <w:tc>
          <w:tcPr>
            <w:tcW w:w="1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序号</w:t>
            </w:r>
          </w:p>
        </w:tc>
        <w:tc>
          <w:tcPr>
            <w:tcW w:w="17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检测项目</w:t>
            </w:r>
          </w:p>
        </w:tc>
        <w:tc>
          <w:tcPr>
            <w:tcW w:w="157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单位</w:t>
            </w:r>
          </w:p>
        </w:tc>
        <w:tc>
          <w:tcPr>
            <w:tcW w:w="198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标准值</w:t>
            </w:r>
            <w:r>
              <w:rPr>
                <w:rStyle w:val="21"/>
                <w:color w:val="FF0000"/>
                <w:lang w:val="en-US" w:eastAsia="zh-CN" w:bidi="ar"/>
              </w:rPr>
              <w:t>≤</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监测结果</w:t>
            </w:r>
          </w:p>
        </w:tc>
        <w:tc>
          <w:tcPr>
            <w:tcW w:w="157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评价结果</w:t>
            </w:r>
          </w:p>
        </w:tc>
      </w:tr>
      <w:tr>
        <w:tblPrEx>
          <w:tblCellMar>
            <w:top w:w="0" w:type="dxa"/>
            <w:left w:w="0" w:type="dxa"/>
            <w:bottom w:w="0" w:type="dxa"/>
            <w:right w:w="0" w:type="dxa"/>
          </w:tblCellMar>
        </w:tblPrEx>
        <w:trPr>
          <w:trHeight w:val="293" w:hRule="atLeast"/>
        </w:trPr>
        <w:tc>
          <w:tcPr>
            <w:tcW w:w="1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7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57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9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rPr>
            </w:pP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w:t>
            </w:r>
          </w:p>
        </w:tc>
        <w:tc>
          <w:tcPr>
            <w:tcW w:w="157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kern w:val="0"/>
                <w:sz w:val="21"/>
                <w:szCs w:val="21"/>
                <w:u w:val="none"/>
                <w:lang w:val="en-US" w:eastAsia="zh-CN" w:bidi="ar"/>
              </w:rPr>
            </w:pP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pH</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无量纲</w:t>
            </w:r>
          </w:p>
        </w:tc>
        <w:tc>
          <w:tcPr>
            <w:tcW w:w="1989"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6.5</w:t>
            </w:r>
            <w:r>
              <w:rPr>
                <w:rStyle w:val="21"/>
                <w:color w:val="FF0000"/>
                <w:lang w:val="en-US" w:eastAsia="zh-CN" w:bidi="ar"/>
              </w:rPr>
              <w:t>～</w:t>
            </w:r>
            <w:r>
              <w:rPr>
                <w:rStyle w:val="22"/>
                <w:rFonts w:eastAsia="宋体"/>
                <w:color w:val="FF0000"/>
                <w:lang w:val="en-US" w:eastAsia="zh-CN" w:bidi="ar"/>
              </w:rPr>
              <w:t>8.5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7.05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0.82</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总硬度</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450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3.37</w:t>
            </w:r>
            <w:r>
              <w:rPr>
                <w:rStyle w:val="23"/>
                <w:rFonts w:eastAsia="宋体"/>
                <w:color w:val="FF0000"/>
                <w:lang w:val="en-US" w:eastAsia="zh-CN" w:bidi="ar"/>
              </w:rPr>
              <w:t>×</w:t>
            </w:r>
            <w:r>
              <w:rPr>
                <w:rFonts w:hint="eastAsia" w:ascii="宋体" w:hAnsi="宋体" w:eastAsia="宋体" w:cs="宋体"/>
                <w:i w:val="0"/>
                <w:color w:val="FF0000"/>
                <w:kern w:val="0"/>
                <w:sz w:val="22"/>
                <w:szCs w:val="22"/>
                <w:u w:val="none"/>
                <w:lang w:val="en-US" w:eastAsia="zh-CN" w:bidi="ar"/>
              </w:rPr>
              <w:t>10</w:t>
            </w:r>
            <w:r>
              <w:rPr>
                <w:rFonts w:hint="eastAsia" w:ascii="宋体" w:hAnsi="宋体" w:eastAsia="宋体" w:cs="宋体"/>
                <w:i w:val="0"/>
                <w:color w:val="FF0000"/>
                <w:kern w:val="0"/>
                <w:sz w:val="22"/>
                <w:szCs w:val="22"/>
                <w:u w:val="none"/>
                <w:vertAlign w:val="superscript"/>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7.5</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3</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高锰酸盐指数</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0.8</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w:t>
            </w:r>
          </w:p>
        </w:tc>
      </w:tr>
      <w:tr>
        <w:tblPrEx>
          <w:tblCellMar>
            <w:top w:w="0" w:type="dxa"/>
            <w:left w:w="0" w:type="dxa"/>
            <w:bottom w:w="0" w:type="dxa"/>
            <w:right w:w="0" w:type="dxa"/>
          </w:tblCellMar>
        </w:tblPrEx>
        <w:trPr>
          <w:trHeight w:val="90"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4</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氨氮</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FF0000"/>
                <w:sz w:val="21"/>
                <w:szCs w:val="21"/>
                <w:u w:val="none"/>
              </w:rPr>
            </w:pPr>
            <w:r>
              <w:rPr>
                <w:rFonts w:hint="default" w:ascii="Times New Roman" w:hAnsi="Times New Roman" w:eastAsia="宋体" w:cs="Times New Roman"/>
                <w:i w:val="0"/>
                <w:color w:val="FF0000"/>
                <w:kern w:val="0"/>
                <w:sz w:val="21"/>
                <w:szCs w:val="21"/>
                <w:u w:val="none"/>
                <w:lang w:val="en-US" w:eastAsia="zh-CN" w:bidi="ar"/>
              </w:rPr>
              <w:t>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0.188</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0.38</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5</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硫酸盐</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250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sz w:val="21"/>
                <w:szCs w:val="21"/>
                <w:u w:val="none"/>
                <w:lang w:val="en-US"/>
              </w:rPr>
            </w:pPr>
            <w:r>
              <w:rPr>
                <w:rFonts w:hint="eastAsia" w:ascii="宋体" w:hAnsi="宋体" w:eastAsia="宋体" w:cs="宋体"/>
                <w:i w:val="0"/>
                <w:color w:val="FF0000"/>
                <w:kern w:val="0"/>
                <w:sz w:val="22"/>
                <w:szCs w:val="22"/>
                <w:u w:val="none"/>
                <w:lang w:val="en-US" w:eastAsia="zh-CN" w:bidi="ar"/>
              </w:rPr>
              <w:t>4.40</w:t>
            </w:r>
            <w:r>
              <w:rPr>
                <w:rStyle w:val="23"/>
                <w:rFonts w:eastAsia="宋体"/>
                <w:color w:val="FF0000"/>
                <w:lang w:val="en-US" w:eastAsia="zh-CN" w:bidi="ar"/>
              </w:rPr>
              <w:t>×</w:t>
            </w:r>
            <w:r>
              <w:rPr>
                <w:rFonts w:hint="eastAsia" w:ascii="宋体" w:hAnsi="宋体" w:eastAsia="宋体" w:cs="宋体"/>
                <w:i w:val="0"/>
                <w:color w:val="FF0000"/>
                <w:kern w:val="0"/>
                <w:sz w:val="22"/>
                <w:szCs w:val="22"/>
                <w:u w:val="none"/>
                <w:lang w:val="en-US" w:eastAsia="zh-CN" w:bidi="ar"/>
              </w:rPr>
              <w:t>10</w:t>
            </w:r>
            <w:r>
              <w:rPr>
                <w:rFonts w:hint="eastAsia" w:cs="宋体"/>
                <w:i w:val="0"/>
                <w:color w:val="FF0000"/>
                <w:kern w:val="0"/>
                <w:sz w:val="22"/>
                <w:szCs w:val="22"/>
                <w:u w:val="none"/>
                <w:vertAlign w:val="superscript"/>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17.6</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6</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氯化物</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250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5.05</w:t>
            </w:r>
            <w:r>
              <w:rPr>
                <w:rStyle w:val="23"/>
                <w:rFonts w:eastAsia="宋体"/>
                <w:color w:val="FF0000"/>
                <w:lang w:val="en-US" w:eastAsia="zh-CN" w:bidi="ar"/>
              </w:rPr>
              <w:t>×</w:t>
            </w:r>
            <w:r>
              <w:rPr>
                <w:rFonts w:hint="eastAsia" w:ascii="宋体" w:hAnsi="宋体" w:eastAsia="宋体" w:cs="宋体"/>
                <w:i w:val="0"/>
                <w:color w:val="FF0000"/>
                <w:kern w:val="0"/>
                <w:sz w:val="22"/>
                <w:szCs w:val="22"/>
                <w:u w:val="none"/>
                <w:lang w:val="en-US" w:eastAsia="zh-CN" w:bidi="ar"/>
              </w:rPr>
              <w:t>10</w:t>
            </w:r>
            <w:r>
              <w:rPr>
                <w:rFonts w:hint="eastAsia" w:ascii="宋体" w:hAnsi="宋体" w:eastAsia="宋体" w:cs="宋体"/>
                <w:i w:val="0"/>
                <w:color w:val="FF0000"/>
                <w:kern w:val="0"/>
                <w:sz w:val="22"/>
                <w:szCs w:val="22"/>
                <w:u w:val="none"/>
                <w:vertAlign w:val="superscript"/>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20.2</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7</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硝酸盐氮</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sz w:val="21"/>
                <w:szCs w:val="21"/>
                <w:u w:val="none"/>
                <w:lang w:val="en-US"/>
              </w:rPr>
            </w:pPr>
            <w:r>
              <w:rPr>
                <w:rFonts w:hint="eastAsia" w:ascii="宋体" w:hAnsi="宋体" w:eastAsia="宋体" w:cs="宋体"/>
                <w:i w:val="0"/>
                <w:color w:val="FF0000"/>
                <w:kern w:val="0"/>
                <w:sz w:val="21"/>
                <w:szCs w:val="21"/>
                <w:u w:val="none"/>
                <w:lang w:val="en-US" w:eastAsia="zh-CN" w:bidi="ar"/>
              </w:rPr>
              <w:t>20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3.07</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0.15</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8</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氟化物</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0.12</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0.12</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9</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挥发酚</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0.002</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&lt;0.0003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0.15</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10</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亚硝酸盐氮</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0.216</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11</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氰化物</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&lt;0.004</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0.08</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12</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六价铬</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&lt;0.004</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0.08</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13</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硫化物</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0.02</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0.25</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14</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溶解性总固体</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1000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2.58</w:t>
            </w:r>
            <w:r>
              <w:rPr>
                <w:rStyle w:val="23"/>
                <w:rFonts w:eastAsia="宋体"/>
                <w:color w:val="FF0000"/>
                <w:lang w:val="en-US" w:eastAsia="zh-CN" w:bidi="ar"/>
              </w:rPr>
              <w:t>×</w:t>
            </w:r>
            <w:r>
              <w:rPr>
                <w:rFonts w:hint="eastAsia" w:ascii="宋体" w:hAnsi="宋体" w:eastAsia="宋体" w:cs="宋体"/>
                <w:i w:val="0"/>
                <w:color w:val="FF0000"/>
                <w:kern w:val="0"/>
                <w:sz w:val="22"/>
                <w:szCs w:val="22"/>
                <w:u w:val="none"/>
                <w:lang w:val="en-US" w:eastAsia="zh-CN" w:bidi="ar"/>
              </w:rPr>
              <w:t>10</w:t>
            </w:r>
            <w:r>
              <w:rPr>
                <w:rFonts w:hint="eastAsia" w:ascii="宋体" w:hAnsi="宋体" w:eastAsia="宋体" w:cs="宋体"/>
                <w:i w:val="0"/>
                <w:color w:val="FF0000"/>
                <w:kern w:val="0"/>
                <w:sz w:val="22"/>
                <w:szCs w:val="22"/>
                <w:u w:val="none"/>
                <w:vertAlign w:val="superscript"/>
                <w:lang w:val="en-US" w:eastAsia="zh-CN" w:bidi="ar"/>
              </w:rPr>
              <w:t>4</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25.8</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15</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总大肠菌群</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MPN/100ml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0.67</w:t>
            </w:r>
          </w:p>
        </w:tc>
      </w:tr>
      <w:tr>
        <w:tblPrEx>
          <w:tblCellMar>
            <w:top w:w="0" w:type="dxa"/>
            <w:left w:w="0" w:type="dxa"/>
            <w:bottom w:w="0" w:type="dxa"/>
            <w:right w:w="0" w:type="dxa"/>
          </w:tblCellMar>
        </w:tblPrEx>
        <w:trPr>
          <w:trHeight w:val="376"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16</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菌落总数</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CFU/ml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100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2"/>
                <w:szCs w:val="22"/>
                <w:u w:val="none"/>
                <w:lang w:val="en-US" w:eastAsia="zh-CN" w:bidi="ar"/>
              </w:rPr>
              <w:t>79</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0.76</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17</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汞</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0.001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w:t>
            </w:r>
            <w:r>
              <w:rPr>
                <w:rFonts w:hint="eastAsia" w:cs="宋体"/>
                <w:i w:val="0"/>
                <w:color w:val="FF0000"/>
                <w:kern w:val="0"/>
                <w:sz w:val="22"/>
                <w:szCs w:val="22"/>
                <w:u w:val="none"/>
                <w:lang w:val="en-US" w:eastAsia="zh-CN" w:bidi="ar"/>
              </w:rPr>
              <w:t>000</w:t>
            </w:r>
            <w:r>
              <w:rPr>
                <w:rFonts w:hint="eastAsia" w:ascii="宋体" w:hAnsi="宋体" w:eastAsia="宋体" w:cs="宋体"/>
                <w:i w:val="0"/>
                <w:color w:val="FF0000"/>
                <w:kern w:val="0"/>
                <w:sz w:val="22"/>
                <w:szCs w:val="22"/>
                <w:u w:val="none"/>
                <w:lang w:val="en-US" w:eastAsia="zh-CN" w:bidi="ar"/>
              </w:rPr>
              <w:t>4</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0.04</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18</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砷</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w:t>
            </w:r>
            <w:r>
              <w:rPr>
                <w:rFonts w:hint="eastAsia" w:cs="宋体"/>
                <w:i w:val="0"/>
                <w:color w:val="FF0000"/>
                <w:kern w:val="0"/>
                <w:sz w:val="22"/>
                <w:szCs w:val="22"/>
                <w:u w:val="none"/>
                <w:lang w:val="en-US" w:eastAsia="zh-CN" w:bidi="ar"/>
              </w:rPr>
              <w:t>000</w:t>
            </w:r>
            <w:r>
              <w:rPr>
                <w:rFonts w:hint="eastAsia" w:ascii="宋体" w:hAnsi="宋体" w:eastAsia="宋体" w:cs="宋体"/>
                <w:i w:val="0"/>
                <w:color w:val="FF0000"/>
                <w:kern w:val="0"/>
                <w:sz w:val="22"/>
                <w:szCs w:val="22"/>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0.03</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19</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铅</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sz w:val="21"/>
                <w:szCs w:val="21"/>
                <w:u w:val="none"/>
                <w:lang w:val="en-US"/>
              </w:rPr>
            </w:pPr>
            <w:r>
              <w:rPr>
                <w:rFonts w:hint="eastAsia" w:ascii="宋体" w:hAnsi="宋体" w:eastAsia="宋体" w:cs="宋体"/>
                <w:i w:val="0"/>
                <w:color w:val="FF0000"/>
                <w:kern w:val="0"/>
                <w:sz w:val="22"/>
                <w:szCs w:val="22"/>
                <w:u w:val="none"/>
                <w:lang w:val="en-US" w:eastAsia="zh-CN" w:bidi="ar"/>
              </w:rPr>
              <w:t>&lt;</w:t>
            </w:r>
            <w:r>
              <w:rPr>
                <w:rFonts w:hint="eastAsia" w:cs="宋体"/>
                <w:i w:val="0"/>
                <w:color w:val="FF0000"/>
                <w:kern w:val="0"/>
                <w:sz w:val="22"/>
                <w:szCs w:val="22"/>
                <w:u w:val="none"/>
                <w:lang w:val="en-US" w:eastAsia="zh-CN" w:bidi="ar"/>
              </w:rPr>
              <w:t>0.01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0.9</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镉</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0.005</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sz w:val="21"/>
                <w:szCs w:val="21"/>
                <w:u w:val="none"/>
                <w:lang w:val="en-US"/>
              </w:rPr>
            </w:pPr>
            <w:r>
              <w:rPr>
                <w:rFonts w:hint="eastAsia" w:ascii="宋体" w:hAnsi="宋体" w:eastAsia="宋体" w:cs="宋体"/>
                <w:i w:val="0"/>
                <w:color w:val="FF0000"/>
                <w:kern w:val="0"/>
                <w:sz w:val="22"/>
                <w:szCs w:val="22"/>
                <w:u w:val="none"/>
                <w:lang w:val="en-US" w:eastAsia="zh-CN" w:bidi="ar"/>
              </w:rPr>
              <w:t>&lt;</w:t>
            </w:r>
            <w:r>
              <w:rPr>
                <w:rFonts w:hint="eastAsia" w:cs="宋体"/>
                <w:i w:val="0"/>
                <w:color w:val="FF0000"/>
                <w:kern w:val="0"/>
                <w:sz w:val="22"/>
                <w:szCs w:val="22"/>
                <w:u w:val="none"/>
                <w:lang w:val="en-US" w:eastAsia="zh-CN" w:bidi="ar"/>
              </w:rPr>
              <w:t>0.001</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0.2</w:t>
            </w:r>
          </w:p>
        </w:tc>
      </w:tr>
      <w:tr>
        <w:tblPrEx>
          <w:tblCellMar>
            <w:top w:w="0" w:type="dxa"/>
            <w:left w:w="0" w:type="dxa"/>
            <w:bottom w:w="0" w:type="dxa"/>
            <w:right w:w="0" w:type="dxa"/>
          </w:tblCellMar>
        </w:tblPrEx>
        <w:trPr>
          <w:trHeight w:val="33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21</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铁</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&lt;0.03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0.01</w:t>
            </w:r>
          </w:p>
        </w:tc>
      </w:tr>
      <w:tr>
        <w:tblPrEx>
          <w:tblCellMar>
            <w:top w:w="0" w:type="dxa"/>
            <w:left w:w="0" w:type="dxa"/>
            <w:bottom w:w="0" w:type="dxa"/>
            <w:right w:w="0" w:type="dxa"/>
          </w:tblCellMar>
        </w:tblPrEx>
        <w:trPr>
          <w:trHeight w:val="342" w:hRule="atLeast"/>
        </w:trPr>
        <w:tc>
          <w:tcPr>
            <w:tcW w:w="10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22</w:t>
            </w:r>
          </w:p>
        </w:tc>
        <w:tc>
          <w:tcPr>
            <w:tcW w:w="17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钠</w:t>
            </w:r>
          </w:p>
        </w:tc>
        <w:tc>
          <w:tcPr>
            <w:tcW w:w="1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mg/L</w:t>
            </w:r>
          </w:p>
        </w:tc>
        <w:tc>
          <w:tcPr>
            <w:tcW w:w="1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200</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2"/>
                <w:szCs w:val="22"/>
                <w:u w:val="none"/>
                <w:lang w:val="en-US" w:eastAsia="zh-CN" w:bidi="ar"/>
              </w:rPr>
              <w:t>9.52</w:t>
            </w:r>
            <w:r>
              <w:rPr>
                <w:rStyle w:val="23"/>
                <w:rFonts w:eastAsia="宋体"/>
                <w:color w:val="FF0000"/>
                <w:lang w:val="en-US" w:eastAsia="zh-CN" w:bidi="ar"/>
              </w:rPr>
              <w:t>×</w:t>
            </w:r>
            <w:r>
              <w:rPr>
                <w:rFonts w:hint="eastAsia" w:ascii="宋体" w:hAnsi="宋体" w:eastAsia="宋体" w:cs="宋体"/>
                <w:i w:val="0"/>
                <w:color w:val="FF0000"/>
                <w:kern w:val="0"/>
                <w:sz w:val="22"/>
                <w:szCs w:val="22"/>
                <w:u w:val="none"/>
                <w:lang w:val="en-US" w:eastAsia="zh-CN" w:bidi="ar"/>
              </w:rPr>
              <w:t>10</w:t>
            </w:r>
            <w:r>
              <w:rPr>
                <w:rFonts w:hint="eastAsia" w:ascii="宋体" w:hAnsi="宋体" w:eastAsia="宋体" w:cs="宋体"/>
                <w:i w:val="0"/>
                <w:color w:val="FF0000"/>
                <w:kern w:val="0"/>
                <w:sz w:val="22"/>
                <w:szCs w:val="22"/>
                <w:u w:val="none"/>
                <w:vertAlign w:val="superscript"/>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color w:val="FF0000"/>
                <w:kern w:val="0"/>
                <w:sz w:val="21"/>
                <w:szCs w:val="21"/>
                <w:u w:val="none"/>
                <w:lang w:val="en-US" w:eastAsia="zh-CN" w:bidi="ar"/>
              </w:rPr>
            </w:pPr>
            <w:r>
              <w:rPr>
                <w:rFonts w:hint="eastAsia" w:cs="宋体"/>
                <w:i w:val="0"/>
                <w:color w:val="FF0000"/>
                <w:kern w:val="0"/>
                <w:sz w:val="21"/>
                <w:szCs w:val="21"/>
                <w:u w:val="none"/>
                <w:lang w:val="en-US" w:eastAsia="zh-CN" w:bidi="ar"/>
              </w:rPr>
              <w:t>47.6</w:t>
            </w:r>
          </w:p>
        </w:tc>
      </w:tr>
    </w:tbl>
    <w:p>
      <w:pPr>
        <w:pStyle w:val="7"/>
        <w:rPr>
          <w:rFonts w:hint="default"/>
          <w:color w:val="auto"/>
        </w:rPr>
      </w:pPr>
      <w:r>
        <w:rPr>
          <w:rFonts w:hint="default" w:ascii="Times New Roman" w:hAnsi="Times New Roman" w:eastAsia="宋体" w:cs="Times New Roman"/>
          <w:b/>
          <w:bCs/>
          <w:color w:val="auto"/>
        </w:rPr>
        <w:t>注：“-”为未检出，不计算标准指数。</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由表4.2-</w:t>
      </w:r>
      <w:r>
        <w:rPr>
          <w:rFonts w:hint="eastAsia" w:ascii="Times New Roman" w:hAnsi="Times New Roman" w:eastAsia="宋体" w:cs="Times New Roman"/>
          <w:color w:val="0000FF"/>
          <w:sz w:val="24"/>
          <w:lang w:val="en-US" w:eastAsia="zh-CN"/>
        </w:rPr>
        <w:t>6</w:t>
      </w:r>
      <w:r>
        <w:rPr>
          <w:rFonts w:hint="default" w:ascii="Times New Roman" w:hAnsi="Times New Roman" w:eastAsia="宋体" w:cs="Times New Roman"/>
          <w:color w:val="0000FF"/>
          <w:sz w:val="24"/>
        </w:rPr>
        <w:t>中可以看出，</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cs="Times New Roman"/>
          <w:color w:val="0000FF"/>
          <w:sz w:val="24"/>
          <w:lang w:val="en-US" w:eastAsia="zh-CN"/>
        </w:rPr>
        <w:t>总硬度</w:t>
      </w:r>
      <w:r>
        <w:rPr>
          <w:rFonts w:hint="eastAsia" w:ascii="Times New Roman" w:hAnsi="Times New Roman" w:cs="Times New Roman"/>
          <w:color w:val="0000FF"/>
          <w:sz w:val="24"/>
          <w:lang w:eastAsia="zh-CN"/>
        </w:rPr>
        <w:t>、</w:t>
      </w:r>
      <w:r>
        <w:rPr>
          <w:rFonts w:hint="eastAsia" w:ascii="Times New Roman" w:hAnsi="Times New Roman" w:cs="Times New Roman"/>
          <w:color w:val="0000FF"/>
          <w:sz w:val="24"/>
          <w:lang w:val="en-US" w:eastAsia="zh-CN"/>
        </w:rPr>
        <w:t>硫酸盐</w:t>
      </w:r>
      <w:r>
        <w:rPr>
          <w:rFonts w:hint="eastAsia" w:ascii="Times New Roman" w:hAnsi="Times New Roman" w:eastAsia="宋体" w:cs="Times New Roman"/>
          <w:color w:val="0000FF"/>
          <w:sz w:val="24"/>
          <w:lang w:val="en-US" w:eastAsia="zh-CN"/>
        </w:rPr>
        <w:t>、</w:t>
      </w:r>
      <w:r>
        <w:rPr>
          <w:rFonts w:hint="eastAsia" w:ascii="Times New Roman" w:hAnsi="Times New Roman" w:cs="Times New Roman"/>
          <w:color w:val="0000FF"/>
          <w:sz w:val="24"/>
          <w:lang w:val="en-US" w:eastAsia="zh-CN"/>
        </w:rPr>
        <w:t>氯化物、溶解性总固体和钠</w:t>
      </w:r>
      <w:r>
        <w:rPr>
          <w:rFonts w:hint="eastAsia" w:ascii="Times New Roman" w:hAnsi="Times New Roman" w:eastAsia="宋体" w:cs="Times New Roman"/>
          <w:color w:val="0000FF"/>
          <w:sz w:val="24"/>
          <w:lang w:val="en-US" w:eastAsia="zh-CN"/>
        </w:rPr>
        <w:t>出现超标其余</w:t>
      </w:r>
      <w:r>
        <w:rPr>
          <w:rFonts w:hint="default" w:ascii="Times New Roman" w:hAnsi="Times New Roman" w:eastAsia="宋体" w:cs="Times New Roman"/>
          <w:color w:val="0000FF"/>
          <w:sz w:val="24"/>
        </w:rPr>
        <w:t>各检出因子的标准指数均小于1，显示项目区地下水水质满足《地下水质量标准》（GB/T14848-2017）Ⅲ类水质要求。</w:t>
      </w:r>
      <w:r>
        <w:rPr>
          <w:rFonts w:hint="eastAsia" w:ascii="Times New Roman" w:hAnsi="Times New Roman" w:cs="Times New Roman"/>
          <w:color w:val="0000FF"/>
          <w:sz w:val="24"/>
          <w:lang w:val="en-US" w:eastAsia="zh-CN"/>
        </w:rPr>
        <w:t>超标原因是南疆地区干旱炎热土壤的盐碱化程度非常高，故导致地下水出现超标。</w:t>
      </w:r>
    </w:p>
    <w:p>
      <w:pPr>
        <w:pStyle w:val="5"/>
        <w:numPr>
          <w:ilvl w:val="2"/>
          <w:numId w:val="37"/>
        </w:numPr>
        <w:tabs>
          <w:tab w:val="left" w:pos="1241"/>
        </w:tabs>
        <w:spacing w:before="115" w:after="0" w:line="240" w:lineRule="auto"/>
        <w:ind w:left="1240" w:right="0" w:hanging="701"/>
        <w:jc w:val="left"/>
        <w:outlineLvl w:val="2"/>
      </w:pPr>
      <w:bookmarkStart w:id="253" w:name="4.2.3 声环境质量现状监测与评价"/>
      <w:bookmarkEnd w:id="253"/>
      <w:bookmarkStart w:id="254" w:name="4.2.3 声环境质量现状监测与评价"/>
      <w:bookmarkEnd w:id="254"/>
      <w:bookmarkStart w:id="255" w:name="_Toc21836"/>
      <w:r>
        <w:t>声环境质量现状监测与评价</w:t>
      </w:r>
      <w:bookmarkEnd w:id="255"/>
    </w:p>
    <w:p>
      <w:pPr>
        <w:pStyle w:val="7"/>
        <w:spacing w:before="7"/>
        <w:ind w:left="0"/>
        <w:rPr>
          <w:b/>
          <w:sz w:val="21"/>
        </w:rPr>
      </w:pPr>
    </w:p>
    <w:p>
      <w:pPr>
        <w:pStyle w:val="17"/>
        <w:numPr>
          <w:ilvl w:val="3"/>
          <w:numId w:val="40"/>
        </w:numPr>
        <w:tabs>
          <w:tab w:val="left" w:pos="1320"/>
        </w:tabs>
        <w:spacing w:before="1" w:after="0" w:line="240" w:lineRule="auto"/>
        <w:ind w:left="1320" w:right="0" w:hanging="780"/>
        <w:jc w:val="left"/>
        <w:rPr>
          <w:sz w:val="24"/>
        </w:rPr>
      </w:pPr>
      <w:r>
        <w:rPr>
          <w:sz w:val="24"/>
        </w:rPr>
        <w:t>监测点布设</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（1）监测点位</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本项目东、西、南、北四个厂界。</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监测点位设置情况见表4.2-</w:t>
      </w:r>
      <w:r>
        <w:rPr>
          <w:rFonts w:hint="eastAsia" w:ascii="Times New Roman" w:hAnsi="Times New Roman" w:eastAsia="宋体" w:cs="Times New Roman"/>
          <w:color w:val="0000FF"/>
          <w:sz w:val="24"/>
          <w:lang w:val="en-US" w:eastAsia="zh-CN"/>
        </w:rPr>
        <w:t>7</w:t>
      </w:r>
      <w:r>
        <w:rPr>
          <w:rFonts w:hint="default" w:ascii="Times New Roman" w:hAnsi="Times New Roman" w:eastAsia="宋体" w:cs="Times New Roman"/>
          <w:color w:val="0000FF"/>
          <w:sz w:val="24"/>
        </w:rPr>
        <w:t>。</w:t>
      </w:r>
    </w:p>
    <w:p>
      <w:pPr>
        <w:pStyle w:val="6"/>
        <w:spacing w:line="360" w:lineRule="auto"/>
        <w:jc w:val="center"/>
        <w:rPr>
          <w:rFonts w:hint="default" w:ascii="Times New Roman" w:hAnsi="Times New Roman" w:eastAsia="宋体" w:cs="Times New Roman"/>
          <w:b/>
          <w:bCs/>
          <w:color w:val="0000FF"/>
          <w:sz w:val="21"/>
          <w:szCs w:val="21"/>
        </w:rPr>
      </w:pPr>
      <w:bookmarkStart w:id="256" w:name="_Ref491245706"/>
      <w:r>
        <w:rPr>
          <w:rFonts w:hint="default" w:ascii="Times New Roman" w:hAnsi="Times New Roman" w:eastAsia="宋体" w:cs="Times New Roman"/>
          <w:b/>
          <w:bCs/>
          <w:color w:val="0000FF"/>
          <w:sz w:val="21"/>
          <w:szCs w:val="21"/>
        </w:rPr>
        <w:t>表</w:t>
      </w:r>
      <w:bookmarkEnd w:id="256"/>
      <w:r>
        <w:rPr>
          <w:rFonts w:hint="default" w:ascii="Times New Roman" w:hAnsi="Times New Roman" w:eastAsia="宋体" w:cs="Times New Roman"/>
          <w:b/>
          <w:bCs/>
          <w:color w:val="0000FF"/>
          <w:sz w:val="21"/>
          <w:szCs w:val="21"/>
        </w:rPr>
        <w:t>4.2-</w:t>
      </w:r>
      <w:r>
        <w:rPr>
          <w:rFonts w:hint="eastAsia" w:ascii="Times New Roman" w:hAnsi="Times New Roman" w:eastAsia="宋体" w:cs="Times New Roman"/>
          <w:b/>
          <w:bCs/>
          <w:color w:val="0000FF"/>
          <w:sz w:val="21"/>
          <w:szCs w:val="21"/>
          <w:lang w:val="en-US" w:eastAsia="zh-CN"/>
        </w:rPr>
        <w:t>7</w:t>
      </w:r>
      <w:r>
        <w:rPr>
          <w:rFonts w:hint="default" w:ascii="Times New Roman" w:hAnsi="Times New Roman" w:eastAsia="宋体" w:cs="Times New Roman"/>
          <w:b/>
          <w:bCs/>
          <w:color w:val="0000FF"/>
          <w:sz w:val="21"/>
          <w:szCs w:val="21"/>
        </w:rPr>
        <w:t xml:space="preserve">         厂界声环境质量现状监测点位情况一览表</w:t>
      </w:r>
    </w:p>
    <w:tbl>
      <w:tblPr>
        <w:tblStyle w:val="14"/>
        <w:tblW w:w="8295" w:type="dxa"/>
        <w:tblInd w:w="0" w:type="dxa"/>
        <w:tblLayout w:type="autofit"/>
        <w:tblCellMar>
          <w:top w:w="0" w:type="dxa"/>
          <w:left w:w="0" w:type="dxa"/>
          <w:bottom w:w="0" w:type="dxa"/>
          <w:right w:w="0" w:type="dxa"/>
        </w:tblCellMar>
      </w:tblPr>
      <w:tblGrid>
        <w:gridCol w:w="1740"/>
        <w:gridCol w:w="1770"/>
        <w:gridCol w:w="2205"/>
        <w:gridCol w:w="2580"/>
      </w:tblGrid>
      <w:tr>
        <w:tblPrEx>
          <w:tblCellMar>
            <w:top w:w="0" w:type="dxa"/>
            <w:left w:w="0" w:type="dxa"/>
            <w:bottom w:w="0" w:type="dxa"/>
            <w:right w:w="0" w:type="dxa"/>
          </w:tblCellMar>
        </w:tblPrEx>
        <w:trPr>
          <w:trHeight w:val="285" w:hRule="atLeast"/>
        </w:trPr>
        <w:tc>
          <w:tcPr>
            <w:tcW w:w="1740"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点位</w:t>
            </w:r>
          </w:p>
        </w:tc>
        <w:tc>
          <w:tcPr>
            <w:tcW w:w="17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位置</w:t>
            </w:r>
          </w:p>
        </w:tc>
        <w:tc>
          <w:tcPr>
            <w:tcW w:w="220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监测位置</w:t>
            </w:r>
          </w:p>
        </w:tc>
        <w:tc>
          <w:tcPr>
            <w:tcW w:w="258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设置意义</w:t>
            </w:r>
          </w:p>
        </w:tc>
      </w:tr>
      <w:tr>
        <w:tblPrEx>
          <w:tblCellMar>
            <w:top w:w="0" w:type="dxa"/>
            <w:left w:w="0" w:type="dxa"/>
            <w:bottom w:w="0" w:type="dxa"/>
            <w:right w:w="0" w:type="dxa"/>
          </w:tblCellMar>
        </w:tblPrEx>
        <w:trPr>
          <w:trHeight w:val="555" w:hRule="atLeast"/>
        </w:trPr>
        <w:tc>
          <w:tcPr>
            <w:tcW w:w="1740"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20200011-Z1-1</w:t>
            </w:r>
          </w:p>
        </w:tc>
        <w:tc>
          <w:tcPr>
            <w:tcW w:w="177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东厂界</w:t>
            </w:r>
          </w:p>
        </w:tc>
        <w:tc>
          <w:tcPr>
            <w:tcW w:w="220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58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740"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20200011-Z2-1</w:t>
            </w:r>
          </w:p>
        </w:tc>
        <w:tc>
          <w:tcPr>
            <w:tcW w:w="177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南厂界</w:t>
            </w:r>
          </w:p>
        </w:tc>
        <w:tc>
          <w:tcPr>
            <w:tcW w:w="220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58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740"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20200011-Z3-1</w:t>
            </w:r>
          </w:p>
        </w:tc>
        <w:tc>
          <w:tcPr>
            <w:tcW w:w="177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西厂界</w:t>
            </w:r>
          </w:p>
        </w:tc>
        <w:tc>
          <w:tcPr>
            <w:tcW w:w="220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58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740"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 1-Z4-1</w:t>
            </w:r>
          </w:p>
        </w:tc>
        <w:tc>
          <w:tcPr>
            <w:tcW w:w="177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北厂界</w:t>
            </w:r>
          </w:p>
        </w:tc>
        <w:tc>
          <w:tcPr>
            <w:tcW w:w="220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58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bl>
    <w:p>
      <w:pPr>
        <w:tabs>
          <w:tab w:val="left" w:pos="377"/>
        </w:tabs>
        <w:ind w:firstLine="480"/>
        <w:rPr>
          <w:rFonts w:hint="default" w:ascii="Times New Roman" w:hAnsi="Times New Roman" w:eastAsia="宋体" w:cs="Times New Roman"/>
          <w:color w:val="auto"/>
        </w:rPr>
      </w:pP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0000FF"/>
          <w:sz w:val="24"/>
        </w:rPr>
        <w:t>2）监测项目：昼间等效声级Ld、夜间等效声级Ln。</w:t>
      </w:r>
    </w:p>
    <w:p>
      <w:pPr>
        <w:spacing w:line="360" w:lineRule="auto"/>
        <w:ind w:firstLine="480" w:firstLineChars="200"/>
        <w:rPr>
          <w:rFonts w:hint="eastAsia"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rPr>
        <w:t>（3）监测时间：</w:t>
      </w:r>
      <w:r>
        <w:rPr>
          <w:rFonts w:hint="eastAsia" w:ascii="Times New Roman" w:hAnsi="Times New Roman" w:eastAsia="宋体" w:cs="Times New Roman"/>
          <w:color w:val="0000FF"/>
          <w:sz w:val="24"/>
          <w:lang w:val="en-US" w:eastAsia="zh-CN"/>
        </w:rPr>
        <w:t>新疆环疆绿源环保科技有限公司于2020年1月</w:t>
      </w:r>
      <w:r>
        <w:rPr>
          <w:rFonts w:hint="eastAsia" w:ascii="Times New Roman" w:hAnsi="Times New Roman" w:cs="Times New Roman"/>
          <w:color w:val="0000FF"/>
          <w:sz w:val="24"/>
          <w:lang w:val="en-US" w:eastAsia="zh-CN"/>
        </w:rPr>
        <w:t>10</w:t>
      </w:r>
      <w:r>
        <w:rPr>
          <w:rFonts w:hint="eastAsia" w:ascii="Times New Roman" w:hAnsi="Times New Roman" w:eastAsia="宋体" w:cs="Times New Roman"/>
          <w:color w:val="0000FF"/>
          <w:sz w:val="24"/>
          <w:lang w:val="en-US" w:eastAsia="zh-CN"/>
        </w:rPr>
        <w:t>日</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（4）监测方法：按照《声环境质量标准》（GB 3096-2008）中规定方法进行。</w:t>
      </w:r>
    </w:p>
    <w:p>
      <w:pPr>
        <w:spacing w:line="360" w:lineRule="auto"/>
        <w:ind w:firstLine="480" w:firstLineChars="200"/>
        <w:rPr>
          <w:rFonts w:hint="default" w:ascii="Times New Roman" w:hAnsi="Times New Roman" w:eastAsia="宋体" w:cs="Times New Roman"/>
          <w:color w:val="0000FF"/>
          <w:sz w:val="24"/>
          <w:lang w:val="sv-SE"/>
        </w:rPr>
      </w:pPr>
      <w:r>
        <w:rPr>
          <w:rFonts w:hint="default" w:ascii="Times New Roman" w:hAnsi="Times New Roman" w:eastAsia="宋体" w:cs="Times New Roman"/>
          <w:color w:val="0000FF"/>
          <w:sz w:val="24"/>
          <w:lang w:val="sv-SE"/>
        </w:rPr>
        <w:t>（5）监测结果</w:t>
      </w:r>
    </w:p>
    <w:p>
      <w:pPr>
        <w:spacing w:line="360" w:lineRule="auto"/>
        <w:ind w:firstLine="480" w:firstLineChars="200"/>
        <w:rPr>
          <w:rFonts w:hint="default" w:ascii="Times New Roman" w:hAnsi="Times New Roman" w:eastAsia="宋体" w:cs="Times New Roman"/>
          <w:color w:val="0000FF"/>
          <w:sz w:val="24"/>
          <w:lang w:val="sv-SE"/>
        </w:rPr>
      </w:pPr>
      <w:r>
        <w:rPr>
          <w:rFonts w:hint="default" w:ascii="Times New Roman" w:hAnsi="Times New Roman" w:eastAsia="宋体" w:cs="Times New Roman"/>
          <w:color w:val="0000FF"/>
          <w:sz w:val="24"/>
          <w:lang w:val="sv-SE"/>
        </w:rPr>
        <w:t>声环境质量监测统计结果见</w:t>
      </w:r>
      <w:r>
        <w:rPr>
          <w:rFonts w:hint="default" w:ascii="Times New Roman" w:hAnsi="Times New Roman" w:eastAsia="宋体" w:cs="Times New Roman"/>
          <w:color w:val="0000FF"/>
          <w:sz w:val="24"/>
        </w:rPr>
        <w:t>表4.2-</w:t>
      </w:r>
      <w:r>
        <w:rPr>
          <w:rFonts w:hint="eastAsia" w:ascii="Times New Roman" w:hAnsi="Times New Roman" w:eastAsia="宋体" w:cs="Times New Roman"/>
          <w:color w:val="0000FF"/>
          <w:sz w:val="24"/>
          <w:lang w:val="en-US" w:eastAsia="zh-CN"/>
        </w:rPr>
        <w:t>8</w:t>
      </w:r>
      <w:r>
        <w:rPr>
          <w:rFonts w:hint="default" w:ascii="Times New Roman" w:hAnsi="Times New Roman" w:eastAsia="宋体" w:cs="Times New Roman"/>
          <w:color w:val="0000FF"/>
          <w:sz w:val="24"/>
          <w:lang w:val="sv-SE"/>
        </w:rPr>
        <w:t>。</w:t>
      </w:r>
    </w:p>
    <w:p>
      <w:pPr>
        <w:spacing w:line="360" w:lineRule="auto"/>
        <w:jc w:val="center"/>
        <w:rPr>
          <w:rFonts w:hint="default" w:ascii="Times New Roman" w:hAnsi="Times New Roman" w:eastAsia="宋体" w:cs="Times New Roman"/>
          <w:b/>
          <w:color w:val="0000FF"/>
          <w:szCs w:val="21"/>
          <w:lang w:bidi="ar"/>
        </w:rPr>
      </w:pPr>
      <w:r>
        <w:rPr>
          <w:rFonts w:hint="default" w:ascii="Times New Roman" w:hAnsi="Times New Roman" w:eastAsia="宋体" w:cs="Times New Roman"/>
          <w:b/>
          <w:color w:val="0000FF"/>
          <w:szCs w:val="21"/>
          <w:lang w:bidi="ar"/>
        </w:rPr>
        <w:t>表4.2-</w:t>
      </w:r>
      <w:r>
        <w:rPr>
          <w:rFonts w:hint="eastAsia" w:ascii="Times New Roman" w:hAnsi="Times New Roman" w:eastAsia="宋体" w:cs="Times New Roman"/>
          <w:b/>
          <w:color w:val="0000FF"/>
          <w:szCs w:val="21"/>
          <w:lang w:val="en-US" w:eastAsia="zh-CN" w:bidi="ar"/>
        </w:rPr>
        <w:t>8</w:t>
      </w:r>
      <w:r>
        <w:rPr>
          <w:rFonts w:hint="default" w:ascii="Times New Roman" w:hAnsi="Times New Roman" w:eastAsia="宋体" w:cs="Times New Roman"/>
          <w:b/>
          <w:color w:val="0000FF"/>
          <w:szCs w:val="21"/>
          <w:lang w:bidi="ar"/>
        </w:rPr>
        <w:t xml:space="preserve">       噪声监测结果</w:t>
      </w:r>
    </w:p>
    <w:tbl>
      <w:tblPr>
        <w:tblStyle w:val="14"/>
        <w:tblW w:w="8939" w:type="dxa"/>
        <w:tblInd w:w="0" w:type="dxa"/>
        <w:tblLayout w:type="autofit"/>
        <w:tblCellMar>
          <w:top w:w="0" w:type="dxa"/>
          <w:left w:w="0" w:type="dxa"/>
          <w:bottom w:w="0" w:type="dxa"/>
          <w:right w:w="0" w:type="dxa"/>
        </w:tblCellMar>
      </w:tblPr>
      <w:tblGrid>
        <w:gridCol w:w="1938"/>
        <w:gridCol w:w="2055"/>
        <w:gridCol w:w="1520"/>
        <w:gridCol w:w="1036"/>
        <w:gridCol w:w="1386"/>
        <w:gridCol w:w="1004"/>
      </w:tblGrid>
      <w:tr>
        <w:tblPrEx>
          <w:tblCellMar>
            <w:top w:w="0" w:type="dxa"/>
            <w:left w:w="0" w:type="dxa"/>
            <w:bottom w:w="0" w:type="dxa"/>
            <w:right w:w="0" w:type="dxa"/>
          </w:tblCellMar>
        </w:tblPrEx>
        <w:trPr>
          <w:trHeight w:val="287" w:hRule="atLeast"/>
        </w:trPr>
        <w:tc>
          <w:tcPr>
            <w:tcW w:w="19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测点编号</w:t>
            </w:r>
          </w:p>
        </w:tc>
        <w:tc>
          <w:tcPr>
            <w:tcW w:w="20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测点位置</w:t>
            </w:r>
          </w:p>
        </w:tc>
        <w:tc>
          <w:tcPr>
            <w:tcW w:w="49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检测结果（dB(A)）</w:t>
            </w:r>
          </w:p>
        </w:tc>
      </w:tr>
      <w:tr>
        <w:tblPrEx>
          <w:tblCellMar>
            <w:top w:w="0" w:type="dxa"/>
            <w:left w:w="0" w:type="dxa"/>
            <w:bottom w:w="0" w:type="dxa"/>
            <w:right w:w="0" w:type="dxa"/>
          </w:tblCellMar>
        </w:tblPrEx>
        <w:trPr>
          <w:trHeight w:val="287"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55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昼间</w:t>
            </w:r>
          </w:p>
        </w:tc>
        <w:tc>
          <w:tcPr>
            <w:tcW w:w="23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夜间</w:t>
            </w:r>
          </w:p>
        </w:tc>
      </w:tr>
      <w:tr>
        <w:tblPrEx>
          <w:tblCellMar>
            <w:top w:w="0" w:type="dxa"/>
            <w:left w:w="0" w:type="dxa"/>
            <w:bottom w:w="0" w:type="dxa"/>
            <w:right w:w="0" w:type="dxa"/>
          </w:tblCellMar>
        </w:tblPrEx>
        <w:trPr>
          <w:trHeight w:val="287"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5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测量时段</w:t>
            </w:r>
          </w:p>
        </w:tc>
        <w:tc>
          <w:tcPr>
            <w:tcW w:w="10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测量值</w:t>
            </w:r>
          </w:p>
        </w:tc>
        <w:tc>
          <w:tcPr>
            <w:tcW w:w="13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测量时段</w:t>
            </w:r>
          </w:p>
        </w:tc>
        <w:tc>
          <w:tcPr>
            <w:tcW w:w="10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测量值</w:t>
            </w:r>
          </w:p>
        </w:tc>
      </w:tr>
      <w:tr>
        <w:tblPrEx>
          <w:tblCellMar>
            <w:top w:w="0" w:type="dxa"/>
            <w:left w:w="0" w:type="dxa"/>
            <w:bottom w:w="0" w:type="dxa"/>
            <w:right w:w="0" w:type="dxa"/>
          </w:tblCellMar>
        </w:tblPrEx>
        <w:trPr>
          <w:trHeight w:val="312" w:hRule="atLeast"/>
        </w:trPr>
        <w:tc>
          <w:tcPr>
            <w:tcW w:w="19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2020001</w:t>
            </w:r>
            <w:r>
              <w:rPr>
                <w:rFonts w:hint="eastAsia" w:cs="宋体"/>
                <w:i w:val="0"/>
                <w:color w:val="FF0000"/>
                <w:kern w:val="0"/>
                <w:sz w:val="21"/>
                <w:szCs w:val="21"/>
                <w:u w:val="none"/>
                <w:lang w:val="en-US" w:eastAsia="zh-CN" w:bidi="ar"/>
              </w:rPr>
              <w:t>2</w:t>
            </w:r>
            <w:r>
              <w:rPr>
                <w:rFonts w:hint="eastAsia" w:ascii="宋体" w:hAnsi="宋体" w:eastAsia="宋体" w:cs="宋体"/>
                <w:i w:val="0"/>
                <w:color w:val="FF0000"/>
                <w:kern w:val="0"/>
                <w:sz w:val="21"/>
                <w:szCs w:val="21"/>
                <w:u w:val="none"/>
                <w:lang w:val="en-US" w:eastAsia="zh-CN" w:bidi="ar"/>
              </w:rPr>
              <w:t>-Z1-1</w:t>
            </w:r>
          </w:p>
        </w:tc>
        <w:tc>
          <w:tcPr>
            <w:tcW w:w="20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项目区</w:t>
            </w:r>
            <w:r>
              <w:rPr>
                <w:rFonts w:hint="eastAsia" w:cs="宋体"/>
                <w:i w:val="0"/>
                <w:color w:val="FF0000"/>
                <w:kern w:val="0"/>
                <w:sz w:val="21"/>
                <w:szCs w:val="21"/>
                <w:u w:val="none"/>
                <w:lang w:val="en-US" w:eastAsia="zh-CN" w:bidi="ar"/>
              </w:rPr>
              <w:t>南</w:t>
            </w:r>
            <w:r>
              <w:rPr>
                <w:rFonts w:hint="eastAsia" w:ascii="宋体" w:hAnsi="宋体" w:eastAsia="宋体" w:cs="宋体"/>
                <w:i w:val="0"/>
                <w:color w:val="FF0000"/>
                <w:kern w:val="0"/>
                <w:sz w:val="21"/>
                <w:szCs w:val="21"/>
                <w:u w:val="none"/>
                <w:lang w:val="en-US" w:eastAsia="zh-CN" w:bidi="ar"/>
              </w:rPr>
              <w:t>侧外1m</w:t>
            </w:r>
          </w:p>
        </w:tc>
        <w:tc>
          <w:tcPr>
            <w:tcW w:w="15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11:02-11:12</w:t>
            </w:r>
          </w:p>
        </w:tc>
        <w:tc>
          <w:tcPr>
            <w:tcW w:w="10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43</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00:02-00:12</w:t>
            </w:r>
          </w:p>
        </w:tc>
        <w:tc>
          <w:tcPr>
            <w:tcW w:w="10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19</w:t>
            </w:r>
          </w:p>
        </w:tc>
      </w:tr>
      <w:tr>
        <w:tblPrEx>
          <w:tblCellMar>
            <w:top w:w="0" w:type="dxa"/>
            <w:left w:w="0" w:type="dxa"/>
            <w:bottom w:w="0" w:type="dxa"/>
            <w:right w:w="0" w:type="dxa"/>
          </w:tblCellMar>
        </w:tblPrEx>
        <w:trPr>
          <w:trHeight w:val="312"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5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r>
      <w:tr>
        <w:tblPrEx>
          <w:tblCellMar>
            <w:top w:w="0" w:type="dxa"/>
            <w:left w:w="0" w:type="dxa"/>
            <w:bottom w:w="0" w:type="dxa"/>
            <w:right w:w="0" w:type="dxa"/>
          </w:tblCellMar>
        </w:tblPrEx>
        <w:trPr>
          <w:trHeight w:val="312" w:hRule="atLeast"/>
        </w:trPr>
        <w:tc>
          <w:tcPr>
            <w:tcW w:w="19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2020001</w:t>
            </w:r>
            <w:r>
              <w:rPr>
                <w:rFonts w:hint="eastAsia" w:cs="宋体"/>
                <w:i w:val="0"/>
                <w:color w:val="FF0000"/>
                <w:kern w:val="0"/>
                <w:sz w:val="21"/>
                <w:szCs w:val="21"/>
                <w:u w:val="none"/>
                <w:lang w:val="en-US" w:eastAsia="zh-CN" w:bidi="ar"/>
              </w:rPr>
              <w:t>2</w:t>
            </w:r>
            <w:r>
              <w:rPr>
                <w:rFonts w:hint="eastAsia" w:ascii="宋体" w:hAnsi="宋体" w:eastAsia="宋体" w:cs="宋体"/>
                <w:i w:val="0"/>
                <w:color w:val="FF0000"/>
                <w:kern w:val="0"/>
                <w:sz w:val="21"/>
                <w:szCs w:val="21"/>
                <w:u w:val="none"/>
                <w:lang w:val="en-US" w:eastAsia="zh-CN" w:bidi="ar"/>
              </w:rPr>
              <w:t>-Z2-1</w:t>
            </w:r>
          </w:p>
        </w:tc>
        <w:tc>
          <w:tcPr>
            <w:tcW w:w="20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项目区</w:t>
            </w:r>
            <w:r>
              <w:rPr>
                <w:rFonts w:hint="eastAsia" w:cs="宋体"/>
                <w:i w:val="0"/>
                <w:color w:val="FF0000"/>
                <w:kern w:val="0"/>
                <w:sz w:val="21"/>
                <w:szCs w:val="21"/>
                <w:u w:val="none"/>
                <w:lang w:val="en-US" w:eastAsia="zh-CN" w:bidi="ar"/>
              </w:rPr>
              <w:t>西</w:t>
            </w:r>
            <w:r>
              <w:rPr>
                <w:rFonts w:hint="eastAsia" w:ascii="宋体" w:hAnsi="宋体" w:eastAsia="宋体" w:cs="宋体"/>
                <w:i w:val="0"/>
                <w:color w:val="FF0000"/>
                <w:kern w:val="0"/>
                <w:sz w:val="21"/>
                <w:szCs w:val="21"/>
                <w:u w:val="none"/>
                <w:lang w:val="en-US" w:eastAsia="zh-CN" w:bidi="ar"/>
              </w:rPr>
              <w:t>侧外1m</w:t>
            </w:r>
          </w:p>
        </w:tc>
        <w:tc>
          <w:tcPr>
            <w:tcW w:w="15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11:27-11:37</w:t>
            </w:r>
          </w:p>
        </w:tc>
        <w:tc>
          <w:tcPr>
            <w:tcW w:w="10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40</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00:25-00:35</w:t>
            </w:r>
          </w:p>
        </w:tc>
        <w:tc>
          <w:tcPr>
            <w:tcW w:w="10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16</w:t>
            </w:r>
          </w:p>
        </w:tc>
      </w:tr>
      <w:tr>
        <w:tblPrEx>
          <w:tblCellMar>
            <w:top w:w="0" w:type="dxa"/>
            <w:left w:w="0" w:type="dxa"/>
            <w:bottom w:w="0" w:type="dxa"/>
            <w:right w:w="0" w:type="dxa"/>
          </w:tblCellMar>
        </w:tblPrEx>
        <w:trPr>
          <w:trHeight w:val="312"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5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r>
      <w:tr>
        <w:tblPrEx>
          <w:tblCellMar>
            <w:top w:w="0" w:type="dxa"/>
            <w:left w:w="0" w:type="dxa"/>
            <w:bottom w:w="0" w:type="dxa"/>
            <w:right w:w="0" w:type="dxa"/>
          </w:tblCellMar>
        </w:tblPrEx>
        <w:trPr>
          <w:trHeight w:val="312" w:hRule="atLeast"/>
        </w:trPr>
        <w:tc>
          <w:tcPr>
            <w:tcW w:w="19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2020001</w:t>
            </w:r>
            <w:r>
              <w:rPr>
                <w:rFonts w:hint="eastAsia" w:cs="宋体"/>
                <w:i w:val="0"/>
                <w:color w:val="FF0000"/>
                <w:kern w:val="0"/>
                <w:sz w:val="21"/>
                <w:szCs w:val="21"/>
                <w:u w:val="none"/>
                <w:lang w:val="en-US" w:eastAsia="zh-CN" w:bidi="ar"/>
              </w:rPr>
              <w:t>2</w:t>
            </w:r>
            <w:r>
              <w:rPr>
                <w:rFonts w:hint="eastAsia" w:ascii="宋体" w:hAnsi="宋体" w:eastAsia="宋体" w:cs="宋体"/>
                <w:i w:val="0"/>
                <w:color w:val="FF0000"/>
                <w:kern w:val="0"/>
                <w:sz w:val="21"/>
                <w:szCs w:val="21"/>
                <w:u w:val="none"/>
                <w:lang w:val="en-US" w:eastAsia="zh-CN" w:bidi="ar"/>
              </w:rPr>
              <w:t>-Z3-1</w:t>
            </w:r>
          </w:p>
        </w:tc>
        <w:tc>
          <w:tcPr>
            <w:tcW w:w="20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项目区</w:t>
            </w:r>
            <w:r>
              <w:rPr>
                <w:rFonts w:hint="eastAsia" w:cs="宋体"/>
                <w:i w:val="0"/>
                <w:color w:val="FF0000"/>
                <w:kern w:val="0"/>
                <w:sz w:val="21"/>
                <w:szCs w:val="21"/>
                <w:u w:val="none"/>
                <w:lang w:val="en-US" w:eastAsia="zh-CN" w:bidi="ar"/>
              </w:rPr>
              <w:t>北</w:t>
            </w:r>
            <w:r>
              <w:rPr>
                <w:rFonts w:hint="eastAsia" w:ascii="宋体" w:hAnsi="宋体" w:eastAsia="宋体" w:cs="宋体"/>
                <w:i w:val="0"/>
                <w:color w:val="FF0000"/>
                <w:kern w:val="0"/>
                <w:sz w:val="21"/>
                <w:szCs w:val="21"/>
                <w:u w:val="none"/>
                <w:lang w:val="en-US" w:eastAsia="zh-CN" w:bidi="ar"/>
              </w:rPr>
              <w:t>侧外1m</w:t>
            </w:r>
          </w:p>
        </w:tc>
        <w:tc>
          <w:tcPr>
            <w:tcW w:w="15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11:50-12:00</w:t>
            </w:r>
          </w:p>
        </w:tc>
        <w:tc>
          <w:tcPr>
            <w:tcW w:w="10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41</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00:48-00:58</w:t>
            </w:r>
          </w:p>
        </w:tc>
        <w:tc>
          <w:tcPr>
            <w:tcW w:w="10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37</w:t>
            </w:r>
          </w:p>
        </w:tc>
      </w:tr>
      <w:tr>
        <w:tblPrEx>
          <w:tblCellMar>
            <w:top w:w="0" w:type="dxa"/>
            <w:left w:w="0" w:type="dxa"/>
            <w:bottom w:w="0" w:type="dxa"/>
            <w:right w:w="0" w:type="dxa"/>
          </w:tblCellMar>
        </w:tblPrEx>
        <w:trPr>
          <w:trHeight w:val="312"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5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r>
      <w:tr>
        <w:tblPrEx>
          <w:tblCellMar>
            <w:top w:w="0" w:type="dxa"/>
            <w:left w:w="0" w:type="dxa"/>
            <w:bottom w:w="0" w:type="dxa"/>
            <w:right w:w="0" w:type="dxa"/>
          </w:tblCellMar>
        </w:tblPrEx>
        <w:trPr>
          <w:trHeight w:val="312" w:hRule="atLeast"/>
        </w:trPr>
        <w:tc>
          <w:tcPr>
            <w:tcW w:w="19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2020001</w:t>
            </w:r>
            <w:r>
              <w:rPr>
                <w:rFonts w:hint="eastAsia" w:cs="宋体"/>
                <w:i w:val="0"/>
                <w:color w:val="FF0000"/>
                <w:kern w:val="0"/>
                <w:sz w:val="21"/>
                <w:szCs w:val="21"/>
                <w:u w:val="none"/>
                <w:lang w:val="en-US" w:eastAsia="zh-CN" w:bidi="ar"/>
              </w:rPr>
              <w:t>2</w:t>
            </w:r>
            <w:r>
              <w:rPr>
                <w:rFonts w:hint="eastAsia" w:ascii="宋体" w:hAnsi="宋体" w:eastAsia="宋体" w:cs="宋体"/>
                <w:i w:val="0"/>
                <w:color w:val="FF0000"/>
                <w:kern w:val="0"/>
                <w:sz w:val="21"/>
                <w:szCs w:val="21"/>
                <w:u w:val="none"/>
                <w:lang w:val="en-US" w:eastAsia="zh-CN" w:bidi="ar"/>
              </w:rPr>
              <w:t>-Z4-1</w:t>
            </w:r>
          </w:p>
        </w:tc>
        <w:tc>
          <w:tcPr>
            <w:tcW w:w="20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项目区</w:t>
            </w:r>
            <w:r>
              <w:rPr>
                <w:rFonts w:hint="eastAsia" w:cs="宋体"/>
                <w:i w:val="0"/>
                <w:color w:val="FF0000"/>
                <w:kern w:val="0"/>
                <w:sz w:val="21"/>
                <w:szCs w:val="21"/>
                <w:u w:val="none"/>
                <w:lang w:val="en-US" w:eastAsia="zh-CN" w:bidi="ar"/>
              </w:rPr>
              <w:t>东</w:t>
            </w:r>
            <w:r>
              <w:rPr>
                <w:rFonts w:hint="eastAsia" w:ascii="宋体" w:hAnsi="宋体" w:eastAsia="宋体" w:cs="宋体"/>
                <w:i w:val="0"/>
                <w:color w:val="FF0000"/>
                <w:kern w:val="0"/>
                <w:sz w:val="21"/>
                <w:szCs w:val="21"/>
                <w:u w:val="none"/>
                <w:lang w:val="en-US" w:eastAsia="zh-CN" w:bidi="ar"/>
              </w:rPr>
              <w:t>侧外1m</w:t>
            </w:r>
          </w:p>
        </w:tc>
        <w:tc>
          <w:tcPr>
            <w:tcW w:w="15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12:13-12:23</w:t>
            </w:r>
          </w:p>
        </w:tc>
        <w:tc>
          <w:tcPr>
            <w:tcW w:w="10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41</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01:14-01:24</w:t>
            </w:r>
          </w:p>
        </w:tc>
        <w:tc>
          <w:tcPr>
            <w:tcW w:w="10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1"/>
                <w:szCs w:val="21"/>
                <w:u w:val="none"/>
                <w:lang w:val="en-US"/>
              </w:rPr>
            </w:pPr>
            <w:r>
              <w:rPr>
                <w:rFonts w:hint="eastAsia" w:cs="宋体"/>
                <w:i w:val="0"/>
                <w:color w:val="FF0000"/>
                <w:kern w:val="0"/>
                <w:sz w:val="21"/>
                <w:szCs w:val="21"/>
                <w:u w:val="none"/>
                <w:lang w:val="en-US" w:eastAsia="zh-CN" w:bidi="ar"/>
              </w:rPr>
              <w:t>16</w:t>
            </w:r>
          </w:p>
        </w:tc>
      </w:tr>
      <w:tr>
        <w:tblPrEx>
          <w:tblCellMar>
            <w:top w:w="0" w:type="dxa"/>
            <w:left w:w="0" w:type="dxa"/>
            <w:bottom w:w="0" w:type="dxa"/>
            <w:right w:w="0" w:type="dxa"/>
          </w:tblCellMar>
        </w:tblPrEx>
        <w:trPr>
          <w:trHeight w:val="312" w:hRule="atLeast"/>
        </w:trPr>
        <w:tc>
          <w:tcPr>
            <w:tcW w:w="19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20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5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c>
          <w:tcPr>
            <w:tcW w:w="10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1"/>
                <w:szCs w:val="21"/>
                <w:u w:val="none"/>
              </w:rPr>
            </w:pPr>
          </w:p>
        </w:tc>
      </w:tr>
    </w:tbl>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由以上监测结果可以看出，本项目四个厂界昼间、夜间声环境均满足《声环境质量标准》（GB 3096-2008）中</w:t>
      </w:r>
      <w:r>
        <w:rPr>
          <w:rFonts w:hint="eastAsia" w:ascii="Times New Roman" w:hAnsi="Times New Roman" w:eastAsia="宋体" w:cs="Times New Roman"/>
          <w:color w:val="0000FF"/>
          <w:sz w:val="24"/>
          <w:lang w:val="en-US" w:eastAsia="zh-CN"/>
        </w:rPr>
        <w:t>2</w:t>
      </w:r>
      <w:r>
        <w:rPr>
          <w:rFonts w:hint="default" w:ascii="Times New Roman" w:hAnsi="Times New Roman" w:eastAsia="宋体" w:cs="Times New Roman"/>
          <w:color w:val="0000FF"/>
          <w:sz w:val="24"/>
        </w:rPr>
        <w:t>类标准要求。</w:t>
      </w:r>
    </w:p>
    <w:p>
      <w:pPr>
        <w:pStyle w:val="5"/>
        <w:numPr>
          <w:ilvl w:val="2"/>
          <w:numId w:val="37"/>
        </w:numPr>
        <w:tabs>
          <w:tab w:val="left" w:pos="1241"/>
        </w:tabs>
        <w:spacing w:before="117" w:after="0" w:line="240" w:lineRule="auto"/>
        <w:ind w:left="1240" w:right="0" w:hanging="701"/>
        <w:jc w:val="left"/>
        <w:outlineLvl w:val="2"/>
      </w:pPr>
      <w:bookmarkStart w:id="257" w:name="4.2.4 土壤环境质量现状与评价"/>
      <w:bookmarkEnd w:id="257"/>
      <w:bookmarkStart w:id="258" w:name="4.2.4 土壤环境质量现状与评价"/>
      <w:bookmarkEnd w:id="258"/>
      <w:bookmarkStart w:id="259" w:name="_Toc28745"/>
      <w:r>
        <w:t>土壤环境质量现状与评价</w:t>
      </w:r>
      <w:bookmarkEnd w:id="259"/>
    </w:p>
    <w:p>
      <w:pPr>
        <w:spacing w:line="360" w:lineRule="auto"/>
        <w:ind w:firstLine="480" w:firstLineChars="200"/>
        <w:rPr>
          <w:rFonts w:hint="eastAsia" w:ascii="宋体" w:hAnsi="宋体" w:eastAsia="宋体" w:cs="宋体"/>
          <w:color w:val="0000FF"/>
          <w:sz w:val="24"/>
          <w:lang w:val="en-US" w:eastAsia="zh-CN"/>
        </w:rPr>
      </w:pPr>
      <w:r>
        <w:rPr>
          <w:rFonts w:hint="eastAsia" w:ascii="Times New Roman" w:hAnsi="Times New Roman" w:eastAsia="宋体" w:cs="Times New Roman"/>
          <w:color w:val="0000FF"/>
          <w:sz w:val="24"/>
          <w:lang w:val="en-US" w:eastAsia="zh-CN"/>
        </w:rPr>
        <w:t>对照《环境影响评价技术导则 土壤环境（试行）》（HJ964-2018）附录A，项目类别为Ⅲ类项目，项目周边存在土地环境敏感目标，项目所在区域土壤环境敏感程度为“敏感”，土壤环境评价工作等级为三级，故本次评价对项目区土壤环境现状进行调查</w:t>
      </w:r>
      <w:r>
        <w:rPr>
          <w:rFonts w:hint="eastAsia" w:ascii="宋体" w:hAnsi="宋体" w:eastAsia="宋体" w:cs="宋体"/>
          <w:color w:val="0000FF"/>
          <w:sz w:val="24"/>
          <w:lang w:val="en-US" w:eastAsia="zh-CN"/>
        </w:rPr>
        <w:t>。本项目土壤现状监测新疆环疆绿源环保科技有限公司于2020年1月</w:t>
      </w:r>
      <w:r>
        <w:rPr>
          <w:rFonts w:hint="eastAsia" w:cs="宋体"/>
          <w:color w:val="0000FF"/>
          <w:sz w:val="24"/>
          <w:lang w:val="en-US" w:eastAsia="zh-CN"/>
        </w:rPr>
        <w:t>9</w:t>
      </w:r>
      <w:r>
        <w:rPr>
          <w:rFonts w:hint="eastAsia" w:ascii="宋体" w:hAnsi="宋体" w:eastAsia="宋体" w:cs="宋体"/>
          <w:color w:val="0000FF"/>
          <w:sz w:val="24"/>
          <w:lang w:val="en-US" w:eastAsia="zh-CN"/>
        </w:rPr>
        <w:t>日采样。</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（1）监测布点</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占地范围内3个表层样。</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监测分析方法</w:t>
      </w:r>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土壤监测分析方法参照国家环保局《土壤环境监测技术规范》（HJ/T166－2004）执行。</w:t>
      </w:r>
    </w:p>
    <w:p>
      <w:pPr>
        <w:pStyle w:val="7"/>
        <w:numPr>
          <w:ilvl w:val="0"/>
          <w:numId w:val="0"/>
        </w:numPr>
        <w:ind w:left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（3）评价标准</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本项目所在区域不属于农用地，采用《土壤环境质量建设用地土壤污染风险管控标准（试行）》（GB36600-2018）中第二类用地标准，对评价区域土壤环境质量现状进行评价。</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（4）监测及评价结果</w:t>
      </w:r>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土壤环境质量评价结果见表4.2-9</w:t>
      </w:r>
    </w:p>
    <w:p>
      <w:pPr>
        <w:spacing w:line="360" w:lineRule="auto"/>
        <w:jc w:val="center"/>
        <w:rPr>
          <w:rFonts w:hint="eastAsia" w:ascii="Times New Roman" w:hAnsi="Times New Roman" w:eastAsia="宋体" w:cs="Times New Roman"/>
          <w:b/>
          <w:color w:val="0000FF"/>
          <w:szCs w:val="21"/>
          <w:lang w:bidi="ar"/>
        </w:rPr>
      </w:pPr>
      <w:r>
        <w:rPr>
          <w:rFonts w:hint="eastAsia" w:ascii="Times New Roman" w:hAnsi="Times New Roman" w:eastAsia="宋体" w:cs="Times New Roman"/>
          <w:b/>
          <w:color w:val="0000FF"/>
          <w:szCs w:val="21"/>
          <w:lang w:val="en-US" w:eastAsia="zh-CN" w:bidi="ar"/>
        </w:rPr>
        <w:t>表</w:t>
      </w:r>
      <w:r>
        <w:rPr>
          <w:rFonts w:hint="eastAsia" w:ascii="Times New Roman" w:hAnsi="Times New Roman" w:eastAsia="宋体" w:cs="Times New Roman"/>
          <w:b/>
          <w:color w:val="0000FF"/>
          <w:szCs w:val="21"/>
          <w:lang w:bidi="ar"/>
        </w:rPr>
        <w:t>4</w:t>
      </w:r>
      <w:r>
        <w:rPr>
          <w:rFonts w:hint="eastAsia" w:ascii="Times New Roman" w:hAnsi="Times New Roman" w:eastAsia="宋体" w:cs="Times New Roman"/>
          <w:b/>
          <w:color w:val="0000FF"/>
          <w:szCs w:val="21"/>
          <w:lang w:val="en-US" w:eastAsia="zh-CN" w:bidi="ar"/>
        </w:rPr>
        <w:t>.2</w:t>
      </w:r>
      <w:r>
        <w:rPr>
          <w:rFonts w:hint="eastAsia" w:ascii="Times New Roman" w:hAnsi="Times New Roman" w:eastAsia="宋体" w:cs="Times New Roman"/>
          <w:b/>
          <w:color w:val="0000FF"/>
          <w:szCs w:val="21"/>
          <w:lang w:bidi="ar"/>
        </w:rPr>
        <w:t>-</w:t>
      </w:r>
      <w:r>
        <w:rPr>
          <w:rFonts w:hint="eastAsia" w:ascii="Times New Roman" w:hAnsi="Times New Roman" w:eastAsia="宋体" w:cs="Times New Roman"/>
          <w:b/>
          <w:color w:val="0000FF"/>
          <w:szCs w:val="21"/>
          <w:lang w:val="en-US" w:eastAsia="zh-CN" w:bidi="ar"/>
        </w:rPr>
        <w:t xml:space="preserve">9  </w:t>
      </w:r>
      <w:r>
        <w:rPr>
          <w:rFonts w:hint="eastAsia" w:ascii="Times New Roman" w:hAnsi="Times New Roman" w:eastAsia="宋体" w:cs="Times New Roman"/>
          <w:b/>
          <w:color w:val="0000FF"/>
          <w:szCs w:val="21"/>
          <w:lang w:bidi="ar"/>
        </w:rPr>
        <w:t>土壤监测及评价结果（</w:t>
      </w:r>
      <w:r>
        <w:rPr>
          <w:rFonts w:hint="eastAsia" w:ascii="Times New Roman" w:hAnsi="Times New Roman" w:eastAsia="宋体" w:cs="Times New Roman"/>
          <w:b/>
          <w:color w:val="0000FF"/>
          <w:szCs w:val="21"/>
          <w:lang w:val="en-US" w:eastAsia="zh-CN" w:bidi="ar"/>
        </w:rPr>
        <w:t>T1</w:t>
      </w:r>
      <w:r>
        <w:rPr>
          <w:rFonts w:hint="eastAsia" w:ascii="Times New Roman" w:hAnsi="Times New Roman" w:eastAsia="宋体" w:cs="Times New Roman"/>
          <w:b/>
          <w:color w:val="0000FF"/>
          <w:szCs w:val="21"/>
          <w:lang w:bidi="ar"/>
        </w:rPr>
        <w:t>、</w:t>
      </w:r>
      <w:r>
        <w:rPr>
          <w:rFonts w:hint="eastAsia" w:ascii="Times New Roman" w:hAnsi="Times New Roman" w:eastAsia="宋体" w:cs="Times New Roman"/>
          <w:b/>
          <w:color w:val="0000FF"/>
          <w:szCs w:val="21"/>
          <w:lang w:val="en-US" w:eastAsia="zh-CN" w:bidi="ar"/>
        </w:rPr>
        <w:t>T2、T3</w:t>
      </w:r>
      <w:r>
        <w:rPr>
          <w:rFonts w:hint="eastAsia" w:ascii="Times New Roman" w:hAnsi="Times New Roman" w:eastAsia="宋体" w:cs="Times New Roman"/>
          <w:b/>
          <w:color w:val="0000FF"/>
          <w:szCs w:val="21"/>
          <w:lang w:bidi="ar"/>
        </w:rPr>
        <w:t>）单位：mg/kg</w:t>
      </w:r>
    </w:p>
    <w:tbl>
      <w:tblPr>
        <w:tblStyle w:val="14"/>
        <w:tblpPr w:leftFromText="180" w:rightFromText="180" w:vertAnchor="text" w:horzAnchor="page" w:tblpX="1346" w:tblpY="469"/>
        <w:tblOverlap w:val="never"/>
        <w:tblW w:w="9319" w:type="dxa"/>
        <w:tblInd w:w="0" w:type="dxa"/>
        <w:tblLayout w:type="autofit"/>
        <w:tblCellMar>
          <w:top w:w="0" w:type="dxa"/>
          <w:left w:w="0" w:type="dxa"/>
          <w:bottom w:w="0" w:type="dxa"/>
          <w:right w:w="0" w:type="dxa"/>
        </w:tblCellMar>
      </w:tblPr>
      <w:tblGrid>
        <w:gridCol w:w="1327"/>
        <w:gridCol w:w="1006"/>
        <w:gridCol w:w="884"/>
        <w:gridCol w:w="823"/>
        <w:gridCol w:w="808"/>
        <w:gridCol w:w="792"/>
        <w:gridCol w:w="808"/>
        <w:gridCol w:w="824"/>
        <w:gridCol w:w="639"/>
        <w:gridCol w:w="518"/>
        <w:gridCol w:w="890"/>
      </w:tblGrid>
      <w:tr>
        <w:tblPrEx>
          <w:tblCellMar>
            <w:top w:w="0" w:type="dxa"/>
            <w:left w:w="0" w:type="dxa"/>
            <w:bottom w:w="0" w:type="dxa"/>
            <w:right w:w="0" w:type="dxa"/>
          </w:tblCellMar>
        </w:tblPrEx>
        <w:trPr>
          <w:trHeight w:val="338" w:hRule="atLeast"/>
        </w:trPr>
        <w:tc>
          <w:tcPr>
            <w:tcW w:w="13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点位编号</w:t>
            </w:r>
          </w:p>
        </w:tc>
        <w:tc>
          <w:tcPr>
            <w:tcW w:w="1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样品</w:t>
            </w:r>
          </w:p>
        </w:tc>
        <w:tc>
          <w:tcPr>
            <w:tcW w:w="6986" w:type="dxa"/>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检测项目</w:t>
            </w:r>
          </w:p>
        </w:tc>
      </w:tr>
      <w:tr>
        <w:tblPrEx>
          <w:tblCellMar>
            <w:top w:w="0" w:type="dxa"/>
            <w:left w:w="0" w:type="dxa"/>
            <w:bottom w:w="0" w:type="dxa"/>
            <w:right w:w="0" w:type="dxa"/>
          </w:tblCellMar>
        </w:tblPrEx>
        <w:trPr>
          <w:trHeight w:val="338" w:hRule="atLeast"/>
        </w:trPr>
        <w:tc>
          <w:tcPr>
            <w:tcW w:w="13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状态</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PH</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总砷</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总汞</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铅</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镉</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六价铬</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铜</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镍</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锌</w:t>
            </w:r>
          </w:p>
        </w:tc>
      </w:tr>
      <w:tr>
        <w:tblPrEx>
          <w:tblCellMar>
            <w:top w:w="0" w:type="dxa"/>
            <w:left w:w="0" w:type="dxa"/>
            <w:bottom w:w="0" w:type="dxa"/>
            <w:right w:w="0" w:type="dxa"/>
          </w:tblCellMar>
        </w:tblPrEx>
        <w:trPr>
          <w:trHeight w:val="965"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T1:厂界</w:t>
            </w:r>
            <w:r>
              <w:rPr>
                <w:rFonts w:hint="eastAsia" w:ascii="宋体" w:hAnsi="宋体" w:eastAsia="宋体" w:cs="宋体"/>
                <w:i w:val="0"/>
                <w:color w:val="FF0000"/>
                <w:kern w:val="0"/>
                <w:sz w:val="24"/>
                <w:szCs w:val="24"/>
                <w:u w:val="none"/>
                <w:lang w:val="en-US" w:eastAsia="zh-CN" w:bidi="ar"/>
              </w:rPr>
              <w:br w:type="textWrapping"/>
            </w:r>
            <w:r>
              <w:rPr>
                <w:rFonts w:hint="eastAsia" w:ascii="宋体" w:hAnsi="宋体" w:eastAsia="宋体" w:cs="宋体"/>
                <w:i w:val="0"/>
                <w:color w:val="FF0000"/>
                <w:kern w:val="0"/>
                <w:sz w:val="24"/>
                <w:szCs w:val="24"/>
                <w:u w:val="none"/>
                <w:lang w:val="en-US" w:eastAsia="zh-CN" w:bidi="ar"/>
              </w:rPr>
              <w:t>内土壤(表层:0-20cm)</w:t>
            </w:r>
          </w:p>
        </w:tc>
        <w:tc>
          <w:tcPr>
            <w:tcW w:w="100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棕色、砂土、干</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7.8</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10.5</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0.237</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18.2</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0.2</w:t>
            </w:r>
            <w:r>
              <w:rPr>
                <w:rFonts w:hint="eastAsia" w:cs="宋体"/>
                <w:i w:val="0"/>
                <w:color w:val="FF0000"/>
                <w:kern w:val="0"/>
                <w:sz w:val="24"/>
                <w:szCs w:val="24"/>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cs="宋体"/>
                <w:i w:val="0"/>
                <w:color w:val="FF0000"/>
                <w:kern w:val="0"/>
                <w:sz w:val="24"/>
                <w:szCs w:val="24"/>
                <w:u w:val="none"/>
                <w:lang w:val="en-US" w:eastAsia="zh-CN" w:bidi="ar"/>
              </w:rPr>
              <w:t>3</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24</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18</w:t>
            </w:r>
          </w:p>
        </w:tc>
      </w:tr>
      <w:tr>
        <w:tblPrEx>
          <w:tblCellMar>
            <w:top w:w="0" w:type="dxa"/>
            <w:left w:w="0" w:type="dxa"/>
            <w:bottom w:w="0" w:type="dxa"/>
            <w:right w:w="0" w:type="dxa"/>
          </w:tblCellMar>
        </w:tblPrEx>
        <w:trPr>
          <w:trHeight w:val="1033"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T2:厂界</w:t>
            </w:r>
            <w:r>
              <w:rPr>
                <w:rFonts w:hint="eastAsia" w:ascii="宋体" w:hAnsi="宋体" w:eastAsia="宋体" w:cs="宋体"/>
                <w:i w:val="0"/>
                <w:color w:val="FF0000"/>
                <w:kern w:val="0"/>
                <w:sz w:val="24"/>
                <w:szCs w:val="24"/>
                <w:u w:val="none"/>
                <w:lang w:val="en-US" w:eastAsia="zh-CN" w:bidi="ar"/>
              </w:rPr>
              <w:br w:type="textWrapping"/>
            </w:r>
            <w:r>
              <w:rPr>
                <w:rFonts w:hint="eastAsia" w:ascii="宋体" w:hAnsi="宋体" w:eastAsia="宋体" w:cs="宋体"/>
                <w:i w:val="0"/>
                <w:color w:val="FF0000"/>
                <w:kern w:val="0"/>
                <w:sz w:val="24"/>
                <w:szCs w:val="24"/>
                <w:u w:val="none"/>
                <w:lang w:val="en-US" w:eastAsia="zh-CN" w:bidi="ar"/>
              </w:rPr>
              <w:t>外土壤(表层:0-20cm)</w:t>
            </w:r>
          </w:p>
        </w:tc>
        <w:tc>
          <w:tcPr>
            <w:tcW w:w="100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4"/>
                <w:szCs w:val="24"/>
                <w:u w:val="none"/>
              </w:rPr>
            </w:pP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ascii="宋体" w:hAnsi="宋体" w:eastAsia="宋体" w:cs="宋体"/>
                <w:i w:val="0"/>
                <w:color w:val="FF0000"/>
                <w:kern w:val="0"/>
                <w:sz w:val="24"/>
                <w:szCs w:val="24"/>
                <w:u w:val="none"/>
                <w:lang w:val="en-US" w:eastAsia="zh-CN" w:bidi="ar"/>
              </w:rPr>
              <w:t>8.</w:t>
            </w:r>
            <w:r>
              <w:rPr>
                <w:rFonts w:hint="eastAsia" w:cs="宋体"/>
                <w:i w:val="0"/>
                <w:color w:val="FF0000"/>
                <w:kern w:val="0"/>
                <w:sz w:val="24"/>
                <w:szCs w:val="24"/>
                <w:u w:val="none"/>
                <w:lang w:val="en-US" w:eastAsia="zh-CN" w:bidi="ar"/>
              </w:rPr>
              <w:t>38</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14.1</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0.069</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8.2</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0.05</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cs="宋体"/>
                <w:i w:val="0"/>
                <w:color w:val="FF0000"/>
                <w:kern w:val="0"/>
                <w:sz w:val="24"/>
                <w:szCs w:val="24"/>
                <w:u w:val="none"/>
                <w:lang w:val="en-US" w:eastAsia="zh-CN" w:bidi="ar"/>
              </w:rPr>
              <w:t>5</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ascii="宋体" w:hAnsi="宋体" w:eastAsia="宋体" w:cs="宋体"/>
                <w:i w:val="0"/>
                <w:color w:val="FF0000"/>
                <w:kern w:val="0"/>
                <w:sz w:val="24"/>
                <w:szCs w:val="24"/>
                <w:u w:val="none"/>
                <w:lang w:val="en-US" w:eastAsia="zh-CN" w:bidi="ar"/>
              </w:rPr>
              <w:t>3</w:t>
            </w:r>
            <w:r>
              <w:rPr>
                <w:rFonts w:hint="eastAsia" w:cs="宋体"/>
                <w:i w:val="0"/>
                <w:color w:val="FF0000"/>
                <w:kern w:val="0"/>
                <w:sz w:val="24"/>
                <w:szCs w:val="24"/>
                <w:u w:val="none"/>
                <w:lang w:val="en-US" w:eastAsia="zh-CN" w:bidi="ar"/>
              </w:rPr>
              <w:t>3</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ascii="宋体" w:hAnsi="宋体" w:eastAsia="宋体" w:cs="宋体"/>
                <w:i w:val="0"/>
                <w:color w:val="FF0000"/>
                <w:kern w:val="0"/>
                <w:sz w:val="24"/>
                <w:szCs w:val="24"/>
                <w:u w:val="none"/>
                <w:lang w:val="en-US" w:eastAsia="zh-CN" w:bidi="ar"/>
              </w:rPr>
              <w:t>3</w:t>
            </w:r>
            <w:r>
              <w:rPr>
                <w:rFonts w:hint="eastAsia" w:cs="宋体"/>
                <w:i w:val="0"/>
                <w:color w:val="FF0000"/>
                <w:kern w:val="0"/>
                <w:sz w:val="24"/>
                <w:szCs w:val="24"/>
                <w:u w:val="none"/>
                <w:lang w:val="en-US" w:eastAsia="zh-CN" w:bidi="ar"/>
              </w:rPr>
              <w:t>0</w:t>
            </w:r>
          </w:p>
        </w:tc>
      </w:tr>
      <w:tr>
        <w:tblPrEx>
          <w:tblCellMar>
            <w:top w:w="0" w:type="dxa"/>
            <w:left w:w="0" w:type="dxa"/>
            <w:bottom w:w="0" w:type="dxa"/>
            <w:right w:w="0" w:type="dxa"/>
          </w:tblCellMar>
        </w:tblPrEx>
        <w:trPr>
          <w:trHeight w:val="1012"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T3:厂界</w:t>
            </w:r>
            <w:r>
              <w:rPr>
                <w:rFonts w:hint="eastAsia" w:ascii="宋体" w:hAnsi="宋体" w:eastAsia="宋体" w:cs="宋体"/>
                <w:i w:val="0"/>
                <w:color w:val="FF0000"/>
                <w:kern w:val="0"/>
                <w:sz w:val="24"/>
                <w:szCs w:val="24"/>
                <w:u w:val="none"/>
                <w:lang w:val="en-US" w:eastAsia="zh-CN" w:bidi="ar"/>
              </w:rPr>
              <w:br w:type="textWrapping"/>
            </w:r>
            <w:r>
              <w:rPr>
                <w:rFonts w:hint="eastAsia" w:ascii="宋体" w:hAnsi="宋体" w:eastAsia="宋体" w:cs="宋体"/>
                <w:i w:val="0"/>
                <w:color w:val="FF0000"/>
                <w:kern w:val="0"/>
                <w:sz w:val="24"/>
                <w:szCs w:val="24"/>
                <w:u w:val="none"/>
                <w:lang w:val="en-US" w:eastAsia="zh-CN" w:bidi="ar"/>
              </w:rPr>
              <w:t>外土壤(表层:0-20cm)</w:t>
            </w:r>
          </w:p>
        </w:tc>
        <w:tc>
          <w:tcPr>
            <w:tcW w:w="100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FF0000"/>
                <w:sz w:val="24"/>
                <w:szCs w:val="24"/>
                <w:u w:val="none"/>
              </w:rPr>
            </w:pP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8.41</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10.9</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0.463</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14.0</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0.1</w:t>
            </w:r>
            <w:r>
              <w:rPr>
                <w:rFonts w:hint="eastAsia" w:cs="宋体"/>
                <w:i w:val="0"/>
                <w:color w:val="FF0000"/>
                <w:kern w:val="0"/>
                <w:sz w:val="24"/>
                <w:szCs w:val="24"/>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cs="宋体"/>
                <w:i w:val="0"/>
                <w:color w:val="FF0000"/>
                <w:kern w:val="0"/>
                <w:sz w:val="24"/>
                <w:szCs w:val="24"/>
                <w:u w:val="none"/>
                <w:lang w:val="en-US" w:eastAsia="zh-CN" w:bidi="ar"/>
              </w:rPr>
              <w:t>4</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25</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4"/>
                <w:szCs w:val="24"/>
                <w:u w:val="none"/>
                <w:lang w:val="en-US"/>
              </w:rPr>
            </w:pPr>
            <w:r>
              <w:rPr>
                <w:rFonts w:hint="eastAsia" w:cs="宋体"/>
                <w:i w:val="0"/>
                <w:color w:val="FF0000"/>
                <w:kern w:val="0"/>
                <w:sz w:val="24"/>
                <w:szCs w:val="24"/>
                <w:u w:val="none"/>
                <w:lang w:val="en-US" w:eastAsia="zh-CN" w:bidi="ar"/>
              </w:rPr>
              <w:t>21</w:t>
            </w:r>
          </w:p>
        </w:tc>
      </w:tr>
      <w:tr>
        <w:tblPrEx>
          <w:tblCellMar>
            <w:top w:w="0" w:type="dxa"/>
            <w:left w:w="0" w:type="dxa"/>
            <w:bottom w:w="0" w:type="dxa"/>
            <w:right w:w="0" w:type="dxa"/>
          </w:tblCellMar>
        </w:tblPrEx>
        <w:trPr>
          <w:trHeight w:val="338" w:hRule="atLeast"/>
        </w:trPr>
        <w:tc>
          <w:tcPr>
            <w:tcW w:w="233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筛选</w:t>
            </w:r>
            <w:r>
              <w:rPr>
                <w:rStyle w:val="24"/>
                <w:color w:val="FF0000"/>
                <w:sz w:val="24"/>
                <w:szCs w:val="24"/>
                <w:lang w:val="en-US" w:eastAsia="zh-CN" w:bidi="ar"/>
              </w:rPr>
              <w:t>值</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60</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38</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800</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65</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5.7</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18000</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900</w:t>
            </w:r>
          </w:p>
        </w:tc>
        <w:tc>
          <w:tcPr>
            <w:tcW w:w="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w:t>
            </w:r>
          </w:p>
        </w:tc>
      </w:tr>
      <w:tr>
        <w:tblPrEx>
          <w:tblCellMar>
            <w:top w:w="0" w:type="dxa"/>
            <w:left w:w="0" w:type="dxa"/>
            <w:bottom w:w="0" w:type="dxa"/>
            <w:right w:w="0" w:type="dxa"/>
          </w:tblCellMar>
        </w:tblPrEx>
        <w:trPr>
          <w:trHeight w:val="348" w:hRule="atLeast"/>
        </w:trPr>
        <w:tc>
          <w:tcPr>
            <w:tcW w:w="233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达标情况</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达标</w:t>
            </w:r>
          </w:p>
        </w:tc>
        <w:tc>
          <w:tcPr>
            <w:tcW w:w="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4"/>
                <w:szCs w:val="24"/>
                <w:u w:val="none"/>
              </w:rPr>
            </w:pPr>
            <w:r>
              <w:rPr>
                <w:rFonts w:hint="eastAsia" w:ascii="宋体" w:hAnsi="宋体" w:eastAsia="宋体" w:cs="宋体"/>
                <w:i w:val="0"/>
                <w:color w:val="FF0000"/>
                <w:kern w:val="0"/>
                <w:sz w:val="24"/>
                <w:szCs w:val="24"/>
                <w:u w:val="none"/>
                <w:lang w:val="en-US" w:eastAsia="zh-CN" w:bidi="ar"/>
              </w:rPr>
              <w:t>-</w:t>
            </w:r>
          </w:p>
        </w:tc>
      </w:tr>
    </w:tbl>
    <w:p>
      <w:pPr>
        <w:spacing w:line="360" w:lineRule="auto"/>
        <w:ind w:firstLine="480" w:firstLineChars="200"/>
        <w:rPr>
          <w:rFonts w:hint="eastAsia" w:ascii="Times New Roman" w:hAnsi="Times New Roman" w:eastAsia="宋体" w:cs="Times New Roman"/>
          <w:color w:val="0000FF"/>
          <w:sz w:val="24"/>
        </w:rPr>
      </w:pPr>
    </w:p>
    <w:p>
      <w:pPr>
        <w:pStyle w:val="7"/>
        <w:spacing w:before="90" w:line="364" w:lineRule="auto"/>
        <w:ind w:left="220" w:right="243" w:firstLine="480"/>
        <w:jc w:val="both"/>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rPr>
        <w:t>由检测结果表明，</w:t>
      </w:r>
      <w:bookmarkStart w:id="260" w:name="_Toc216670304"/>
      <w:r>
        <w:rPr>
          <w:color w:val="0000FF"/>
          <w:spacing w:val="-5"/>
        </w:rPr>
        <w:t>在项目占地范围内设</w:t>
      </w:r>
      <w:r>
        <w:rPr>
          <w:rFonts w:ascii="Times New Roman" w:eastAsia="Times New Roman"/>
          <w:color w:val="0000FF"/>
        </w:rPr>
        <w:t>3</w:t>
      </w:r>
      <w:r>
        <w:rPr>
          <w:color w:val="0000FF"/>
          <w:spacing w:val="-4"/>
        </w:rPr>
        <w:t>个表层样监测点。其中监测点</w:t>
      </w:r>
      <w:r>
        <w:rPr>
          <w:rFonts w:ascii="Times New Roman" w:eastAsia="Times New Roman"/>
          <w:color w:val="0000FF"/>
        </w:rPr>
        <w:t>1#</w:t>
      </w:r>
      <w:r>
        <w:rPr>
          <w:rFonts w:hint="eastAsia" w:ascii="Times New Roman" w:eastAsia="宋体"/>
          <w:color w:val="0000FF"/>
          <w:lang w:val="en-US" w:eastAsia="zh-CN"/>
        </w:rPr>
        <w:t>2#3#</w:t>
      </w:r>
      <w:r>
        <w:rPr>
          <w:color w:val="0000FF"/>
        </w:rPr>
        <w:t>检测《畜禽养殖产地评价规范》（</w:t>
      </w:r>
      <w:r>
        <w:rPr>
          <w:rFonts w:ascii="Times New Roman" w:eastAsia="Times New Roman"/>
          <w:color w:val="0000FF"/>
        </w:rPr>
        <w:t>HJ568-2010</w:t>
      </w:r>
      <w:r>
        <w:rPr>
          <w:color w:val="0000FF"/>
        </w:rPr>
        <w:t>）</w:t>
      </w:r>
      <w:r>
        <w:rPr>
          <w:color w:val="0000FF"/>
          <w:spacing w:val="-31"/>
        </w:rPr>
        <w:t>表</w:t>
      </w:r>
      <w:r>
        <w:rPr>
          <w:rFonts w:ascii="Times New Roman" w:eastAsia="Times New Roman"/>
          <w:color w:val="0000FF"/>
        </w:rPr>
        <w:t>4</w:t>
      </w:r>
      <w:r>
        <w:rPr>
          <w:color w:val="0000FF"/>
          <w:spacing w:val="-20"/>
        </w:rPr>
        <w:t>所列</w:t>
      </w:r>
      <w:r>
        <w:rPr>
          <w:rFonts w:ascii="Times New Roman" w:eastAsia="Times New Roman"/>
          <w:color w:val="0000FF"/>
        </w:rPr>
        <w:t>8</w:t>
      </w:r>
      <w:r>
        <w:rPr>
          <w:color w:val="0000FF"/>
          <w:spacing w:val="-10"/>
        </w:rPr>
        <w:t>项基本项及</w:t>
      </w:r>
      <w:r>
        <w:rPr>
          <w:rFonts w:ascii="Times New Roman" w:eastAsia="Times New Roman"/>
          <w:color w:val="0000FF"/>
        </w:rPr>
        <w:t>pH</w:t>
      </w:r>
      <w:r>
        <w:rPr>
          <w:color w:val="0000FF"/>
          <w:spacing w:val="-8"/>
        </w:rPr>
        <w:t>、共计</w:t>
      </w:r>
      <w:r>
        <w:rPr>
          <w:rFonts w:hint="eastAsia"/>
          <w:color w:val="0000FF"/>
          <w:spacing w:val="-8"/>
          <w:lang w:val="en-US" w:eastAsia="zh-CN"/>
        </w:rPr>
        <w:t>9</w:t>
      </w:r>
      <w:r>
        <w:rPr>
          <w:color w:val="0000FF"/>
          <w:spacing w:val="-8"/>
        </w:rPr>
        <w:t>项；</w:t>
      </w:r>
      <w:r>
        <w:rPr>
          <w:rFonts w:hint="eastAsia" w:ascii="Times New Roman" w:hAnsi="Times New Roman" w:eastAsia="宋体" w:cs="Times New Roman"/>
          <w:color w:val="0000FF"/>
          <w:sz w:val="24"/>
        </w:rPr>
        <w:t>土壤中所监测的各类因子检测值均低于《土壤环境质量建设用地土壤污染风险管控标准（试行）》（GB36600-2018）中第二类用地标准筛选值，项目区土壤现状环境质量满足《土壤环境质量建设用地土壤污染风险管控标准（试行）》（GB36600-2018）标准的要求。</w:t>
      </w:r>
      <w:bookmarkEnd w:id="260"/>
    </w:p>
    <w:p>
      <w:pPr>
        <w:pStyle w:val="5"/>
        <w:numPr>
          <w:ilvl w:val="2"/>
          <w:numId w:val="37"/>
        </w:numPr>
        <w:tabs>
          <w:tab w:val="left" w:pos="1241"/>
        </w:tabs>
        <w:spacing w:before="116" w:after="0" w:line="240" w:lineRule="auto"/>
        <w:ind w:left="1240" w:right="0" w:hanging="701"/>
        <w:jc w:val="left"/>
        <w:outlineLvl w:val="2"/>
      </w:pPr>
      <w:bookmarkStart w:id="261" w:name="4.2.5 生态环境现状调查与评价"/>
      <w:bookmarkEnd w:id="261"/>
      <w:bookmarkStart w:id="262" w:name="4.2.5 生态环境现状调查与评价"/>
      <w:bookmarkEnd w:id="262"/>
      <w:bookmarkStart w:id="263" w:name="_Toc15636"/>
      <w:r>
        <w:t>生态环境现状调查与评价</w:t>
      </w:r>
      <w:bookmarkEnd w:id="263"/>
    </w:p>
    <w:p>
      <w:pPr>
        <w:pStyle w:val="7"/>
        <w:spacing w:before="4"/>
        <w:ind w:left="0"/>
        <w:rPr>
          <w:b/>
          <w:sz w:val="21"/>
        </w:rPr>
      </w:pPr>
    </w:p>
    <w:p>
      <w:pPr>
        <w:pStyle w:val="17"/>
        <w:numPr>
          <w:ilvl w:val="3"/>
          <w:numId w:val="41"/>
        </w:numPr>
        <w:tabs>
          <w:tab w:val="left" w:pos="1320"/>
        </w:tabs>
        <w:spacing w:before="1" w:after="0" w:line="240" w:lineRule="auto"/>
        <w:ind w:left="1320" w:right="0" w:hanging="780"/>
        <w:jc w:val="left"/>
        <w:rPr>
          <w:sz w:val="24"/>
        </w:rPr>
      </w:pPr>
      <w:r>
        <w:rPr>
          <w:sz w:val="24"/>
        </w:rPr>
        <w:t>生态功能区划</w:t>
      </w:r>
    </w:p>
    <w:p>
      <w:pPr>
        <w:pStyle w:val="7"/>
        <w:spacing w:before="160" w:line="364" w:lineRule="auto"/>
        <w:ind w:right="577" w:firstLine="480"/>
        <w:jc w:val="both"/>
        <w:rPr>
          <w:rFonts w:hint="eastAsia"/>
          <w:color w:val="0000FF"/>
          <w:spacing w:val="-12"/>
          <w:lang w:val="en-US" w:eastAsia="zh-CN"/>
        </w:rPr>
      </w:pPr>
      <w:r>
        <w:rPr>
          <w:rFonts w:hint="eastAsia"/>
          <w:color w:val="0000FF"/>
          <w:spacing w:val="-12"/>
          <w:lang w:val="en-US" w:eastAsia="zh-CN"/>
        </w:rPr>
        <w:t>根据《新疆生态功能区划》，项目所在莎车县属于</w:t>
      </w:r>
      <w:r>
        <w:rPr>
          <w:rFonts w:hint="eastAsia"/>
          <w:color w:val="0000FF"/>
          <w:spacing w:val="-12"/>
        </w:rPr>
        <w:t>塔里木盆地暖温荒漠及绿洲农业生态区</w:t>
      </w:r>
      <w:r>
        <w:rPr>
          <w:rFonts w:hint="eastAsia"/>
          <w:color w:val="0000FF"/>
          <w:spacing w:val="-12"/>
          <w:lang w:val="en-US" w:eastAsia="zh-CN"/>
        </w:rPr>
        <w:t>，</w:t>
      </w:r>
      <w:r>
        <w:rPr>
          <w:rFonts w:hint="eastAsia"/>
          <w:color w:val="0000FF"/>
          <w:spacing w:val="-12"/>
        </w:rPr>
        <w:t>塔里木盆地西部、北部荒漠及绿洲农业生态亚区</w:t>
      </w:r>
      <w:r>
        <w:rPr>
          <w:rFonts w:hint="eastAsia"/>
          <w:color w:val="0000FF"/>
          <w:spacing w:val="-12"/>
          <w:lang w:val="en-US" w:eastAsia="zh-CN"/>
        </w:rPr>
        <w:t>，。</w:t>
      </w:r>
      <w:r>
        <w:rPr>
          <w:rFonts w:hint="eastAsia"/>
          <w:color w:val="0000FF"/>
          <w:spacing w:val="-12"/>
        </w:rPr>
        <w:t>该功能区主要的特征，见表</w:t>
      </w:r>
      <w:r>
        <w:rPr>
          <w:rFonts w:hint="eastAsia"/>
          <w:color w:val="0000FF"/>
          <w:spacing w:val="-12"/>
          <w:lang w:val="en-US" w:eastAsia="zh-CN"/>
        </w:rPr>
        <w:t>2.4.1.1。</w:t>
      </w:r>
    </w:p>
    <w:p>
      <w:pPr>
        <w:autoSpaceDE w:val="0"/>
        <w:autoSpaceDN w:val="0"/>
        <w:adjustRightInd w:val="0"/>
        <w:spacing w:line="392" w:lineRule="exact"/>
        <w:ind w:left="681"/>
        <w:jc w:val="center"/>
        <w:rPr>
          <w:rFonts w:hint="default"/>
          <w:color w:val="0000FF"/>
          <w:spacing w:val="-12"/>
          <w:lang w:val="en-US" w:eastAsia="zh-CN"/>
        </w:rPr>
      </w:pPr>
      <w:r>
        <w:rPr>
          <w:rFonts w:hint="eastAsia" w:ascii="宋体" w:hAnsi="宋体" w:eastAsia="宋体" w:cs="宋体"/>
          <w:color w:val="0000FF"/>
          <w:kern w:val="0"/>
          <w:sz w:val="20"/>
          <w:szCs w:val="20"/>
        </w:rPr>
        <w:t>表</w:t>
      </w:r>
      <w:r>
        <w:rPr>
          <w:rFonts w:hint="eastAsia" w:ascii="宋体" w:hAnsi="宋体" w:eastAsia="宋体" w:cs="宋体"/>
          <w:color w:val="0000FF"/>
          <w:kern w:val="0"/>
          <w:sz w:val="20"/>
          <w:szCs w:val="20"/>
          <w:lang w:val="en-US" w:eastAsia="zh-CN"/>
        </w:rPr>
        <w:t>2.4.1.1</w:t>
      </w:r>
      <w:r>
        <w:rPr>
          <w:rFonts w:hint="eastAsia" w:ascii="宋体" w:hAnsi="宋体" w:eastAsia="宋体" w:cs="宋体"/>
          <w:color w:val="0000FF"/>
          <w:kern w:val="0"/>
          <w:sz w:val="20"/>
          <w:szCs w:val="20"/>
        </w:rPr>
        <w:t>生态功能区主要特征</w:t>
      </w:r>
    </w:p>
    <w:tbl>
      <w:tblPr>
        <w:tblStyle w:val="14"/>
        <w:tblW w:w="8739" w:type="dxa"/>
        <w:jc w:val="center"/>
        <w:tblLayout w:type="autofit"/>
        <w:tblCellMar>
          <w:top w:w="0" w:type="dxa"/>
          <w:left w:w="0" w:type="dxa"/>
          <w:bottom w:w="0" w:type="dxa"/>
          <w:right w:w="0" w:type="dxa"/>
        </w:tblCellMar>
      </w:tblPr>
      <w:tblGrid>
        <w:gridCol w:w="2872"/>
        <w:gridCol w:w="5867"/>
      </w:tblGrid>
      <w:tr>
        <w:tblPrEx>
          <w:tblCellMar>
            <w:top w:w="0" w:type="dxa"/>
            <w:left w:w="0" w:type="dxa"/>
            <w:bottom w:w="0" w:type="dxa"/>
            <w:right w:w="0" w:type="dxa"/>
          </w:tblCellMar>
        </w:tblPrEx>
        <w:trPr>
          <w:trHeight w:val="668"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58" w:lineRule="exact"/>
              <w:ind w:firstLine="800" w:firstLineChars="4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名称内容</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92" w:lineRule="exact"/>
              <w:ind w:left="681"/>
              <w:jc w:val="both"/>
              <w:rPr>
                <w:rFonts w:hint="eastAsia" w:ascii="宋体" w:hAnsi="宋体" w:eastAsia="宋体" w:cs="宋体"/>
                <w:color w:val="0000FF"/>
                <w:kern w:val="0"/>
                <w:sz w:val="20"/>
                <w:szCs w:val="20"/>
              </w:rPr>
            </w:pPr>
            <w:r>
              <w:rPr>
                <w:rFonts w:hint="eastAsia" w:ascii="宋体" w:hAnsi="宋体"/>
                <w:color w:val="0000FF"/>
              </w:rPr>
              <w:t>叶尔羌河平原绿洲农业及荒漠河岸林保护生态功能区</w:t>
            </w:r>
          </w:p>
        </w:tc>
      </w:tr>
      <w:tr>
        <w:tblPrEx>
          <w:tblCellMar>
            <w:top w:w="0" w:type="dxa"/>
            <w:left w:w="0" w:type="dxa"/>
            <w:bottom w:w="0" w:type="dxa"/>
            <w:right w:w="0" w:type="dxa"/>
          </w:tblCellMar>
        </w:tblPrEx>
        <w:trPr>
          <w:trHeight w:val="515"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主要生态服务功能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26"/>
              <w:jc w:val="center"/>
              <w:rPr>
                <w:rFonts w:hint="eastAsia" w:ascii="宋体" w:hAnsi="宋体" w:eastAsia="宋体" w:cs="宋体"/>
                <w:color w:val="0000FF"/>
                <w:kern w:val="0"/>
                <w:sz w:val="20"/>
                <w:szCs w:val="20"/>
              </w:rPr>
            </w:pPr>
            <w:r>
              <w:rPr>
                <w:rFonts w:hint="eastAsia" w:ascii="宋体" w:hAnsi="宋体"/>
                <w:color w:val="0000FF"/>
              </w:rPr>
              <w:t>农畜产品生产、荒漠化控制、油气资源开发、塔里木河水源补给</w:t>
            </w:r>
          </w:p>
        </w:tc>
      </w:tr>
      <w:tr>
        <w:tblPrEx>
          <w:tblCellMar>
            <w:top w:w="0" w:type="dxa"/>
            <w:left w:w="0" w:type="dxa"/>
            <w:bottom w:w="0" w:type="dxa"/>
            <w:right w:w="0" w:type="dxa"/>
          </w:tblCellMar>
        </w:tblPrEx>
        <w:trPr>
          <w:trHeight w:val="89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主要生态环境问题</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color w:val="0000FF"/>
              </w:rPr>
            </w:pPr>
            <w:r>
              <w:rPr>
                <w:rFonts w:hint="eastAsia" w:ascii="宋体" w:hAnsi="宋体"/>
                <w:color w:val="0000FF"/>
              </w:rPr>
              <w:t>土壤盐渍化、风沙危害、荒漠植被及胡杨林破坏、乱挖甘草、平原水库蒸发渗漏损失严重、油气开发污染环境、土壤环境质量下降</w:t>
            </w:r>
          </w:p>
          <w:p>
            <w:pPr>
              <w:autoSpaceDE w:val="0"/>
              <w:autoSpaceDN w:val="0"/>
              <w:adjustRightInd w:val="0"/>
              <w:spacing w:line="251" w:lineRule="exact"/>
              <w:ind w:left="26"/>
              <w:jc w:val="center"/>
              <w:rPr>
                <w:rFonts w:hint="eastAsia" w:ascii="宋体" w:hAnsi="宋体" w:eastAsia="宋体" w:cs="宋体"/>
                <w:color w:val="0000FF"/>
                <w:kern w:val="0"/>
                <w:sz w:val="20"/>
                <w:szCs w:val="20"/>
              </w:rPr>
            </w:pP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firstLine="200" w:firstLineChars="1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主要生态敏感因子、敏感程度</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left="26"/>
              <w:jc w:val="center"/>
              <w:rPr>
                <w:rFonts w:hint="eastAsia" w:ascii="宋体" w:hAnsi="宋体" w:eastAsia="宋体" w:cs="宋体"/>
                <w:color w:val="0000FF"/>
                <w:kern w:val="0"/>
                <w:sz w:val="20"/>
                <w:szCs w:val="20"/>
              </w:rPr>
            </w:pPr>
            <w:r>
              <w:rPr>
                <w:rFonts w:hint="eastAsia" w:ascii="宋体" w:hAnsi="宋体"/>
                <w:color w:val="0000FF"/>
              </w:rPr>
              <w:t>生物多样性及其生境中度敏感，土地沙漠化中度敏感，土壤盐渍化轻度敏感</w:t>
            </w:r>
          </w:p>
        </w:tc>
      </w:tr>
      <w:tr>
        <w:tblPrEx>
          <w:tblCellMar>
            <w:top w:w="0" w:type="dxa"/>
            <w:left w:w="0" w:type="dxa"/>
            <w:bottom w:w="0" w:type="dxa"/>
            <w:right w:w="0" w:type="dxa"/>
          </w:tblCellMar>
        </w:tblPrEx>
        <w:trPr>
          <w:trHeight w:val="834"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主要保护目标</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rPr>
                <w:rFonts w:hint="eastAsia" w:ascii="宋体" w:hAnsi="宋体" w:eastAsia="宋体" w:cs="宋体"/>
                <w:color w:val="0000FF"/>
                <w:kern w:val="0"/>
                <w:sz w:val="20"/>
                <w:szCs w:val="20"/>
              </w:rPr>
            </w:pPr>
            <w:r>
              <w:rPr>
                <w:rFonts w:hint="eastAsia" w:ascii="宋体" w:hAnsi="宋体"/>
                <w:color w:val="0000FF"/>
              </w:rPr>
              <w:t>保护荒漠植被、保护荒漠河岸林、保护农田土壤环境质量</w:t>
            </w: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主要保护措施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22" w:lineRule="exact"/>
              <w:ind w:left="26"/>
              <w:jc w:val="center"/>
              <w:rPr>
                <w:rFonts w:hint="eastAsia" w:ascii="宋体" w:hAnsi="宋体" w:eastAsia="宋体" w:cs="宋体"/>
                <w:color w:val="0000FF"/>
                <w:kern w:val="0"/>
                <w:sz w:val="20"/>
                <w:szCs w:val="20"/>
              </w:rPr>
            </w:pPr>
            <w:r>
              <w:rPr>
                <w:rFonts w:hint="eastAsia" w:ascii="宋体" w:hAnsi="宋体"/>
                <w:color w:val="0000FF"/>
              </w:rPr>
              <w:t>适度开发地下水、增加向塔河输水量、退耕还林还草、废除部分平原水库、节水灌溉、加强农田投入品的使用管理</w:t>
            </w:r>
          </w:p>
        </w:tc>
      </w:tr>
      <w:tr>
        <w:tblPrEx>
          <w:tblCellMar>
            <w:top w:w="0" w:type="dxa"/>
            <w:left w:w="0" w:type="dxa"/>
            <w:bottom w:w="0" w:type="dxa"/>
            <w:right w:w="0" w:type="dxa"/>
          </w:tblCellMar>
        </w:tblPrEx>
        <w:trPr>
          <w:trHeight w:val="63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适宜发展方向</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26"/>
              <w:jc w:val="center"/>
              <w:rPr>
                <w:rFonts w:hint="eastAsia" w:ascii="宋体" w:hAnsi="宋体" w:eastAsia="宋体" w:cs="宋体"/>
                <w:color w:val="0000FF"/>
                <w:kern w:val="0"/>
                <w:sz w:val="20"/>
                <w:szCs w:val="20"/>
              </w:rPr>
            </w:pPr>
            <w:r>
              <w:rPr>
                <w:rFonts w:hint="eastAsia" w:ascii="宋体" w:hAnsi="宋体"/>
                <w:color w:val="0000FF"/>
              </w:rPr>
              <w:t>建成粮食、经济作物、林果业基地，发展农区畜牧业</w:t>
            </w:r>
          </w:p>
        </w:tc>
      </w:tr>
    </w:tbl>
    <w:p>
      <w:pPr>
        <w:pStyle w:val="17"/>
        <w:numPr>
          <w:ilvl w:val="0"/>
          <w:numId w:val="0"/>
        </w:numPr>
        <w:tabs>
          <w:tab w:val="left" w:pos="1320"/>
        </w:tabs>
        <w:spacing w:before="1" w:after="0" w:line="240" w:lineRule="auto"/>
        <w:ind w:left="540" w:leftChars="0" w:right="0" w:rightChars="0"/>
        <w:jc w:val="left"/>
        <w:rPr>
          <w:sz w:val="24"/>
        </w:rPr>
      </w:pPr>
    </w:p>
    <w:p>
      <w:pPr>
        <w:pStyle w:val="7"/>
        <w:spacing w:before="82" w:line="364" w:lineRule="auto"/>
        <w:ind w:right="577" w:firstLine="480"/>
        <w:jc w:val="both"/>
        <w:rPr>
          <w:color w:val="0000FF"/>
        </w:rPr>
      </w:pPr>
      <w:r>
        <w:rPr>
          <w:color w:val="0000FF"/>
          <w:spacing w:val="-10"/>
        </w:rPr>
        <w:t>根据《关于全疆水土流失重点预防保护区、重点监督区、重点治理区划分的</w:t>
      </w:r>
      <w:r>
        <w:rPr>
          <w:color w:val="0000FF"/>
          <w:spacing w:val="-11"/>
        </w:rPr>
        <w:t>公告》，项目区属于</w:t>
      </w:r>
      <w:r>
        <w:rPr>
          <w:rFonts w:ascii="宋体" w:hAnsi="宋体" w:eastAsia="宋体" w:cs="宋体"/>
          <w:color w:val="0000FF"/>
          <w:sz w:val="24"/>
          <w:szCs w:val="24"/>
        </w:rPr>
        <w:t>塔里木河国家级水土流失重点预防区</w:t>
      </w:r>
      <w:r>
        <w:rPr>
          <w:color w:val="0000FF"/>
          <w:spacing w:val="-11"/>
        </w:rPr>
        <w:t>，需重点做好开发建设活动的</w:t>
      </w:r>
      <w:r>
        <w:rPr>
          <w:color w:val="0000FF"/>
        </w:rPr>
        <w:t>水土保持工作，防止因生产建设活动造成新的水土流失。</w:t>
      </w:r>
    </w:p>
    <w:p>
      <w:pPr>
        <w:pStyle w:val="17"/>
        <w:numPr>
          <w:ilvl w:val="3"/>
          <w:numId w:val="41"/>
        </w:numPr>
        <w:tabs>
          <w:tab w:val="left" w:pos="1320"/>
        </w:tabs>
        <w:spacing w:before="143" w:after="0" w:line="240" w:lineRule="auto"/>
        <w:ind w:left="1320" w:right="0" w:hanging="780"/>
        <w:jc w:val="left"/>
        <w:rPr>
          <w:sz w:val="24"/>
        </w:rPr>
      </w:pPr>
      <w:r>
        <w:rPr>
          <w:sz w:val="24"/>
        </w:rPr>
        <w:t>土壤类型及分布</w:t>
      </w:r>
    </w:p>
    <w:p>
      <w:pPr>
        <w:pStyle w:val="7"/>
        <w:spacing w:before="160" w:line="364" w:lineRule="auto"/>
        <w:ind w:right="457" w:firstLine="480"/>
      </w:pPr>
      <w:r>
        <w:rPr>
          <w:spacing w:val="-7"/>
        </w:rPr>
        <w:t>项目区气候极端干旱，植被极为稀疏，土壤发育较差，类型较为简单，广大</w:t>
      </w:r>
      <w:r>
        <w:rPr>
          <w:spacing w:val="-12"/>
        </w:rPr>
        <w:t>地区为风沙土所覆盖。这种土壤是在风成沙性母质上发育起来的，质地较粗，物</w:t>
      </w:r>
      <w:r>
        <w:rPr>
          <w:spacing w:val="-19"/>
        </w:rPr>
        <w:t>理性粘粒很少。因风蚀风积作用的交替进行，使土壤发育处于不断的复幼状况下，</w:t>
      </w:r>
      <w:r>
        <w:rPr>
          <w:spacing w:val="-6"/>
        </w:rPr>
        <w:t>加之植被稀疏生物作用微弱，有机物质积累很少，成土过程十分微弱，剖面层次</w:t>
      </w:r>
      <w:r>
        <w:rPr>
          <w:spacing w:val="-12"/>
        </w:rPr>
        <w:t>分化不明显，因此风沙土在很大程度上只具有风积沙沉积物岩性特征而缺乏其它</w:t>
      </w:r>
      <w:r>
        <w:rPr>
          <w:spacing w:val="-15"/>
        </w:rPr>
        <w:t>的诊断层和诊断特征。风沙土可分为流动风沙土、半固定风沙土和固定风沙土三个亚类。而本区域土壤类型以流动风沙土为主。</w:t>
      </w:r>
    </w:p>
    <w:p>
      <w:pPr>
        <w:pStyle w:val="7"/>
        <w:spacing w:before="4" w:line="364" w:lineRule="auto"/>
        <w:ind w:right="457" w:firstLine="480"/>
      </w:pPr>
      <w:r>
        <w:rPr>
          <w:spacing w:val="-17"/>
        </w:rPr>
        <w:t>流动风沙土：地表光裸无植被，偶见单个的沙生红柳。土壤剖面无发育层次，</w:t>
      </w:r>
      <w:r>
        <w:rPr>
          <w:spacing w:val="-6"/>
        </w:rPr>
        <w:t>只有干沙层和湿沙层之分。干沙层表面为沙波纹，疏松，无结构，灰黄色。湿沙</w:t>
      </w:r>
      <w:r>
        <w:rPr>
          <w:spacing w:val="-8"/>
        </w:rPr>
        <w:t>层为淡黄色，湿润，疏松。流动风沙土养分含量极低，有机质含量小于</w:t>
      </w:r>
      <w:r>
        <w:rPr>
          <w:rFonts w:ascii="Times New Roman" w:eastAsia="Times New Roman"/>
        </w:rPr>
        <w:t>1g/kg</w:t>
      </w:r>
      <w:r>
        <w:t>。</w:t>
      </w:r>
      <w:r>
        <w:rPr>
          <w:spacing w:val="-10"/>
        </w:rPr>
        <w:t>颗粒组成以</w:t>
      </w:r>
      <w:r>
        <w:rPr>
          <w:rFonts w:ascii="Times New Roman" w:eastAsia="Times New Roman"/>
        </w:rPr>
        <w:t>0.25</w:t>
      </w:r>
      <w:r>
        <w:t>～</w:t>
      </w:r>
      <w:r>
        <w:rPr>
          <w:rFonts w:ascii="Times New Roman" w:eastAsia="Times New Roman"/>
        </w:rPr>
        <w:t>1mm</w:t>
      </w:r>
      <w:r>
        <w:rPr>
          <w:spacing w:val="-8"/>
        </w:rPr>
        <w:t>的细砂粒极为主，干沙层自然含水量</w:t>
      </w:r>
      <w:r>
        <w:rPr>
          <w:rFonts w:ascii="Times New Roman" w:eastAsia="Times New Roman"/>
          <w:spacing w:val="-3"/>
        </w:rPr>
        <w:t>0.6</w:t>
      </w:r>
      <w:r>
        <w:rPr>
          <w:spacing w:val="-3"/>
        </w:rPr>
        <w:t>～</w:t>
      </w:r>
      <w:r>
        <w:rPr>
          <w:rFonts w:ascii="Times New Roman" w:eastAsia="Times New Roman"/>
          <w:spacing w:val="-3"/>
        </w:rPr>
        <w:t>1.1g/kg</w:t>
      </w:r>
      <w:r>
        <w:rPr>
          <w:spacing w:val="-2"/>
        </w:rPr>
        <w:t>，湿沙</w:t>
      </w:r>
      <w:r>
        <w:rPr>
          <w:spacing w:val="-32"/>
        </w:rPr>
        <w:t>层</w:t>
      </w:r>
      <w:r>
        <w:rPr>
          <w:rFonts w:ascii="Times New Roman" w:eastAsia="Times New Roman"/>
        </w:rPr>
        <w:t>14</w:t>
      </w:r>
      <w:r>
        <w:t>～</w:t>
      </w:r>
      <w:r>
        <w:rPr>
          <w:rFonts w:ascii="Times New Roman" w:eastAsia="Times New Roman"/>
        </w:rPr>
        <w:t>15g/kg</w:t>
      </w:r>
      <w:r>
        <w:t>。</w:t>
      </w:r>
    </w:p>
    <w:p>
      <w:pPr>
        <w:pStyle w:val="17"/>
        <w:numPr>
          <w:ilvl w:val="3"/>
          <w:numId w:val="42"/>
        </w:numPr>
        <w:tabs>
          <w:tab w:val="left" w:pos="1320"/>
        </w:tabs>
        <w:spacing w:before="3" w:after="0" w:line="240" w:lineRule="auto"/>
        <w:ind w:left="1320" w:right="0" w:hanging="780"/>
        <w:jc w:val="left"/>
        <w:rPr>
          <w:sz w:val="24"/>
        </w:rPr>
      </w:pPr>
      <w:r>
        <w:rPr>
          <w:sz w:val="24"/>
        </w:rPr>
        <w:t>土地利用现状</w:t>
      </w:r>
    </w:p>
    <w:p>
      <w:pPr>
        <w:pStyle w:val="7"/>
        <w:spacing w:before="161" w:line="364" w:lineRule="auto"/>
        <w:ind w:right="577" w:firstLine="480"/>
        <w:rPr>
          <w:rFonts w:hint="eastAsia" w:eastAsia="宋体"/>
          <w:lang w:eastAsia="zh-CN"/>
        </w:rPr>
      </w:pPr>
      <w:r>
        <w:rPr>
          <w:spacing w:val="-7"/>
        </w:rPr>
        <w:t>本项目为养殖场建设项目，土地利用类型为牧草地和水浇地，划拨为设施农</w:t>
      </w:r>
      <w:r>
        <w:rPr>
          <w:spacing w:val="-10"/>
        </w:rPr>
        <w:t>用地</w:t>
      </w:r>
      <w:r>
        <w:rPr>
          <w:rFonts w:hint="eastAsia"/>
          <w:spacing w:val="-10"/>
          <w:lang w:eastAsia="zh-CN"/>
        </w:rPr>
        <w:t>。</w:t>
      </w:r>
    </w:p>
    <w:p>
      <w:pPr>
        <w:pStyle w:val="7"/>
        <w:spacing w:before="1" w:line="364" w:lineRule="auto"/>
        <w:ind w:right="485" w:firstLine="480"/>
      </w:pPr>
      <w:r>
        <w:rPr>
          <w:spacing w:val="-9"/>
        </w:rPr>
        <w:t>总体来说，项目区处于</w:t>
      </w:r>
      <w:r>
        <w:rPr>
          <w:rFonts w:hint="eastAsia"/>
          <w:spacing w:val="-9"/>
          <w:lang w:val="en-US" w:eastAsia="zh-CN"/>
        </w:rPr>
        <w:t>喀尔苏沙漠边缘</w:t>
      </w:r>
      <w:r>
        <w:rPr>
          <w:spacing w:val="-9"/>
        </w:rPr>
        <w:t>，系典型的内陆干旱区，气候干</w:t>
      </w:r>
      <w:r>
        <w:rPr>
          <w:spacing w:val="-10"/>
        </w:rPr>
        <w:t>燥，外部环境十分恶劣，生态系统非常脆弱，沙漠化始终威胁着该地区的绿洲。</w:t>
      </w:r>
      <w:r>
        <w:rPr>
          <w:spacing w:val="-7"/>
        </w:rPr>
        <w:t>受沙漠气候的影响，形成春旱、风沙、土地盐碱三大自然灾害，风沙和土地沙化严重威胁着区域的生态环境。</w:t>
      </w:r>
    </w:p>
    <w:p>
      <w:pPr>
        <w:pStyle w:val="17"/>
        <w:numPr>
          <w:ilvl w:val="3"/>
          <w:numId w:val="42"/>
        </w:numPr>
        <w:tabs>
          <w:tab w:val="left" w:pos="1800"/>
        </w:tabs>
        <w:spacing w:before="3" w:after="0" w:line="240" w:lineRule="auto"/>
        <w:ind w:left="1800" w:right="0" w:hanging="780"/>
        <w:jc w:val="left"/>
        <w:rPr>
          <w:sz w:val="24"/>
        </w:rPr>
      </w:pPr>
      <w:r>
        <w:rPr>
          <w:sz w:val="24"/>
        </w:rPr>
        <w:t>植被现状</w:t>
      </w:r>
    </w:p>
    <w:p>
      <w:pPr>
        <w:pStyle w:val="7"/>
        <w:spacing w:before="160" w:line="364" w:lineRule="auto"/>
        <w:ind w:right="577" w:firstLine="480"/>
        <w:jc w:val="both"/>
      </w:pPr>
      <w:r>
        <w:rPr>
          <w:spacing w:val="-10"/>
        </w:rPr>
        <w:t>经现场勘查，用地范围内天然植被类型主要为盐化荒漠草甸，分布植物主要</w:t>
      </w:r>
      <w:r>
        <w:rPr>
          <w:spacing w:val="-9"/>
        </w:rPr>
        <w:t>为骆驼刺、苦豆子等荒漠草甸小型灌木，区域植被种类稀少，且生长稀疏，植被</w:t>
      </w:r>
      <w:r>
        <w:t>覆盖率＜</w:t>
      </w:r>
      <w:r>
        <w:rPr>
          <w:rFonts w:ascii="Times New Roman" w:eastAsia="Times New Roman"/>
        </w:rPr>
        <w:t>5%</w:t>
      </w:r>
      <w:r>
        <w:t>。项目区四周为</w:t>
      </w:r>
      <w:r>
        <w:rPr>
          <w:rFonts w:hint="eastAsia"/>
          <w:lang w:val="en-US" w:eastAsia="zh-CN"/>
        </w:rPr>
        <w:t>荒地</w:t>
      </w:r>
      <w:r>
        <w:rPr>
          <w:rFonts w:hint="eastAsia"/>
          <w:color w:val="0000FF"/>
          <w:spacing w:val="-1"/>
          <w:sz w:val="24"/>
          <w:lang w:val="en-US" w:eastAsia="zh-CN"/>
        </w:rPr>
        <w:t>南</w:t>
      </w:r>
      <w:r>
        <w:rPr>
          <w:color w:val="0000FF"/>
          <w:spacing w:val="-15"/>
          <w:sz w:val="24"/>
        </w:rPr>
        <w:t>侧约</w:t>
      </w:r>
      <w:r>
        <w:rPr>
          <w:rFonts w:hint="eastAsia"/>
          <w:color w:val="0000FF"/>
          <w:spacing w:val="-15"/>
          <w:sz w:val="24"/>
          <w:lang w:val="en-US" w:eastAsia="zh-CN"/>
        </w:rPr>
        <w:t>2</w:t>
      </w:r>
      <w:r>
        <w:rPr>
          <w:rFonts w:ascii="Times New Roman" w:hAnsi="Times New Roman" w:eastAsia="Times New Roman"/>
          <w:color w:val="0000FF"/>
          <w:sz w:val="24"/>
        </w:rPr>
        <w:t>km</w:t>
      </w:r>
      <w:r>
        <w:rPr>
          <w:rFonts w:hint="eastAsia"/>
          <w:lang w:val="en-US" w:eastAsia="zh-CN"/>
        </w:rPr>
        <w:t>托万巴格托格克拉村</w:t>
      </w:r>
      <w:r>
        <w:t>耕地，耕种作物主要为玉米饲草和苜蓿草。</w:t>
      </w:r>
    </w:p>
    <w:p>
      <w:pPr>
        <w:pStyle w:val="17"/>
        <w:numPr>
          <w:ilvl w:val="3"/>
          <w:numId w:val="42"/>
        </w:numPr>
        <w:tabs>
          <w:tab w:val="left" w:pos="1800"/>
        </w:tabs>
        <w:spacing w:before="2" w:after="0" w:line="240" w:lineRule="auto"/>
        <w:ind w:left="1800" w:right="0" w:hanging="780"/>
        <w:jc w:val="left"/>
        <w:rPr>
          <w:sz w:val="24"/>
        </w:rPr>
      </w:pPr>
      <w:r>
        <w:rPr>
          <w:sz w:val="24"/>
        </w:rPr>
        <w:t>动物资源现状</w:t>
      </w:r>
    </w:p>
    <w:p>
      <w:pPr>
        <w:pStyle w:val="7"/>
        <w:spacing w:before="160"/>
        <w:ind w:left="1020"/>
      </w:pPr>
      <w:r>
        <w:t>经现场勘查和资料查阅，项目所属区域主要栖息分布着一些耐旱的荒漠动</w:t>
      </w:r>
    </w:p>
    <w:p>
      <w:pPr>
        <w:pStyle w:val="7"/>
        <w:spacing w:before="143" w:line="364" w:lineRule="auto"/>
        <w:ind w:right="577"/>
      </w:pPr>
      <w:r>
        <w:rPr>
          <w:spacing w:val="-10"/>
        </w:rPr>
        <w:t>物，以鸟类、爬行动物和啮齿类动物为主，动物种类和数量较少，野生动物的栖</w:t>
      </w:r>
      <w:r>
        <w:t>息生境主要为荒漠。区域无大型哺乳动物和珍惜保护动物分布和活动。</w:t>
      </w:r>
    </w:p>
    <w:p>
      <w:pPr>
        <w:pStyle w:val="7"/>
        <w:spacing w:before="1" w:line="364" w:lineRule="auto"/>
        <w:ind w:right="577" w:firstLine="480"/>
      </w:pPr>
      <w:r>
        <w:t>该区域未发现国家及自治区级重点保护的稀有动物及受保护的野生植物种群，也不存在野生动物栖息地及迁移路线，属于生态环境非敏感区。</w:t>
      </w:r>
    </w:p>
    <w:p>
      <w:pPr>
        <w:spacing w:after="0" w:line="364" w:lineRule="auto"/>
        <w:sectPr>
          <w:footerReference r:id="rId16"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spacing w:before="50"/>
        <w:outlineLvl w:val="0"/>
      </w:pPr>
      <w:bookmarkStart w:id="264" w:name="第五章  环境影响预测与评价"/>
      <w:bookmarkEnd w:id="264"/>
      <w:bookmarkStart w:id="265" w:name="_Toc10721"/>
      <w:r>
        <w:t>第五章</w:t>
      </w:r>
      <w:r>
        <w:tab/>
      </w:r>
      <w:r>
        <w:t>环境影响预测与评价</w:t>
      </w:r>
      <w:bookmarkEnd w:id="265"/>
    </w:p>
    <w:p>
      <w:pPr>
        <w:pStyle w:val="4"/>
        <w:numPr>
          <w:ilvl w:val="1"/>
          <w:numId w:val="43"/>
        </w:numPr>
        <w:tabs>
          <w:tab w:val="left" w:pos="1100"/>
        </w:tabs>
        <w:spacing w:before="315" w:after="0" w:line="240" w:lineRule="auto"/>
        <w:ind w:left="1099" w:right="0" w:hanging="560"/>
        <w:jc w:val="left"/>
        <w:outlineLvl w:val="1"/>
      </w:pPr>
      <w:bookmarkStart w:id="266" w:name="5.1 施工期环境影响预测与评价"/>
      <w:bookmarkEnd w:id="266"/>
      <w:bookmarkStart w:id="267" w:name="_bookmark25"/>
      <w:bookmarkEnd w:id="267"/>
      <w:bookmarkStart w:id="268" w:name="_Toc9373"/>
      <w:r>
        <w:t>施工期环境影响预测与评价</w:t>
      </w:r>
      <w:bookmarkEnd w:id="268"/>
    </w:p>
    <w:p>
      <w:pPr>
        <w:pStyle w:val="7"/>
        <w:spacing w:before="6"/>
        <w:ind w:left="0"/>
        <w:rPr>
          <w:b/>
          <w:sz w:val="28"/>
        </w:rPr>
      </w:pPr>
    </w:p>
    <w:p>
      <w:pPr>
        <w:pStyle w:val="5"/>
        <w:numPr>
          <w:ilvl w:val="2"/>
          <w:numId w:val="43"/>
        </w:numPr>
        <w:tabs>
          <w:tab w:val="left" w:pos="1241"/>
        </w:tabs>
        <w:spacing w:before="0" w:after="0" w:line="240" w:lineRule="auto"/>
        <w:ind w:left="1240" w:right="0" w:hanging="701"/>
        <w:jc w:val="left"/>
      </w:pPr>
      <w:bookmarkStart w:id="269" w:name="5.1.1 施工期污染源"/>
      <w:bookmarkEnd w:id="269"/>
      <w:bookmarkStart w:id="270" w:name="5.1.1 施工期污染源"/>
      <w:bookmarkEnd w:id="270"/>
      <w:r>
        <w:t>施工期污染源</w:t>
      </w:r>
    </w:p>
    <w:p>
      <w:pPr>
        <w:pStyle w:val="7"/>
        <w:spacing w:before="5"/>
        <w:ind w:left="0"/>
        <w:rPr>
          <w:b/>
          <w:sz w:val="21"/>
        </w:rPr>
      </w:pPr>
    </w:p>
    <w:p>
      <w:pPr>
        <w:pStyle w:val="7"/>
        <w:spacing w:line="364" w:lineRule="auto"/>
        <w:ind w:right="577" w:firstLine="480"/>
      </w:pPr>
      <w:r>
        <w:rPr>
          <w:spacing w:val="-6"/>
        </w:rPr>
        <w:t>本项目施工内容包括土建施工和设备安装调试，施工期间产生的污染主要有</w:t>
      </w:r>
      <w:r>
        <w:t>废气、废水、固体废物、噪声等几方面。</w:t>
      </w:r>
    </w:p>
    <w:p>
      <w:pPr>
        <w:pStyle w:val="17"/>
        <w:numPr>
          <w:ilvl w:val="3"/>
          <w:numId w:val="43"/>
        </w:numPr>
        <w:tabs>
          <w:tab w:val="left" w:pos="1621"/>
        </w:tabs>
        <w:spacing w:before="1" w:after="0" w:line="240" w:lineRule="auto"/>
        <w:ind w:left="1621" w:right="0" w:hanging="601"/>
        <w:jc w:val="left"/>
        <w:rPr>
          <w:sz w:val="24"/>
        </w:rPr>
      </w:pPr>
      <w:r>
        <w:rPr>
          <w:sz w:val="24"/>
        </w:rPr>
        <w:t>施工废气</w:t>
      </w:r>
    </w:p>
    <w:p>
      <w:pPr>
        <w:pStyle w:val="7"/>
        <w:spacing w:before="161" w:line="364" w:lineRule="auto"/>
        <w:ind w:right="485" w:firstLine="480"/>
        <w:jc w:val="both"/>
      </w:pPr>
      <w:r>
        <w:t>施工期的环境空气污染源主要为：施工作业面和施工交通运输产生的扬尘；场地平整形成的裸露地表、地基开挖、回填以及散状物料堆放等扬尘；推土机、挖掘机及交通工具释放的尾气。</w:t>
      </w:r>
    </w:p>
    <w:p>
      <w:pPr>
        <w:pStyle w:val="17"/>
        <w:numPr>
          <w:ilvl w:val="3"/>
          <w:numId w:val="43"/>
        </w:numPr>
        <w:tabs>
          <w:tab w:val="left" w:pos="1621"/>
        </w:tabs>
        <w:spacing w:before="1" w:after="0" w:line="240" w:lineRule="auto"/>
        <w:ind w:left="1621" w:right="0" w:hanging="601"/>
        <w:jc w:val="left"/>
        <w:rPr>
          <w:sz w:val="24"/>
        </w:rPr>
      </w:pPr>
      <w:r>
        <w:rPr>
          <w:sz w:val="24"/>
        </w:rPr>
        <w:t>施工期废水</w:t>
      </w:r>
    </w:p>
    <w:p>
      <w:pPr>
        <w:pStyle w:val="7"/>
        <w:spacing w:before="161" w:line="362" w:lineRule="auto"/>
        <w:ind w:right="577" w:firstLine="480"/>
      </w:pPr>
      <w:r>
        <w:rPr>
          <w:spacing w:val="-5"/>
        </w:rPr>
        <w:t>施工期水污染源主要为施工区的冲洗与设备清洗废水、施工队伍的生活污水</w:t>
      </w:r>
      <w:r>
        <w:rPr>
          <w:spacing w:val="-4"/>
          <w:position w:val="2"/>
        </w:rPr>
        <w:t>等。生活污水量较小，主要污染物为</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CODcr</w:t>
      </w:r>
      <w:r>
        <w:rPr>
          <w:position w:val="2"/>
          <w:vertAlign w:val="baseline"/>
        </w:rPr>
        <w:t>等。</w:t>
      </w:r>
    </w:p>
    <w:p>
      <w:pPr>
        <w:pStyle w:val="17"/>
        <w:numPr>
          <w:ilvl w:val="3"/>
          <w:numId w:val="43"/>
        </w:numPr>
        <w:tabs>
          <w:tab w:val="left" w:pos="1621"/>
        </w:tabs>
        <w:spacing w:before="3" w:after="0" w:line="240" w:lineRule="auto"/>
        <w:ind w:left="1621" w:right="0" w:hanging="601"/>
        <w:jc w:val="left"/>
        <w:rPr>
          <w:sz w:val="24"/>
        </w:rPr>
      </w:pPr>
      <w:r>
        <w:rPr>
          <w:sz w:val="24"/>
        </w:rPr>
        <w:t>施工期固体废物</w:t>
      </w:r>
    </w:p>
    <w:p>
      <w:pPr>
        <w:pStyle w:val="7"/>
        <w:spacing w:before="160" w:line="364" w:lineRule="auto"/>
        <w:ind w:right="577" w:firstLine="480"/>
      </w:pPr>
      <w:r>
        <w:rPr>
          <w:spacing w:val="-7"/>
        </w:rPr>
        <w:t>施工期间产生的固体废物主要有：工程渣土、施工废物料和建筑垃圾、生活</w:t>
      </w:r>
      <w:r>
        <w:t>垃圾等。</w:t>
      </w:r>
    </w:p>
    <w:p>
      <w:pPr>
        <w:pStyle w:val="17"/>
        <w:numPr>
          <w:ilvl w:val="3"/>
          <w:numId w:val="43"/>
        </w:numPr>
        <w:tabs>
          <w:tab w:val="left" w:pos="1621"/>
        </w:tabs>
        <w:spacing w:before="2" w:after="0" w:line="240" w:lineRule="auto"/>
        <w:ind w:left="1621" w:right="0" w:hanging="601"/>
        <w:jc w:val="left"/>
        <w:rPr>
          <w:sz w:val="24"/>
        </w:rPr>
      </w:pPr>
      <w:r>
        <w:rPr>
          <w:sz w:val="24"/>
        </w:rPr>
        <w:t>施工期噪声</w:t>
      </w:r>
    </w:p>
    <w:p>
      <w:pPr>
        <w:pStyle w:val="7"/>
        <w:spacing w:before="160" w:line="364" w:lineRule="auto"/>
        <w:ind w:right="485" w:firstLine="480"/>
      </w:pPr>
      <w:r>
        <w:rPr>
          <w:spacing w:val="-5"/>
        </w:rPr>
        <w:t>施工期主要噪声源为各施工机械及运输车辆，噪声值在</w:t>
      </w:r>
      <w:r>
        <w:rPr>
          <w:rFonts w:ascii="Times New Roman" w:eastAsia="Times New Roman"/>
          <w:spacing w:val="-6"/>
        </w:rPr>
        <w:t>70-105dB</w:t>
      </w:r>
      <w:r>
        <w:rPr>
          <w:spacing w:val="-6"/>
        </w:rPr>
        <w:t>（</w:t>
      </w:r>
      <w:r>
        <w:rPr>
          <w:rFonts w:ascii="Times New Roman" w:eastAsia="Times New Roman"/>
          <w:spacing w:val="-6"/>
        </w:rPr>
        <w:t>A</w:t>
      </w:r>
      <w:r>
        <w:rPr>
          <w:spacing w:val="-6"/>
        </w:rPr>
        <w:t>）</w:t>
      </w:r>
      <w:r>
        <w:t>之间</w:t>
      </w:r>
      <w:r>
        <w:rPr>
          <w:spacing w:val="-1"/>
        </w:rPr>
        <w:t>本项目施工期施工内容主要包括场地平整、开挖土石方、打桩、构筑基础施工、</w:t>
      </w:r>
      <w:r>
        <w:rPr>
          <w:spacing w:val="-9"/>
        </w:rPr>
        <w:t>钢筋、砖混结构施工、管线施工及装修施工、场地清理等，施工期对环境的影响主要是扬尘、废水、施工噪声、建筑垃圾及生态影响等。</w:t>
      </w:r>
    </w:p>
    <w:p>
      <w:pPr>
        <w:pStyle w:val="5"/>
        <w:numPr>
          <w:ilvl w:val="2"/>
          <w:numId w:val="43"/>
        </w:numPr>
        <w:tabs>
          <w:tab w:val="left" w:pos="1241"/>
        </w:tabs>
        <w:spacing w:before="116" w:after="0" w:line="240" w:lineRule="auto"/>
        <w:ind w:left="1240" w:right="0" w:hanging="701"/>
        <w:jc w:val="left"/>
      </w:pPr>
      <w:bookmarkStart w:id="271" w:name="5.1.2 施工期大气环境影响分析"/>
      <w:bookmarkEnd w:id="271"/>
      <w:bookmarkStart w:id="272" w:name="5.1.2 施工期大气环境影响分析"/>
      <w:bookmarkEnd w:id="272"/>
      <w:r>
        <w:t>施工期大气环境影响分析</w:t>
      </w:r>
    </w:p>
    <w:p>
      <w:pPr>
        <w:pStyle w:val="7"/>
        <w:spacing w:before="7"/>
        <w:ind w:left="0"/>
        <w:rPr>
          <w:b/>
          <w:sz w:val="21"/>
        </w:rPr>
      </w:pPr>
    </w:p>
    <w:p>
      <w:pPr>
        <w:pStyle w:val="7"/>
        <w:spacing w:before="1"/>
      </w:pPr>
      <w:r>
        <w:rPr>
          <w:rFonts w:ascii="Times New Roman" w:eastAsia="Times New Roman"/>
        </w:rPr>
        <w:t>5.1.2.1</w:t>
      </w:r>
      <w:r>
        <w:t>施工扬尘</w:t>
      </w:r>
    </w:p>
    <w:p>
      <w:pPr>
        <w:pStyle w:val="7"/>
        <w:spacing w:before="160" w:line="364" w:lineRule="auto"/>
        <w:ind w:right="577" w:firstLine="480"/>
        <w:jc w:val="both"/>
      </w:pPr>
      <w:r>
        <w:rPr>
          <w:spacing w:val="-6"/>
        </w:rPr>
        <w:t>本项目施工期扬尘主要是主体工程、辅助工程、公用工程基础施工、环保工</w:t>
      </w:r>
      <w:r>
        <w:rPr>
          <w:spacing w:val="-2"/>
        </w:rPr>
        <w:t>程等的土建挖取土</w:t>
      </w:r>
      <w:r>
        <w:rPr>
          <w:spacing w:val="-3"/>
        </w:rPr>
        <w:t>（</w:t>
      </w:r>
      <w:r>
        <w:t>石</w:t>
      </w:r>
      <w:r>
        <w:rPr>
          <w:spacing w:val="-15"/>
        </w:rPr>
        <w:t>）</w:t>
      </w:r>
      <w:r>
        <w:rPr>
          <w:spacing w:val="-10"/>
        </w:rPr>
        <w:t>、推土、场地平整、施工沙石材料等的装卸、运输过程</w:t>
      </w:r>
      <w:r>
        <w:rPr>
          <w:spacing w:val="-5"/>
        </w:rPr>
        <w:t>中产生的扬尘以及土石方的临时堆放过程中产生的扬尘，施工扬尘产生与施工管</w:t>
      </w:r>
      <w:r>
        <w:rPr>
          <w:spacing w:val="-10"/>
        </w:rPr>
        <w:t>理、气象</w:t>
      </w:r>
      <w:r>
        <w:rPr>
          <w:spacing w:val="-3"/>
        </w:rPr>
        <w:t>（</w:t>
      </w:r>
      <w:r>
        <w:t>特别是风速</w:t>
      </w:r>
      <w:r>
        <w:rPr>
          <w:spacing w:val="-20"/>
        </w:rPr>
        <w:t>）</w:t>
      </w:r>
      <w:r>
        <w:rPr>
          <w:spacing w:val="-5"/>
        </w:rPr>
        <w:t>条件等密切相关，也与扬尘本身沉降速度有关。如遇干</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jc w:val="both"/>
      </w:pPr>
      <w:r>
        <w:rPr>
          <w:spacing w:val="-9"/>
        </w:rPr>
        <w:t>旱无雨季节，在大风时，施工扬尘将更严重。据有关调查显示，施工工地的扬尘</w:t>
      </w:r>
      <w:r>
        <w:rPr>
          <w:spacing w:val="-7"/>
        </w:rPr>
        <w:t>主要是由运输车辆行驶产生，与道路路面及车辆行驶速度有关，约占扬尘总量的</w:t>
      </w:r>
      <w:r>
        <w:rPr>
          <w:rFonts w:ascii="Times New Roman" w:eastAsia="Times New Roman"/>
        </w:rPr>
        <w:t>60%</w:t>
      </w:r>
      <w:r>
        <w:t>。在完全干燥情况下，可按经验公式计算：</w:t>
      </w:r>
    </w:p>
    <w:p>
      <w:pPr>
        <w:pStyle w:val="7"/>
        <w:ind w:left="2802"/>
        <w:rPr>
          <w:sz w:val="20"/>
        </w:rPr>
      </w:pPr>
      <w:r>
        <w:rPr>
          <w:sz w:val="20"/>
        </w:rPr>
        <w:drawing>
          <wp:inline distT="0" distB="0" distL="0" distR="0">
            <wp:extent cx="2414905" cy="502920"/>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eg"/>
                    <pic:cNvPicPr>
                      <a:picLocks noChangeAspect="1"/>
                    </pic:cNvPicPr>
                  </pic:nvPicPr>
                  <pic:blipFill>
                    <a:blip r:embed="rId43" cstate="print"/>
                    <a:stretch>
                      <a:fillRect/>
                    </a:stretch>
                  </pic:blipFill>
                  <pic:spPr>
                    <a:xfrm>
                      <a:off x="0" y="0"/>
                      <a:ext cx="2415443" cy="502920"/>
                    </a:xfrm>
                    <a:prstGeom prst="rect">
                      <a:avLst/>
                    </a:prstGeom>
                  </pic:spPr>
                </pic:pic>
              </a:graphicData>
            </a:graphic>
          </wp:inline>
        </w:drawing>
      </w:r>
    </w:p>
    <w:p>
      <w:pPr>
        <w:pStyle w:val="7"/>
        <w:spacing w:before="146"/>
        <w:ind w:left="1020"/>
      </w:pPr>
      <w:r>
        <w:t>式中：</w:t>
      </w:r>
      <w:r>
        <w:rPr>
          <w:rFonts w:ascii="Times New Roman" w:hAnsi="Times New Roman" w:eastAsia="Times New Roman"/>
        </w:rPr>
        <w:t>Q</w:t>
      </w:r>
      <w:r>
        <w:t>——汽车行驶的扬尘，</w:t>
      </w:r>
      <w:r>
        <w:rPr>
          <w:rFonts w:ascii="Times New Roman" w:hAnsi="Times New Roman" w:eastAsia="Times New Roman"/>
        </w:rPr>
        <w:t>kg/km</w:t>
      </w:r>
      <w:r>
        <w:t>辆；</w:t>
      </w:r>
    </w:p>
    <w:p>
      <w:pPr>
        <w:pStyle w:val="7"/>
        <w:spacing w:before="160" w:line="364" w:lineRule="auto"/>
        <w:ind w:left="1740" w:right="5136"/>
      </w:pPr>
      <w:r>
        <w:rPr>
          <w:rFonts w:ascii="Times New Roman" w:hAnsi="Times New Roman" w:eastAsia="Times New Roman"/>
        </w:rPr>
        <w:t>v</w:t>
      </w:r>
      <w:r>
        <w:t>——汽车速度，</w:t>
      </w:r>
      <w:r>
        <w:rPr>
          <w:rFonts w:ascii="Times New Roman" w:hAnsi="Times New Roman" w:eastAsia="Times New Roman"/>
        </w:rPr>
        <w:t>km/h</w:t>
      </w:r>
      <w:r>
        <w:t>；</w:t>
      </w:r>
      <w:r>
        <w:rPr>
          <w:rFonts w:ascii="Times New Roman" w:hAnsi="Times New Roman" w:eastAsia="Times New Roman"/>
        </w:rPr>
        <w:t>W</w:t>
      </w:r>
      <w:r>
        <w:t>——汽车载重量，</w:t>
      </w:r>
      <w:r>
        <w:rPr>
          <w:rFonts w:ascii="Times New Roman" w:hAnsi="Times New Roman" w:eastAsia="Times New Roman"/>
        </w:rPr>
        <w:t>t</w:t>
      </w:r>
      <w:r>
        <w:t>；</w:t>
      </w:r>
    </w:p>
    <w:p>
      <w:pPr>
        <w:pStyle w:val="7"/>
        <w:spacing w:before="1"/>
        <w:ind w:left="1740"/>
      </w:pPr>
      <w:r>
        <w:rPr>
          <w:rFonts w:ascii="Times New Roman" w:hAnsi="Times New Roman" w:eastAsia="Times New Roman"/>
        </w:rPr>
        <w:t>P</w:t>
      </w:r>
      <w:r>
        <w:t>——道路表面粉尘量，</w:t>
      </w:r>
      <w:r>
        <w:rPr>
          <w:rFonts w:ascii="Times New Roman" w:hAnsi="Times New Roman" w:eastAsia="Times New Roman"/>
        </w:rPr>
        <w:t>kg/m</w:t>
      </w:r>
      <w:r>
        <w:rPr>
          <w:rFonts w:ascii="Times New Roman" w:hAnsi="Times New Roman" w:eastAsia="Times New Roman"/>
          <w:position w:val="8"/>
          <w:sz w:val="15"/>
        </w:rPr>
        <w:t>2</w:t>
      </w:r>
      <w:r>
        <w:t>。</w:t>
      </w:r>
    </w:p>
    <w:p>
      <w:pPr>
        <w:pStyle w:val="7"/>
        <w:spacing w:before="161" w:line="364" w:lineRule="auto"/>
        <w:ind w:right="455" w:firstLine="480"/>
      </w:pPr>
      <w:r>
        <w:rPr>
          <w:spacing w:val="-12"/>
        </w:rPr>
        <w:t>一辆载重</w:t>
      </w:r>
      <w:r>
        <w:rPr>
          <w:rFonts w:ascii="Times New Roman" w:eastAsia="Times New Roman"/>
        </w:rPr>
        <w:t>20t</w:t>
      </w:r>
      <w:r>
        <w:rPr>
          <w:spacing w:val="-13"/>
        </w:rPr>
        <w:t>的卡车，通过一段长度为</w:t>
      </w:r>
      <w:r>
        <w:rPr>
          <w:rFonts w:ascii="Times New Roman" w:eastAsia="Times New Roman"/>
        </w:rPr>
        <w:t>500m</w:t>
      </w:r>
      <w:r>
        <w:rPr>
          <w:spacing w:val="-9"/>
        </w:rPr>
        <w:t>的路面时，不同表面清洁程度，</w:t>
      </w:r>
      <w:r>
        <w:rPr>
          <w:spacing w:val="-4"/>
        </w:rPr>
        <w:t>不同行驶速度情况下产生的扬尘量如表</w:t>
      </w:r>
      <w:r>
        <w:rPr>
          <w:rFonts w:ascii="Times New Roman" w:eastAsia="Times New Roman"/>
        </w:rPr>
        <w:t>5.1-1</w:t>
      </w:r>
      <w:r>
        <w:t>所示。</w:t>
      </w:r>
    </w:p>
    <w:p>
      <w:pPr>
        <w:pStyle w:val="7"/>
        <w:bidi w:val="0"/>
        <w:jc w:val="center"/>
      </w:pPr>
      <w:r>
        <mc:AlternateContent>
          <mc:Choice Requires="wps">
            <w:drawing>
              <wp:anchor distT="0" distB="0" distL="114300" distR="114300" simplePos="0" relativeHeight="232321024" behindDoc="1" locked="0" layoutInCell="1" allowOverlap="1">
                <wp:simplePos x="0" y="0"/>
                <wp:positionH relativeFrom="page">
                  <wp:posOffset>1143635</wp:posOffset>
                </wp:positionH>
                <wp:positionV relativeFrom="paragraph">
                  <wp:posOffset>251460</wp:posOffset>
                </wp:positionV>
                <wp:extent cx="1468120" cy="399415"/>
                <wp:effectExtent l="1270" t="4445" r="16510" b="15240"/>
                <wp:wrapNone/>
                <wp:docPr id="42" name="直线 141"/>
                <wp:cNvGraphicFramePr/>
                <a:graphic xmlns:a="http://schemas.openxmlformats.org/drawingml/2006/main">
                  <a:graphicData uri="http://schemas.microsoft.com/office/word/2010/wordprocessingShape">
                    <wps:wsp>
                      <wps:cNvCnPr/>
                      <wps:spPr>
                        <a:xfrm>
                          <a:off x="0" y="0"/>
                          <a:ext cx="1468120" cy="3994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1" o:spid="_x0000_s1026" o:spt="20" style="position:absolute;left:0pt;margin-left:90.05pt;margin-top:19.8pt;height:31.45pt;width:115.6pt;mso-position-horizontal-relative:page;z-index:-270995456;mso-width-relative:page;mso-height-relative:page;" filled="f" stroked="t" coordsize="21600,21600" o:gfxdata="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mPMhtYAAAAKAQAADwAAAAAAAAABACAAAAAi&#10;AAAAZHJzL2Rvd25yZXYueG1sUEsBAhQAFAAAAAgAh07iQHT8+O/TAQAAlQMAAA4AAAAAAAAAAQAg&#10;AAAAJQEAAGRycy9lMm9Eb2MueG1sUEsFBgAAAAAGAAYAWQEAAGoFAAAAAA==&#10;">
                <v:fill on="f" focussize="0,0"/>
                <v:stroke weight="0.5pt" color="#000000" joinstyle="round"/>
                <v:imagedata o:title=""/>
                <o:lock v:ext="edit" aspectratio="f"/>
              </v:line>
            </w:pict>
          </mc:Fallback>
        </mc:AlternateContent>
      </w:r>
      <w:r>
        <w:t>表</w:t>
      </w:r>
      <w:r>
        <w:rPr>
          <w:rFonts w:ascii="Times New Roman" w:hAnsi="Times New Roman" w:eastAsia="Times New Roman"/>
        </w:rPr>
        <w:t>5.1-1</w:t>
      </w:r>
      <w:r>
        <w:rPr>
          <w:rFonts w:ascii="Times New Roman" w:hAnsi="Times New Roman" w:eastAsia="Times New Roman"/>
        </w:rPr>
        <w:tab/>
      </w:r>
      <w:r>
        <w:t>不同车速和地面清洁程度时的汽车扬尘单位：</w:t>
      </w:r>
      <w:r>
        <w:rPr>
          <w:rFonts w:ascii="Times New Roman" w:hAnsi="Times New Roman" w:eastAsia="Times New Roman"/>
        </w:rPr>
        <w:t>kg/km·</w:t>
      </w:r>
      <w:r>
        <w:t>辆</w:t>
      </w:r>
    </w:p>
    <w:tbl>
      <w:tblPr>
        <w:tblStyle w:val="14"/>
        <w:tblW w:w="0" w:type="auto"/>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7"/>
        <w:gridCol w:w="1143"/>
        <w:gridCol w:w="893"/>
        <w:gridCol w:w="1084"/>
        <w:gridCol w:w="843"/>
        <w:gridCol w:w="1008"/>
        <w:gridCol w:w="1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17" w:type="dxa"/>
          </w:tcPr>
          <w:p>
            <w:pPr>
              <w:pStyle w:val="18"/>
              <w:spacing w:before="21"/>
              <w:ind w:left="1148"/>
              <w:jc w:val="left"/>
              <w:rPr>
                <w:b/>
                <w:sz w:val="21"/>
              </w:rPr>
            </w:pPr>
            <w:r>
              <w:rPr>
                <w:rFonts w:ascii="Times New Roman" w:eastAsia="Times New Roman"/>
                <w:b/>
                <w:sz w:val="21"/>
              </w:rPr>
              <w:t>P</w:t>
            </w:r>
            <w:r>
              <w:rPr>
                <w:b/>
                <w:sz w:val="21"/>
              </w:rPr>
              <w:t>（</w:t>
            </w:r>
            <w:r>
              <w:rPr>
                <w:rFonts w:ascii="Times New Roman" w:eastAsia="Times New Roman"/>
                <w:b/>
                <w:sz w:val="21"/>
              </w:rPr>
              <w:t>kg/m</w:t>
            </w:r>
            <w:r>
              <w:rPr>
                <w:rFonts w:ascii="Times New Roman" w:eastAsia="Times New Roman"/>
                <w:b/>
                <w:position w:val="7"/>
                <w:sz w:val="13"/>
              </w:rPr>
              <w:t>2</w:t>
            </w:r>
            <w:r>
              <w:rPr>
                <w:b/>
                <w:sz w:val="21"/>
              </w:rPr>
              <w:t>）</w:t>
            </w:r>
          </w:p>
          <w:p>
            <w:pPr>
              <w:pStyle w:val="18"/>
              <w:spacing w:before="43"/>
              <w:ind w:left="4"/>
              <w:jc w:val="left"/>
              <w:rPr>
                <w:b/>
                <w:sz w:val="21"/>
              </w:rPr>
            </w:pPr>
            <w:r>
              <w:rPr>
                <w:b/>
                <w:sz w:val="21"/>
              </w:rPr>
              <w:t>车速（</w:t>
            </w:r>
            <w:r>
              <w:rPr>
                <w:rFonts w:ascii="Times New Roman" w:eastAsia="Times New Roman"/>
                <w:b/>
                <w:sz w:val="21"/>
              </w:rPr>
              <w:t>km/h</w:t>
            </w:r>
            <w:r>
              <w:rPr>
                <w:b/>
                <w:sz w:val="21"/>
              </w:rPr>
              <w:t>）</w:t>
            </w:r>
          </w:p>
        </w:tc>
        <w:tc>
          <w:tcPr>
            <w:tcW w:w="1143" w:type="dxa"/>
          </w:tcPr>
          <w:p>
            <w:pPr>
              <w:pStyle w:val="18"/>
              <w:spacing w:before="191"/>
              <w:ind w:left="261" w:right="252"/>
              <w:rPr>
                <w:rFonts w:ascii="Times New Roman"/>
                <w:b/>
                <w:sz w:val="21"/>
              </w:rPr>
            </w:pPr>
            <w:r>
              <w:rPr>
                <w:rFonts w:ascii="Times New Roman"/>
                <w:b/>
                <w:sz w:val="21"/>
              </w:rPr>
              <w:t>0.1</w:t>
            </w:r>
          </w:p>
        </w:tc>
        <w:tc>
          <w:tcPr>
            <w:tcW w:w="893" w:type="dxa"/>
          </w:tcPr>
          <w:p>
            <w:pPr>
              <w:pStyle w:val="18"/>
              <w:spacing w:before="191"/>
              <w:ind w:left="136" w:right="127"/>
              <w:rPr>
                <w:rFonts w:ascii="Times New Roman"/>
                <w:b/>
                <w:sz w:val="21"/>
              </w:rPr>
            </w:pPr>
            <w:r>
              <w:rPr>
                <w:rFonts w:ascii="Times New Roman"/>
                <w:b/>
                <w:sz w:val="21"/>
              </w:rPr>
              <w:t>0.2</w:t>
            </w:r>
          </w:p>
        </w:tc>
        <w:tc>
          <w:tcPr>
            <w:tcW w:w="1084" w:type="dxa"/>
          </w:tcPr>
          <w:p>
            <w:pPr>
              <w:pStyle w:val="18"/>
              <w:spacing w:before="191"/>
              <w:ind w:left="231" w:right="222"/>
              <w:rPr>
                <w:rFonts w:ascii="Times New Roman"/>
                <w:b/>
                <w:sz w:val="21"/>
              </w:rPr>
            </w:pPr>
            <w:r>
              <w:rPr>
                <w:rFonts w:ascii="Times New Roman"/>
                <w:b/>
                <w:sz w:val="21"/>
              </w:rPr>
              <w:t>0.3</w:t>
            </w:r>
          </w:p>
        </w:tc>
        <w:tc>
          <w:tcPr>
            <w:tcW w:w="843" w:type="dxa"/>
          </w:tcPr>
          <w:p>
            <w:pPr>
              <w:pStyle w:val="18"/>
              <w:spacing w:before="191"/>
              <w:ind w:left="110" w:right="103"/>
              <w:rPr>
                <w:rFonts w:ascii="Times New Roman"/>
                <w:b/>
                <w:sz w:val="21"/>
              </w:rPr>
            </w:pPr>
            <w:r>
              <w:rPr>
                <w:rFonts w:ascii="Times New Roman"/>
                <w:b/>
                <w:sz w:val="21"/>
              </w:rPr>
              <w:t>0.4</w:t>
            </w:r>
          </w:p>
        </w:tc>
        <w:tc>
          <w:tcPr>
            <w:tcW w:w="1008" w:type="dxa"/>
          </w:tcPr>
          <w:p>
            <w:pPr>
              <w:pStyle w:val="18"/>
              <w:spacing w:before="191"/>
              <w:ind w:left="193" w:right="184"/>
              <w:rPr>
                <w:rFonts w:ascii="Times New Roman"/>
                <w:b/>
                <w:sz w:val="21"/>
              </w:rPr>
            </w:pPr>
            <w:r>
              <w:rPr>
                <w:rFonts w:ascii="Times New Roman"/>
                <w:b/>
                <w:sz w:val="21"/>
              </w:rPr>
              <w:t>0.5</w:t>
            </w:r>
          </w:p>
        </w:tc>
        <w:tc>
          <w:tcPr>
            <w:tcW w:w="1021" w:type="dxa"/>
          </w:tcPr>
          <w:p>
            <w:pPr>
              <w:pStyle w:val="18"/>
              <w:spacing w:before="191"/>
              <w:ind w:left="53" w:right="43"/>
              <w:rPr>
                <w:rFonts w:ascii="Times New Roman"/>
                <w:b/>
                <w:sz w:val="21"/>
              </w:rPr>
            </w:pPr>
            <w:r>
              <w:rPr>
                <w:rFonts w:ascii="Times New Roman"/>
                <w:b/>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8"/>
              <w:spacing w:before="49"/>
              <w:ind w:right="1094"/>
              <w:jc w:val="right"/>
              <w:rPr>
                <w:rFonts w:ascii="Times New Roman"/>
                <w:sz w:val="21"/>
              </w:rPr>
            </w:pPr>
            <w:r>
              <w:rPr>
                <w:rFonts w:ascii="Times New Roman"/>
                <w:w w:val="99"/>
                <w:sz w:val="21"/>
              </w:rPr>
              <w:t>5</w:t>
            </w:r>
          </w:p>
        </w:tc>
        <w:tc>
          <w:tcPr>
            <w:tcW w:w="1143" w:type="dxa"/>
          </w:tcPr>
          <w:p>
            <w:pPr>
              <w:pStyle w:val="18"/>
              <w:spacing w:before="49"/>
              <w:ind w:left="261" w:right="254"/>
              <w:rPr>
                <w:rFonts w:ascii="Times New Roman"/>
                <w:sz w:val="21"/>
              </w:rPr>
            </w:pPr>
            <w:r>
              <w:rPr>
                <w:rFonts w:ascii="Times New Roman"/>
                <w:sz w:val="21"/>
              </w:rPr>
              <w:t>0.0323</w:t>
            </w:r>
          </w:p>
        </w:tc>
        <w:tc>
          <w:tcPr>
            <w:tcW w:w="893" w:type="dxa"/>
          </w:tcPr>
          <w:p>
            <w:pPr>
              <w:pStyle w:val="18"/>
              <w:spacing w:before="49"/>
              <w:ind w:left="138" w:right="127"/>
              <w:rPr>
                <w:rFonts w:ascii="Times New Roman"/>
                <w:sz w:val="21"/>
              </w:rPr>
            </w:pPr>
            <w:r>
              <w:rPr>
                <w:rFonts w:ascii="Times New Roman"/>
                <w:sz w:val="21"/>
              </w:rPr>
              <w:t>0.0576</w:t>
            </w:r>
          </w:p>
        </w:tc>
        <w:tc>
          <w:tcPr>
            <w:tcW w:w="1084" w:type="dxa"/>
          </w:tcPr>
          <w:p>
            <w:pPr>
              <w:pStyle w:val="18"/>
              <w:spacing w:before="49"/>
              <w:ind w:left="231" w:right="224"/>
              <w:rPr>
                <w:rFonts w:ascii="Times New Roman"/>
                <w:sz w:val="21"/>
              </w:rPr>
            </w:pPr>
            <w:r>
              <w:rPr>
                <w:rFonts w:ascii="Times New Roman"/>
                <w:sz w:val="21"/>
              </w:rPr>
              <w:t>0.0946</w:t>
            </w:r>
          </w:p>
        </w:tc>
        <w:tc>
          <w:tcPr>
            <w:tcW w:w="843" w:type="dxa"/>
          </w:tcPr>
          <w:p>
            <w:pPr>
              <w:pStyle w:val="18"/>
              <w:spacing w:before="49"/>
              <w:ind w:left="112" w:right="103"/>
              <w:rPr>
                <w:rFonts w:ascii="Times New Roman"/>
                <w:sz w:val="21"/>
              </w:rPr>
            </w:pPr>
            <w:r>
              <w:rPr>
                <w:rFonts w:ascii="Times New Roman"/>
                <w:sz w:val="21"/>
              </w:rPr>
              <w:t>0.1427</w:t>
            </w:r>
          </w:p>
        </w:tc>
        <w:tc>
          <w:tcPr>
            <w:tcW w:w="1008" w:type="dxa"/>
          </w:tcPr>
          <w:p>
            <w:pPr>
              <w:pStyle w:val="18"/>
              <w:spacing w:before="49"/>
              <w:ind w:left="193" w:right="187"/>
              <w:rPr>
                <w:rFonts w:ascii="Times New Roman"/>
                <w:sz w:val="21"/>
              </w:rPr>
            </w:pPr>
            <w:r>
              <w:rPr>
                <w:rFonts w:ascii="Times New Roman"/>
                <w:sz w:val="21"/>
              </w:rPr>
              <w:t>0.1760</w:t>
            </w:r>
          </w:p>
        </w:tc>
        <w:tc>
          <w:tcPr>
            <w:tcW w:w="1021" w:type="dxa"/>
          </w:tcPr>
          <w:p>
            <w:pPr>
              <w:pStyle w:val="18"/>
              <w:spacing w:before="49"/>
              <w:ind w:left="53" w:right="45"/>
              <w:rPr>
                <w:rFonts w:ascii="Times New Roman"/>
                <w:sz w:val="21"/>
              </w:rPr>
            </w:pPr>
            <w:r>
              <w:rPr>
                <w:rFonts w:ascii="Times New Roman"/>
                <w:sz w:val="21"/>
              </w:rPr>
              <w:t>0.2393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8"/>
              <w:spacing w:before="49"/>
              <w:ind w:right="1041"/>
              <w:jc w:val="right"/>
              <w:rPr>
                <w:rFonts w:ascii="Times New Roman"/>
                <w:sz w:val="21"/>
              </w:rPr>
            </w:pPr>
            <w:r>
              <w:rPr>
                <w:rFonts w:ascii="Times New Roman"/>
                <w:sz w:val="21"/>
              </w:rPr>
              <w:t>10</w:t>
            </w:r>
          </w:p>
        </w:tc>
        <w:tc>
          <w:tcPr>
            <w:tcW w:w="1143" w:type="dxa"/>
          </w:tcPr>
          <w:p>
            <w:pPr>
              <w:pStyle w:val="18"/>
              <w:spacing w:before="49"/>
              <w:ind w:left="261" w:right="254"/>
              <w:rPr>
                <w:rFonts w:ascii="Times New Roman"/>
                <w:sz w:val="21"/>
              </w:rPr>
            </w:pPr>
            <w:r>
              <w:rPr>
                <w:rFonts w:ascii="Times New Roman"/>
                <w:sz w:val="21"/>
              </w:rPr>
              <w:t>0.0716</w:t>
            </w:r>
          </w:p>
        </w:tc>
        <w:tc>
          <w:tcPr>
            <w:tcW w:w="893" w:type="dxa"/>
          </w:tcPr>
          <w:p>
            <w:pPr>
              <w:pStyle w:val="18"/>
              <w:spacing w:before="49"/>
              <w:ind w:left="138" w:right="127"/>
              <w:rPr>
                <w:rFonts w:ascii="Times New Roman"/>
                <w:sz w:val="21"/>
              </w:rPr>
            </w:pPr>
            <w:r>
              <w:rPr>
                <w:rFonts w:ascii="Times New Roman"/>
                <w:sz w:val="21"/>
              </w:rPr>
              <w:t>0.1253</w:t>
            </w:r>
          </w:p>
        </w:tc>
        <w:tc>
          <w:tcPr>
            <w:tcW w:w="1084" w:type="dxa"/>
          </w:tcPr>
          <w:p>
            <w:pPr>
              <w:pStyle w:val="18"/>
              <w:spacing w:before="49"/>
              <w:ind w:left="231" w:right="224"/>
              <w:rPr>
                <w:rFonts w:ascii="Times New Roman"/>
                <w:sz w:val="21"/>
              </w:rPr>
            </w:pPr>
            <w:r>
              <w:rPr>
                <w:rFonts w:ascii="Times New Roman"/>
                <w:sz w:val="21"/>
              </w:rPr>
              <w:t>0.1638</w:t>
            </w:r>
          </w:p>
        </w:tc>
        <w:tc>
          <w:tcPr>
            <w:tcW w:w="843" w:type="dxa"/>
          </w:tcPr>
          <w:p>
            <w:pPr>
              <w:pStyle w:val="18"/>
              <w:spacing w:before="49"/>
              <w:ind w:left="112" w:right="103"/>
              <w:rPr>
                <w:rFonts w:ascii="Times New Roman"/>
                <w:sz w:val="21"/>
              </w:rPr>
            </w:pPr>
            <w:r>
              <w:rPr>
                <w:rFonts w:ascii="Times New Roman"/>
                <w:sz w:val="21"/>
              </w:rPr>
              <w:t>0.2325</w:t>
            </w:r>
          </w:p>
        </w:tc>
        <w:tc>
          <w:tcPr>
            <w:tcW w:w="1008" w:type="dxa"/>
          </w:tcPr>
          <w:p>
            <w:pPr>
              <w:pStyle w:val="18"/>
              <w:spacing w:before="49"/>
              <w:ind w:left="193" w:right="187"/>
              <w:rPr>
                <w:rFonts w:ascii="Times New Roman"/>
                <w:sz w:val="21"/>
              </w:rPr>
            </w:pPr>
            <w:r>
              <w:rPr>
                <w:rFonts w:ascii="Times New Roman"/>
                <w:sz w:val="21"/>
              </w:rPr>
              <w:t>0.2231</w:t>
            </w:r>
          </w:p>
        </w:tc>
        <w:tc>
          <w:tcPr>
            <w:tcW w:w="1021" w:type="dxa"/>
          </w:tcPr>
          <w:p>
            <w:pPr>
              <w:pStyle w:val="18"/>
              <w:spacing w:before="49"/>
              <w:ind w:left="53" w:right="45"/>
              <w:rPr>
                <w:rFonts w:ascii="Times New Roman"/>
                <w:sz w:val="21"/>
              </w:rPr>
            </w:pPr>
            <w:r>
              <w:rPr>
                <w:rFonts w:ascii="Times New Roman"/>
                <w:sz w:val="21"/>
              </w:rPr>
              <w:t>0.4286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8"/>
              <w:spacing w:before="50"/>
              <w:ind w:right="1041"/>
              <w:jc w:val="right"/>
              <w:rPr>
                <w:rFonts w:ascii="Times New Roman"/>
                <w:sz w:val="21"/>
              </w:rPr>
            </w:pPr>
            <w:r>
              <w:rPr>
                <w:rFonts w:ascii="Times New Roman"/>
                <w:sz w:val="21"/>
              </w:rPr>
              <w:t>15</w:t>
            </w:r>
          </w:p>
        </w:tc>
        <w:tc>
          <w:tcPr>
            <w:tcW w:w="1143" w:type="dxa"/>
          </w:tcPr>
          <w:p>
            <w:pPr>
              <w:pStyle w:val="18"/>
              <w:spacing w:before="50"/>
              <w:ind w:left="261" w:right="254"/>
              <w:rPr>
                <w:rFonts w:ascii="Times New Roman"/>
                <w:sz w:val="21"/>
              </w:rPr>
            </w:pPr>
            <w:r>
              <w:rPr>
                <w:rFonts w:ascii="Times New Roman"/>
                <w:sz w:val="21"/>
              </w:rPr>
              <w:t>0.1050</w:t>
            </w:r>
          </w:p>
        </w:tc>
        <w:tc>
          <w:tcPr>
            <w:tcW w:w="893" w:type="dxa"/>
          </w:tcPr>
          <w:p>
            <w:pPr>
              <w:pStyle w:val="18"/>
              <w:spacing w:before="50"/>
              <w:ind w:left="138" w:right="127"/>
              <w:rPr>
                <w:rFonts w:ascii="Times New Roman"/>
                <w:sz w:val="21"/>
              </w:rPr>
            </w:pPr>
            <w:r>
              <w:rPr>
                <w:rFonts w:ascii="Times New Roman"/>
                <w:sz w:val="21"/>
              </w:rPr>
              <w:t>0.1636</w:t>
            </w:r>
          </w:p>
        </w:tc>
        <w:tc>
          <w:tcPr>
            <w:tcW w:w="1084" w:type="dxa"/>
          </w:tcPr>
          <w:p>
            <w:pPr>
              <w:pStyle w:val="18"/>
              <w:spacing w:before="50"/>
              <w:ind w:left="231" w:right="224"/>
              <w:rPr>
                <w:rFonts w:ascii="Times New Roman"/>
                <w:sz w:val="21"/>
              </w:rPr>
            </w:pPr>
            <w:r>
              <w:rPr>
                <w:rFonts w:ascii="Times New Roman"/>
                <w:sz w:val="21"/>
              </w:rPr>
              <w:t>0.2342</w:t>
            </w:r>
          </w:p>
        </w:tc>
        <w:tc>
          <w:tcPr>
            <w:tcW w:w="843" w:type="dxa"/>
          </w:tcPr>
          <w:p>
            <w:pPr>
              <w:pStyle w:val="18"/>
              <w:spacing w:before="50"/>
              <w:ind w:left="112" w:right="103"/>
              <w:rPr>
                <w:rFonts w:ascii="Times New Roman"/>
                <w:sz w:val="21"/>
              </w:rPr>
            </w:pPr>
            <w:r>
              <w:rPr>
                <w:rFonts w:ascii="Times New Roman"/>
                <w:sz w:val="21"/>
              </w:rPr>
              <w:t>0.3603</w:t>
            </w:r>
          </w:p>
        </w:tc>
        <w:tc>
          <w:tcPr>
            <w:tcW w:w="1008" w:type="dxa"/>
          </w:tcPr>
          <w:p>
            <w:pPr>
              <w:pStyle w:val="18"/>
              <w:spacing w:before="50"/>
              <w:ind w:left="193" w:right="187"/>
              <w:rPr>
                <w:rFonts w:ascii="Times New Roman"/>
                <w:sz w:val="21"/>
              </w:rPr>
            </w:pPr>
            <w:r>
              <w:rPr>
                <w:rFonts w:ascii="Times New Roman"/>
                <w:sz w:val="21"/>
              </w:rPr>
              <w:t>0.4314</w:t>
            </w:r>
          </w:p>
        </w:tc>
        <w:tc>
          <w:tcPr>
            <w:tcW w:w="1021" w:type="dxa"/>
          </w:tcPr>
          <w:p>
            <w:pPr>
              <w:pStyle w:val="18"/>
              <w:spacing w:before="50"/>
              <w:ind w:left="53" w:right="45"/>
              <w:rPr>
                <w:rFonts w:ascii="Times New Roman"/>
                <w:sz w:val="21"/>
              </w:rPr>
            </w:pPr>
            <w:r>
              <w:rPr>
                <w:rFonts w:ascii="Times New Roman"/>
                <w:sz w:val="21"/>
              </w:rPr>
              <w:t>0.6878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8"/>
              <w:spacing w:before="48"/>
              <w:ind w:right="1041"/>
              <w:jc w:val="right"/>
              <w:rPr>
                <w:rFonts w:ascii="Times New Roman"/>
                <w:sz w:val="21"/>
              </w:rPr>
            </w:pPr>
            <w:r>
              <w:rPr>
                <w:rFonts w:ascii="Times New Roman"/>
                <w:sz w:val="21"/>
              </w:rPr>
              <w:t>20</w:t>
            </w:r>
          </w:p>
        </w:tc>
        <w:tc>
          <w:tcPr>
            <w:tcW w:w="1143" w:type="dxa"/>
          </w:tcPr>
          <w:p>
            <w:pPr>
              <w:pStyle w:val="18"/>
              <w:spacing w:before="48"/>
              <w:ind w:left="261" w:right="254"/>
              <w:rPr>
                <w:rFonts w:ascii="Times New Roman"/>
                <w:sz w:val="21"/>
              </w:rPr>
            </w:pPr>
            <w:r>
              <w:rPr>
                <w:rFonts w:ascii="Times New Roman"/>
                <w:sz w:val="21"/>
              </w:rPr>
              <w:t>0.1433</w:t>
            </w:r>
          </w:p>
        </w:tc>
        <w:tc>
          <w:tcPr>
            <w:tcW w:w="893" w:type="dxa"/>
          </w:tcPr>
          <w:p>
            <w:pPr>
              <w:pStyle w:val="18"/>
              <w:spacing w:before="48"/>
              <w:ind w:left="138" w:right="127"/>
              <w:rPr>
                <w:rFonts w:ascii="Times New Roman"/>
                <w:sz w:val="21"/>
              </w:rPr>
            </w:pPr>
            <w:r>
              <w:rPr>
                <w:rFonts w:ascii="Times New Roman"/>
                <w:sz w:val="21"/>
              </w:rPr>
              <w:t>0.2105</w:t>
            </w:r>
          </w:p>
        </w:tc>
        <w:tc>
          <w:tcPr>
            <w:tcW w:w="1084" w:type="dxa"/>
          </w:tcPr>
          <w:p>
            <w:pPr>
              <w:pStyle w:val="18"/>
              <w:spacing w:before="48"/>
              <w:ind w:left="231" w:right="224"/>
              <w:rPr>
                <w:rFonts w:ascii="Times New Roman"/>
                <w:sz w:val="21"/>
              </w:rPr>
            </w:pPr>
            <w:r>
              <w:rPr>
                <w:rFonts w:ascii="Times New Roman"/>
                <w:sz w:val="21"/>
              </w:rPr>
              <w:t>0.2741</w:t>
            </w:r>
          </w:p>
        </w:tc>
        <w:tc>
          <w:tcPr>
            <w:tcW w:w="843" w:type="dxa"/>
          </w:tcPr>
          <w:p>
            <w:pPr>
              <w:pStyle w:val="18"/>
              <w:spacing w:before="48"/>
              <w:ind w:left="112" w:right="103"/>
              <w:rPr>
                <w:rFonts w:ascii="Times New Roman"/>
                <w:sz w:val="21"/>
              </w:rPr>
            </w:pPr>
            <w:r>
              <w:rPr>
                <w:rFonts w:ascii="Times New Roman"/>
                <w:sz w:val="21"/>
              </w:rPr>
              <w:t>0.4204</w:t>
            </w:r>
          </w:p>
        </w:tc>
        <w:tc>
          <w:tcPr>
            <w:tcW w:w="1008" w:type="dxa"/>
          </w:tcPr>
          <w:p>
            <w:pPr>
              <w:pStyle w:val="18"/>
              <w:spacing w:before="48"/>
              <w:ind w:left="193" w:right="187"/>
              <w:rPr>
                <w:rFonts w:ascii="Times New Roman"/>
                <w:sz w:val="21"/>
              </w:rPr>
            </w:pPr>
            <w:r>
              <w:rPr>
                <w:rFonts w:ascii="Times New Roman"/>
                <w:sz w:val="21"/>
              </w:rPr>
              <w:t>0.5828</w:t>
            </w:r>
          </w:p>
        </w:tc>
        <w:tc>
          <w:tcPr>
            <w:tcW w:w="1021" w:type="dxa"/>
          </w:tcPr>
          <w:p>
            <w:pPr>
              <w:pStyle w:val="18"/>
              <w:spacing w:before="48"/>
              <w:ind w:left="53" w:right="45"/>
              <w:rPr>
                <w:rFonts w:ascii="Times New Roman"/>
                <w:sz w:val="21"/>
              </w:rPr>
            </w:pPr>
            <w:r>
              <w:rPr>
                <w:rFonts w:ascii="Times New Roman"/>
                <w:sz w:val="21"/>
              </w:rPr>
              <w:t>0.8471</w:t>
            </w:r>
          </w:p>
        </w:tc>
      </w:tr>
    </w:tbl>
    <w:p>
      <w:pPr>
        <w:pStyle w:val="7"/>
        <w:spacing w:before="6"/>
        <w:ind w:left="0"/>
        <w:rPr>
          <w:b/>
          <w:sz w:val="18"/>
        </w:rPr>
      </w:pPr>
    </w:p>
    <w:p>
      <w:pPr>
        <w:pStyle w:val="7"/>
        <w:spacing w:line="364" w:lineRule="auto"/>
        <w:ind w:right="485" w:firstLine="480"/>
      </w:pPr>
      <w:r>
        <w:t>由表</w:t>
      </w:r>
      <w:r>
        <w:rPr>
          <w:rFonts w:ascii="Times New Roman" w:eastAsia="Times New Roman"/>
        </w:rPr>
        <w:t>5.1-1</w:t>
      </w:r>
      <w:r>
        <w:t>可见，在同样路面清洁情况下，车速越快，扬尘量越大；而在同样车速情况下，路面清洁度越差，则扬尘量越大。根据类比调查，一般情况下，施工场地、施工道路在自然风作用下产生的扬尘所影响的范围在</w:t>
      </w:r>
      <w:r>
        <w:rPr>
          <w:rFonts w:ascii="Times New Roman" w:eastAsia="Times New Roman"/>
        </w:rPr>
        <w:t>100m</w:t>
      </w:r>
      <w:r>
        <w:t>以内。</w:t>
      </w:r>
    </w:p>
    <w:p>
      <w:pPr>
        <w:pStyle w:val="7"/>
        <w:spacing w:before="2" w:line="364" w:lineRule="auto"/>
        <w:ind w:right="577" w:firstLine="480"/>
      </w:pPr>
      <w:r>
        <w:rPr>
          <w:spacing w:val="-7"/>
        </w:rPr>
        <w:t>抑制扬尘的一个简洁有效的措施是洒水。如果在施工期内对车辆行驶的路面</w:t>
      </w:r>
      <w:r>
        <w:rPr>
          <w:spacing w:val="-6"/>
        </w:rPr>
        <w:t>实施洒水抑尘，每天洒水</w:t>
      </w:r>
      <w:r>
        <w:rPr>
          <w:rFonts w:ascii="Times New Roman" w:eastAsia="Times New Roman"/>
        </w:rPr>
        <w:t>4-5</w:t>
      </w:r>
      <w:r>
        <w:rPr>
          <w:spacing w:val="-7"/>
        </w:rPr>
        <w:t>次，可使扬尘减少</w:t>
      </w:r>
      <w:r>
        <w:rPr>
          <w:rFonts w:ascii="Times New Roman" w:eastAsia="Times New Roman"/>
        </w:rPr>
        <w:t>70%</w:t>
      </w:r>
      <w:r>
        <w:t>左右。</w:t>
      </w:r>
    </w:p>
    <w:p>
      <w:pPr>
        <w:pStyle w:val="7"/>
        <w:spacing w:before="1" w:line="364" w:lineRule="auto"/>
        <w:ind w:right="577" w:firstLine="480"/>
        <w:jc w:val="both"/>
        <w:rPr>
          <w:color w:val="0000FF"/>
        </w:rPr>
      </w:pPr>
      <w:r>
        <w:rPr>
          <w:color w:val="0000FF"/>
          <w:spacing w:val="-4"/>
        </w:rPr>
        <w:t>本项目主要大气环境敏感点在项目区</w:t>
      </w:r>
      <w:r>
        <w:rPr>
          <w:rFonts w:hint="eastAsia"/>
          <w:color w:val="0000FF"/>
          <w:spacing w:val="-4"/>
          <w:lang w:val="en-US" w:eastAsia="zh-CN"/>
        </w:rPr>
        <w:t>南</w:t>
      </w:r>
      <w:r>
        <w:rPr>
          <w:color w:val="0000FF"/>
          <w:spacing w:val="-4"/>
        </w:rPr>
        <w:t>侧</w:t>
      </w:r>
      <w:r>
        <w:rPr>
          <w:rFonts w:hint="eastAsia" w:ascii="Times New Roman"/>
          <w:color w:val="0000FF"/>
          <w:lang w:val="en-US" w:eastAsia="zh-CN"/>
        </w:rPr>
        <w:t>2</w:t>
      </w:r>
      <w:r>
        <w:rPr>
          <w:rFonts w:ascii="Times New Roman" w:eastAsia="Times New Roman"/>
          <w:color w:val="0000FF"/>
        </w:rPr>
        <w:t>km</w:t>
      </w:r>
      <w:r>
        <w:rPr>
          <w:color w:val="0000FF"/>
          <w:spacing w:val="-12"/>
        </w:rPr>
        <w:t>以外，车辆引起的路面扬尘</w:t>
      </w:r>
      <w:r>
        <w:rPr>
          <w:color w:val="0000FF"/>
          <w:spacing w:val="-6"/>
        </w:rPr>
        <w:t>主要影响区域在施工区以及运输途径路面，对大气环境敏感点影响较小，建议建</w:t>
      </w:r>
      <w:r>
        <w:rPr>
          <w:color w:val="0000FF"/>
          <w:spacing w:val="-5"/>
        </w:rPr>
        <w:t>设单位在项目区车辆途径路面采取洒水降尘防尘措施，减小运输扬尘对项目区及</w:t>
      </w:r>
      <w:r>
        <w:rPr>
          <w:color w:val="0000FF"/>
        </w:rPr>
        <w:t>周边环境影响。</w:t>
      </w:r>
    </w:p>
    <w:p>
      <w:pPr>
        <w:pStyle w:val="7"/>
        <w:spacing w:before="3" w:line="364" w:lineRule="auto"/>
        <w:ind w:right="577" w:firstLine="480"/>
        <w:jc w:val="both"/>
      </w:pPr>
      <w:r>
        <w:rPr>
          <w:spacing w:val="-5"/>
        </w:rPr>
        <w:t>施工扬尘的另一种重要产生方式是建筑材料的露天堆放和搅拌作业，这类扬</w:t>
      </w:r>
      <w:r>
        <w:rPr>
          <w:spacing w:val="-6"/>
        </w:rPr>
        <w:t>尘的主要特点是受作业时风速大小的影响显著。因此，禁止在大风天气时进行此</w:t>
      </w:r>
      <w:r>
        <w:rPr>
          <w:spacing w:val="-4"/>
        </w:rPr>
        <w:t>类作业以及减少建筑材料的露天堆放是抑制这类扬尘的一种很有效的手段。对水</w:t>
      </w:r>
      <w:r>
        <w:rPr>
          <w:spacing w:val="-10"/>
        </w:rPr>
        <w:t>泥、粉煤灰等细颗粒散体材料在运输、储存时采取遮盖、密封的措施，防止和减</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少飞扬。</w:t>
      </w:r>
    </w:p>
    <w:p>
      <w:pPr>
        <w:pStyle w:val="7"/>
        <w:spacing w:before="160" w:line="364" w:lineRule="auto"/>
        <w:ind w:right="575" w:firstLine="480"/>
      </w:pPr>
      <w:r>
        <w:rPr>
          <w:spacing w:val="-7"/>
        </w:rPr>
        <w:t>针对施工期扬尘，根据《防治城市扬尘污染技术规范》</w:t>
      </w:r>
      <w:r>
        <w:t>（</w:t>
      </w:r>
      <w:r>
        <w:rPr>
          <w:rFonts w:ascii="Times New Roman" w:eastAsia="Times New Roman"/>
        </w:rPr>
        <w:t xml:space="preserve">HJ/T </w:t>
      </w:r>
      <w:r>
        <w:rPr>
          <w:rFonts w:ascii="Times New Roman" w:eastAsia="Times New Roman"/>
          <w:spacing w:val="-3"/>
        </w:rPr>
        <w:t>393-2007</w:t>
      </w:r>
      <w:r>
        <w:rPr>
          <w:spacing w:val="-3"/>
        </w:rPr>
        <w:t>）</w:t>
      </w:r>
      <w:r>
        <w:rPr>
          <w:spacing w:val="-14"/>
        </w:rPr>
        <w:t>中</w:t>
      </w:r>
      <w:r>
        <w:t>有关规定要求，本环评要求加强对施工工地扬尘污染的管理与控制。</w:t>
      </w:r>
    </w:p>
    <w:p>
      <w:pPr>
        <w:pStyle w:val="7"/>
        <w:spacing w:before="1"/>
      </w:pPr>
      <w:r>
        <w:rPr>
          <w:rFonts w:ascii="Times New Roman" w:eastAsia="Times New Roman"/>
        </w:rPr>
        <w:t>5.1.1.2</w:t>
      </w:r>
      <w:r>
        <w:t>燃油机械及机动车废气</w:t>
      </w:r>
    </w:p>
    <w:p>
      <w:pPr>
        <w:pStyle w:val="7"/>
        <w:spacing w:before="161" w:line="364" w:lineRule="auto"/>
        <w:ind w:right="577" w:firstLine="480"/>
        <w:jc w:val="both"/>
      </w:pPr>
      <w:r>
        <w:rPr>
          <w:spacing w:val="11"/>
        </w:rPr>
        <w:t>施工期主要是施工机械以及运输车辆排放的尾气，尾气中主要污染物有</w:t>
      </w:r>
      <w:r>
        <w:rPr>
          <w:rFonts w:ascii="Times New Roman" w:eastAsia="Times New Roman"/>
          <w:position w:val="2"/>
        </w:rPr>
        <w:t>THC</w:t>
      </w:r>
      <w:r>
        <w:rPr>
          <w:position w:val="2"/>
        </w:rPr>
        <w:t>、颗粒物、</w:t>
      </w:r>
      <w:r>
        <w:rPr>
          <w:rFonts w:ascii="Times New Roman" w:eastAsia="Times New Roman"/>
          <w:position w:val="2"/>
        </w:rPr>
        <w:t>CO</w:t>
      </w:r>
      <w:r>
        <w:rPr>
          <w:position w:val="2"/>
        </w:rPr>
        <w:t>、</w:t>
      </w:r>
      <w:r>
        <w:rPr>
          <w:rFonts w:ascii="Times New Roman" w:eastAsia="Times New Roman"/>
          <w:position w:val="2"/>
        </w:rPr>
        <w:t>NO</w:t>
      </w:r>
      <w:r>
        <w:rPr>
          <w:rFonts w:ascii="Times New Roman" w:eastAsia="Times New Roman"/>
          <w:position w:val="2"/>
          <w:vertAlign w:val="subscript"/>
        </w:rPr>
        <w:t>2</w:t>
      </w:r>
      <w:r>
        <w:rPr>
          <w:position w:val="2"/>
          <w:vertAlign w:val="baseline"/>
        </w:rPr>
        <w:t>等。但由于车辆主要在施工现场范围内活动，尾气呈</w:t>
      </w:r>
      <w:r>
        <w:rPr>
          <w:spacing w:val="-9"/>
          <w:vertAlign w:val="baseline"/>
        </w:rPr>
        <w:t>面源污染形式，车辆排气高度较低，尾气扩散范围不大，加之项目区较为平坦开</w:t>
      </w:r>
      <w:r>
        <w:rPr>
          <w:spacing w:val="-11"/>
          <w:vertAlign w:val="baseline"/>
        </w:rPr>
        <w:t>阔，尾气扩散条件良好，另外，施工机械及车辆为非连续行驶状态，污染物排放</w:t>
      </w:r>
      <w:r>
        <w:rPr>
          <w:vertAlign w:val="baseline"/>
        </w:rPr>
        <w:t>时间及排放量也相对较小，因此施工机械以及运输车辆尾气对周围区域影响较小。</w:t>
      </w:r>
    </w:p>
    <w:p>
      <w:pPr>
        <w:pStyle w:val="5"/>
        <w:numPr>
          <w:ilvl w:val="2"/>
          <w:numId w:val="43"/>
        </w:numPr>
        <w:tabs>
          <w:tab w:val="left" w:pos="1241"/>
        </w:tabs>
        <w:spacing w:before="113" w:after="0" w:line="240" w:lineRule="auto"/>
        <w:ind w:left="1240" w:right="0" w:hanging="701"/>
        <w:jc w:val="left"/>
      </w:pPr>
      <w:bookmarkStart w:id="273" w:name="5.1.3 施工期水环境影响分析"/>
      <w:bookmarkEnd w:id="273"/>
      <w:bookmarkStart w:id="274" w:name="5.1.3 施工期水环境影响分析"/>
      <w:bookmarkEnd w:id="274"/>
      <w:r>
        <w:t>施工期水环境影响分析</w:t>
      </w:r>
    </w:p>
    <w:p>
      <w:pPr>
        <w:pStyle w:val="7"/>
        <w:spacing w:before="7"/>
        <w:ind w:left="0"/>
        <w:rPr>
          <w:b/>
          <w:sz w:val="21"/>
        </w:rPr>
      </w:pPr>
    </w:p>
    <w:p>
      <w:pPr>
        <w:pStyle w:val="7"/>
        <w:spacing w:line="364" w:lineRule="auto"/>
        <w:ind w:right="577" w:firstLine="480"/>
      </w:pPr>
      <w:r>
        <w:rPr>
          <w:spacing w:val="-7"/>
        </w:rPr>
        <w:t>施工期废水来源于施工场地的工程废水，施工场地不设施工营地无施工人员</w:t>
      </w:r>
      <w:r>
        <w:t>生活污水产生。</w:t>
      </w:r>
    </w:p>
    <w:p>
      <w:pPr>
        <w:pStyle w:val="7"/>
        <w:spacing w:before="1" w:line="364" w:lineRule="auto"/>
        <w:ind w:right="455" w:firstLine="480"/>
      </w:pPr>
      <w:r>
        <w:rPr>
          <w:spacing w:val="-13"/>
        </w:rPr>
        <w:t>施工废水主要主要是指在制砂浆、混凝土养护等作业中，多余或泄漏的废水，</w:t>
      </w:r>
      <w:r>
        <w:rPr>
          <w:spacing w:val="-9"/>
        </w:rPr>
        <w:t>以及清洗模板、机具、车辆设备、场地卫生等排放的污水。主要污染因子为</w:t>
      </w:r>
      <w:r>
        <w:rPr>
          <w:rFonts w:ascii="Times New Roman" w:eastAsia="Times New Roman"/>
          <w:spacing w:val="-6"/>
        </w:rPr>
        <w:t>SS</w:t>
      </w:r>
      <w:r>
        <w:rPr>
          <w:spacing w:val="-6"/>
        </w:rPr>
        <w:t>，</w:t>
      </w:r>
      <w:r>
        <w:rPr>
          <w:spacing w:val="-7"/>
        </w:rPr>
        <w:t>含一定量的泥沙、少量水泥和油污，随工程进度不同产生情况不同，也与操作人</w:t>
      </w:r>
      <w:r>
        <w:rPr>
          <w:spacing w:val="-17"/>
        </w:rPr>
        <w:t>员的经验、素质等因素有关，产生量与排放量较难估算。废水中含固体杂质较多，</w:t>
      </w:r>
      <w:r>
        <w:t>以泥沙为主，施工期废水水量不大，一般产生不了径流，形成不了有组织排水，</w:t>
      </w:r>
      <w:r>
        <w:rPr>
          <w:spacing w:val="-5"/>
        </w:rPr>
        <w:t>这部分废水在施工现场因自然蒸发、渗漏等原因而消耗，但若不经处理或处理不</w:t>
      </w:r>
      <w:r>
        <w:rPr>
          <w:spacing w:val="-12"/>
        </w:rPr>
        <w:t>当直接外排，同样危害环境。因此要求建设项目的工地应设置简易沉淀池沉淀后回用于生产，项目产生的施工废水均不外排。</w:t>
      </w:r>
    </w:p>
    <w:p>
      <w:pPr>
        <w:pStyle w:val="7"/>
        <w:spacing w:before="5" w:line="364" w:lineRule="auto"/>
        <w:ind w:right="577" w:firstLine="480"/>
      </w:pPr>
      <w:r>
        <w:rPr>
          <w:spacing w:val="-10"/>
        </w:rPr>
        <w:t>因此，通过以上措施可保证施工期废水无乱排现象，项目施工期产生的废水</w:t>
      </w:r>
      <w:r>
        <w:t>对周围水环境的影响较小。</w:t>
      </w:r>
    </w:p>
    <w:p>
      <w:pPr>
        <w:pStyle w:val="7"/>
        <w:spacing w:before="1" w:line="364" w:lineRule="auto"/>
        <w:ind w:right="577" w:firstLine="480"/>
        <w:jc w:val="both"/>
      </w:pPr>
      <w:r>
        <w:rPr>
          <w:spacing w:val="-7"/>
        </w:rPr>
        <w:t>本项目施工人员为当地居民，施工场地内不设置施工营地，无施工人员生活</w:t>
      </w:r>
      <w:r>
        <w:rPr>
          <w:spacing w:val="-10"/>
        </w:rPr>
        <w:t>污水产生，施工场地设置可设置临时移动式环保公厕容纳施工人员粪污，不会对</w:t>
      </w:r>
      <w:r>
        <w:t>环境造成明显影响。</w:t>
      </w:r>
    </w:p>
    <w:p>
      <w:pPr>
        <w:pStyle w:val="5"/>
        <w:numPr>
          <w:ilvl w:val="2"/>
          <w:numId w:val="43"/>
        </w:numPr>
        <w:tabs>
          <w:tab w:val="left" w:pos="1241"/>
        </w:tabs>
        <w:spacing w:before="116" w:after="0" w:line="240" w:lineRule="auto"/>
        <w:ind w:left="1240" w:right="0" w:hanging="701"/>
        <w:jc w:val="left"/>
      </w:pPr>
      <w:bookmarkStart w:id="275" w:name="5.1.4 施工期声环境影响分析"/>
      <w:bookmarkEnd w:id="275"/>
      <w:bookmarkStart w:id="276" w:name="5.1.4 施工期声环境影响分析"/>
      <w:bookmarkEnd w:id="276"/>
      <w:r>
        <w:t>施工期声环境影响分析</w:t>
      </w:r>
    </w:p>
    <w:p>
      <w:pPr>
        <w:pStyle w:val="7"/>
        <w:spacing w:before="7"/>
        <w:ind w:left="0"/>
        <w:rPr>
          <w:b/>
          <w:sz w:val="21"/>
        </w:rPr>
      </w:pPr>
    </w:p>
    <w:p>
      <w:pPr>
        <w:pStyle w:val="7"/>
        <w:ind w:left="1020"/>
      </w:pPr>
      <w:r>
        <w:t>由工程分析可知，本项目施工噪声主要来源于土方阶段、基础施工阶段、主</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pPr>
      <w:r>
        <w:rPr>
          <w:spacing w:val="-1"/>
        </w:rPr>
        <w:t>体结构阶段、装修阶段施工中各类施工机械和运输车辆，施工噪声具有阶段性、</w:t>
      </w:r>
      <w:r>
        <w:rPr>
          <w:spacing w:val="-8"/>
        </w:rPr>
        <w:t>临时性和不固定性，不同的施工设备产生的噪声不同。在多台机械设备同时作业</w:t>
      </w:r>
      <w:r>
        <w:rPr>
          <w:spacing w:val="-22"/>
        </w:rPr>
        <w:t>时，各台设备产生的噪声会产生叠加，根据类比调查，叠加后的噪声增值约为</w:t>
      </w:r>
      <w:r>
        <w:rPr>
          <w:rFonts w:ascii="Times New Roman" w:eastAsia="Times New Roman"/>
        </w:rPr>
        <w:t>3</w:t>
      </w:r>
      <w:r>
        <w:t>～</w:t>
      </w:r>
      <w:r>
        <w:rPr>
          <w:rFonts w:ascii="Times New Roman" w:eastAsia="Times New Roman"/>
        </w:rPr>
        <w:t>8dB</w:t>
      </w:r>
      <w:r>
        <w:rPr>
          <w:spacing w:val="-2"/>
        </w:rPr>
        <w:t>，施工机械和运输车辆的单体声功率级一般均在</w:t>
      </w:r>
      <w:r>
        <w:rPr>
          <w:rFonts w:ascii="Times New Roman" w:eastAsia="Times New Roman"/>
        </w:rPr>
        <w:t>100dB</w:t>
      </w:r>
      <w:r>
        <w:t>（</w:t>
      </w:r>
      <w:r>
        <w:rPr>
          <w:rFonts w:ascii="Times New Roman" w:eastAsia="Times New Roman"/>
        </w:rPr>
        <w:t>A</w:t>
      </w:r>
      <w:r>
        <w:t>）以上，其中声</w:t>
      </w:r>
      <w:r>
        <w:rPr>
          <w:spacing w:val="-7"/>
        </w:rPr>
        <w:t>级最大的是打桩机，声级可达到</w:t>
      </w:r>
      <w:r>
        <w:rPr>
          <w:rFonts w:ascii="Times New Roman" w:eastAsia="Times New Roman"/>
          <w:spacing w:val="-3"/>
        </w:rPr>
        <w:t>120dB</w:t>
      </w:r>
      <w:r>
        <w:rPr>
          <w:spacing w:val="-5"/>
        </w:rPr>
        <w:t>，施工机械主要有推土机、挖掘机、打桩机、装载机、振捣棒、电锯等。</w:t>
      </w:r>
    </w:p>
    <w:p>
      <w:pPr>
        <w:pStyle w:val="17"/>
        <w:numPr>
          <w:ilvl w:val="3"/>
          <w:numId w:val="44"/>
        </w:numPr>
        <w:tabs>
          <w:tab w:val="left" w:pos="1320"/>
        </w:tabs>
        <w:spacing w:before="3" w:after="0" w:line="240" w:lineRule="auto"/>
        <w:ind w:left="1320" w:right="0" w:hanging="780"/>
        <w:jc w:val="left"/>
        <w:rPr>
          <w:sz w:val="24"/>
        </w:rPr>
      </w:pPr>
      <w:r>
        <w:rPr>
          <w:sz w:val="24"/>
        </w:rPr>
        <w:t>噪声影响预测</w:t>
      </w:r>
    </w:p>
    <w:p>
      <w:pPr>
        <w:pStyle w:val="7"/>
        <w:spacing w:before="161" w:line="364" w:lineRule="auto"/>
        <w:ind w:right="577" w:firstLine="480"/>
      </w:pPr>
      <w:r>
        <w:rPr>
          <w:spacing w:val="-6"/>
        </w:rPr>
        <w:t>根据施工现场噪声源的特点和周围环境状况，选择声源在半自由空间的距离</w:t>
      </w:r>
      <w:r>
        <w:t>衰减模式。</w:t>
      </w:r>
    </w:p>
    <w:p>
      <w:pPr>
        <w:pStyle w:val="7"/>
        <w:spacing w:before="1"/>
        <w:ind w:left="1020"/>
      </w:pPr>
      <w:r>
        <w:t>计算公式：</w:t>
      </w:r>
    </w:p>
    <w:p>
      <w:pPr>
        <w:pStyle w:val="17"/>
        <w:numPr>
          <w:ilvl w:val="4"/>
          <w:numId w:val="44"/>
        </w:numPr>
        <w:tabs>
          <w:tab w:val="left" w:pos="1621"/>
        </w:tabs>
        <w:spacing w:before="161" w:after="0" w:line="240" w:lineRule="auto"/>
        <w:ind w:left="1621" w:right="0" w:hanging="601"/>
        <w:jc w:val="left"/>
        <w:rPr>
          <w:sz w:val="24"/>
        </w:rPr>
      </w:pPr>
      <w:r>
        <w:rPr>
          <w:sz w:val="24"/>
        </w:rPr>
        <w:t>噪声衰减</w:t>
      </w:r>
    </w:p>
    <w:p>
      <w:pPr>
        <w:pStyle w:val="7"/>
        <w:ind w:left="0"/>
        <w:rPr>
          <w:sz w:val="8"/>
        </w:rPr>
      </w:pPr>
    </w:p>
    <w:p>
      <w:pPr>
        <w:spacing w:before="88"/>
        <w:ind w:left="500" w:right="40" w:firstLine="0"/>
        <w:jc w:val="center"/>
        <w:rPr>
          <w:rFonts w:ascii="Times New Roman" w:hAnsi="Times New Roman"/>
          <w:sz w:val="24"/>
        </w:rPr>
      </w:pPr>
      <w:r>
        <w:rPr>
          <w:rFonts w:ascii="Times New Roman" w:hAnsi="Times New Roman"/>
          <w:i/>
          <w:spacing w:val="3"/>
          <w:sz w:val="24"/>
        </w:rPr>
        <w:t>L</w:t>
      </w:r>
      <w:r>
        <w:rPr>
          <w:rFonts w:ascii="Times New Roman" w:hAnsi="Times New Roman"/>
          <w:i/>
          <w:spacing w:val="3"/>
          <w:position w:val="-5"/>
          <w:sz w:val="14"/>
        </w:rPr>
        <w:t>A</w:t>
      </w:r>
      <w:r>
        <w:rPr>
          <w:rFonts w:ascii="Times New Roman" w:hAnsi="Times New Roman"/>
          <w:spacing w:val="5"/>
          <w:sz w:val="24"/>
        </w:rPr>
        <w:t>(</w:t>
      </w:r>
      <w:r>
        <w:rPr>
          <w:rFonts w:ascii="Times New Roman" w:hAnsi="Times New Roman"/>
          <w:i/>
          <w:spacing w:val="5"/>
          <w:sz w:val="24"/>
        </w:rPr>
        <w:t>r</w:t>
      </w:r>
      <w:r>
        <w:rPr>
          <w:rFonts w:ascii="Times New Roman" w:hAnsi="Times New Roman"/>
          <w:spacing w:val="5"/>
          <w:sz w:val="24"/>
        </w:rPr>
        <w:t>)</w:t>
      </w:r>
      <w:r>
        <w:rPr>
          <w:rFonts w:ascii="Symbol" w:hAnsi="Symbol"/>
          <w:sz w:val="24"/>
        </w:rPr>
        <w:t></w:t>
      </w:r>
      <w:r>
        <w:rPr>
          <w:rFonts w:ascii="Times New Roman" w:hAnsi="Times New Roman"/>
          <w:i/>
          <w:spacing w:val="-8"/>
          <w:sz w:val="24"/>
        </w:rPr>
        <w:t>L</w:t>
      </w:r>
      <w:r>
        <w:rPr>
          <w:rFonts w:ascii="Times New Roman" w:hAnsi="Times New Roman"/>
          <w:i/>
          <w:spacing w:val="-8"/>
          <w:position w:val="-5"/>
          <w:sz w:val="14"/>
        </w:rPr>
        <w:t>W</w:t>
      </w:r>
      <w:r>
        <w:rPr>
          <w:rFonts w:ascii="Times New Roman" w:hAnsi="Times New Roman"/>
          <w:position w:val="-5"/>
          <w:sz w:val="14"/>
        </w:rPr>
        <w:t>(</w:t>
      </w:r>
      <w:r>
        <w:rPr>
          <w:rFonts w:ascii="Times New Roman" w:hAnsi="Times New Roman"/>
          <w:i/>
          <w:position w:val="-5"/>
          <w:sz w:val="14"/>
        </w:rPr>
        <w:t>A</w:t>
      </w:r>
      <w:r>
        <w:rPr>
          <w:rFonts w:ascii="Times New Roman" w:hAnsi="Times New Roman"/>
          <w:position w:val="-5"/>
          <w:sz w:val="14"/>
        </w:rPr>
        <w:t>)</w:t>
      </w:r>
      <w:r>
        <w:rPr>
          <w:rFonts w:ascii="Symbol" w:hAnsi="Symbol"/>
          <w:sz w:val="24"/>
        </w:rPr>
        <w:t></w:t>
      </w:r>
      <w:r>
        <w:rPr>
          <w:rFonts w:ascii="Times New Roman" w:hAnsi="Times New Roman"/>
          <w:spacing w:val="2"/>
          <w:sz w:val="24"/>
        </w:rPr>
        <w:t>20log</w:t>
      </w:r>
      <w:r>
        <w:rPr>
          <w:rFonts w:ascii="Symbol" w:hAnsi="Symbol"/>
          <w:i/>
          <w:spacing w:val="2"/>
          <w:sz w:val="25"/>
        </w:rPr>
        <w:t></w:t>
      </w:r>
      <w:r>
        <w:rPr>
          <w:rFonts w:ascii="Symbol" w:hAnsi="Symbol"/>
          <w:spacing w:val="2"/>
          <w:sz w:val="24"/>
        </w:rPr>
        <w:t></w:t>
      </w:r>
      <w:r>
        <w:rPr>
          <w:rFonts w:ascii="Times New Roman" w:hAnsi="Times New Roman"/>
          <w:sz w:val="24"/>
        </w:rPr>
        <w:t>8</w:t>
      </w:r>
    </w:p>
    <w:p>
      <w:pPr>
        <w:pStyle w:val="7"/>
        <w:spacing w:before="5"/>
        <w:ind w:left="0"/>
        <w:rPr>
          <w:rFonts w:ascii="Times New Roman"/>
          <w:sz w:val="15"/>
        </w:rPr>
      </w:pPr>
    </w:p>
    <w:p>
      <w:pPr>
        <w:pStyle w:val="7"/>
        <w:spacing w:before="74" w:line="364" w:lineRule="auto"/>
        <w:ind w:left="1740" w:right="2513" w:hanging="720"/>
      </w:pPr>
      <w:r>
        <w:t>式中：</w:t>
      </w:r>
      <w:r>
        <w:rPr>
          <w:rFonts w:ascii="Times New Roman" w:eastAsia="Times New Roman"/>
        </w:rPr>
        <w:t>LA</w:t>
      </w:r>
      <w:r>
        <w:t>（</w:t>
      </w:r>
      <w:r>
        <w:rPr>
          <w:rFonts w:ascii="Times New Roman" w:eastAsia="Times New Roman"/>
        </w:rPr>
        <w:t>r</w:t>
      </w:r>
      <w:r>
        <w:t>）：</w:t>
      </w:r>
      <w:r>
        <w:rPr>
          <w:spacing w:val="-15"/>
        </w:rPr>
        <w:t>距声源</w:t>
      </w:r>
      <w:r>
        <w:rPr>
          <w:rFonts w:hint="eastAsia"/>
          <w:spacing w:val="-15"/>
          <w:lang w:val="en-US" w:eastAsia="zh-CN"/>
        </w:rPr>
        <w:t xml:space="preserve"> </w:t>
      </w:r>
      <w:r>
        <w:rPr>
          <w:rFonts w:ascii="Times New Roman" w:eastAsia="Times New Roman"/>
        </w:rPr>
        <w:t>r</w:t>
      </w:r>
      <w:r>
        <w:rPr>
          <w:spacing w:val="-9"/>
        </w:rPr>
        <w:t>处的等效声级</w:t>
      </w:r>
      <w:r>
        <w:rPr>
          <w:rFonts w:ascii="Times New Roman" w:eastAsia="Times New Roman"/>
          <w:spacing w:val="-4"/>
        </w:rPr>
        <w:t>dB</w:t>
      </w:r>
      <w:r>
        <w:rPr>
          <w:spacing w:val="-4"/>
        </w:rPr>
        <w:t>（</w:t>
      </w:r>
      <w:r>
        <w:rPr>
          <w:rFonts w:ascii="Times New Roman" w:eastAsia="Times New Roman"/>
          <w:spacing w:val="-4"/>
        </w:rPr>
        <w:t>A</w:t>
      </w:r>
      <w:r>
        <w:rPr>
          <w:spacing w:val="-4"/>
        </w:rPr>
        <w:t>）；</w:t>
      </w:r>
      <w:r>
        <w:rPr>
          <w:rFonts w:ascii="Times New Roman" w:eastAsia="Times New Roman"/>
          <w:spacing w:val="-4"/>
        </w:rPr>
        <w:t>LW</w:t>
      </w:r>
      <w:r>
        <w:rPr>
          <w:spacing w:val="-4"/>
        </w:rPr>
        <w:t>（</w:t>
      </w:r>
      <w:r>
        <w:rPr>
          <w:rFonts w:ascii="Times New Roman" w:eastAsia="Times New Roman"/>
          <w:spacing w:val="-4"/>
        </w:rPr>
        <w:t>A</w:t>
      </w:r>
      <w:r>
        <w:rPr>
          <w:spacing w:val="-4"/>
        </w:rPr>
        <w:t>）：</w:t>
      </w:r>
      <w:r>
        <w:rPr>
          <w:spacing w:val="-7"/>
        </w:rPr>
        <w:t>噪声源的声功率级</w:t>
      </w:r>
      <w:r>
        <w:rPr>
          <w:rFonts w:ascii="Times New Roman" w:eastAsia="Times New Roman"/>
        </w:rPr>
        <w:t>dB</w:t>
      </w:r>
      <w:r>
        <w:t>（</w:t>
      </w:r>
      <w:r>
        <w:rPr>
          <w:rFonts w:ascii="Times New Roman" w:eastAsia="Times New Roman"/>
        </w:rPr>
        <w:t>A</w:t>
      </w:r>
      <w:r>
        <w:t>）；</w:t>
      </w:r>
    </w:p>
    <w:p>
      <w:pPr>
        <w:pStyle w:val="7"/>
        <w:spacing w:line="393" w:lineRule="exact"/>
        <w:ind w:left="1746"/>
      </w:pPr>
      <w:r>
        <w:rPr>
          <w:rFonts w:ascii="Symbol" w:hAnsi="Symbol" w:eastAsia="Symbol"/>
          <w:i/>
          <w:position w:val="10"/>
          <w:sz w:val="25"/>
        </w:rPr>
        <w:t></w:t>
      </w:r>
      <w:r>
        <w:t>：噪声源距受声点的距离</w:t>
      </w:r>
      <w:r>
        <w:rPr>
          <w:rFonts w:ascii="Times New Roman" w:hAnsi="Times New Roman" w:eastAsia="Times New Roman"/>
        </w:rPr>
        <w:t>m</w:t>
      </w:r>
      <w:r>
        <w:t>；</w:t>
      </w:r>
    </w:p>
    <w:p>
      <w:pPr>
        <w:pStyle w:val="17"/>
        <w:numPr>
          <w:ilvl w:val="4"/>
          <w:numId w:val="44"/>
        </w:numPr>
        <w:tabs>
          <w:tab w:val="left" w:pos="1621"/>
        </w:tabs>
        <w:spacing w:before="233" w:after="0" w:line="240" w:lineRule="auto"/>
        <w:ind w:left="1621" w:right="0" w:hanging="601"/>
        <w:jc w:val="left"/>
        <w:rPr>
          <w:sz w:val="24"/>
        </w:rPr>
      </w:pPr>
      <w:r>
        <w:rPr>
          <w:sz w:val="24"/>
        </w:rPr>
        <w:t>噪声影响预测</w:t>
      </w:r>
    </w:p>
    <w:p>
      <w:pPr>
        <w:pStyle w:val="7"/>
        <w:spacing w:before="160"/>
        <w:ind w:left="1020"/>
      </w:pPr>
      <w:r>
        <w:t>工程施工不同距离的噪声预测值见表</w:t>
      </w:r>
      <w:r>
        <w:rPr>
          <w:rFonts w:ascii="Times New Roman" w:eastAsia="Times New Roman"/>
        </w:rPr>
        <w:t>5.1-2</w:t>
      </w:r>
      <w:r>
        <w:t>。</w:t>
      </w:r>
    </w:p>
    <w:p>
      <w:pPr>
        <w:pStyle w:val="7"/>
        <w:spacing w:before="9"/>
        <w:ind w:left="0"/>
        <w:rPr>
          <w:sz w:val="18"/>
        </w:rPr>
      </w:pPr>
    </w:p>
    <w:p>
      <w:pPr>
        <w:pStyle w:val="7"/>
        <w:bidi w:val="0"/>
        <w:jc w:val="center"/>
      </w:pPr>
      <w:r>
        <w:t>表</w:t>
      </w:r>
      <w:r>
        <w:rPr>
          <w:rFonts w:ascii="Times New Roman" w:eastAsia="Times New Roman"/>
        </w:rPr>
        <w:t>5.1-2</w:t>
      </w:r>
      <w:r>
        <w:rPr>
          <w:rFonts w:ascii="Times New Roman" w:eastAsia="Times New Roman"/>
        </w:rPr>
        <w:tab/>
      </w:r>
      <w:r>
        <w:t>施工阶段噪声预测值</w:t>
      </w:r>
    </w:p>
    <w:tbl>
      <w:tblPr>
        <w:tblStyle w:val="14"/>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1223"/>
        <w:gridCol w:w="701"/>
        <w:gridCol w:w="666"/>
        <w:gridCol w:w="821"/>
        <w:gridCol w:w="804"/>
        <w:gridCol w:w="628"/>
        <w:gridCol w:w="763"/>
        <w:gridCol w:w="593"/>
        <w:gridCol w:w="709"/>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45" w:type="dxa"/>
            <w:vMerge w:val="restart"/>
          </w:tcPr>
          <w:p>
            <w:pPr>
              <w:pStyle w:val="18"/>
              <w:spacing w:before="5"/>
              <w:jc w:val="left"/>
              <w:rPr>
                <w:b/>
                <w:sz w:val="16"/>
              </w:rPr>
            </w:pPr>
          </w:p>
          <w:p>
            <w:pPr>
              <w:pStyle w:val="18"/>
              <w:ind w:left="111"/>
              <w:jc w:val="left"/>
              <w:rPr>
                <w:b/>
                <w:sz w:val="21"/>
              </w:rPr>
            </w:pPr>
            <w:r>
              <w:rPr>
                <w:b/>
                <w:sz w:val="21"/>
              </w:rPr>
              <w:t>序号</w:t>
            </w:r>
          </w:p>
        </w:tc>
        <w:tc>
          <w:tcPr>
            <w:tcW w:w="1223" w:type="dxa"/>
            <w:vMerge w:val="restart"/>
          </w:tcPr>
          <w:p>
            <w:pPr>
              <w:pStyle w:val="18"/>
              <w:spacing w:before="5"/>
              <w:jc w:val="left"/>
              <w:rPr>
                <w:b/>
                <w:sz w:val="16"/>
              </w:rPr>
            </w:pPr>
          </w:p>
          <w:p>
            <w:pPr>
              <w:pStyle w:val="18"/>
              <w:ind w:left="191"/>
              <w:jc w:val="left"/>
              <w:rPr>
                <w:b/>
                <w:sz w:val="21"/>
              </w:rPr>
            </w:pPr>
            <w:r>
              <w:rPr>
                <w:b/>
                <w:sz w:val="21"/>
              </w:rPr>
              <w:t>施工机械</w:t>
            </w:r>
          </w:p>
        </w:tc>
        <w:tc>
          <w:tcPr>
            <w:tcW w:w="6404" w:type="dxa"/>
            <w:gridSpan w:val="9"/>
          </w:tcPr>
          <w:p>
            <w:pPr>
              <w:pStyle w:val="18"/>
              <w:tabs>
                <w:tab w:val="left" w:pos="3249"/>
              </w:tabs>
              <w:spacing w:before="35"/>
              <w:ind w:left="21"/>
              <w:rPr>
                <w:b/>
                <w:sz w:val="21"/>
              </w:rPr>
            </w:pPr>
            <w:r>
              <w:rPr>
                <w:b/>
                <w:sz w:val="21"/>
              </w:rPr>
              <w:t>离施工现场噪声源距离（</w:t>
            </w:r>
            <w:r>
              <w:rPr>
                <w:rFonts w:ascii="Times New Roman" w:eastAsia="Times New Roman"/>
                <w:b/>
                <w:sz w:val="21"/>
              </w:rPr>
              <w:t>m</w:t>
            </w:r>
            <w:r>
              <w:rPr>
                <w:b/>
                <w:sz w:val="21"/>
              </w:rPr>
              <w:t>）</w:t>
            </w:r>
            <w:r>
              <w:rPr>
                <w:b/>
                <w:sz w:val="21"/>
              </w:rPr>
              <w:tab/>
            </w: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vMerge w:val="continue"/>
            <w:tcBorders>
              <w:top w:val="nil"/>
            </w:tcBorders>
          </w:tcPr>
          <w:p>
            <w:pPr>
              <w:rPr>
                <w:sz w:val="2"/>
                <w:szCs w:val="2"/>
              </w:rPr>
            </w:pPr>
          </w:p>
        </w:tc>
        <w:tc>
          <w:tcPr>
            <w:tcW w:w="1223" w:type="dxa"/>
            <w:vMerge w:val="continue"/>
            <w:tcBorders>
              <w:top w:val="nil"/>
            </w:tcBorders>
          </w:tcPr>
          <w:p>
            <w:pPr>
              <w:rPr>
                <w:sz w:val="2"/>
                <w:szCs w:val="2"/>
              </w:rPr>
            </w:pPr>
          </w:p>
        </w:tc>
        <w:tc>
          <w:tcPr>
            <w:tcW w:w="701" w:type="dxa"/>
          </w:tcPr>
          <w:p>
            <w:pPr>
              <w:pStyle w:val="18"/>
              <w:spacing w:before="50"/>
              <w:ind w:left="9"/>
              <w:rPr>
                <w:rFonts w:ascii="Times New Roman"/>
                <w:b/>
                <w:sz w:val="21"/>
              </w:rPr>
            </w:pPr>
            <w:r>
              <w:rPr>
                <w:rFonts w:ascii="Times New Roman"/>
                <w:b/>
                <w:w w:val="99"/>
                <w:sz w:val="21"/>
              </w:rPr>
              <w:t>1</w:t>
            </w:r>
          </w:p>
        </w:tc>
        <w:tc>
          <w:tcPr>
            <w:tcW w:w="666" w:type="dxa"/>
          </w:tcPr>
          <w:p>
            <w:pPr>
              <w:pStyle w:val="18"/>
              <w:spacing w:before="50"/>
              <w:ind w:left="22" w:right="13"/>
              <w:rPr>
                <w:rFonts w:ascii="Times New Roman"/>
                <w:b/>
                <w:sz w:val="21"/>
              </w:rPr>
            </w:pPr>
            <w:r>
              <w:rPr>
                <w:rFonts w:ascii="Times New Roman"/>
                <w:b/>
                <w:sz w:val="21"/>
              </w:rPr>
              <w:t>10</w:t>
            </w:r>
          </w:p>
        </w:tc>
        <w:tc>
          <w:tcPr>
            <w:tcW w:w="821" w:type="dxa"/>
          </w:tcPr>
          <w:p>
            <w:pPr>
              <w:pStyle w:val="18"/>
              <w:spacing w:before="50"/>
              <w:ind w:left="73" w:right="63"/>
              <w:rPr>
                <w:rFonts w:ascii="Times New Roman"/>
                <w:b/>
                <w:sz w:val="21"/>
              </w:rPr>
            </w:pPr>
            <w:r>
              <w:rPr>
                <w:rFonts w:ascii="Times New Roman"/>
                <w:b/>
                <w:sz w:val="21"/>
              </w:rPr>
              <w:t>20</w:t>
            </w:r>
          </w:p>
        </w:tc>
        <w:tc>
          <w:tcPr>
            <w:tcW w:w="804" w:type="dxa"/>
          </w:tcPr>
          <w:p>
            <w:pPr>
              <w:pStyle w:val="18"/>
              <w:spacing w:before="50"/>
              <w:ind w:left="38" w:right="30"/>
              <w:rPr>
                <w:rFonts w:ascii="Times New Roman"/>
                <w:b/>
                <w:sz w:val="21"/>
              </w:rPr>
            </w:pPr>
            <w:r>
              <w:rPr>
                <w:rFonts w:ascii="Times New Roman"/>
                <w:b/>
                <w:sz w:val="21"/>
              </w:rPr>
              <w:t>30</w:t>
            </w:r>
          </w:p>
        </w:tc>
        <w:tc>
          <w:tcPr>
            <w:tcW w:w="628" w:type="dxa"/>
          </w:tcPr>
          <w:p>
            <w:pPr>
              <w:pStyle w:val="18"/>
              <w:spacing w:before="50"/>
              <w:ind w:left="31" w:right="20"/>
              <w:rPr>
                <w:rFonts w:ascii="Times New Roman"/>
                <w:b/>
                <w:sz w:val="21"/>
              </w:rPr>
            </w:pPr>
            <w:r>
              <w:rPr>
                <w:rFonts w:ascii="Times New Roman"/>
                <w:b/>
                <w:sz w:val="21"/>
              </w:rPr>
              <w:t>40</w:t>
            </w:r>
          </w:p>
        </w:tc>
        <w:tc>
          <w:tcPr>
            <w:tcW w:w="763" w:type="dxa"/>
          </w:tcPr>
          <w:p>
            <w:pPr>
              <w:pStyle w:val="18"/>
              <w:spacing w:before="50"/>
              <w:ind w:left="69" w:right="62"/>
              <w:rPr>
                <w:rFonts w:ascii="Times New Roman"/>
                <w:b/>
                <w:sz w:val="21"/>
              </w:rPr>
            </w:pPr>
            <w:r>
              <w:rPr>
                <w:rFonts w:ascii="Times New Roman"/>
                <w:b/>
                <w:sz w:val="21"/>
              </w:rPr>
              <w:t>50</w:t>
            </w:r>
          </w:p>
        </w:tc>
        <w:tc>
          <w:tcPr>
            <w:tcW w:w="593" w:type="dxa"/>
          </w:tcPr>
          <w:p>
            <w:pPr>
              <w:pStyle w:val="18"/>
              <w:spacing w:before="50"/>
              <w:ind w:left="138"/>
              <w:jc w:val="left"/>
              <w:rPr>
                <w:rFonts w:ascii="Times New Roman"/>
                <w:b/>
                <w:sz w:val="21"/>
              </w:rPr>
            </w:pPr>
            <w:r>
              <w:rPr>
                <w:rFonts w:ascii="Times New Roman"/>
                <w:b/>
                <w:sz w:val="21"/>
              </w:rPr>
              <w:t>100</w:t>
            </w:r>
          </w:p>
        </w:tc>
        <w:tc>
          <w:tcPr>
            <w:tcW w:w="709" w:type="dxa"/>
          </w:tcPr>
          <w:p>
            <w:pPr>
              <w:pStyle w:val="18"/>
              <w:spacing w:before="50"/>
              <w:ind w:left="9"/>
              <w:rPr>
                <w:rFonts w:ascii="Times New Roman"/>
                <w:b/>
                <w:sz w:val="21"/>
              </w:rPr>
            </w:pPr>
            <w:r>
              <w:rPr>
                <w:rFonts w:ascii="Times New Roman"/>
                <w:b/>
                <w:sz w:val="21"/>
              </w:rPr>
              <w:t>150</w:t>
            </w:r>
          </w:p>
        </w:tc>
        <w:tc>
          <w:tcPr>
            <w:tcW w:w="719" w:type="dxa"/>
          </w:tcPr>
          <w:p>
            <w:pPr>
              <w:pStyle w:val="18"/>
              <w:spacing w:before="50"/>
              <w:ind w:left="76" w:right="65"/>
              <w:rPr>
                <w:rFonts w:ascii="Times New Roman"/>
                <w:b/>
                <w:sz w:val="21"/>
              </w:rPr>
            </w:pPr>
            <w:r>
              <w:rPr>
                <w:rFonts w:ascii="Times New Roman"/>
                <w:b/>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1</w:t>
            </w:r>
          </w:p>
        </w:tc>
        <w:tc>
          <w:tcPr>
            <w:tcW w:w="1223" w:type="dxa"/>
          </w:tcPr>
          <w:p>
            <w:pPr>
              <w:pStyle w:val="18"/>
              <w:spacing w:before="34"/>
              <w:ind w:left="65" w:right="56"/>
              <w:rPr>
                <w:sz w:val="21"/>
              </w:rPr>
            </w:pPr>
            <w:r>
              <w:rPr>
                <w:sz w:val="21"/>
              </w:rPr>
              <w:t>推土机</w:t>
            </w:r>
          </w:p>
        </w:tc>
        <w:tc>
          <w:tcPr>
            <w:tcW w:w="701" w:type="dxa"/>
          </w:tcPr>
          <w:p>
            <w:pPr>
              <w:pStyle w:val="18"/>
              <w:spacing w:before="48"/>
              <w:ind w:left="13" w:right="2"/>
              <w:rPr>
                <w:rFonts w:ascii="Times New Roman"/>
                <w:sz w:val="21"/>
              </w:rPr>
            </w:pPr>
            <w:r>
              <w:rPr>
                <w:rFonts w:ascii="Times New Roman"/>
                <w:sz w:val="21"/>
              </w:rPr>
              <w:t>115</w:t>
            </w:r>
          </w:p>
        </w:tc>
        <w:tc>
          <w:tcPr>
            <w:tcW w:w="666" w:type="dxa"/>
          </w:tcPr>
          <w:p>
            <w:pPr>
              <w:pStyle w:val="18"/>
              <w:spacing w:before="48"/>
              <w:ind w:left="22" w:right="13"/>
              <w:rPr>
                <w:rFonts w:ascii="Times New Roman"/>
                <w:sz w:val="21"/>
              </w:rPr>
            </w:pPr>
            <w:r>
              <w:rPr>
                <w:rFonts w:ascii="Times New Roman"/>
                <w:sz w:val="21"/>
              </w:rPr>
              <w:t>88</w:t>
            </w:r>
          </w:p>
        </w:tc>
        <w:tc>
          <w:tcPr>
            <w:tcW w:w="821" w:type="dxa"/>
          </w:tcPr>
          <w:p>
            <w:pPr>
              <w:pStyle w:val="18"/>
              <w:spacing w:before="48"/>
              <w:ind w:left="73" w:right="63"/>
              <w:rPr>
                <w:rFonts w:ascii="Times New Roman"/>
                <w:sz w:val="21"/>
              </w:rPr>
            </w:pPr>
            <w:r>
              <w:rPr>
                <w:rFonts w:ascii="Times New Roman"/>
                <w:sz w:val="21"/>
              </w:rPr>
              <w:t>81.4</w:t>
            </w:r>
          </w:p>
        </w:tc>
        <w:tc>
          <w:tcPr>
            <w:tcW w:w="804" w:type="dxa"/>
          </w:tcPr>
          <w:p>
            <w:pPr>
              <w:pStyle w:val="18"/>
              <w:spacing w:before="48"/>
              <w:ind w:left="38" w:right="30"/>
              <w:rPr>
                <w:rFonts w:ascii="Times New Roman"/>
                <w:sz w:val="21"/>
              </w:rPr>
            </w:pPr>
            <w:r>
              <w:rPr>
                <w:rFonts w:ascii="Times New Roman"/>
                <w:sz w:val="21"/>
              </w:rPr>
              <w:t>77.8</w:t>
            </w:r>
          </w:p>
        </w:tc>
        <w:tc>
          <w:tcPr>
            <w:tcW w:w="628" w:type="dxa"/>
          </w:tcPr>
          <w:p>
            <w:pPr>
              <w:pStyle w:val="18"/>
              <w:spacing w:before="48"/>
              <w:ind w:left="31" w:right="20"/>
              <w:rPr>
                <w:rFonts w:ascii="Times New Roman"/>
                <w:sz w:val="21"/>
              </w:rPr>
            </w:pPr>
            <w:r>
              <w:rPr>
                <w:rFonts w:ascii="Times New Roman"/>
                <w:sz w:val="21"/>
              </w:rPr>
              <w:t>75</w:t>
            </w:r>
          </w:p>
        </w:tc>
        <w:tc>
          <w:tcPr>
            <w:tcW w:w="763" w:type="dxa"/>
          </w:tcPr>
          <w:p>
            <w:pPr>
              <w:pStyle w:val="18"/>
              <w:spacing w:before="48"/>
              <w:ind w:left="72" w:right="60"/>
              <w:rPr>
                <w:rFonts w:ascii="Times New Roman"/>
                <w:sz w:val="21"/>
              </w:rPr>
            </w:pPr>
            <w:r>
              <w:rPr>
                <w:rFonts w:ascii="Times New Roman"/>
                <w:sz w:val="21"/>
              </w:rPr>
              <w:t>73.2</w:t>
            </w:r>
          </w:p>
        </w:tc>
        <w:tc>
          <w:tcPr>
            <w:tcW w:w="593" w:type="dxa"/>
          </w:tcPr>
          <w:p>
            <w:pPr>
              <w:pStyle w:val="18"/>
              <w:spacing w:before="48"/>
              <w:ind w:left="191"/>
              <w:jc w:val="left"/>
              <w:rPr>
                <w:rFonts w:ascii="Times New Roman"/>
                <w:sz w:val="21"/>
              </w:rPr>
            </w:pPr>
            <w:r>
              <w:rPr>
                <w:rFonts w:ascii="Times New Roman"/>
                <w:sz w:val="21"/>
              </w:rPr>
              <w:t>67</w:t>
            </w:r>
          </w:p>
        </w:tc>
        <w:tc>
          <w:tcPr>
            <w:tcW w:w="709" w:type="dxa"/>
          </w:tcPr>
          <w:p>
            <w:pPr>
              <w:pStyle w:val="18"/>
              <w:spacing w:before="48"/>
              <w:ind w:left="9"/>
              <w:rPr>
                <w:rFonts w:ascii="Times New Roman"/>
                <w:sz w:val="21"/>
              </w:rPr>
            </w:pPr>
            <w:r>
              <w:rPr>
                <w:rFonts w:ascii="Times New Roman"/>
                <w:sz w:val="21"/>
              </w:rPr>
              <w:t>63.6</w:t>
            </w:r>
          </w:p>
        </w:tc>
        <w:tc>
          <w:tcPr>
            <w:tcW w:w="719" w:type="dxa"/>
          </w:tcPr>
          <w:p>
            <w:pPr>
              <w:pStyle w:val="18"/>
              <w:spacing w:before="48"/>
              <w:ind w:left="71" w:right="65"/>
              <w:rPr>
                <w:rFonts w:ascii="Times New Roman"/>
                <w:sz w:val="21"/>
              </w:rPr>
            </w:pPr>
            <w:r>
              <w:rPr>
                <w:rFonts w:ascii="Times New Roman"/>
                <w:sz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2</w:t>
            </w:r>
          </w:p>
        </w:tc>
        <w:tc>
          <w:tcPr>
            <w:tcW w:w="1223" w:type="dxa"/>
          </w:tcPr>
          <w:p>
            <w:pPr>
              <w:pStyle w:val="18"/>
              <w:spacing w:before="34"/>
              <w:ind w:left="65" w:right="56"/>
              <w:rPr>
                <w:sz w:val="21"/>
              </w:rPr>
            </w:pPr>
            <w:r>
              <w:rPr>
                <w:sz w:val="21"/>
              </w:rPr>
              <w:t>装载机</w:t>
            </w:r>
          </w:p>
        </w:tc>
        <w:tc>
          <w:tcPr>
            <w:tcW w:w="701" w:type="dxa"/>
          </w:tcPr>
          <w:p>
            <w:pPr>
              <w:pStyle w:val="18"/>
              <w:spacing w:before="48"/>
              <w:ind w:left="13" w:right="4"/>
              <w:rPr>
                <w:rFonts w:ascii="Times New Roman"/>
                <w:sz w:val="21"/>
              </w:rPr>
            </w:pPr>
            <w:r>
              <w:rPr>
                <w:rFonts w:ascii="Times New Roman"/>
                <w:sz w:val="21"/>
              </w:rPr>
              <w:t>105</w:t>
            </w:r>
          </w:p>
        </w:tc>
        <w:tc>
          <w:tcPr>
            <w:tcW w:w="666" w:type="dxa"/>
          </w:tcPr>
          <w:p>
            <w:pPr>
              <w:pStyle w:val="18"/>
              <w:spacing w:before="48"/>
              <w:ind w:left="22" w:right="13"/>
              <w:rPr>
                <w:rFonts w:ascii="Times New Roman"/>
                <w:sz w:val="21"/>
              </w:rPr>
            </w:pPr>
            <w:r>
              <w:rPr>
                <w:rFonts w:ascii="Times New Roman"/>
                <w:sz w:val="21"/>
              </w:rPr>
              <w:t>78</w:t>
            </w:r>
          </w:p>
        </w:tc>
        <w:tc>
          <w:tcPr>
            <w:tcW w:w="821" w:type="dxa"/>
          </w:tcPr>
          <w:p>
            <w:pPr>
              <w:pStyle w:val="18"/>
              <w:spacing w:before="48"/>
              <w:ind w:left="73" w:right="63"/>
              <w:rPr>
                <w:rFonts w:ascii="Times New Roman"/>
                <w:sz w:val="21"/>
              </w:rPr>
            </w:pPr>
            <w:r>
              <w:rPr>
                <w:rFonts w:ascii="Times New Roman"/>
                <w:sz w:val="21"/>
              </w:rPr>
              <w:t>71.4</w:t>
            </w:r>
          </w:p>
        </w:tc>
        <w:tc>
          <w:tcPr>
            <w:tcW w:w="804" w:type="dxa"/>
          </w:tcPr>
          <w:p>
            <w:pPr>
              <w:pStyle w:val="18"/>
              <w:spacing w:before="48"/>
              <w:ind w:left="38" w:right="30"/>
              <w:rPr>
                <w:rFonts w:ascii="Times New Roman"/>
                <w:sz w:val="21"/>
              </w:rPr>
            </w:pPr>
            <w:r>
              <w:rPr>
                <w:rFonts w:ascii="Times New Roman"/>
                <w:sz w:val="21"/>
              </w:rPr>
              <w:t>67.8</w:t>
            </w:r>
          </w:p>
        </w:tc>
        <w:tc>
          <w:tcPr>
            <w:tcW w:w="628" w:type="dxa"/>
          </w:tcPr>
          <w:p>
            <w:pPr>
              <w:pStyle w:val="18"/>
              <w:spacing w:before="48"/>
              <w:ind w:left="31" w:right="20"/>
              <w:rPr>
                <w:rFonts w:ascii="Times New Roman"/>
                <w:sz w:val="21"/>
              </w:rPr>
            </w:pPr>
            <w:r>
              <w:rPr>
                <w:rFonts w:ascii="Times New Roman"/>
                <w:sz w:val="21"/>
              </w:rPr>
              <w:t>65</w:t>
            </w:r>
          </w:p>
        </w:tc>
        <w:tc>
          <w:tcPr>
            <w:tcW w:w="763" w:type="dxa"/>
          </w:tcPr>
          <w:p>
            <w:pPr>
              <w:pStyle w:val="18"/>
              <w:spacing w:before="48"/>
              <w:ind w:left="72" w:right="60"/>
              <w:rPr>
                <w:rFonts w:ascii="Times New Roman"/>
                <w:sz w:val="21"/>
              </w:rPr>
            </w:pPr>
            <w:r>
              <w:rPr>
                <w:rFonts w:ascii="Times New Roman"/>
                <w:sz w:val="21"/>
              </w:rPr>
              <w:t>63.2</w:t>
            </w:r>
          </w:p>
        </w:tc>
        <w:tc>
          <w:tcPr>
            <w:tcW w:w="593" w:type="dxa"/>
          </w:tcPr>
          <w:p>
            <w:pPr>
              <w:pStyle w:val="18"/>
              <w:spacing w:before="48"/>
              <w:ind w:left="191"/>
              <w:jc w:val="left"/>
              <w:rPr>
                <w:rFonts w:ascii="Times New Roman"/>
                <w:sz w:val="21"/>
              </w:rPr>
            </w:pPr>
            <w:r>
              <w:rPr>
                <w:rFonts w:ascii="Times New Roman"/>
                <w:sz w:val="21"/>
              </w:rPr>
              <w:t>57</w:t>
            </w:r>
          </w:p>
        </w:tc>
        <w:tc>
          <w:tcPr>
            <w:tcW w:w="709" w:type="dxa"/>
          </w:tcPr>
          <w:p>
            <w:pPr>
              <w:pStyle w:val="18"/>
              <w:spacing w:before="48"/>
              <w:ind w:left="9"/>
              <w:rPr>
                <w:rFonts w:ascii="Times New Roman"/>
                <w:sz w:val="21"/>
              </w:rPr>
            </w:pPr>
            <w:r>
              <w:rPr>
                <w:rFonts w:ascii="Times New Roman"/>
                <w:sz w:val="21"/>
              </w:rPr>
              <w:t>53.6</w:t>
            </w:r>
          </w:p>
        </w:tc>
        <w:tc>
          <w:tcPr>
            <w:tcW w:w="719" w:type="dxa"/>
          </w:tcPr>
          <w:p>
            <w:pPr>
              <w:pStyle w:val="18"/>
              <w:spacing w:before="48"/>
              <w:ind w:left="71" w:right="65"/>
              <w:rPr>
                <w:rFonts w:ascii="Times New Roman"/>
                <w:sz w:val="21"/>
              </w:rPr>
            </w:pPr>
            <w:r>
              <w:rPr>
                <w:rFonts w:ascii="Times New Roman"/>
                <w:sz w:val="21"/>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3</w:t>
            </w:r>
          </w:p>
        </w:tc>
        <w:tc>
          <w:tcPr>
            <w:tcW w:w="1223" w:type="dxa"/>
          </w:tcPr>
          <w:p>
            <w:pPr>
              <w:pStyle w:val="18"/>
              <w:spacing w:before="35"/>
              <w:ind w:left="65" w:right="56"/>
              <w:rPr>
                <w:sz w:val="21"/>
              </w:rPr>
            </w:pPr>
            <w:r>
              <w:rPr>
                <w:sz w:val="21"/>
              </w:rPr>
              <w:t>挖掘机</w:t>
            </w:r>
          </w:p>
        </w:tc>
        <w:tc>
          <w:tcPr>
            <w:tcW w:w="701" w:type="dxa"/>
          </w:tcPr>
          <w:p>
            <w:pPr>
              <w:pStyle w:val="18"/>
              <w:spacing w:before="48"/>
              <w:ind w:left="13" w:right="4"/>
              <w:rPr>
                <w:rFonts w:ascii="Times New Roman"/>
                <w:sz w:val="21"/>
              </w:rPr>
            </w:pPr>
            <w:r>
              <w:rPr>
                <w:rFonts w:ascii="Times New Roman"/>
                <w:sz w:val="21"/>
              </w:rPr>
              <w:t>100</w:t>
            </w:r>
          </w:p>
        </w:tc>
        <w:tc>
          <w:tcPr>
            <w:tcW w:w="666" w:type="dxa"/>
          </w:tcPr>
          <w:p>
            <w:pPr>
              <w:pStyle w:val="18"/>
              <w:spacing w:before="48"/>
              <w:ind w:left="22" w:right="13"/>
              <w:rPr>
                <w:rFonts w:ascii="Times New Roman"/>
                <w:sz w:val="21"/>
              </w:rPr>
            </w:pPr>
            <w:r>
              <w:rPr>
                <w:rFonts w:ascii="Times New Roman"/>
                <w:sz w:val="21"/>
              </w:rPr>
              <w:t>73</w:t>
            </w:r>
          </w:p>
        </w:tc>
        <w:tc>
          <w:tcPr>
            <w:tcW w:w="821" w:type="dxa"/>
          </w:tcPr>
          <w:p>
            <w:pPr>
              <w:pStyle w:val="18"/>
              <w:spacing w:before="48"/>
              <w:ind w:left="73" w:right="63"/>
              <w:rPr>
                <w:rFonts w:ascii="Times New Roman"/>
                <w:sz w:val="21"/>
              </w:rPr>
            </w:pPr>
            <w:r>
              <w:rPr>
                <w:rFonts w:ascii="Times New Roman"/>
                <w:sz w:val="21"/>
              </w:rPr>
              <w:t>66.4</w:t>
            </w:r>
          </w:p>
        </w:tc>
        <w:tc>
          <w:tcPr>
            <w:tcW w:w="804" w:type="dxa"/>
          </w:tcPr>
          <w:p>
            <w:pPr>
              <w:pStyle w:val="18"/>
              <w:spacing w:before="48"/>
              <w:ind w:left="38" w:right="30"/>
              <w:rPr>
                <w:rFonts w:ascii="Times New Roman"/>
                <w:sz w:val="21"/>
              </w:rPr>
            </w:pPr>
            <w:r>
              <w:rPr>
                <w:rFonts w:ascii="Times New Roman"/>
                <w:sz w:val="21"/>
              </w:rPr>
              <w:t>62.8</w:t>
            </w:r>
          </w:p>
        </w:tc>
        <w:tc>
          <w:tcPr>
            <w:tcW w:w="628" w:type="dxa"/>
          </w:tcPr>
          <w:p>
            <w:pPr>
              <w:pStyle w:val="18"/>
              <w:spacing w:before="48"/>
              <w:ind w:left="31" w:right="20"/>
              <w:rPr>
                <w:rFonts w:ascii="Times New Roman"/>
                <w:sz w:val="21"/>
              </w:rPr>
            </w:pPr>
            <w:r>
              <w:rPr>
                <w:rFonts w:ascii="Times New Roman"/>
                <w:sz w:val="21"/>
              </w:rPr>
              <w:t>60</w:t>
            </w:r>
          </w:p>
        </w:tc>
        <w:tc>
          <w:tcPr>
            <w:tcW w:w="763" w:type="dxa"/>
          </w:tcPr>
          <w:p>
            <w:pPr>
              <w:pStyle w:val="18"/>
              <w:spacing w:before="48"/>
              <w:ind w:left="72" w:right="60"/>
              <w:rPr>
                <w:rFonts w:ascii="Times New Roman"/>
                <w:sz w:val="21"/>
              </w:rPr>
            </w:pPr>
            <w:r>
              <w:rPr>
                <w:rFonts w:ascii="Times New Roman"/>
                <w:sz w:val="21"/>
              </w:rPr>
              <w:t>58.2</w:t>
            </w:r>
          </w:p>
        </w:tc>
        <w:tc>
          <w:tcPr>
            <w:tcW w:w="593" w:type="dxa"/>
          </w:tcPr>
          <w:p>
            <w:pPr>
              <w:pStyle w:val="18"/>
              <w:spacing w:before="48"/>
              <w:ind w:left="191"/>
              <w:jc w:val="left"/>
              <w:rPr>
                <w:rFonts w:ascii="Times New Roman"/>
                <w:sz w:val="21"/>
              </w:rPr>
            </w:pPr>
            <w:r>
              <w:rPr>
                <w:rFonts w:ascii="Times New Roman"/>
                <w:sz w:val="21"/>
              </w:rPr>
              <w:t>52</w:t>
            </w:r>
          </w:p>
        </w:tc>
        <w:tc>
          <w:tcPr>
            <w:tcW w:w="709" w:type="dxa"/>
          </w:tcPr>
          <w:p>
            <w:pPr>
              <w:pStyle w:val="18"/>
              <w:spacing w:before="48"/>
              <w:ind w:left="9"/>
              <w:rPr>
                <w:rFonts w:ascii="Times New Roman"/>
                <w:sz w:val="21"/>
              </w:rPr>
            </w:pPr>
            <w:r>
              <w:rPr>
                <w:rFonts w:ascii="Times New Roman"/>
                <w:sz w:val="21"/>
              </w:rPr>
              <w:t>48.6</w:t>
            </w:r>
          </w:p>
        </w:tc>
        <w:tc>
          <w:tcPr>
            <w:tcW w:w="719" w:type="dxa"/>
          </w:tcPr>
          <w:p>
            <w:pPr>
              <w:pStyle w:val="18"/>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9"/>
              <w:ind w:left="269"/>
              <w:jc w:val="left"/>
              <w:rPr>
                <w:rFonts w:ascii="Times New Roman"/>
                <w:sz w:val="21"/>
              </w:rPr>
            </w:pPr>
            <w:r>
              <w:rPr>
                <w:rFonts w:ascii="Times New Roman"/>
                <w:w w:val="99"/>
                <w:sz w:val="21"/>
              </w:rPr>
              <w:t>4</w:t>
            </w:r>
          </w:p>
        </w:tc>
        <w:tc>
          <w:tcPr>
            <w:tcW w:w="1223" w:type="dxa"/>
          </w:tcPr>
          <w:p>
            <w:pPr>
              <w:pStyle w:val="18"/>
              <w:spacing w:before="35"/>
              <w:ind w:left="65" w:right="58"/>
              <w:rPr>
                <w:sz w:val="21"/>
              </w:rPr>
            </w:pPr>
            <w:r>
              <w:rPr>
                <w:sz w:val="21"/>
              </w:rPr>
              <w:t>自卸卡车</w:t>
            </w:r>
          </w:p>
        </w:tc>
        <w:tc>
          <w:tcPr>
            <w:tcW w:w="701" w:type="dxa"/>
          </w:tcPr>
          <w:p>
            <w:pPr>
              <w:pStyle w:val="18"/>
              <w:spacing w:before="49"/>
              <w:ind w:left="13" w:right="4"/>
              <w:rPr>
                <w:rFonts w:ascii="Times New Roman"/>
                <w:sz w:val="21"/>
              </w:rPr>
            </w:pPr>
            <w:r>
              <w:rPr>
                <w:rFonts w:ascii="Times New Roman"/>
                <w:sz w:val="21"/>
              </w:rPr>
              <w:t>100</w:t>
            </w:r>
          </w:p>
        </w:tc>
        <w:tc>
          <w:tcPr>
            <w:tcW w:w="666" w:type="dxa"/>
          </w:tcPr>
          <w:p>
            <w:pPr>
              <w:pStyle w:val="18"/>
              <w:spacing w:before="49"/>
              <w:ind w:left="22" w:right="13"/>
              <w:rPr>
                <w:rFonts w:ascii="Times New Roman"/>
                <w:sz w:val="21"/>
              </w:rPr>
            </w:pPr>
            <w:r>
              <w:rPr>
                <w:rFonts w:ascii="Times New Roman"/>
                <w:sz w:val="21"/>
              </w:rPr>
              <w:t>73</w:t>
            </w:r>
          </w:p>
        </w:tc>
        <w:tc>
          <w:tcPr>
            <w:tcW w:w="821" w:type="dxa"/>
          </w:tcPr>
          <w:p>
            <w:pPr>
              <w:pStyle w:val="18"/>
              <w:spacing w:before="49"/>
              <w:ind w:left="73" w:right="63"/>
              <w:rPr>
                <w:rFonts w:ascii="Times New Roman"/>
                <w:sz w:val="21"/>
              </w:rPr>
            </w:pPr>
            <w:r>
              <w:rPr>
                <w:rFonts w:ascii="Times New Roman"/>
                <w:sz w:val="21"/>
              </w:rPr>
              <w:t>66.4</w:t>
            </w:r>
          </w:p>
        </w:tc>
        <w:tc>
          <w:tcPr>
            <w:tcW w:w="804" w:type="dxa"/>
          </w:tcPr>
          <w:p>
            <w:pPr>
              <w:pStyle w:val="18"/>
              <w:spacing w:before="49"/>
              <w:ind w:left="38" w:right="30"/>
              <w:rPr>
                <w:rFonts w:ascii="Times New Roman"/>
                <w:sz w:val="21"/>
              </w:rPr>
            </w:pPr>
            <w:r>
              <w:rPr>
                <w:rFonts w:ascii="Times New Roman"/>
                <w:sz w:val="21"/>
              </w:rPr>
              <w:t>62.8</w:t>
            </w:r>
          </w:p>
        </w:tc>
        <w:tc>
          <w:tcPr>
            <w:tcW w:w="628" w:type="dxa"/>
          </w:tcPr>
          <w:p>
            <w:pPr>
              <w:pStyle w:val="18"/>
              <w:spacing w:before="49"/>
              <w:ind w:left="31" w:right="20"/>
              <w:rPr>
                <w:rFonts w:ascii="Times New Roman"/>
                <w:sz w:val="21"/>
              </w:rPr>
            </w:pPr>
            <w:r>
              <w:rPr>
                <w:rFonts w:ascii="Times New Roman"/>
                <w:sz w:val="21"/>
              </w:rPr>
              <w:t>60</w:t>
            </w:r>
          </w:p>
        </w:tc>
        <w:tc>
          <w:tcPr>
            <w:tcW w:w="763" w:type="dxa"/>
          </w:tcPr>
          <w:p>
            <w:pPr>
              <w:pStyle w:val="18"/>
              <w:spacing w:before="49"/>
              <w:ind w:left="72" w:right="60"/>
              <w:rPr>
                <w:rFonts w:ascii="Times New Roman"/>
                <w:sz w:val="21"/>
              </w:rPr>
            </w:pPr>
            <w:r>
              <w:rPr>
                <w:rFonts w:ascii="Times New Roman"/>
                <w:sz w:val="21"/>
              </w:rPr>
              <w:t>58.2</w:t>
            </w:r>
          </w:p>
        </w:tc>
        <w:tc>
          <w:tcPr>
            <w:tcW w:w="593" w:type="dxa"/>
          </w:tcPr>
          <w:p>
            <w:pPr>
              <w:pStyle w:val="18"/>
              <w:spacing w:before="49"/>
              <w:ind w:left="191"/>
              <w:jc w:val="left"/>
              <w:rPr>
                <w:rFonts w:ascii="Times New Roman"/>
                <w:sz w:val="21"/>
              </w:rPr>
            </w:pPr>
            <w:r>
              <w:rPr>
                <w:rFonts w:ascii="Times New Roman"/>
                <w:sz w:val="21"/>
              </w:rPr>
              <w:t>52</w:t>
            </w:r>
          </w:p>
        </w:tc>
        <w:tc>
          <w:tcPr>
            <w:tcW w:w="709" w:type="dxa"/>
          </w:tcPr>
          <w:p>
            <w:pPr>
              <w:pStyle w:val="18"/>
              <w:spacing w:before="49"/>
              <w:ind w:left="9"/>
              <w:rPr>
                <w:rFonts w:ascii="Times New Roman"/>
                <w:sz w:val="21"/>
              </w:rPr>
            </w:pPr>
            <w:r>
              <w:rPr>
                <w:rFonts w:ascii="Times New Roman"/>
                <w:sz w:val="21"/>
              </w:rPr>
              <w:t>48.6</w:t>
            </w:r>
          </w:p>
        </w:tc>
        <w:tc>
          <w:tcPr>
            <w:tcW w:w="719" w:type="dxa"/>
          </w:tcPr>
          <w:p>
            <w:pPr>
              <w:pStyle w:val="18"/>
              <w:spacing w:before="49"/>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9"/>
              <w:ind w:left="269"/>
              <w:jc w:val="left"/>
              <w:rPr>
                <w:rFonts w:ascii="Times New Roman"/>
                <w:sz w:val="21"/>
              </w:rPr>
            </w:pPr>
            <w:r>
              <w:rPr>
                <w:rFonts w:ascii="Times New Roman"/>
                <w:w w:val="99"/>
                <w:sz w:val="21"/>
              </w:rPr>
              <w:t>5</w:t>
            </w:r>
          </w:p>
        </w:tc>
        <w:tc>
          <w:tcPr>
            <w:tcW w:w="1223" w:type="dxa"/>
          </w:tcPr>
          <w:p>
            <w:pPr>
              <w:pStyle w:val="18"/>
              <w:spacing w:before="35"/>
              <w:ind w:left="65" w:right="56"/>
              <w:rPr>
                <w:sz w:val="21"/>
              </w:rPr>
            </w:pPr>
            <w:r>
              <w:rPr>
                <w:sz w:val="21"/>
              </w:rPr>
              <w:t>打桩机</w:t>
            </w:r>
          </w:p>
        </w:tc>
        <w:tc>
          <w:tcPr>
            <w:tcW w:w="701" w:type="dxa"/>
          </w:tcPr>
          <w:p>
            <w:pPr>
              <w:pStyle w:val="18"/>
              <w:spacing w:before="49"/>
              <w:ind w:left="13" w:right="4"/>
              <w:rPr>
                <w:rFonts w:ascii="Times New Roman"/>
                <w:sz w:val="21"/>
              </w:rPr>
            </w:pPr>
            <w:r>
              <w:rPr>
                <w:rFonts w:ascii="Times New Roman"/>
                <w:sz w:val="21"/>
              </w:rPr>
              <w:t>120</w:t>
            </w:r>
          </w:p>
        </w:tc>
        <w:tc>
          <w:tcPr>
            <w:tcW w:w="666" w:type="dxa"/>
          </w:tcPr>
          <w:p>
            <w:pPr>
              <w:pStyle w:val="18"/>
              <w:spacing w:before="49"/>
              <w:ind w:left="22" w:right="13"/>
              <w:rPr>
                <w:rFonts w:ascii="Times New Roman"/>
                <w:sz w:val="21"/>
              </w:rPr>
            </w:pPr>
            <w:r>
              <w:rPr>
                <w:rFonts w:ascii="Times New Roman"/>
                <w:sz w:val="21"/>
              </w:rPr>
              <w:t>93</w:t>
            </w:r>
          </w:p>
        </w:tc>
        <w:tc>
          <w:tcPr>
            <w:tcW w:w="821" w:type="dxa"/>
          </w:tcPr>
          <w:p>
            <w:pPr>
              <w:pStyle w:val="18"/>
              <w:spacing w:before="49"/>
              <w:ind w:left="73" w:right="63"/>
              <w:rPr>
                <w:rFonts w:ascii="Times New Roman"/>
                <w:sz w:val="21"/>
              </w:rPr>
            </w:pPr>
            <w:r>
              <w:rPr>
                <w:rFonts w:ascii="Times New Roman"/>
                <w:sz w:val="21"/>
              </w:rPr>
              <w:t>86.4</w:t>
            </w:r>
          </w:p>
        </w:tc>
        <w:tc>
          <w:tcPr>
            <w:tcW w:w="804" w:type="dxa"/>
          </w:tcPr>
          <w:p>
            <w:pPr>
              <w:pStyle w:val="18"/>
              <w:spacing w:before="49"/>
              <w:ind w:left="38" w:right="30"/>
              <w:rPr>
                <w:rFonts w:ascii="Times New Roman"/>
                <w:sz w:val="21"/>
              </w:rPr>
            </w:pPr>
            <w:r>
              <w:rPr>
                <w:rFonts w:ascii="Times New Roman"/>
                <w:sz w:val="21"/>
              </w:rPr>
              <w:t>82.8</w:t>
            </w:r>
          </w:p>
        </w:tc>
        <w:tc>
          <w:tcPr>
            <w:tcW w:w="628" w:type="dxa"/>
          </w:tcPr>
          <w:p>
            <w:pPr>
              <w:pStyle w:val="18"/>
              <w:spacing w:before="49"/>
              <w:ind w:left="31" w:right="20"/>
              <w:rPr>
                <w:rFonts w:ascii="Times New Roman"/>
                <w:sz w:val="21"/>
              </w:rPr>
            </w:pPr>
            <w:r>
              <w:rPr>
                <w:rFonts w:ascii="Times New Roman"/>
                <w:sz w:val="21"/>
              </w:rPr>
              <w:t>80</w:t>
            </w:r>
          </w:p>
        </w:tc>
        <w:tc>
          <w:tcPr>
            <w:tcW w:w="763" w:type="dxa"/>
          </w:tcPr>
          <w:p>
            <w:pPr>
              <w:pStyle w:val="18"/>
              <w:spacing w:before="49"/>
              <w:ind w:left="72" w:right="60"/>
              <w:rPr>
                <w:rFonts w:ascii="Times New Roman"/>
                <w:sz w:val="21"/>
              </w:rPr>
            </w:pPr>
            <w:r>
              <w:rPr>
                <w:rFonts w:ascii="Times New Roman"/>
                <w:sz w:val="21"/>
              </w:rPr>
              <w:t>78.2</w:t>
            </w:r>
          </w:p>
        </w:tc>
        <w:tc>
          <w:tcPr>
            <w:tcW w:w="593" w:type="dxa"/>
          </w:tcPr>
          <w:p>
            <w:pPr>
              <w:pStyle w:val="18"/>
              <w:spacing w:before="49"/>
              <w:ind w:left="191"/>
              <w:jc w:val="left"/>
              <w:rPr>
                <w:rFonts w:ascii="Times New Roman"/>
                <w:sz w:val="21"/>
              </w:rPr>
            </w:pPr>
            <w:r>
              <w:rPr>
                <w:rFonts w:ascii="Times New Roman"/>
                <w:sz w:val="21"/>
              </w:rPr>
              <w:t>72</w:t>
            </w:r>
          </w:p>
        </w:tc>
        <w:tc>
          <w:tcPr>
            <w:tcW w:w="709" w:type="dxa"/>
          </w:tcPr>
          <w:p>
            <w:pPr>
              <w:pStyle w:val="18"/>
              <w:spacing w:before="49"/>
              <w:ind w:left="9"/>
              <w:rPr>
                <w:rFonts w:ascii="Times New Roman"/>
                <w:sz w:val="21"/>
              </w:rPr>
            </w:pPr>
            <w:r>
              <w:rPr>
                <w:rFonts w:ascii="Times New Roman"/>
                <w:sz w:val="21"/>
              </w:rPr>
              <w:t>68.6</w:t>
            </w:r>
          </w:p>
        </w:tc>
        <w:tc>
          <w:tcPr>
            <w:tcW w:w="719" w:type="dxa"/>
          </w:tcPr>
          <w:p>
            <w:pPr>
              <w:pStyle w:val="18"/>
              <w:spacing w:before="49"/>
              <w:ind w:left="71" w:right="65"/>
              <w:rPr>
                <w:rFonts w:ascii="Times New Roman"/>
                <w:sz w:val="21"/>
              </w:rPr>
            </w:pPr>
            <w:r>
              <w:rPr>
                <w:rFonts w:ascii="Times New Roman"/>
                <w:sz w:val="21"/>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50"/>
              <w:ind w:left="269"/>
              <w:jc w:val="left"/>
              <w:rPr>
                <w:rFonts w:ascii="Times New Roman"/>
                <w:sz w:val="21"/>
              </w:rPr>
            </w:pPr>
            <w:r>
              <w:rPr>
                <w:rFonts w:ascii="Times New Roman"/>
                <w:w w:val="99"/>
                <w:sz w:val="21"/>
              </w:rPr>
              <w:t>6</w:t>
            </w:r>
          </w:p>
        </w:tc>
        <w:tc>
          <w:tcPr>
            <w:tcW w:w="1223" w:type="dxa"/>
          </w:tcPr>
          <w:p>
            <w:pPr>
              <w:pStyle w:val="18"/>
              <w:spacing w:before="36"/>
              <w:ind w:left="65" w:right="56"/>
              <w:rPr>
                <w:sz w:val="21"/>
              </w:rPr>
            </w:pPr>
            <w:r>
              <w:rPr>
                <w:sz w:val="21"/>
              </w:rPr>
              <w:t>空压机</w:t>
            </w:r>
          </w:p>
        </w:tc>
        <w:tc>
          <w:tcPr>
            <w:tcW w:w="701" w:type="dxa"/>
          </w:tcPr>
          <w:p>
            <w:pPr>
              <w:pStyle w:val="18"/>
              <w:spacing w:before="50"/>
              <w:ind w:left="13" w:right="2"/>
              <w:rPr>
                <w:rFonts w:ascii="Times New Roman"/>
                <w:sz w:val="21"/>
              </w:rPr>
            </w:pPr>
            <w:r>
              <w:rPr>
                <w:rFonts w:ascii="Times New Roman"/>
                <w:sz w:val="21"/>
              </w:rPr>
              <w:t>110</w:t>
            </w:r>
          </w:p>
        </w:tc>
        <w:tc>
          <w:tcPr>
            <w:tcW w:w="666" w:type="dxa"/>
          </w:tcPr>
          <w:p>
            <w:pPr>
              <w:pStyle w:val="18"/>
              <w:spacing w:before="50"/>
              <w:ind w:left="22" w:right="13"/>
              <w:rPr>
                <w:rFonts w:ascii="Times New Roman"/>
                <w:sz w:val="21"/>
              </w:rPr>
            </w:pPr>
            <w:r>
              <w:rPr>
                <w:rFonts w:ascii="Times New Roman"/>
                <w:sz w:val="21"/>
              </w:rPr>
              <w:t>83</w:t>
            </w:r>
          </w:p>
        </w:tc>
        <w:tc>
          <w:tcPr>
            <w:tcW w:w="821" w:type="dxa"/>
          </w:tcPr>
          <w:p>
            <w:pPr>
              <w:pStyle w:val="18"/>
              <w:spacing w:before="50"/>
              <w:ind w:left="73" w:right="63"/>
              <w:rPr>
                <w:rFonts w:ascii="Times New Roman"/>
                <w:sz w:val="21"/>
              </w:rPr>
            </w:pPr>
            <w:r>
              <w:rPr>
                <w:rFonts w:ascii="Times New Roman"/>
                <w:sz w:val="21"/>
              </w:rPr>
              <w:t>76.4</w:t>
            </w:r>
          </w:p>
        </w:tc>
        <w:tc>
          <w:tcPr>
            <w:tcW w:w="804" w:type="dxa"/>
          </w:tcPr>
          <w:p>
            <w:pPr>
              <w:pStyle w:val="18"/>
              <w:spacing w:before="50"/>
              <w:ind w:left="38" w:right="30"/>
              <w:rPr>
                <w:rFonts w:ascii="Times New Roman"/>
                <w:sz w:val="21"/>
              </w:rPr>
            </w:pPr>
            <w:r>
              <w:rPr>
                <w:rFonts w:ascii="Times New Roman"/>
                <w:sz w:val="21"/>
              </w:rPr>
              <w:t>72.8</w:t>
            </w:r>
          </w:p>
        </w:tc>
        <w:tc>
          <w:tcPr>
            <w:tcW w:w="628" w:type="dxa"/>
          </w:tcPr>
          <w:p>
            <w:pPr>
              <w:pStyle w:val="18"/>
              <w:spacing w:before="50"/>
              <w:ind w:left="31" w:right="20"/>
              <w:rPr>
                <w:rFonts w:ascii="Times New Roman"/>
                <w:sz w:val="21"/>
              </w:rPr>
            </w:pPr>
            <w:r>
              <w:rPr>
                <w:rFonts w:ascii="Times New Roman"/>
                <w:sz w:val="21"/>
              </w:rPr>
              <w:t>70</w:t>
            </w:r>
          </w:p>
        </w:tc>
        <w:tc>
          <w:tcPr>
            <w:tcW w:w="763" w:type="dxa"/>
          </w:tcPr>
          <w:p>
            <w:pPr>
              <w:pStyle w:val="18"/>
              <w:spacing w:before="50"/>
              <w:ind w:left="72" w:right="60"/>
              <w:rPr>
                <w:rFonts w:ascii="Times New Roman"/>
                <w:sz w:val="21"/>
              </w:rPr>
            </w:pPr>
            <w:r>
              <w:rPr>
                <w:rFonts w:ascii="Times New Roman"/>
                <w:sz w:val="21"/>
              </w:rPr>
              <w:t>68.2</w:t>
            </w:r>
          </w:p>
        </w:tc>
        <w:tc>
          <w:tcPr>
            <w:tcW w:w="593" w:type="dxa"/>
          </w:tcPr>
          <w:p>
            <w:pPr>
              <w:pStyle w:val="18"/>
              <w:spacing w:before="50"/>
              <w:ind w:left="191"/>
              <w:jc w:val="left"/>
              <w:rPr>
                <w:rFonts w:ascii="Times New Roman"/>
                <w:sz w:val="21"/>
              </w:rPr>
            </w:pPr>
            <w:r>
              <w:rPr>
                <w:rFonts w:ascii="Times New Roman"/>
                <w:sz w:val="21"/>
              </w:rPr>
              <w:t>62</w:t>
            </w:r>
          </w:p>
        </w:tc>
        <w:tc>
          <w:tcPr>
            <w:tcW w:w="709" w:type="dxa"/>
          </w:tcPr>
          <w:p>
            <w:pPr>
              <w:pStyle w:val="18"/>
              <w:spacing w:before="50"/>
              <w:ind w:left="9"/>
              <w:rPr>
                <w:rFonts w:ascii="Times New Roman"/>
                <w:sz w:val="21"/>
              </w:rPr>
            </w:pPr>
            <w:r>
              <w:rPr>
                <w:rFonts w:ascii="Times New Roman"/>
                <w:sz w:val="21"/>
              </w:rPr>
              <w:t>58.6</w:t>
            </w:r>
          </w:p>
        </w:tc>
        <w:tc>
          <w:tcPr>
            <w:tcW w:w="719" w:type="dxa"/>
          </w:tcPr>
          <w:p>
            <w:pPr>
              <w:pStyle w:val="18"/>
              <w:spacing w:before="50"/>
              <w:ind w:left="71" w:right="65"/>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7</w:t>
            </w:r>
          </w:p>
        </w:tc>
        <w:tc>
          <w:tcPr>
            <w:tcW w:w="1223" w:type="dxa"/>
          </w:tcPr>
          <w:p>
            <w:pPr>
              <w:pStyle w:val="18"/>
              <w:spacing w:before="34"/>
              <w:ind w:left="65" w:right="58"/>
              <w:rPr>
                <w:sz w:val="21"/>
              </w:rPr>
            </w:pPr>
            <w:r>
              <w:rPr>
                <w:sz w:val="21"/>
              </w:rPr>
              <w:t>电锯、电刨</w:t>
            </w:r>
          </w:p>
        </w:tc>
        <w:tc>
          <w:tcPr>
            <w:tcW w:w="701" w:type="dxa"/>
          </w:tcPr>
          <w:p>
            <w:pPr>
              <w:pStyle w:val="18"/>
              <w:spacing w:before="48"/>
              <w:ind w:left="13" w:right="2"/>
              <w:rPr>
                <w:rFonts w:ascii="Times New Roman"/>
                <w:sz w:val="21"/>
              </w:rPr>
            </w:pPr>
            <w:r>
              <w:rPr>
                <w:rFonts w:ascii="Times New Roman"/>
                <w:sz w:val="21"/>
              </w:rPr>
              <w:t>115</w:t>
            </w:r>
          </w:p>
        </w:tc>
        <w:tc>
          <w:tcPr>
            <w:tcW w:w="666" w:type="dxa"/>
          </w:tcPr>
          <w:p>
            <w:pPr>
              <w:pStyle w:val="18"/>
              <w:spacing w:before="48"/>
              <w:ind w:left="22" w:right="13"/>
              <w:rPr>
                <w:rFonts w:ascii="Times New Roman"/>
                <w:sz w:val="21"/>
              </w:rPr>
            </w:pPr>
            <w:r>
              <w:rPr>
                <w:rFonts w:ascii="Times New Roman"/>
                <w:sz w:val="21"/>
              </w:rPr>
              <w:t>88</w:t>
            </w:r>
          </w:p>
        </w:tc>
        <w:tc>
          <w:tcPr>
            <w:tcW w:w="821" w:type="dxa"/>
          </w:tcPr>
          <w:p>
            <w:pPr>
              <w:pStyle w:val="18"/>
              <w:spacing w:before="48"/>
              <w:ind w:left="73" w:right="63"/>
              <w:rPr>
                <w:rFonts w:ascii="Times New Roman"/>
                <w:sz w:val="21"/>
              </w:rPr>
            </w:pPr>
            <w:r>
              <w:rPr>
                <w:rFonts w:ascii="Times New Roman"/>
                <w:sz w:val="21"/>
              </w:rPr>
              <w:t>81.4</w:t>
            </w:r>
          </w:p>
        </w:tc>
        <w:tc>
          <w:tcPr>
            <w:tcW w:w="804" w:type="dxa"/>
          </w:tcPr>
          <w:p>
            <w:pPr>
              <w:pStyle w:val="18"/>
              <w:spacing w:before="48"/>
              <w:ind w:left="38" w:right="30"/>
              <w:rPr>
                <w:rFonts w:ascii="Times New Roman"/>
                <w:sz w:val="21"/>
              </w:rPr>
            </w:pPr>
            <w:r>
              <w:rPr>
                <w:rFonts w:ascii="Times New Roman"/>
                <w:sz w:val="21"/>
              </w:rPr>
              <w:t>77.8</w:t>
            </w:r>
          </w:p>
        </w:tc>
        <w:tc>
          <w:tcPr>
            <w:tcW w:w="628" w:type="dxa"/>
          </w:tcPr>
          <w:p>
            <w:pPr>
              <w:pStyle w:val="18"/>
              <w:spacing w:before="48"/>
              <w:ind w:left="31" w:right="20"/>
              <w:rPr>
                <w:rFonts w:ascii="Times New Roman"/>
                <w:sz w:val="21"/>
              </w:rPr>
            </w:pPr>
            <w:r>
              <w:rPr>
                <w:rFonts w:ascii="Times New Roman"/>
                <w:sz w:val="21"/>
              </w:rPr>
              <w:t>75</w:t>
            </w:r>
          </w:p>
        </w:tc>
        <w:tc>
          <w:tcPr>
            <w:tcW w:w="763" w:type="dxa"/>
          </w:tcPr>
          <w:p>
            <w:pPr>
              <w:pStyle w:val="18"/>
              <w:spacing w:before="48"/>
              <w:ind w:left="72" w:right="60"/>
              <w:rPr>
                <w:rFonts w:ascii="Times New Roman"/>
                <w:sz w:val="21"/>
              </w:rPr>
            </w:pPr>
            <w:r>
              <w:rPr>
                <w:rFonts w:ascii="Times New Roman"/>
                <w:sz w:val="21"/>
              </w:rPr>
              <w:t>73.2</w:t>
            </w:r>
          </w:p>
        </w:tc>
        <w:tc>
          <w:tcPr>
            <w:tcW w:w="593" w:type="dxa"/>
          </w:tcPr>
          <w:p>
            <w:pPr>
              <w:pStyle w:val="18"/>
              <w:spacing w:before="48"/>
              <w:ind w:left="191"/>
              <w:jc w:val="left"/>
              <w:rPr>
                <w:rFonts w:ascii="Times New Roman"/>
                <w:sz w:val="21"/>
              </w:rPr>
            </w:pPr>
            <w:r>
              <w:rPr>
                <w:rFonts w:ascii="Times New Roman"/>
                <w:sz w:val="21"/>
              </w:rPr>
              <w:t>67</w:t>
            </w:r>
          </w:p>
        </w:tc>
        <w:tc>
          <w:tcPr>
            <w:tcW w:w="709" w:type="dxa"/>
          </w:tcPr>
          <w:p>
            <w:pPr>
              <w:pStyle w:val="18"/>
              <w:spacing w:before="48"/>
              <w:ind w:left="9"/>
              <w:rPr>
                <w:rFonts w:ascii="Times New Roman"/>
                <w:sz w:val="21"/>
              </w:rPr>
            </w:pPr>
            <w:r>
              <w:rPr>
                <w:rFonts w:ascii="Times New Roman"/>
                <w:sz w:val="21"/>
              </w:rPr>
              <w:t>63.6</w:t>
            </w:r>
          </w:p>
        </w:tc>
        <w:tc>
          <w:tcPr>
            <w:tcW w:w="719" w:type="dxa"/>
          </w:tcPr>
          <w:p>
            <w:pPr>
              <w:pStyle w:val="18"/>
              <w:spacing w:before="48"/>
              <w:ind w:left="71" w:right="65"/>
              <w:rPr>
                <w:rFonts w:ascii="Times New Roman"/>
                <w:sz w:val="21"/>
              </w:rPr>
            </w:pPr>
            <w:r>
              <w:rPr>
                <w:rFonts w:ascii="Times New Roman"/>
                <w:sz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8</w:t>
            </w:r>
          </w:p>
        </w:tc>
        <w:tc>
          <w:tcPr>
            <w:tcW w:w="1223" w:type="dxa"/>
          </w:tcPr>
          <w:p>
            <w:pPr>
              <w:pStyle w:val="18"/>
              <w:spacing w:before="34"/>
              <w:ind w:left="65" w:right="56"/>
              <w:rPr>
                <w:sz w:val="21"/>
              </w:rPr>
            </w:pPr>
            <w:r>
              <w:rPr>
                <w:sz w:val="21"/>
              </w:rPr>
              <w:t>振捣棒</w:t>
            </w:r>
          </w:p>
        </w:tc>
        <w:tc>
          <w:tcPr>
            <w:tcW w:w="701" w:type="dxa"/>
          </w:tcPr>
          <w:p>
            <w:pPr>
              <w:pStyle w:val="18"/>
              <w:spacing w:before="48"/>
              <w:ind w:left="13" w:right="4"/>
              <w:rPr>
                <w:rFonts w:ascii="Times New Roman"/>
                <w:sz w:val="21"/>
              </w:rPr>
            </w:pPr>
            <w:r>
              <w:rPr>
                <w:rFonts w:ascii="Times New Roman"/>
                <w:sz w:val="21"/>
              </w:rPr>
              <w:t>100</w:t>
            </w:r>
          </w:p>
        </w:tc>
        <w:tc>
          <w:tcPr>
            <w:tcW w:w="666" w:type="dxa"/>
          </w:tcPr>
          <w:p>
            <w:pPr>
              <w:pStyle w:val="18"/>
              <w:spacing w:before="48"/>
              <w:ind w:left="22" w:right="13"/>
              <w:rPr>
                <w:rFonts w:ascii="Times New Roman"/>
                <w:sz w:val="21"/>
              </w:rPr>
            </w:pPr>
            <w:r>
              <w:rPr>
                <w:rFonts w:ascii="Times New Roman"/>
                <w:sz w:val="21"/>
              </w:rPr>
              <w:t>73</w:t>
            </w:r>
          </w:p>
        </w:tc>
        <w:tc>
          <w:tcPr>
            <w:tcW w:w="821" w:type="dxa"/>
          </w:tcPr>
          <w:p>
            <w:pPr>
              <w:pStyle w:val="18"/>
              <w:spacing w:before="48"/>
              <w:ind w:left="73" w:right="63"/>
              <w:rPr>
                <w:rFonts w:ascii="Times New Roman"/>
                <w:sz w:val="21"/>
              </w:rPr>
            </w:pPr>
            <w:r>
              <w:rPr>
                <w:rFonts w:ascii="Times New Roman"/>
                <w:sz w:val="21"/>
              </w:rPr>
              <w:t>66.4</w:t>
            </w:r>
          </w:p>
        </w:tc>
        <w:tc>
          <w:tcPr>
            <w:tcW w:w="804" w:type="dxa"/>
          </w:tcPr>
          <w:p>
            <w:pPr>
              <w:pStyle w:val="18"/>
              <w:spacing w:before="48"/>
              <w:ind w:left="38" w:right="30"/>
              <w:rPr>
                <w:rFonts w:ascii="Times New Roman"/>
                <w:sz w:val="21"/>
              </w:rPr>
            </w:pPr>
            <w:r>
              <w:rPr>
                <w:rFonts w:ascii="Times New Roman"/>
                <w:sz w:val="21"/>
              </w:rPr>
              <w:t>62.8</w:t>
            </w:r>
          </w:p>
        </w:tc>
        <w:tc>
          <w:tcPr>
            <w:tcW w:w="628" w:type="dxa"/>
          </w:tcPr>
          <w:p>
            <w:pPr>
              <w:pStyle w:val="18"/>
              <w:spacing w:before="48"/>
              <w:ind w:left="31" w:right="20"/>
              <w:rPr>
                <w:rFonts w:ascii="Times New Roman"/>
                <w:sz w:val="21"/>
              </w:rPr>
            </w:pPr>
            <w:r>
              <w:rPr>
                <w:rFonts w:ascii="Times New Roman"/>
                <w:sz w:val="21"/>
              </w:rPr>
              <w:t>60</w:t>
            </w:r>
          </w:p>
        </w:tc>
        <w:tc>
          <w:tcPr>
            <w:tcW w:w="763" w:type="dxa"/>
          </w:tcPr>
          <w:p>
            <w:pPr>
              <w:pStyle w:val="18"/>
              <w:spacing w:before="48"/>
              <w:ind w:left="72" w:right="60"/>
              <w:rPr>
                <w:rFonts w:ascii="Times New Roman"/>
                <w:sz w:val="21"/>
              </w:rPr>
            </w:pPr>
            <w:r>
              <w:rPr>
                <w:rFonts w:ascii="Times New Roman"/>
                <w:sz w:val="21"/>
              </w:rPr>
              <w:t>58.2</w:t>
            </w:r>
          </w:p>
        </w:tc>
        <w:tc>
          <w:tcPr>
            <w:tcW w:w="593" w:type="dxa"/>
          </w:tcPr>
          <w:p>
            <w:pPr>
              <w:pStyle w:val="18"/>
              <w:spacing w:before="48"/>
              <w:ind w:left="191"/>
              <w:jc w:val="left"/>
              <w:rPr>
                <w:rFonts w:ascii="Times New Roman"/>
                <w:sz w:val="21"/>
              </w:rPr>
            </w:pPr>
            <w:r>
              <w:rPr>
                <w:rFonts w:ascii="Times New Roman"/>
                <w:sz w:val="21"/>
              </w:rPr>
              <w:t>52</w:t>
            </w:r>
          </w:p>
        </w:tc>
        <w:tc>
          <w:tcPr>
            <w:tcW w:w="709" w:type="dxa"/>
          </w:tcPr>
          <w:p>
            <w:pPr>
              <w:pStyle w:val="18"/>
              <w:spacing w:before="48"/>
              <w:ind w:left="9"/>
              <w:rPr>
                <w:rFonts w:ascii="Times New Roman"/>
                <w:sz w:val="21"/>
              </w:rPr>
            </w:pPr>
            <w:r>
              <w:rPr>
                <w:rFonts w:ascii="Times New Roman"/>
                <w:sz w:val="21"/>
              </w:rPr>
              <w:t>48.6</w:t>
            </w:r>
          </w:p>
        </w:tc>
        <w:tc>
          <w:tcPr>
            <w:tcW w:w="719" w:type="dxa"/>
          </w:tcPr>
          <w:p>
            <w:pPr>
              <w:pStyle w:val="18"/>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8"/>
              <w:ind w:left="269"/>
              <w:jc w:val="left"/>
              <w:rPr>
                <w:rFonts w:ascii="Times New Roman"/>
                <w:sz w:val="21"/>
              </w:rPr>
            </w:pPr>
            <w:r>
              <w:rPr>
                <w:rFonts w:ascii="Times New Roman"/>
                <w:w w:val="99"/>
                <w:sz w:val="21"/>
              </w:rPr>
              <w:t>9</w:t>
            </w:r>
          </w:p>
        </w:tc>
        <w:tc>
          <w:tcPr>
            <w:tcW w:w="1223" w:type="dxa"/>
          </w:tcPr>
          <w:p>
            <w:pPr>
              <w:pStyle w:val="18"/>
              <w:spacing w:before="35"/>
              <w:ind w:left="65" w:right="56"/>
              <w:rPr>
                <w:sz w:val="21"/>
              </w:rPr>
            </w:pPr>
            <w:r>
              <w:rPr>
                <w:sz w:val="21"/>
              </w:rPr>
              <w:t>卷扬机</w:t>
            </w:r>
          </w:p>
        </w:tc>
        <w:tc>
          <w:tcPr>
            <w:tcW w:w="701" w:type="dxa"/>
          </w:tcPr>
          <w:p>
            <w:pPr>
              <w:pStyle w:val="18"/>
              <w:spacing w:before="48"/>
              <w:ind w:left="13" w:right="4"/>
              <w:rPr>
                <w:rFonts w:ascii="Times New Roman"/>
                <w:sz w:val="21"/>
              </w:rPr>
            </w:pPr>
            <w:r>
              <w:rPr>
                <w:rFonts w:ascii="Times New Roman"/>
                <w:sz w:val="21"/>
              </w:rPr>
              <w:t>100</w:t>
            </w:r>
          </w:p>
        </w:tc>
        <w:tc>
          <w:tcPr>
            <w:tcW w:w="666" w:type="dxa"/>
          </w:tcPr>
          <w:p>
            <w:pPr>
              <w:pStyle w:val="18"/>
              <w:spacing w:before="48"/>
              <w:ind w:left="22" w:right="13"/>
              <w:rPr>
                <w:rFonts w:ascii="Times New Roman"/>
                <w:sz w:val="21"/>
              </w:rPr>
            </w:pPr>
            <w:r>
              <w:rPr>
                <w:rFonts w:ascii="Times New Roman"/>
                <w:sz w:val="21"/>
              </w:rPr>
              <w:t>73</w:t>
            </w:r>
          </w:p>
        </w:tc>
        <w:tc>
          <w:tcPr>
            <w:tcW w:w="821" w:type="dxa"/>
          </w:tcPr>
          <w:p>
            <w:pPr>
              <w:pStyle w:val="18"/>
              <w:spacing w:before="48"/>
              <w:ind w:left="73" w:right="63"/>
              <w:rPr>
                <w:rFonts w:ascii="Times New Roman"/>
                <w:sz w:val="21"/>
              </w:rPr>
            </w:pPr>
            <w:r>
              <w:rPr>
                <w:rFonts w:ascii="Times New Roman"/>
                <w:sz w:val="21"/>
              </w:rPr>
              <w:t>66.4</w:t>
            </w:r>
          </w:p>
        </w:tc>
        <w:tc>
          <w:tcPr>
            <w:tcW w:w="804" w:type="dxa"/>
          </w:tcPr>
          <w:p>
            <w:pPr>
              <w:pStyle w:val="18"/>
              <w:spacing w:before="48"/>
              <w:ind w:left="38" w:right="30"/>
              <w:rPr>
                <w:rFonts w:ascii="Times New Roman"/>
                <w:sz w:val="21"/>
              </w:rPr>
            </w:pPr>
            <w:r>
              <w:rPr>
                <w:rFonts w:ascii="Times New Roman"/>
                <w:sz w:val="21"/>
              </w:rPr>
              <w:t>62.8</w:t>
            </w:r>
          </w:p>
        </w:tc>
        <w:tc>
          <w:tcPr>
            <w:tcW w:w="628" w:type="dxa"/>
          </w:tcPr>
          <w:p>
            <w:pPr>
              <w:pStyle w:val="18"/>
              <w:spacing w:before="48"/>
              <w:ind w:left="31" w:right="20"/>
              <w:rPr>
                <w:rFonts w:ascii="Times New Roman"/>
                <w:sz w:val="21"/>
              </w:rPr>
            </w:pPr>
            <w:r>
              <w:rPr>
                <w:rFonts w:ascii="Times New Roman"/>
                <w:sz w:val="21"/>
              </w:rPr>
              <w:t>60</w:t>
            </w:r>
          </w:p>
        </w:tc>
        <w:tc>
          <w:tcPr>
            <w:tcW w:w="763" w:type="dxa"/>
          </w:tcPr>
          <w:p>
            <w:pPr>
              <w:pStyle w:val="18"/>
              <w:spacing w:before="48"/>
              <w:ind w:left="72" w:right="60"/>
              <w:rPr>
                <w:rFonts w:ascii="Times New Roman"/>
                <w:sz w:val="21"/>
              </w:rPr>
            </w:pPr>
            <w:r>
              <w:rPr>
                <w:rFonts w:ascii="Times New Roman"/>
                <w:sz w:val="21"/>
              </w:rPr>
              <w:t>58.2</w:t>
            </w:r>
          </w:p>
        </w:tc>
        <w:tc>
          <w:tcPr>
            <w:tcW w:w="593" w:type="dxa"/>
          </w:tcPr>
          <w:p>
            <w:pPr>
              <w:pStyle w:val="18"/>
              <w:spacing w:before="48"/>
              <w:ind w:left="191"/>
              <w:jc w:val="left"/>
              <w:rPr>
                <w:rFonts w:ascii="Times New Roman"/>
                <w:sz w:val="21"/>
              </w:rPr>
            </w:pPr>
            <w:r>
              <w:rPr>
                <w:rFonts w:ascii="Times New Roman"/>
                <w:sz w:val="21"/>
              </w:rPr>
              <w:t>52</w:t>
            </w:r>
          </w:p>
        </w:tc>
        <w:tc>
          <w:tcPr>
            <w:tcW w:w="709" w:type="dxa"/>
          </w:tcPr>
          <w:p>
            <w:pPr>
              <w:pStyle w:val="18"/>
              <w:spacing w:before="48"/>
              <w:ind w:left="9"/>
              <w:rPr>
                <w:rFonts w:ascii="Times New Roman"/>
                <w:sz w:val="21"/>
              </w:rPr>
            </w:pPr>
            <w:r>
              <w:rPr>
                <w:rFonts w:ascii="Times New Roman"/>
                <w:sz w:val="21"/>
              </w:rPr>
              <w:t>48.6</w:t>
            </w:r>
          </w:p>
        </w:tc>
        <w:tc>
          <w:tcPr>
            <w:tcW w:w="719" w:type="dxa"/>
          </w:tcPr>
          <w:p>
            <w:pPr>
              <w:pStyle w:val="18"/>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8"/>
              <w:spacing w:before="49"/>
              <w:ind w:left="216"/>
              <w:jc w:val="left"/>
              <w:rPr>
                <w:rFonts w:ascii="Times New Roman"/>
                <w:sz w:val="21"/>
              </w:rPr>
            </w:pPr>
            <w:r>
              <w:rPr>
                <w:rFonts w:ascii="Times New Roman"/>
                <w:sz w:val="21"/>
              </w:rPr>
              <w:t>10</w:t>
            </w:r>
          </w:p>
        </w:tc>
        <w:tc>
          <w:tcPr>
            <w:tcW w:w="1223" w:type="dxa"/>
          </w:tcPr>
          <w:p>
            <w:pPr>
              <w:pStyle w:val="18"/>
              <w:spacing w:before="35"/>
              <w:ind w:left="65" w:right="56"/>
              <w:rPr>
                <w:sz w:val="21"/>
              </w:rPr>
            </w:pPr>
            <w:r>
              <w:rPr>
                <w:sz w:val="21"/>
              </w:rPr>
              <w:t>切割机</w:t>
            </w:r>
          </w:p>
        </w:tc>
        <w:tc>
          <w:tcPr>
            <w:tcW w:w="701" w:type="dxa"/>
          </w:tcPr>
          <w:p>
            <w:pPr>
              <w:pStyle w:val="18"/>
              <w:spacing w:before="49"/>
              <w:ind w:left="13" w:right="2"/>
              <w:rPr>
                <w:rFonts w:ascii="Times New Roman"/>
                <w:sz w:val="21"/>
              </w:rPr>
            </w:pPr>
            <w:r>
              <w:rPr>
                <w:rFonts w:ascii="Times New Roman"/>
                <w:sz w:val="21"/>
              </w:rPr>
              <w:t>110</w:t>
            </w:r>
          </w:p>
        </w:tc>
        <w:tc>
          <w:tcPr>
            <w:tcW w:w="666" w:type="dxa"/>
          </w:tcPr>
          <w:p>
            <w:pPr>
              <w:pStyle w:val="18"/>
              <w:spacing w:before="49"/>
              <w:ind w:left="22" w:right="13"/>
              <w:rPr>
                <w:rFonts w:ascii="Times New Roman"/>
                <w:sz w:val="21"/>
              </w:rPr>
            </w:pPr>
            <w:r>
              <w:rPr>
                <w:rFonts w:ascii="Times New Roman"/>
                <w:sz w:val="21"/>
              </w:rPr>
              <w:t>83</w:t>
            </w:r>
          </w:p>
        </w:tc>
        <w:tc>
          <w:tcPr>
            <w:tcW w:w="821" w:type="dxa"/>
          </w:tcPr>
          <w:p>
            <w:pPr>
              <w:pStyle w:val="18"/>
              <w:spacing w:before="49"/>
              <w:ind w:left="73" w:right="63"/>
              <w:rPr>
                <w:rFonts w:ascii="Times New Roman"/>
                <w:sz w:val="21"/>
              </w:rPr>
            </w:pPr>
            <w:r>
              <w:rPr>
                <w:rFonts w:ascii="Times New Roman"/>
                <w:sz w:val="21"/>
              </w:rPr>
              <w:t>76.4</w:t>
            </w:r>
          </w:p>
        </w:tc>
        <w:tc>
          <w:tcPr>
            <w:tcW w:w="804" w:type="dxa"/>
          </w:tcPr>
          <w:p>
            <w:pPr>
              <w:pStyle w:val="18"/>
              <w:spacing w:before="49"/>
              <w:ind w:left="38" w:right="30"/>
              <w:rPr>
                <w:rFonts w:ascii="Times New Roman"/>
                <w:sz w:val="21"/>
              </w:rPr>
            </w:pPr>
            <w:r>
              <w:rPr>
                <w:rFonts w:ascii="Times New Roman"/>
                <w:sz w:val="21"/>
              </w:rPr>
              <w:t>72.8</w:t>
            </w:r>
          </w:p>
        </w:tc>
        <w:tc>
          <w:tcPr>
            <w:tcW w:w="628" w:type="dxa"/>
          </w:tcPr>
          <w:p>
            <w:pPr>
              <w:pStyle w:val="18"/>
              <w:spacing w:before="49"/>
              <w:ind w:left="31" w:right="20"/>
              <w:rPr>
                <w:rFonts w:ascii="Times New Roman"/>
                <w:sz w:val="21"/>
              </w:rPr>
            </w:pPr>
            <w:r>
              <w:rPr>
                <w:rFonts w:ascii="Times New Roman"/>
                <w:sz w:val="21"/>
              </w:rPr>
              <w:t>70</w:t>
            </w:r>
          </w:p>
        </w:tc>
        <w:tc>
          <w:tcPr>
            <w:tcW w:w="763" w:type="dxa"/>
          </w:tcPr>
          <w:p>
            <w:pPr>
              <w:pStyle w:val="18"/>
              <w:spacing w:before="49"/>
              <w:ind w:left="72" w:right="60"/>
              <w:rPr>
                <w:rFonts w:ascii="Times New Roman"/>
                <w:sz w:val="21"/>
              </w:rPr>
            </w:pPr>
            <w:r>
              <w:rPr>
                <w:rFonts w:ascii="Times New Roman"/>
                <w:sz w:val="21"/>
              </w:rPr>
              <w:t>68.2</w:t>
            </w:r>
          </w:p>
        </w:tc>
        <w:tc>
          <w:tcPr>
            <w:tcW w:w="593" w:type="dxa"/>
          </w:tcPr>
          <w:p>
            <w:pPr>
              <w:pStyle w:val="18"/>
              <w:spacing w:before="49"/>
              <w:ind w:left="191"/>
              <w:jc w:val="left"/>
              <w:rPr>
                <w:rFonts w:ascii="Times New Roman"/>
                <w:sz w:val="21"/>
              </w:rPr>
            </w:pPr>
            <w:r>
              <w:rPr>
                <w:rFonts w:ascii="Times New Roman"/>
                <w:sz w:val="21"/>
              </w:rPr>
              <w:t>62</w:t>
            </w:r>
          </w:p>
        </w:tc>
        <w:tc>
          <w:tcPr>
            <w:tcW w:w="709" w:type="dxa"/>
          </w:tcPr>
          <w:p>
            <w:pPr>
              <w:pStyle w:val="18"/>
              <w:spacing w:before="49"/>
              <w:ind w:left="9"/>
              <w:rPr>
                <w:rFonts w:ascii="Times New Roman"/>
                <w:sz w:val="21"/>
              </w:rPr>
            </w:pPr>
            <w:r>
              <w:rPr>
                <w:rFonts w:ascii="Times New Roman"/>
                <w:sz w:val="21"/>
              </w:rPr>
              <w:t>58.6</w:t>
            </w:r>
          </w:p>
        </w:tc>
        <w:tc>
          <w:tcPr>
            <w:tcW w:w="719" w:type="dxa"/>
          </w:tcPr>
          <w:p>
            <w:pPr>
              <w:pStyle w:val="18"/>
              <w:spacing w:before="49"/>
              <w:ind w:left="71" w:right="65"/>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8" w:type="dxa"/>
            <w:gridSpan w:val="2"/>
          </w:tcPr>
          <w:p>
            <w:pPr>
              <w:pStyle w:val="18"/>
              <w:spacing w:before="35"/>
              <w:ind w:left="408"/>
              <w:jc w:val="left"/>
              <w:rPr>
                <w:sz w:val="21"/>
              </w:rPr>
            </w:pPr>
            <w:r>
              <w:rPr>
                <w:sz w:val="21"/>
              </w:rPr>
              <w:t>昼间超标值</w:t>
            </w:r>
          </w:p>
        </w:tc>
        <w:tc>
          <w:tcPr>
            <w:tcW w:w="701" w:type="dxa"/>
          </w:tcPr>
          <w:p>
            <w:pPr>
              <w:pStyle w:val="18"/>
              <w:spacing w:before="35"/>
              <w:ind w:left="13" w:right="7"/>
              <w:rPr>
                <w:rFonts w:ascii="Times New Roman" w:eastAsia="Times New Roman"/>
                <w:sz w:val="21"/>
              </w:rPr>
            </w:pPr>
            <w:r>
              <w:rPr>
                <w:rFonts w:ascii="Times New Roman" w:eastAsia="Times New Roman"/>
                <w:sz w:val="21"/>
              </w:rPr>
              <w:t>30</w:t>
            </w:r>
            <w:r>
              <w:rPr>
                <w:sz w:val="21"/>
              </w:rPr>
              <w:t>～</w:t>
            </w:r>
            <w:r>
              <w:rPr>
                <w:rFonts w:ascii="Times New Roman" w:eastAsia="Times New Roman"/>
                <w:sz w:val="21"/>
              </w:rPr>
              <w:t>50</w:t>
            </w:r>
          </w:p>
        </w:tc>
        <w:tc>
          <w:tcPr>
            <w:tcW w:w="666" w:type="dxa"/>
          </w:tcPr>
          <w:p>
            <w:pPr>
              <w:pStyle w:val="18"/>
              <w:spacing w:before="35"/>
              <w:ind w:left="22" w:right="16"/>
              <w:rPr>
                <w:rFonts w:ascii="Times New Roman" w:eastAsia="Times New Roman"/>
                <w:sz w:val="21"/>
              </w:rPr>
            </w:pPr>
            <w:r>
              <w:rPr>
                <w:rFonts w:ascii="Times New Roman" w:eastAsia="Times New Roman"/>
                <w:sz w:val="21"/>
              </w:rPr>
              <w:t>3</w:t>
            </w:r>
            <w:r>
              <w:rPr>
                <w:sz w:val="21"/>
              </w:rPr>
              <w:t>～</w:t>
            </w:r>
            <w:r>
              <w:rPr>
                <w:rFonts w:ascii="Times New Roman" w:eastAsia="Times New Roman"/>
                <w:sz w:val="21"/>
              </w:rPr>
              <w:t>23</w:t>
            </w:r>
          </w:p>
        </w:tc>
        <w:tc>
          <w:tcPr>
            <w:tcW w:w="821" w:type="dxa"/>
          </w:tcPr>
          <w:p>
            <w:pPr>
              <w:pStyle w:val="18"/>
              <w:spacing w:before="35"/>
              <w:ind w:left="73" w:right="66"/>
              <w:rPr>
                <w:rFonts w:ascii="Times New Roman" w:eastAsia="Times New Roman"/>
                <w:sz w:val="21"/>
              </w:rPr>
            </w:pPr>
            <w:r>
              <w:rPr>
                <w:rFonts w:ascii="Times New Roman" w:eastAsia="Times New Roman"/>
                <w:sz w:val="21"/>
              </w:rPr>
              <w:t>0</w:t>
            </w:r>
            <w:r>
              <w:rPr>
                <w:rFonts w:hint="eastAsia" w:ascii="Times New Roman" w:eastAsia="宋体"/>
                <w:sz w:val="21"/>
                <w:lang w:val="en-US" w:eastAsia="zh-CN"/>
              </w:rPr>
              <w:t>~</w:t>
            </w:r>
            <w:r>
              <w:rPr>
                <w:rFonts w:ascii="Times New Roman" w:eastAsia="Times New Roman"/>
                <w:sz w:val="21"/>
              </w:rPr>
              <w:t>16.4</w:t>
            </w:r>
          </w:p>
        </w:tc>
        <w:tc>
          <w:tcPr>
            <w:tcW w:w="804" w:type="dxa"/>
          </w:tcPr>
          <w:p>
            <w:pPr>
              <w:pStyle w:val="18"/>
              <w:spacing w:before="35"/>
              <w:ind w:left="40" w:right="30"/>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12.8</w:t>
            </w:r>
          </w:p>
        </w:tc>
        <w:tc>
          <w:tcPr>
            <w:tcW w:w="628" w:type="dxa"/>
          </w:tcPr>
          <w:p>
            <w:pPr>
              <w:pStyle w:val="18"/>
              <w:spacing w:before="35"/>
              <w:ind w:left="31" w:right="22"/>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10</w:t>
            </w:r>
          </w:p>
        </w:tc>
        <w:tc>
          <w:tcPr>
            <w:tcW w:w="763" w:type="dxa"/>
          </w:tcPr>
          <w:p>
            <w:pPr>
              <w:pStyle w:val="18"/>
              <w:spacing w:before="35"/>
              <w:ind w:left="72" w:right="62"/>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8.2</w:t>
            </w:r>
          </w:p>
        </w:tc>
        <w:tc>
          <w:tcPr>
            <w:tcW w:w="593" w:type="dxa"/>
          </w:tcPr>
          <w:p>
            <w:pPr>
              <w:pStyle w:val="18"/>
              <w:spacing w:before="35"/>
              <w:ind w:right="76"/>
              <w:jc w:val="right"/>
              <w:rPr>
                <w:rFonts w:ascii="Times New Roman" w:eastAsia="Times New Roman"/>
                <w:sz w:val="21"/>
              </w:rPr>
            </w:pPr>
            <w:r>
              <w:rPr>
                <w:rFonts w:ascii="Times New Roman" w:eastAsia="Times New Roman"/>
                <w:w w:val="95"/>
                <w:sz w:val="21"/>
              </w:rPr>
              <w:t>0</w:t>
            </w:r>
            <w:r>
              <w:rPr>
                <w:w w:val="95"/>
                <w:sz w:val="21"/>
              </w:rPr>
              <w:t>～</w:t>
            </w:r>
            <w:r>
              <w:rPr>
                <w:rFonts w:ascii="Times New Roman" w:eastAsia="Times New Roman"/>
                <w:w w:val="95"/>
                <w:sz w:val="21"/>
              </w:rPr>
              <w:t>2</w:t>
            </w:r>
          </w:p>
        </w:tc>
        <w:tc>
          <w:tcPr>
            <w:tcW w:w="709" w:type="dxa"/>
          </w:tcPr>
          <w:p>
            <w:pPr>
              <w:pStyle w:val="18"/>
              <w:spacing w:before="49"/>
              <w:ind w:left="9"/>
              <w:rPr>
                <w:rFonts w:ascii="Times New Roman"/>
                <w:sz w:val="21"/>
              </w:rPr>
            </w:pPr>
            <w:r>
              <w:rPr>
                <w:rFonts w:ascii="Times New Roman"/>
                <w:w w:val="99"/>
                <w:sz w:val="21"/>
              </w:rPr>
              <w:t>0</w:t>
            </w:r>
          </w:p>
        </w:tc>
        <w:tc>
          <w:tcPr>
            <w:tcW w:w="719" w:type="dxa"/>
          </w:tcPr>
          <w:p>
            <w:pPr>
              <w:pStyle w:val="18"/>
              <w:spacing w:before="49"/>
              <w:ind w:left="6"/>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68" w:type="dxa"/>
            <w:gridSpan w:val="2"/>
          </w:tcPr>
          <w:p>
            <w:pPr>
              <w:pStyle w:val="18"/>
              <w:spacing w:before="177"/>
              <w:ind w:left="408"/>
              <w:jc w:val="left"/>
              <w:rPr>
                <w:sz w:val="21"/>
              </w:rPr>
            </w:pPr>
            <w:r>
              <w:rPr>
                <w:sz w:val="21"/>
              </w:rPr>
              <w:t>夜间超标值</w:t>
            </w:r>
          </w:p>
        </w:tc>
        <w:tc>
          <w:tcPr>
            <w:tcW w:w="701" w:type="dxa"/>
          </w:tcPr>
          <w:p>
            <w:pPr>
              <w:pStyle w:val="18"/>
              <w:spacing w:before="177"/>
              <w:ind w:left="13" w:right="7"/>
              <w:rPr>
                <w:rFonts w:ascii="Times New Roman" w:eastAsia="Times New Roman"/>
                <w:sz w:val="21"/>
              </w:rPr>
            </w:pPr>
            <w:r>
              <w:rPr>
                <w:rFonts w:ascii="Times New Roman" w:eastAsia="Times New Roman"/>
                <w:sz w:val="21"/>
              </w:rPr>
              <w:t>45</w:t>
            </w:r>
            <w:r>
              <w:rPr>
                <w:sz w:val="21"/>
              </w:rPr>
              <w:t>～</w:t>
            </w:r>
            <w:r>
              <w:rPr>
                <w:rFonts w:ascii="Times New Roman" w:eastAsia="Times New Roman"/>
                <w:sz w:val="21"/>
              </w:rPr>
              <w:t>65</w:t>
            </w:r>
          </w:p>
        </w:tc>
        <w:tc>
          <w:tcPr>
            <w:tcW w:w="666" w:type="dxa"/>
          </w:tcPr>
          <w:p>
            <w:pPr>
              <w:pStyle w:val="18"/>
              <w:spacing w:before="21"/>
              <w:ind w:left="95"/>
              <w:jc w:val="left"/>
              <w:rPr>
                <w:rFonts w:ascii="Times New Roman"/>
                <w:sz w:val="21"/>
              </w:rPr>
            </w:pPr>
            <w:r>
              <w:rPr>
                <w:rFonts w:ascii="Times New Roman" w:eastAsia="Times New Roman"/>
                <w:sz w:val="21"/>
              </w:rPr>
              <w:t>18</w:t>
            </w:r>
            <w:r>
              <w:rPr>
                <w:rFonts w:hint="eastAsia" w:ascii="Times New Roman" w:eastAsia="宋体"/>
                <w:sz w:val="21"/>
                <w:lang w:val="en-US" w:eastAsia="zh-CN"/>
              </w:rPr>
              <w:t>~</w:t>
            </w:r>
            <w:r>
              <w:rPr>
                <w:rFonts w:ascii="Times New Roman"/>
                <w:sz w:val="21"/>
              </w:rPr>
              <w:t>38</w:t>
            </w:r>
          </w:p>
        </w:tc>
        <w:tc>
          <w:tcPr>
            <w:tcW w:w="821" w:type="dxa"/>
          </w:tcPr>
          <w:p>
            <w:pPr>
              <w:pStyle w:val="18"/>
              <w:spacing w:before="21"/>
              <w:ind w:left="151"/>
              <w:jc w:val="left"/>
              <w:rPr>
                <w:sz w:val="21"/>
              </w:rPr>
            </w:pPr>
            <w:r>
              <w:rPr>
                <w:rFonts w:ascii="Times New Roman" w:eastAsia="Times New Roman"/>
                <w:sz w:val="21"/>
              </w:rPr>
              <w:t>11.4</w:t>
            </w:r>
            <w:r>
              <w:rPr>
                <w:sz w:val="21"/>
              </w:rPr>
              <w:t>～</w:t>
            </w:r>
          </w:p>
          <w:p>
            <w:pPr>
              <w:pStyle w:val="18"/>
              <w:spacing w:before="57"/>
              <w:ind w:left="252"/>
              <w:jc w:val="left"/>
              <w:rPr>
                <w:rFonts w:ascii="Times New Roman"/>
                <w:sz w:val="21"/>
              </w:rPr>
            </w:pPr>
            <w:r>
              <w:rPr>
                <w:rFonts w:ascii="Times New Roman"/>
                <w:sz w:val="21"/>
              </w:rPr>
              <w:t>31.4</w:t>
            </w:r>
          </w:p>
        </w:tc>
        <w:tc>
          <w:tcPr>
            <w:tcW w:w="804" w:type="dxa"/>
          </w:tcPr>
          <w:p>
            <w:pPr>
              <w:pStyle w:val="18"/>
              <w:spacing w:before="21"/>
              <w:ind w:left="166"/>
              <w:jc w:val="left"/>
              <w:rPr>
                <w:sz w:val="21"/>
              </w:rPr>
            </w:pPr>
            <w:r>
              <w:rPr>
                <w:rFonts w:ascii="Times New Roman" w:eastAsia="Times New Roman"/>
                <w:sz w:val="21"/>
              </w:rPr>
              <w:t>7.8</w:t>
            </w:r>
            <w:r>
              <w:rPr>
                <w:sz w:val="21"/>
              </w:rPr>
              <w:t>～</w:t>
            </w:r>
          </w:p>
          <w:p>
            <w:pPr>
              <w:pStyle w:val="18"/>
              <w:spacing w:before="57"/>
              <w:ind w:left="216"/>
              <w:jc w:val="left"/>
              <w:rPr>
                <w:rFonts w:ascii="Times New Roman"/>
                <w:sz w:val="21"/>
              </w:rPr>
            </w:pPr>
            <w:r>
              <w:rPr>
                <w:rFonts w:ascii="Times New Roman"/>
                <w:sz w:val="21"/>
              </w:rPr>
              <w:t>27.8</w:t>
            </w:r>
          </w:p>
        </w:tc>
        <w:tc>
          <w:tcPr>
            <w:tcW w:w="628" w:type="dxa"/>
          </w:tcPr>
          <w:p>
            <w:pPr>
              <w:pStyle w:val="18"/>
              <w:spacing w:before="177"/>
              <w:ind w:left="31" w:right="22"/>
              <w:rPr>
                <w:rFonts w:ascii="Times New Roman" w:eastAsia="Times New Roman"/>
                <w:sz w:val="21"/>
              </w:rPr>
            </w:pPr>
            <w:r>
              <w:rPr>
                <w:rFonts w:ascii="Times New Roman" w:eastAsia="Times New Roman"/>
                <w:sz w:val="21"/>
              </w:rPr>
              <w:t>5</w:t>
            </w:r>
            <w:r>
              <w:rPr>
                <w:sz w:val="21"/>
              </w:rPr>
              <w:t>～</w:t>
            </w:r>
            <w:r>
              <w:rPr>
                <w:rFonts w:ascii="Times New Roman" w:eastAsia="Times New Roman"/>
                <w:sz w:val="21"/>
              </w:rPr>
              <w:t>25</w:t>
            </w:r>
          </w:p>
        </w:tc>
        <w:tc>
          <w:tcPr>
            <w:tcW w:w="763" w:type="dxa"/>
          </w:tcPr>
          <w:p>
            <w:pPr>
              <w:pStyle w:val="18"/>
              <w:spacing w:before="21"/>
              <w:ind w:left="145"/>
              <w:jc w:val="left"/>
              <w:rPr>
                <w:rFonts w:ascii="Times New Roman"/>
                <w:sz w:val="21"/>
              </w:rPr>
            </w:pPr>
            <w:r>
              <w:rPr>
                <w:rFonts w:ascii="Times New Roman" w:eastAsia="Times New Roman"/>
                <w:sz w:val="21"/>
              </w:rPr>
              <w:t>3.2</w:t>
            </w:r>
            <w:r>
              <w:rPr>
                <w:rFonts w:hint="eastAsia" w:ascii="Times New Roman" w:eastAsia="宋体"/>
                <w:sz w:val="21"/>
                <w:lang w:val="en-US" w:eastAsia="zh-CN"/>
              </w:rPr>
              <w:t>~</w:t>
            </w:r>
            <w:r>
              <w:rPr>
                <w:rFonts w:ascii="Times New Roman"/>
                <w:sz w:val="21"/>
              </w:rPr>
              <w:t>2</w:t>
            </w:r>
            <w:r>
              <w:rPr>
                <w:rFonts w:hint="eastAsia" w:ascii="Times New Roman"/>
                <w:sz w:val="21"/>
                <w:lang w:val="en-US" w:eastAsia="zh-CN"/>
              </w:rPr>
              <w:t>3</w:t>
            </w:r>
            <w:r>
              <w:rPr>
                <w:rFonts w:ascii="Times New Roman"/>
                <w:sz w:val="21"/>
              </w:rPr>
              <w:t>.2</w:t>
            </w:r>
          </w:p>
        </w:tc>
        <w:tc>
          <w:tcPr>
            <w:tcW w:w="593" w:type="dxa"/>
          </w:tcPr>
          <w:p>
            <w:pPr>
              <w:pStyle w:val="18"/>
              <w:spacing w:before="177"/>
              <w:ind w:right="23"/>
              <w:jc w:val="right"/>
              <w:rPr>
                <w:rFonts w:ascii="Times New Roman" w:eastAsia="Times New Roman"/>
                <w:sz w:val="21"/>
              </w:rPr>
            </w:pPr>
            <w:r>
              <w:rPr>
                <w:rFonts w:ascii="Times New Roman" w:eastAsia="Times New Roman"/>
                <w:w w:val="95"/>
                <w:sz w:val="21"/>
              </w:rPr>
              <w:t>0</w:t>
            </w:r>
            <w:r>
              <w:rPr>
                <w:w w:val="95"/>
                <w:sz w:val="21"/>
              </w:rPr>
              <w:t>～</w:t>
            </w:r>
            <w:r>
              <w:rPr>
                <w:rFonts w:ascii="Times New Roman" w:eastAsia="Times New Roman"/>
                <w:w w:val="95"/>
                <w:sz w:val="21"/>
              </w:rPr>
              <w:t>17</w:t>
            </w:r>
          </w:p>
        </w:tc>
        <w:tc>
          <w:tcPr>
            <w:tcW w:w="709" w:type="dxa"/>
          </w:tcPr>
          <w:p>
            <w:pPr>
              <w:pStyle w:val="18"/>
              <w:spacing w:before="177"/>
              <w:ind w:left="11"/>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13.6</w:t>
            </w:r>
          </w:p>
        </w:tc>
        <w:tc>
          <w:tcPr>
            <w:tcW w:w="719" w:type="dxa"/>
          </w:tcPr>
          <w:p>
            <w:pPr>
              <w:pStyle w:val="18"/>
              <w:spacing w:before="177"/>
              <w:ind w:left="78" w:right="65"/>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11</w:t>
            </w:r>
          </w:p>
        </w:tc>
      </w:tr>
    </w:tbl>
    <w:p>
      <w:pPr>
        <w:spacing w:after="0"/>
        <w:rPr>
          <w:rFonts w:ascii="Times New Roman" w:eastAsia="Times New Roman"/>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161"/>
        <w:ind w:left="960" w:right="0" w:firstLine="0"/>
        <w:jc w:val="left"/>
        <w:rPr>
          <w:b/>
          <w:sz w:val="21"/>
        </w:rPr>
      </w:pPr>
      <w:r>
        <w:rPr>
          <w:b/>
          <w:sz w:val="21"/>
        </w:rPr>
        <w:t>注：按《建筑施工场界环境噪声排放标准》（</w:t>
      </w:r>
      <w:r>
        <w:rPr>
          <w:rFonts w:ascii="Times New Roman" w:eastAsia="Times New Roman"/>
          <w:b/>
          <w:sz w:val="21"/>
        </w:rPr>
        <w:t>GB12523-2011</w:t>
      </w:r>
      <w:r>
        <w:rPr>
          <w:b/>
          <w:sz w:val="21"/>
        </w:rPr>
        <w:t>）进行评价。</w:t>
      </w:r>
    </w:p>
    <w:p>
      <w:pPr>
        <w:pStyle w:val="7"/>
        <w:spacing w:before="181" w:line="364" w:lineRule="auto"/>
        <w:ind w:right="577" w:firstLine="480"/>
        <w:jc w:val="both"/>
        <w:rPr>
          <w:color w:val="0000FF"/>
        </w:rPr>
      </w:pPr>
      <w:r>
        <w:rPr>
          <w:color w:val="0000FF"/>
        </w:rPr>
        <w:t>按照《建筑施工场界环境噪声排放标准》（</w:t>
      </w:r>
      <w:r>
        <w:rPr>
          <w:rFonts w:ascii="Times New Roman" w:eastAsia="Times New Roman"/>
          <w:color w:val="0000FF"/>
        </w:rPr>
        <w:t>GB12523-2011</w:t>
      </w:r>
      <w:r>
        <w:rPr>
          <w:color w:val="0000FF"/>
        </w:rPr>
        <w:t>）的规定，昼间</w:t>
      </w:r>
      <w:r>
        <w:rPr>
          <w:color w:val="0000FF"/>
          <w:spacing w:val="-6"/>
        </w:rPr>
        <w:t>的厂界噪声限值为</w:t>
      </w:r>
      <w:r>
        <w:rPr>
          <w:rFonts w:ascii="Times New Roman" w:eastAsia="Times New Roman"/>
          <w:color w:val="0000FF"/>
        </w:rPr>
        <w:t>70dB</w:t>
      </w:r>
      <w:r>
        <w:rPr>
          <w:color w:val="0000FF"/>
          <w:spacing w:val="-5"/>
        </w:rPr>
        <w:t>，夜间厂界噪声限值为</w:t>
      </w:r>
      <w:r>
        <w:rPr>
          <w:rFonts w:ascii="Times New Roman" w:eastAsia="Times New Roman"/>
          <w:color w:val="0000FF"/>
        </w:rPr>
        <w:t>55dB</w:t>
      </w:r>
      <w:r>
        <w:rPr>
          <w:color w:val="0000FF"/>
          <w:spacing w:val="-18"/>
        </w:rPr>
        <w:t>。表</w:t>
      </w:r>
      <w:r>
        <w:rPr>
          <w:rFonts w:ascii="Times New Roman" w:eastAsia="Times New Roman"/>
          <w:color w:val="0000FF"/>
        </w:rPr>
        <w:t>5.1-1</w:t>
      </w:r>
      <w:r>
        <w:rPr>
          <w:color w:val="0000FF"/>
        </w:rPr>
        <w:t>表明：项目施工</w:t>
      </w:r>
      <w:r>
        <w:rPr>
          <w:color w:val="0000FF"/>
          <w:spacing w:val="-4"/>
        </w:rPr>
        <w:t>方阶段厂界昼间施工噪声于声源外约</w:t>
      </w:r>
      <w:r>
        <w:rPr>
          <w:rFonts w:ascii="Times New Roman" w:eastAsia="Times New Roman"/>
          <w:color w:val="0000FF"/>
        </w:rPr>
        <w:t>100m</w:t>
      </w:r>
      <w:r>
        <w:rPr>
          <w:color w:val="0000FF"/>
          <w:spacing w:val="-6"/>
        </w:rPr>
        <w:t>处达标，估算夜间于</w:t>
      </w:r>
      <w:r>
        <w:rPr>
          <w:rFonts w:ascii="Times New Roman" w:eastAsia="Times New Roman"/>
          <w:color w:val="0000FF"/>
        </w:rPr>
        <w:t>355m</w:t>
      </w:r>
      <w:r>
        <w:rPr>
          <w:color w:val="0000FF"/>
          <w:spacing w:val="-4"/>
        </w:rPr>
        <w:t>处达标；基础施工阶段厂界昼间施工噪声于声源外</w:t>
      </w:r>
      <w:r>
        <w:rPr>
          <w:rFonts w:ascii="Times New Roman" w:eastAsia="Times New Roman"/>
          <w:color w:val="0000FF"/>
        </w:rPr>
        <w:t>125m</w:t>
      </w:r>
      <w:r>
        <w:rPr>
          <w:color w:val="0000FF"/>
          <w:spacing w:val="-8"/>
        </w:rPr>
        <w:t>处达标，夜间噪声达标距离估算</w:t>
      </w:r>
      <w:r>
        <w:rPr>
          <w:color w:val="0000FF"/>
          <w:spacing w:val="-21"/>
        </w:rPr>
        <w:t>在</w:t>
      </w:r>
      <w:r>
        <w:rPr>
          <w:rFonts w:ascii="Times New Roman" w:eastAsia="Times New Roman"/>
          <w:color w:val="0000FF"/>
        </w:rPr>
        <w:t>210m</w:t>
      </w:r>
      <w:r>
        <w:rPr>
          <w:color w:val="0000FF"/>
          <w:spacing w:val="-3"/>
        </w:rPr>
        <w:t>；主体结构阶段昼间厂界施工噪声于声源外</w:t>
      </w:r>
      <w:r>
        <w:rPr>
          <w:rFonts w:ascii="Times New Roman" w:eastAsia="Times New Roman"/>
          <w:color w:val="0000FF"/>
        </w:rPr>
        <w:t>100m</w:t>
      </w:r>
      <w:r>
        <w:rPr>
          <w:color w:val="0000FF"/>
        </w:rPr>
        <w:t>处达标，估算夜间于</w:t>
      </w:r>
      <w:r>
        <w:rPr>
          <w:rFonts w:ascii="Times New Roman" w:eastAsia="Times New Roman"/>
          <w:color w:val="0000FF"/>
        </w:rPr>
        <w:t>380m</w:t>
      </w:r>
      <w:r>
        <w:rPr>
          <w:color w:val="0000FF"/>
          <w:spacing w:val="-3"/>
        </w:rPr>
        <w:t>处达标；装修阶段施工噪声昼间于声源外</w:t>
      </w:r>
      <w:r>
        <w:rPr>
          <w:rFonts w:ascii="Times New Roman" w:eastAsia="Times New Roman"/>
          <w:color w:val="0000FF"/>
        </w:rPr>
        <w:t>40m</w:t>
      </w:r>
      <w:r>
        <w:rPr>
          <w:color w:val="0000FF"/>
          <w:spacing w:val="-8"/>
        </w:rPr>
        <w:t>处达标，夜间于</w:t>
      </w:r>
      <w:r>
        <w:rPr>
          <w:rFonts w:ascii="Times New Roman" w:eastAsia="Times New Roman"/>
          <w:color w:val="0000FF"/>
        </w:rPr>
        <w:t>100m</w:t>
      </w:r>
      <w:r>
        <w:rPr>
          <w:color w:val="0000FF"/>
          <w:spacing w:val="-8"/>
        </w:rPr>
        <w:t>处达</w:t>
      </w:r>
      <w:r>
        <w:rPr>
          <w:color w:val="0000FF"/>
          <w:spacing w:val="-10"/>
        </w:rPr>
        <w:t>标。项目施工机械在靠近厂界边施工时，昼夜施工厂界噪声超过《建筑施工厂界</w:t>
      </w:r>
      <w:r>
        <w:rPr>
          <w:color w:val="0000FF"/>
        </w:rPr>
        <w:t>环境噪声排放标准》（</w:t>
      </w:r>
      <w:r>
        <w:rPr>
          <w:rFonts w:ascii="Times New Roman" w:eastAsia="Times New Roman"/>
          <w:color w:val="0000FF"/>
        </w:rPr>
        <w:t>GB12523-2011</w:t>
      </w:r>
      <w:r>
        <w:rPr>
          <w:color w:val="0000FF"/>
        </w:rPr>
        <w:t>）中限值的要求，本项目评价范围内声环</w:t>
      </w:r>
      <w:r>
        <w:rPr>
          <w:color w:val="0000FF"/>
          <w:spacing w:val="-4"/>
        </w:rPr>
        <w:t>境敏感目标是距离厂界</w:t>
      </w:r>
      <w:r>
        <w:rPr>
          <w:rFonts w:hint="eastAsia"/>
          <w:color w:val="0000FF"/>
          <w:spacing w:val="-4"/>
          <w:lang w:val="en-US" w:eastAsia="zh-CN"/>
        </w:rPr>
        <w:t>南</w:t>
      </w:r>
      <w:r>
        <w:rPr>
          <w:color w:val="0000FF"/>
          <w:spacing w:val="-4"/>
        </w:rPr>
        <w:t>侧约</w:t>
      </w:r>
      <w:r>
        <w:rPr>
          <w:rFonts w:hint="eastAsia" w:ascii="Times New Roman"/>
          <w:color w:val="0000FF"/>
          <w:lang w:val="en-US" w:eastAsia="zh-CN"/>
        </w:rPr>
        <w:t>2</w:t>
      </w:r>
      <w:r>
        <w:rPr>
          <w:rFonts w:ascii="Times New Roman" w:eastAsia="Times New Roman"/>
          <w:color w:val="0000FF"/>
        </w:rPr>
        <w:t>km</w:t>
      </w:r>
      <w:r>
        <w:rPr>
          <w:color w:val="0000FF"/>
          <w:spacing w:val="-12"/>
        </w:rPr>
        <w:t>处村庄</w:t>
      </w:r>
      <w:r>
        <w:rPr>
          <w:color w:val="0000FF"/>
        </w:rPr>
        <w:t>（</w:t>
      </w:r>
      <w:r>
        <w:rPr>
          <w:rFonts w:hint="eastAsia"/>
          <w:color w:val="0000FF"/>
          <w:lang w:val="en-US" w:eastAsia="zh-CN"/>
        </w:rPr>
        <w:t>托万巴格托格克拉村</w:t>
      </w:r>
      <w:r>
        <w:rPr>
          <w:color w:val="0000FF"/>
          <w:spacing w:val="-34"/>
        </w:rPr>
        <w:t>），</w:t>
      </w:r>
      <w:r>
        <w:rPr>
          <w:color w:val="0000FF"/>
          <w:spacing w:val="-4"/>
        </w:rPr>
        <w:t>施工期噪声</w:t>
      </w:r>
      <w:r>
        <w:rPr>
          <w:color w:val="0000FF"/>
        </w:rPr>
        <w:t>经衰减后对其影响甚微。</w:t>
      </w:r>
    </w:p>
    <w:p>
      <w:pPr>
        <w:pStyle w:val="7"/>
        <w:spacing w:before="6"/>
        <w:ind w:left="1020"/>
      </w:pPr>
      <w:r>
        <w:t>根据项目施工期的施工特点，提出如下噪声防治措施：</w:t>
      </w:r>
    </w:p>
    <w:p>
      <w:pPr>
        <w:pStyle w:val="17"/>
        <w:numPr>
          <w:ilvl w:val="0"/>
          <w:numId w:val="45"/>
        </w:numPr>
        <w:tabs>
          <w:tab w:val="left" w:pos="1621"/>
        </w:tabs>
        <w:spacing w:before="160" w:after="0" w:line="364" w:lineRule="auto"/>
        <w:ind w:left="540" w:right="577" w:firstLine="480"/>
        <w:jc w:val="left"/>
        <w:rPr>
          <w:sz w:val="24"/>
        </w:rPr>
      </w:pPr>
      <w:r>
        <w:rPr>
          <w:spacing w:val="-1"/>
          <w:sz w:val="24"/>
        </w:rPr>
        <w:t>施工单位施工过程中尽量避免在靠近厂界处的同一地点安排大量动力</w:t>
      </w:r>
      <w:r>
        <w:rPr>
          <w:sz w:val="24"/>
        </w:rPr>
        <w:t>机械设备施工，以减缓局部叠加声级过高造成的厂界噪声超标的风险。</w:t>
      </w:r>
    </w:p>
    <w:p>
      <w:pPr>
        <w:pStyle w:val="17"/>
        <w:numPr>
          <w:ilvl w:val="0"/>
          <w:numId w:val="45"/>
        </w:numPr>
        <w:tabs>
          <w:tab w:val="left" w:pos="1621"/>
        </w:tabs>
        <w:spacing w:before="1" w:after="0" w:line="364" w:lineRule="auto"/>
        <w:ind w:left="540" w:right="577" w:firstLine="480"/>
        <w:jc w:val="both"/>
        <w:rPr>
          <w:sz w:val="24"/>
        </w:rPr>
      </w:pPr>
      <w:r>
        <w:rPr>
          <w:spacing w:val="-1"/>
          <w:sz w:val="24"/>
        </w:rPr>
        <w:t>设备选型上，在不影响施工质量的前提下，在土石方、装修等施工过</w:t>
      </w:r>
      <w:r>
        <w:rPr>
          <w:spacing w:val="-8"/>
          <w:sz w:val="24"/>
        </w:rPr>
        <w:t>程应采用低噪声、低振动的设备，对施工设备进行定期维修保养，避免因设备性</w:t>
      </w:r>
      <w:r>
        <w:rPr>
          <w:sz w:val="24"/>
        </w:rPr>
        <w:t>能减退而使噪声增强的现象发生。</w:t>
      </w:r>
    </w:p>
    <w:p>
      <w:pPr>
        <w:pStyle w:val="5"/>
        <w:numPr>
          <w:ilvl w:val="2"/>
          <w:numId w:val="43"/>
        </w:numPr>
        <w:tabs>
          <w:tab w:val="left" w:pos="1241"/>
        </w:tabs>
        <w:spacing w:before="116" w:after="0" w:line="240" w:lineRule="auto"/>
        <w:ind w:left="1240" w:right="0" w:hanging="701"/>
        <w:jc w:val="left"/>
      </w:pPr>
      <w:bookmarkStart w:id="277" w:name="5.1.5 施工期固体废物影响分析"/>
      <w:bookmarkEnd w:id="277"/>
      <w:bookmarkStart w:id="278" w:name="5.1.5 施工期固体废物影响分析"/>
      <w:bookmarkEnd w:id="278"/>
      <w:r>
        <w:t>施工期固体废物影响分析</w:t>
      </w:r>
    </w:p>
    <w:p>
      <w:pPr>
        <w:pStyle w:val="7"/>
        <w:spacing w:before="7"/>
        <w:ind w:left="0"/>
        <w:rPr>
          <w:b/>
          <w:sz w:val="21"/>
        </w:rPr>
      </w:pPr>
    </w:p>
    <w:p>
      <w:pPr>
        <w:pStyle w:val="7"/>
        <w:spacing w:line="364" w:lineRule="auto"/>
        <w:ind w:right="457" w:firstLine="480"/>
      </w:pPr>
      <w:r>
        <w:rPr>
          <w:spacing w:val="-16"/>
        </w:rPr>
        <w:t>由工程分析可知，本项目施工期产生的土石方全部回填和筑路，无弃土产生，</w:t>
      </w:r>
      <w:r>
        <w:rPr>
          <w:spacing w:val="-3"/>
        </w:rPr>
        <w:t>施工期间固体废物主要源于施工人员生活垃圾和施工场地产生的建筑垃圾</w:t>
      </w:r>
      <w:r>
        <w:t>（废弃砖块、废钢筋等）。</w:t>
      </w:r>
    </w:p>
    <w:p>
      <w:pPr>
        <w:pStyle w:val="17"/>
        <w:numPr>
          <w:ilvl w:val="0"/>
          <w:numId w:val="46"/>
        </w:numPr>
        <w:tabs>
          <w:tab w:val="left" w:pos="1621"/>
        </w:tabs>
        <w:spacing w:before="2" w:after="0" w:line="240" w:lineRule="auto"/>
        <w:ind w:left="1621" w:right="0" w:hanging="601"/>
        <w:jc w:val="left"/>
        <w:rPr>
          <w:sz w:val="24"/>
        </w:rPr>
      </w:pPr>
      <w:r>
        <w:rPr>
          <w:sz w:val="24"/>
        </w:rPr>
        <w:t>建筑作业固体废物</w:t>
      </w:r>
    </w:p>
    <w:p>
      <w:pPr>
        <w:pStyle w:val="7"/>
        <w:spacing w:before="160" w:line="364" w:lineRule="auto"/>
        <w:ind w:right="577" w:firstLine="480"/>
        <w:jc w:val="both"/>
      </w:pPr>
      <w:r>
        <w:rPr>
          <w:spacing w:val="-8"/>
        </w:rPr>
        <w:t>建筑施工中会产生碎砖块、砂浆、桩头、水泥、钢筋、涂料和包装材料等建</w:t>
      </w:r>
      <w:r>
        <w:rPr>
          <w:spacing w:val="-10"/>
        </w:rPr>
        <w:t>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w:t>
      </w:r>
      <w:r>
        <w:t>的生活垃圾和建筑垃圾不得随意倾倒。</w:t>
      </w:r>
    </w:p>
    <w:p>
      <w:pPr>
        <w:pStyle w:val="17"/>
        <w:numPr>
          <w:ilvl w:val="0"/>
          <w:numId w:val="46"/>
        </w:numPr>
        <w:tabs>
          <w:tab w:val="left" w:pos="1621"/>
        </w:tabs>
        <w:spacing w:before="3" w:after="0" w:line="240" w:lineRule="auto"/>
        <w:ind w:left="1621" w:right="0" w:hanging="601"/>
        <w:jc w:val="left"/>
        <w:rPr>
          <w:sz w:val="24"/>
        </w:rPr>
      </w:pPr>
      <w:r>
        <w:rPr>
          <w:sz w:val="24"/>
        </w:rPr>
        <w:t>生活垃圾</w:t>
      </w:r>
    </w:p>
    <w:p>
      <w:pPr>
        <w:pStyle w:val="7"/>
        <w:spacing w:before="161"/>
        <w:ind w:left="1020"/>
      </w:pPr>
      <w:r>
        <w:t>本项目施工期施工人员约</w:t>
      </w:r>
      <w:r>
        <w:rPr>
          <w:rFonts w:ascii="Times New Roman" w:eastAsia="Times New Roman"/>
        </w:rPr>
        <w:t>120</w:t>
      </w:r>
      <w:r>
        <w:t>人，均为当地村民，均不在项目区内食宿，施</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工场地内不设置施工营地，无生活垃圾产生。</w:t>
      </w:r>
    </w:p>
    <w:p>
      <w:pPr>
        <w:pStyle w:val="7"/>
        <w:spacing w:before="160" w:line="364" w:lineRule="auto"/>
        <w:ind w:right="577" w:firstLine="480"/>
      </w:pPr>
      <w:r>
        <w:rPr>
          <w:spacing w:val="-6"/>
        </w:rPr>
        <w:t>施工期项目的固体废弃物排放是暂时的，随着施工的结束而减小，通过积极</w:t>
      </w:r>
      <w:r>
        <w:t>有效的施工管理，施工期固体废弃物对环境造成的影响不大。</w:t>
      </w:r>
    </w:p>
    <w:p>
      <w:pPr>
        <w:pStyle w:val="7"/>
        <w:spacing w:before="1" w:line="364" w:lineRule="auto"/>
        <w:ind w:right="577" w:firstLine="480"/>
      </w:pPr>
      <w:r>
        <w:rPr>
          <w:spacing w:val="-6"/>
        </w:rPr>
        <w:t>建筑垃圾的影响主要体现在其堆放过程中，在风力作用下，引起垃圾及粉尘</w:t>
      </w:r>
      <w:r>
        <w:t>随风飘散，对空气造成污染影响。</w:t>
      </w:r>
    </w:p>
    <w:p>
      <w:pPr>
        <w:pStyle w:val="7"/>
        <w:spacing w:before="2"/>
        <w:ind w:left="1020"/>
      </w:pPr>
      <w:r>
        <w:t>针对项目施工期固体废弃物种类及特点，提出如下防治措施：</w:t>
      </w:r>
    </w:p>
    <w:p>
      <w:pPr>
        <w:pStyle w:val="17"/>
        <w:numPr>
          <w:ilvl w:val="0"/>
          <w:numId w:val="47"/>
        </w:numPr>
        <w:tabs>
          <w:tab w:val="left" w:pos="1621"/>
        </w:tabs>
        <w:spacing w:before="160" w:after="0" w:line="364" w:lineRule="auto"/>
        <w:ind w:left="540" w:right="457" w:firstLine="480"/>
        <w:jc w:val="left"/>
        <w:rPr>
          <w:sz w:val="24"/>
        </w:rPr>
      </w:pPr>
      <w:r>
        <w:rPr>
          <w:sz w:val="24"/>
        </w:rPr>
        <w:t>临时土石方于施工区就近堆放，采取覆盖围护措施，防止大风和大雨</w:t>
      </w:r>
      <w:r>
        <w:rPr>
          <w:spacing w:val="-15"/>
          <w:sz w:val="24"/>
        </w:rPr>
        <w:t>时造成的水土流失。堆放前设置挡土墙，堆放后表土覆盖防尘布，抑制扬尘产生。</w:t>
      </w:r>
    </w:p>
    <w:p>
      <w:pPr>
        <w:pStyle w:val="17"/>
        <w:numPr>
          <w:ilvl w:val="0"/>
          <w:numId w:val="47"/>
        </w:numPr>
        <w:tabs>
          <w:tab w:val="left" w:pos="1621"/>
        </w:tabs>
        <w:spacing w:before="1" w:after="0" w:line="364" w:lineRule="auto"/>
        <w:ind w:left="540" w:right="457" w:firstLine="480"/>
        <w:jc w:val="left"/>
        <w:rPr>
          <w:sz w:val="24"/>
        </w:rPr>
      </w:pPr>
      <w:r>
        <w:rPr>
          <w:spacing w:val="-6"/>
          <w:sz w:val="24"/>
        </w:rPr>
        <w:t>对施工中产生的不能再利用的建筑垃圾，应进行分类收集、分类管理，能够回收利用的尽量回收再利用，以节约资源；对于不能回收利用的要进行收集</w:t>
      </w:r>
      <w:r>
        <w:rPr>
          <w:spacing w:val="-11"/>
          <w:sz w:val="24"/>
        </w:rPr>
        <w:t>并于施工区内固定地点集中暂存，施工完成后及时处理，拉运至当地市政部门指定的建筑垃圾填埋场填埋处置或委托处置建筑垃圾的单位及时外处置。</w:t>
      </w:r>
    </w:p>
    <w:p>
      <w:pPr>
        <w:pStyle w:val="17"/>
        <w:numPr>
          <w:ilvl w:val="0"/>
          <w:numId w:val="47"/>
        </w:numPr>
        <w:tabs>
          <w:tab w:val="left" w:pos="1621"/>
        </w:tabs>
        <w:spacing w:before="3" w:after="0" w:line="364" w:lineRule="auto"/>
        <w:ind w:left="540" w:right="485" w:firstLine="480"/>
        <w:jc w:val="left"/>
        <w:rPr>
          <w:sz w:val="24"/>
        </w:rPr>
      </w:pPr>
      <w:r>
        <w:rPr>
          <w:sz w:val="24"/>
        </w:rPr>
        <w:t>车辆运输建筑垃圾时，须采取覆盖措施，不得沿途漏撒；施工单位应</w:t>
      </w:r>
      <w:r>
        <w:rPr>
          <w:spacing w:val="-12"/>
          <w:sz w:val="24"/>
        </w:rPr>
        <w:t>在施工前</w:t>
      </w:r>
      <w:r>
        <w:rPr>
          <w:rFonts w:ascii="Times New Roman" w:eastAsia="Times New Roman"/>
          <w:sz w:val="24"/>
        </w:rPr>
        <w:t>5</w:t>
      </w:r>
      <w:r>
        <w:rPr>
          <w:spacing w:val="-1"/>
          <w:sz w:val="24"/>
        </w:rPr>
        <w:t>日向当地建设局申报工程垃圾处置计划，如实填报建筑垃圾的种类、</w:t>
      </w:r>
      <w:r>
        <w:rPr>
          <w:sz w:val="24"/>
        </w:rPr>
        <w:t>数量、运输路线及处置方案等事项，并与有关管理部门签订环境卫生责任书。</w:t>
      </w:r>
    </w:p>
    <w:p>
      <w:pPr>
        <w:pStyle w:val="17"/>
        <w:numPr>
          <w:ilvl w:val="0"/>
          <w:numId w:val="47"/>
        </w:numPr>
        <w:tabs>
          <w:tab w:val="left" w:pos="1621"/>
        </w:tabs>
        <w:spacing w:before="2" w:after="0" w:line="364" w:lineRule="auto"/>
        <w:ind w:left="540" w:right="577" w:firstLine="480"/>
        <w:jc w:val="both"/>
        <w:rPr>
          <w:sz w:val="24"/>
        </w:rPr>
      </w:pPr>
      <w:r>
        <w:rPr>
          <w:spacing w:val="-1"/>
          <w:sz w:val="24"/>
        </w:rPr>
        <w:t>施工部门应当持当地建设局核发的处置证明，向运输单位办理建筑垃</w:t>
      </w:r>
      <w:r>
        <w:rPr>
          <w:spacing w:val="-10"/>
          <w:sz w:val="24"/>
        </w:rPr>
        <w:t>圾托运手续。运输车辆在运输建筑垃圾时应携带处置证明，接收渣土管理部门的</w:t>
      </w:r>
      <w:r>
        <w:rPr>
          <w:sz w:val="24"/>
        </w:rPr>
        <w:t>检查，运输路线应按渣土管理部门会同公安、交通管理部门规定的线路运输。</w:t>
      </w:r>
    </w:p>
    <w:p>
      <w:pPr>
        <w:pStyle w:val="17"/>
        <w:numPr>
          <w:ilvl w:val="0"/>
          <w:numId w:val="47"/>
        </w:numPr>
        <w:tabs>
          <w:tab w:val="left" w:pos="1621"/>
        </w:tabs>
        <w:spacing w:before="1" w:after="0" w:line="364" w:lineRule="auto"/>
        <w:ind w:left="540" w:right="577" w:firstLine="480"/>
        <w:jc w:val="both"/>
        <w:rPr>
          <w:sz w:val="24"/>
        </w:rPr>
      </w:pPr>
      <w:r>
        <w:rPr>
          <w:spacing w:val="-9"/>
          <w:sz w:val="24"/>
        </w:rPr>
        <w:t>工程完工后</w:t>
      </w:r>
      <w:r>
        <w:rPr>
          <w:rFonts w:ascii="Times New Roman" w:eastAsia="Times New Roman"/>
          <w:sz w:val="24"/>
        </w:rPr>
        <w:t>1</w:t>
      </w:r>
      <w:r>
        <w:rPr>
          <w:spacing w:val="-1"/>
          <w:sz w:val="24"/>
        </w:rPr>
        <w:t>个月内，应当将施工场地的剩余建筑垃圾处置干净，不</w:t>
      </w:r>
      <w:r>
        <w:rPr>
          <w:sz w:val="24"/>
        </w:rPr>
        <w:t>得占用道路或其他类型土地来堆放建筑垃圾。</w:t>
      </w:r>
    </w:p>
    <w:p>
      <w:pPr>
        <w:pStyle w:val="7"/>
        <w:spacing w:before="2"/>
        <w:ind w:left="1020"/>
      </w:pPr>
      <w:r>
        <w:t>采取以上措施后，施工期固体废物对周围环境影响较小。</w:t>
      </w:r>
    </w:p>
    <w:p>
      <w:pPr>
        <w:pStyle w:val="7"/>
        <w:spacing w:before="4"/>
        <w:ind w:left="0"/>
        <w:rPr>
          <w:sz w:val="21"/>
        </w:rPr>
      </w:pPr>
    </w:p>
    <w:p>
      <w:pPr>
        <w:pStyle w:val="5"/>
        <w:numPr>
          <w:ilvl w:val="0"/>
          <w:numId w:val="0"/>
        </w:numPr>
        <w:tabs>
          <w:tab w:val="left" w:pos="1241"/>
        </w:tabs>
        <w:spacing w:before="1" w:after="0" w:line="240" w:lineRule="auto"/>
        <w:ind w:left="539" w:leftChars="0" w:right="0" w:rightChars="0"/>
        <w:jc w:val="left"/>
      </w:pPr>
      <w:bookmarkStart w:id="279" w:name="5.1.5 生态影响分析"/>
      <w:bookmarkEnd w:id="279"/>
      <w:bookmarkStart w:id="280" w:name="5.1.5 生态影响分析"/>
      <w:bookmarkEnd w:id="280"/>
      <w:r>
        <w:rPr>
          <w:rFonts w:hint="eastAsia"/>
          <w:lang w:val="en-US" w:eastAsia="zh-CN"/>
        </w:rPr>
        <w:t xml:space="preserve">5.1.6 </w:t>
      </w:r>
      <w:r>
        <w:t>生态影响分析</w:t>
      </w:r>
    </w:p>
    <w:p>
      <w:pPr>
        <w:pStyle w:val="7"/>
        <w:spacing w:before="7"/>
        <w:ind w:left="0"/>
        <w:rPr>
          <w:b/>
          <w:sz w:val="21"/>
        </w:rPr>
      </w:pPr>
    </w:p>
    <w:p>
      <w:pPr>
        <w:pStyle w:val="7"/>
        <w:spacing w:line="364" w:lineRule="auto"/>
        <w:ind w:right="577" w:firstLine="480"/>
        <w:jc w:val="both"/>
      </w:pPr>
      <w:r>
        <w:rPr>
          <w:spacing w:val="2"/>
        </w:rPr>
        <w:t>项目施工期对生态环境的影响主要是场地平整时破坏了项目区原有土壤理</w:t>
      </w:r>
      <w:r>
        <w:rPr>
          <w:spacing w:val="-5"/>
        </w:rPr>
        <w:t>化性质和可能产生的水土流失影响。项目建设期对生态的影响主要体现在因施工</w:t>
      </w:r>
      <w:r>
        <w:t>造成的区域水土流失。</w:t>
      </w:r>
    </w:p>
    <w:p>
      <w:pPr>
        <w:pStyle w:val="17"/>
        <w:numPr>
          <w:ilvl w:val="3"/>
          <w:numId w:val="48"/>
        </w:numPr>
        <w:tabs>
          <w:tab w:val="left" w:pos="1621"/>
        </w:tabs>
        <w:spacing w:before="2" w:after="0" w:line="240" w:lineRule="auto"/>
        <w:ind w:left="1621" w:right="0" w:hanging="601"/>
        <w:jc w:val="left"/>
        <w:rPr>
          <w:sz w:val="24"/>
        </w:rPr>
      </w:pPr>
      <w:r>
        <w:rPr>
          <w:sz w:val="24"/>
        </w:rPr>
        <w:t>占地影响</w:t>
      </w:r>
    </w:p>
    <w:p>
      <w:pPr>
        <w:pStyle w:val="7"/>
        <w:spacing w:before="160"/>
        <w:ind w:left="1020"/>
        <w:rPr>
          <w:rFonts w:ascii="Times New Roman" w:eastAsia="Times New Roman"/>
          <w:color w:val="0000FF"/>
          <w:sz w:val="15"/>
        </w:rPr>
      </w:pPr>
      <w:r>
        <w:rPr>
          <w:color w:val="0000FF"/>
          <w:spacing w:val="-9"/>
        </w:rPr>
        <w:t>项目占地包括永久性占地和临时性占用，拟建项目永久占地面积约</w:t>
      </w:r>
      <w:r>
        <w:rPr>
          <w:rFonts w:hint="eastAsia"/>
          <w:color w:val="0000FF"/>
          <w:spacing w:val="-9"/>
          <w:lang w:val="en-US" w:eastAsia="zh-CN"/>
        </w:rPr>
        <w:t>2.073</w:t>
      </w:r>
      <w:r>
        <w:rPr>
          <w:rFonts w:ascii="Times New Roman" w:eastAsia="Times New Roman"/>
          <w:color w:val="0000FF"/>
        </w:rPr>
        <w:t>hm</w:t>
      </w:r>
      <w:r>
        <w:rPr>
          <w:rFonts w:ascii="Times New Roman" w:eastAsia="Times New Roman"/>
          <w:color w:val="0000FF"/>
          <w:position w:val="8"/>
          <w:sz w:val="15"/>
        </w:rPr>
        <w:t>2</w:t>
      </w:r>
    </w:p>
    <w:p>
      <w:pPr>
        <w:pStyle w:val="7"/>
        <w:keepNext w:val="0"/>
        <w:keepLines w:val="0"/>
        <w:pageBreakBefore w:val="0"/>
        <w:widowControl w:val="0"/>
        <w:kinsoku/>
        <w:wordWrap/>
        <w:overflowPunct/>
        <w:topLinePunct w:val="0"/>
        <w:autoSpaceDE w:val="0"/>
        <w:autoSpaceDN w:val="0"/>
        <w:bidi w:val="0"/>
        <w:adjustRightInd/>
        <w:snapToGrid/>
        <w:spacing w:before="143" w:line="364" w:lineRule="auto"/>
        <w:ind w:right="577"/>
        <w:jc w:val="both"/>
        <w:textAlignment w:val="auto"/>
        <w:rPr>
          <w:color w:val="0000FF"/>
        </w:rPr>
      </w:pPr>
      <w:r>
        <w:rPr>
          <w:color w:val="0000FF"/>
        </w:rPr>
        <w:t>（</w:t>
      </w:r>
      <w:r>
        <w:rPr>
          <w:rFonts w:hint="eastAsia"/>
          <w:color w:val="0000FF"/>
          <w:lang w:val="en-US" w:eastAsia="zh-CN"/>
        </w:rPr>
        <w:t>31.095</w:t>
      </w:r>
      <w:r>
        <w:rPr>
          <w:color w:val="0000FF"/>
        </w:rPr>
        <w:t>亩），</w:t>
      </w:r>
      <w:r>
        <w:rPr>
          <w:color w:val="0000FF"/>
          <w:spacing w:val="-1"/>
        </w:rPr>
        <w:t>永久性占地改变了原有土地使用功能，原有植被大部分不复存在。</w:t>
      </w:r>
      <w:r>
        <w:rPr>
          <w:color w:val="0000FF"/>
          <w:spacing w:val="-7"/>
        </w:rPr>
        <w:t>施工作业时的临时占地，由于施工人员及施工机械对地表植被的践踏、碾压等外</w:t>
      </w:r>
      <w:r>
        <w:rPr>
          <w:color w:val="0000FF"/>
          <w:spacing w:val="-10"/>
        </w:rPr>
        <w:t>力因素，破坏了原有土壤结构及性能，降低了土壤效力。严重影响了原有的地表形态、土壤结构和理化性质，在项目结束后也难以恢复原有形态及生产力。车辆</w:t>
      </w:r>
      <w:r>
        <w:rPr>
          <w:color w:val="0000FF"/>
          <w:spacing w:val="-6"/>
        </w:rPr>
        <w:t>行驶也同样对地表土壤结构造成破坏，这种破坏具有暂时性，经过一定时期能够</w:t>
      </w:r>
      <w:r>
        <w:rPr>
          <w:color w:val="0000FF"/>
          <w:spacing w:val="-10"/>
        </w:rPr>
        <w:t>恢复。施工期地表土层遭到不同程度的破坏，植被如不及时恢复，易引起土壤沙</w:t>
      </w:r>
      <w:r>
        <w:rPr>
          <w:color w:val="0000FF"/>
        </w:rPr>
        <w:t>化。</w:t>
      </w:r>
    </w:p>
    <w:p>
      <w:pPr>
        <w:pStyle w:val="7"/>
        <w:keepNext w:val="0"/>
        <w:keepLines w:val="0"/>
        <w:pageBreakBefore w:val="0"/>
        <w:widowControl w:val="0"/>
        <w:kinsoku/>
        <w:wordWrap/>
        <w:overflowPunct/>
        <w:topLinePunct w:val="0"/>
        <w:autoSpaceDE w:val="0"/>
        <w:autoSpaceDN w:val="0"/>
        <w:bidi w:val="0"/>
        <w:adjustRightInd/>
        <w:snapToGrid/>
        <w:spacing w:before="3" w:line="364" w:lineRule="auto"/>
        <w:ind w:right="485" w:firstLine="480"/>
        <w:jc w:val="both"/>
        <w:textAlignment w:val="auto"/>
      </w:pPr>
      <w:r>
        <w:rPr>
          <w:spacing w:val="-1"/>
        </w:rPr>
        <w:t>施工方在施工前应先做好施工组织，做出详细的规划，划定施工活动范围，</w:t>
      </w:r>
      <w:r>
        <w:rPr>
          <w:spacing w:val="-7"/>
        </w:rPr>
        <w:t>包括材料的堆存范围、人员食宿及运动范围，尽量减少临时占地数量。在施工过</w:t>
      </w:r>
      <w:r>
        <w:rPr>
          <w:spacing w:val="-12"/>
        </w:rPr>
        <w:t>程中需加强管理，严禁不按操作规程野蛮施工。施工监理部门和当地环保部门也应紧密合作，进行监督管理。</w:t>
      </w:r>
    </w:p>
    <w:p>
      <w:pPr>
        <w:pStyle w:val="17"/>
        <w:keepNext w:val="0"/>
        <w:keepLines w:val="0"/>
        <w:pageBreakBefore w:val="0"/>
        <w:widowControl w:val="0"/>
        <w:numPr>
          <w:ilvl w:val="3"/>
          <w:numId w:val="48"/>
        </w:numPr>
        <w:tabs>
          <w:tab w:val="left" w:pos="1621"/>
        </w:tabs>
        <w:kinsoku/>
        <w:wordWrap/>
        <w:overflowPunct/>
        <w:topLinePunct w:val="0"/>
        <w:autoSpaceDE w:val="0"/>
        <w:autoSpaceDN w:val="0"/>
        <w:bidi w:val="0"/>
        <w:adjustRightInd/>
        <w:snapToGrid/>
        <w:spacing w:before="2" w:after="0" w:line="240" w:lineRule="auto"/>
        <w:ind w:left="1621" w:right="0" w:hanging="601"/>
        <w:jc w:val="both"/>
        <w:textAlignment w:val="auto"/>
        <w:rPr>
          <w:sz w:val="24"/>
        </w:rPr>
      </w:pPr>
      <w:r>
        <w:rPr>
          <w:sz w:val="24"/>
        </w:rPr>
        <w:t>对植被的影响分析</w:t>
      </w:r>
    </w:p>
    <w:p>
      <w:pPr>
        <w:pStyle w:val="7"/>
        <w:keepNext w:val="0"/>
        <w:keepLines w:val="0"/>
        <w:pageBreakBefore w:val="0"/>
        <w:widowControl w:val="0"/>
        <w:kinsoku/>
        <w:wordWrap/>
        <w:overflowPunct/>
        <w:topLinePunct w:val="0"/>
        <w:autoSpaceDE w:val="0"/>
        <w:autoSpaceDN w:val="0"/>
        <w:bidi w:val="0"/>
        <w:adjustRightInd/>
        <w:snapToGrid/>
        <w:spacing w:before="161" w:line="364" w:lineRule="auto"/>
        <w:ind w:right="577" w:firstLine="480"/>
        <w:jc w:val="both"/>
        <w:textAlignment w:val="auto"/>
      </w:pPr>
      <w:r>
        <w:rPr>
          <w:spacing w:val="-7"/>
        </w:rPr>
        <w:t>项目的建设将不可避免的破坏、扰动原地形地貌和植被；建设占地对区域植</w:t>
      </w:r>
      <w:r>
        <w:rPr>
          <w:spacing w:val="-8"/>
        </w:rPr>
        <w:t>被的破坏是永久性的，这部分植被将永远失去生产能力，从而降低该区域植被覆</w:t>
      </w:r>
      <w:r>
        <w:t>盖率和生物多样性，造成植被生物量的减少。</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right="457" w:firstLine="480"/>
        <w:jc w:val="both"/>
        <w:textAlignment w:val="auto"/>
      </w:pPr>
      <w:r>
        <w:rPr>
          <w:spacing w:val="-6"/>
        </w:rPr>
        <w:t>由于施工期将引起原有植被的破坏，受破坏的植被类型为评价区内的常见类</w:t>
      </w:r>
      <w:r>
        <w:rPr>
          <w:spacing w:val="-10"/>
        </w:rPr>
        <w:t>型，也无国家重点保护的珍稀濒危植物和野生动物，并且建成后通过对其进行绿</w:t>
      </w:r>
      <w:r>
        <w:rPr>
          <w:spacing w:val="-13"/>
        </w:rPr>
        <w:t>化补偿，充分考虑乔、灌、草的比例，从而增加该区域内的物种数量，增强了项</w:t>
      </w:r>
      <w:r>
        <w:rPr>
          <w:spacing w:val="-17"/>
        </w:rPr>
        <w:t>目区域内的生物多样性和稳定性，因此相对于整个区域而言，本项目的建设对植</w:t>
      </w:r>
      <w:r>
        <w:rPr>
          <w:spacing w:val="-18"/>
        </w:rPr>
        <w:t>物区系、植被类型的影响较小，不会导致区域内现有种类和植被类型的消失灭绝。</w:t>
      </w:r>
    </w:p>
    <w:p>
      <w:pPr>
        <w:pStyle w:val="17"/>
        <w:keepNext w:val="0"/>
        <w:keepLines w:val="0"/>
        <w:pageBreakBefore w:val="0"/>
        <w:widowControl w:val="0"/>
        <w:numPr>
          <w:ilvl w:val="3"/>
          <w:numId w:val="48"/>
        </w:numPr>
        <w:tabs>
          <w:tab w:val="left" w:pos="1621"/>
        </w:tabs>
        <w:kinsoku/>
        <w:wordWrap/>
        <w:overflowPunct/>
        <w:topLinePunct w:val="0"/>
        <w:autoSpaceDE w:val="0"/>
        <w:autoSpaceDN w:val="0"/>
        <w:bidi w:val="0"/>
        <w:adjustRightInd/>
        <w:snapToGrid/>
        <w:spacing w:before="3" w:after="0" w:line="240" w:lineRule="auto"/>
        <w:ind w:left="1621" w:right="0" w:hanging="601"/>
        <w:jc w:val="both"/>
        <w:textAlignment w:val="auto"/>
        <w:rPr>
          <w:sz w:val="24"/>
        </w:rPr>
      </w:pPr>
      <w:r>
        <w:rPr>
          <w:sz w:val="24"/>
        </w:rPr>
        <w:t>对动物的影响分析</w:t>
      </w:r>
    </w:p>
    <w:p>
      <w:pPr>
        <w:pStyle w:val="7"/>
        <w:keepNext w:val="0"/>
        <w:keepLines w:val="0"/>
        <w:pageBreakBefore w:val="0"/>
        <w:widowControl w:val="0"/>
        <w:kinsoku/>
        <w:wordWrap/>
        <w:overflowPunct/>
        <w:topLinePunct w:val="0"/>
        <w:autoSpaceDE w:val="0"/>
        <w:autoSpaceDN w:val="0"/>
        <w:bidi w:val="0"/>
        <w:adjustRightInd/>
        <w:snapToGrid/>
        <w:spacing w:before="161" w:line="364" w:lineRule="auto"/>
        <w:ind w:right="485" w:firstLine="480"/>
        <w:jc w:val="both"/>
        <w:textAlignment w:val="auto"/>
      </w:pPr>
      <w:r>
        <w:rPr>
          <w:spacing w:val="2"/>
        </w:rPr>
        <w:t>施工期对陆生动物的直接影响是施工人员集中活动和工程施工过程对动物</w:t>
      </w:r>
      <w:r>
        <w:rPr>
          <w:spacing w:val="-9"/>
        </w:rPr>
        <w:t>的惊扰；间接影响主要是项目建设破坏植被和土壤，造成部分陆生动物栖息地的</w:t>
      </w:r>
      <w:r>
        <w:rPr>
          <w:spacing w:val="-10"/>
        </w:rPr>
        <w:t>丧失。施工区的主要动物是小型常见鸟类和鼠类、常见的蜥蜴类，且数量不多，</w:t>
      </w:r>
      <w:r>
        <w:t>具有较强的迁移能力，因此，施工期对这些动物的生存影响较小。</w:t>
      </w:r>
    </w:p>
    <w:p>
      <w:pPr>
        <w:pStyle w:val="17"/>
        <w:keepNext w:val="0"/>
        <w:keepLines w:val="0"/>
        <w:pageBreakBefore w:val="0"/>
        <w:widowControl w:val="0"/>
        <w:numPr>
          <w:ilvl w:val="3"/>
          <w:numId w:val="48"/>
        </w:numPr>
        <w:tabs>
          <w:tab w:val="left" w:pos="1621"/>
        </w:tabs>
        <w:kinsoku/>
        <w:wordWrap/>
        <w:overflowPunct/>
        <w:topLinePunct w:val="0"/>
        <w:autoSpaceDE w:val="0"/>
        <w:autoSpaceDN w:val="0"/>
        <w:bidi w:val="0"/>
        <w:adjustRightInd/>
        <w:snapToGrid/>
        <w:spacing w:before="2" w:after="0" w:line="240" w:lineRule="auto"/>
        <w:ind w:left="1621" w:right="0" w:hanging="601"/>
        <w:jc w:val="both"/>
        <w:textAlignment w:val="auto"/>
        <w:rPr>
          <w:sz w:val="24"/>
        </w:rPr>
      </w:pPr>
      <w:r>
        <w:rPr>
          <w:sz w:val="24"/>
        </w:rPr>
        <w:t>对其他生态环境的影响分析</w:t>
      </w:r>
    </w:p>
    <w:p>
      <w:pPr>
        <w:pStyle w:val="7"/>
        <w:keepNext w:val="0"/>
        <w:keepLines w:val="0"/>
        <w:pageBreakBefore w:val="0"/>
        <w:widowControl w:val="0"/>
        <w:kinsoku/>
        <w:wordWrap/>
        <w:overflowPunct/>
        <w:topLinePunct w:val="0"/>
        <w:autoSpaceDE w:val="0"/>
        <w:autoSpaceDN w:val="0"/>
        <w:bidi w:val="0"/>
        <w:adjustRightInd/>
        <w:snapToGrid/>
        <w:spacing w:before="161" w:line="364" w:lineRule="auto"/>
        <w:ind w:right="577" w:firstLine="480"/>
        <w:jc w:val="both"/>
        <w:textAlignment w:val="auto"/>
      </w:pPr>
      <w:r>
        <w:rPr>
          <w:spacing w:val="2"/>
        </w:rPr>
        <w:t>施工用的砂土若随意堆放和场地平整后未及时绿化，在大风天气将产生风</w:t>
      </w:r>
      <w:r>
        <w:rPr>
          <w:spacing w:val="-10"/>
        </w:rPr>
        <w:t>蚀，造成环境空气污染，雨季又会产生水蚀，加重地表水体污染。因此必须采取相应的措施。如：施工砂土在室内堆放或搭建顶棚，大风天气设置围档。场地平</w:t>
      </w:r>
      <w:r>
        <w:t>整后尽快夯实、硬化，大风天气适量洒水等。</w:t>
      </w:r>
    </w:p>
    <w:p>
      <w:pPr>
        <w:pStyle w:val="17"/>
        <w:numPr>
          <w:ilvl w:val="3"/>
          <w:numId w:val="48"/>
        </w:numPr>
        <w:tabs>
          <w:tab w:val="left" w:pos="1621"/>
        </w:tabs>
        <w:spacing w:before="2" w:after="0" w:line="240" w:lineRule="auto"/>
        <w:ind w:left="1621" w:right="0" w:hanging="601"/>
        <w:jc w:val="left"/>
        <w:rPr>
          <w:sz w:val="24"/>
        </w:rPr>
      </w:pPr>
      <w:r>
        <w:rPr>
          <w:sz w:val="24"/>
        </w:rPr>
        <w:t>对水土流失的影响分析</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keepNext w:val="0"/>
        <w:keepLines w:val="0"/>
        <w:pageBreakBefore w:val="0"/>
        <w:widowControl w:val="0"/>
        <w:kinsoku/>
        <w:wordWrap/>
        <w:overflowPunct/>
        <w:topLinePunct w:val="0"/>
        <w:autoSpaceDE w:val="0"/>
        <w:autoSpaceDN w:val="0"/>
        <w:bidi w:val="0"/>
        <w:adjustRightInd/>
        <w:snapToGrid/>
        <w:spacing w:before="143"/>
        <w:ind w:left="1020"/>
        <w:jc w:val="both"/>
        <w:textAlignment w:val="auto"/>
      </w:pPr>
      <w:r>
        <w:t>水土流失将造成一定程度的生态影响，具体表现在：</w:t>
      </w:r>
    </w:p>
    <w:p>
      <w:pPr>
        <w:pStyle w:val="7"/>
        <w:keepNext w:val="0"/>
        <w:keepLines w:val="0"/>
        <w:pageBreakBefore w:val="0"/>
        <w:widowControl w:val="0"/>
        <w:kinsoku/>
        <w:wordWrap/>
        <w:overflowPunct/>
        <w:topLinePunct w:val="0"/>
        <w:autoSpaceDE w:val="0"/>
        <w:autoSpaceDN w:val="0"/>
        <w:bidi w:val="0"/>
        <w:adjustRightInd/>
        <w:snapToGrid/>
        <w:spacing w:before="160" w:line="364" w:lineRule="auto"/>
        <w:ind w:right="580" w:firstLine="480"/>
        <w:jc w:val="both"/>
        <w:textAlignment w:val="auto"/>
      </w:pPr>
      <w:r>
        <w:t>①因施工开挖，将改变原土壤结构和地表物质组成，影响土壤肥力，从而导致土地生产力降低，给区域植被带来一定影响。</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right="580" w:firstLine="480"/>
        <w:jc w:val="both"/>
        <w:textAlignment w:val="auto"/>
      </w:pPr>
      <w:r>
        <w:t>②施工期运输机械往来，使施工区表层土碾压疏松，大风天将产生扬尘，加剧区域水土流失。</w:t>
      </w:r>
    </w:p>
    <w:p>
      <w:pPr>
        <w:pStyle w:val="7"/>
        <w:keepNext w:val="0"/>
        <w:keepLines w:val="0"/>
        <w:pageBreakBefore w:val="0"/>
        <w:widowControl w:val="0"/>
        <w:kinsoku/>
        <w:wordWrap/>
        <w:overflowPunct/>
        <w:topLinePunct w:val="0"/>
        <w:autoSpaceDE w:val="0"/>
        <w:autoSpaceDN w:val="0"/>
        <w:bidi w:val="0"/>
        <w:adjustRightInd/>
        <w:snapToGrid/>
        <w:spacing w:before="2" w:line="364" w:lineRule="auto"/>
        <w:ind w:right="580" w:firstLine="480"/>
        <w:jc w:val="both"/>
        <w:textAlignment w:val="auto"/>
      </w:pPr>
      <w:r>
        <w:t>③施工时产生大量的临时堆土，虽然堆置为临时堆置，但受大风影响也会产生水土流失。</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right="580" w:firstLine="480"/>
        <w:jc w:val="both"/>
        <w:textAlignment w:val="auto"/>
      </w:pPr>
      <w:r>
        <w:t>④土建工程施工过程中对占地区造成扰动，降低土壤抗侵蚀能力，使施工期间项目部分区域土壤侵蚀强度呈增加趋势。</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right="455" w:firstLine="480"/>
        <w:jc w:val="both"/>
        <w:textAlignment w:val="auto"/>
      </w:pPr>
      <w:r>
        <w:rPr>
          <w:spacing w:val="-6"/>
        </w:rPr>
        <w:t>区域土壤侵蚀主要为风蚀，项目建设不可避免地要加重区域水土流失。拟建</w:t>
      </w:r>
      <w:r>
        <w:rPr>
          <w:spacing w:val="-10"/>
        </w:rPr>
        <w:t>项目产生的水土流失可以分为三个阶段，第一阶段是在施工准备期</w:t>
      </w:r>
      <w:r>
        <w:rPr>
          <w:spacing w:val="-24"/>
        </w:rPr>
        <w:t>，“三通一平”</w:t>
      </w:r>
      <w:r>
        <w:t>工作产生大量土石方的开挖、运移活动，地表扰动严重，植被几乎完全被破坏，</w:t>
      </w:r>
      <w:r>
        <w:rPr>
          <w:spacing w:val="-5"/>
        </w:rPr>
        <w:t>裸露的地表水土保持功能明显减弱，土壤侵蚀强度增强；第二阶段是土建期，工业场地“三通一平”工作完成后，整个地表在绝大部分施工期内处于裸露状态，</w:t>
      </w:r>
      <w:r>
        <w:rPr>
          <w:spacing w:val="-10"/>
        </w:rPr>
        <w:t>且有大量土石方和建筑材料临时堆放，再加上土建期排水系统的不完善，地表径</w:t>
      </w:r>
      <w:r>
        <w:rPr>
          <w:spacing w:val="-15"/>
        </w:rPr>
        <w:t>流肆意冲刷施工面和堆放的土石料，工业场地内水土流失，如不采取有效的防治</w:t>
      </w:r>
      <w:r>
        <w:rPr>
          <w:spacing w:val="-18"/>
        </w:rPr>
        <w:t>措施，将产生严重的水土流失。第三阶段是植被恢复期，地表建筑物等建设完成，</w:t>
      </w:r>
      <w:r>
        <w:rPr>
          <w:spacing w:val="-17"/>
        </w:rPr>
        <w:t>土石方清理完毕，地表因大部分被硬化，地表土壤侵蚀强度较建设期有明显下降，</w:t>
      </w:r>
      <w:r>
        <w:rPr>
          <w:spacing w:val="-14"/>
        </w:rPr>
        <w:t>但此时仍存在裸露地表，特别是林草植被种刚刚栽植，不能完全覆盖裸露的地表，</w:t>
      </w:r>
      <w:r>
        <w:rPr>
          <w:spacing w:val="-7"/>
        </w:rPr>
        <w:t>林草植被措施还不能发挥作用，此时遇侵蚀性降雨等天气仍将不可避免的产生水土流失。营运期因采取绿化补偿等措施，可有效防止水土流失。</w:t>
      </w:r>
    </w:p>
    <w:p>
      <w:pPr>
        <w:pStyle w:val="7"/>
        <w:keepNext w:val="0"/>
        <w:keepLines w:val="0"/>
        <w:pageBreakBefore w:val="0"/>
        <w:widowControl w:val="0"/>
        <w:kinsoku/>
        <w:wordWrap/>
        <w:overflowPunct/>
        <w:topLinePunct w:val="0"/>
        <w:autoSpaceDE w:val="0"/>
        <w:autoSpaceDN w:val="0"/>
        <w:bidi w:val="0"/>
        <w:adjustRightInd/>
        <w:snapToGrid/>
        <w:spacing w:before="7" w:line="364" w:lineRule="auto"/>
        <w:ind w:right="577" w:firstLine="480"/>
        <w:jc w:val="both"/>
        <w:textAlignment w:val="auto"/>
      </w:pPr>
      <w:r>
        <w:rPr>
          <w:spacing w:val="-10"/>
        </w:rPr>
        <w:t>因此，本项目建设的水土流失危害主要表现在三个方面：一是项目建设破坏部分地表植被，在施工准备期及施工期对占地范围内的地表扰动剧烈，由此引起</w:t>
      </w:r>
      <w:r>
        <w:rPr>
          <w:spacing w:val="-6"/>
        </w:rPr>
        <w:t>的人为加速土壤流失将对周边环境产生不良影响；二是发生的土壤流失如不能做</w:t>
      </w:r>
      <w:r>
        <w:rPr>
          <w:spacing w:val="-10"/>
        </w:rPr>
        <w:t>好防治工作，可能淤积区域排水管道，阻断区域排水体系，影响区域沟道的排水功能；三是在各分项工程区内，如果不注重施工的临时性防护，也会造成当地水</w:t>
      </w:r>
      <w:r>
        <w:t>土流失的加剧，对当地环境及周边居民的生产生活产生影响。</w:t>
      </w:r>
    </w:p>
    <w:p>
      <w:pPr>
        <w:pStyle w:val="7"/>
        <w:keepNext w:val="0"/>
        <w:keepLines w:val="0"/>
        <w:pageBreakBefore w:val="0"/>
        <w:widowControl w:val="0"/>
        <w:kinsoku/>
        <w:wordWrap/>
        <w:overflowPunct/>
        <w:topLinePunct w:val="0"/>
        <w:autoSpaceDE w:val="0"/>
        <w:autoSpaceDN w:val="0"/>
        <w:bidi w:val="0"/>
        <w:adjustRightInd/>
        <w:snapToGrid/>
        <w:spacing w:before="4" w:line="364" w:lineRule="auto"/>
        <w:ind w:right="577" w:firstLine="480"/>
        <w:jc w:val="both"/>
        <w:textAlignment w:val="auto"/>
      </w:pPr>
      <w:r>
        <w:rPr>
          <w:spacing w:val="-7"/>
        </w:rPr>
        <w:t>为减少施工期的水土流失，建设单位应精心组织，合理安排施工计划，在暴雨季节采取合理的防护措施，并减少雨季时的施工，对土石方挖填等方案进行周</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密论证，优选出水土流失较少的方案。</w:t>
      </w:r>
    </w:p>
    <w:p>
      <w:pPr>
        <w:pStyle w:val="7"/>
        <w:spacing w:before="160" w:line="364" w:lineRule="auto"/>
        <w:ind w:right="457" w:firstLine="480"/>
      </w:pPr>
      <w:r>
        <w:rPr>
          <w:spacing w:val="-14"/>
        </w:rPr>
        <w:t>施工期要注意防止水土流失，要尽量做到挖、填方的平衡，减少借方和弃方；</w:t>
      </w:r>
      <w:r>
        <w:rPr>
          <w:spacing w:val="-6"/>
        </w:rPr>
        <w:t>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pPr>
        <w:pStyle w:val="17"/>
        <w:numPr>
          <w:ilvl w:val="3"/>
          <w:numId w:val="48"/>
        </w:numPr>
        <w:tabs>
          <w:tab w:val="left" w:pos="1621"/>
        </w:tabs>
        <w:spacing w:before="3" w:after="0" w:line="240" w:lineRule="auto"/>
        <w:ind w:left="1621" w:right="0" w:hanging="601"/>
        <w:jc w:val="left"/>
        <w:rPr>
          <w:sz w:val="24"/>
        </w:rPr>
      </w:pPr>
      <w:r>
        <w:rPr>
          <w:sz w:val="24"/>
        </w:rPr>
        <w:t>对景观的影响</w:t>
      </w:r>
    </w:p>
    <w:p>
      <w:pPr>
        <w:pStyle w:val="7"/>
        <w:spacing w:before="160" w:line="364" w:lineRule="auto"/>
        <w:ind w:right="455" w:firstLine="480"/>
      </w:pPr>
      <w:r>
        <w:rPr>
          <w:spacing w:val="-7"/>
        </w:rPr>
        <w:t>本项目在施工建筑材料、土石方临时堆放、运输、土方开挖将会对周围景观</w:t>
      </w:r>
      <w:r>
        <w:rPr>
          <w:spacing w:val="-17"/>
        </w:rPr>
        <w:t>的不良影响。项目在施工活动中，应注重施工活动与周围景观的协调性与完整性。</w:t>
      </w:r>
      <w:r>
        <w:rPr>
          <w:spacing w:val="-16"/>
        </w:rPr>
        <w:t>建筑材料、土石方临时堆放时主要利用盐碱地，堆放时应整齐，采用防尘布覆盖。</w:t>
      </w:r>
      <w:r>
        <w:rPr>
          <w:spacing w:val="-4"/>
        </w:rPr>
        <w:t>项目施工虽然在施工期内存在对自然景观和自然生态的影响，但在运营期采取场</w:t>
      </w:r>
      <w:r>
        <w:rPr>
          <w:spacing w:val="-11"/>
        </w:rPr>
        <w:t>内防疫隔离绿化带、防护林植被绿化措施后，可将施工期对景观不利影响减到最低程度。</w:t>
      </w:r>
    </w:p>
    <w:p>
      <w:pPr>
        <w:pStyle w:val="4"/>
        <w:numPr>
          <w:ilvl w:val="1"/>
          <w:numId w:val="43"/>
        </w:numPr>
        <w:tabs>
          <w:tab w:val="left" w:pos="1100"/>
        </w:tabs>
        <w:spacing w:before="157" w:after="0" w:line="240" w:lineRule="auto"/>
        <w:ind w:left="1099" w:right="0" w:hanging="560"/>
        <w:jc w:val="both"/>
        <w:outlineLvl w:val="1"/>
      </w:pPr>
      <w:bookmarkStart w:id="281" w:name="_bookmark26"/>
      <w:bookmarkEnd w:id="281"/>
      <w:bookmarkStart w:id="282" w:name="5.2 运营期环境影响预测与评价"/>
      <w:bookmarkEnd w:id="282"/>
      <w:bookmarkStart w:id="283" w:name="_Toc239"/>
      <w:r>
        <w:t>运营期环境影响预测与评价</w:t>
      </w:r>
      <w:bookmarkEnd w:id="283"/>
    </w:p>
    <w:p>
      <w:pPr>
        <w:pStyle w:val="7"/>
        <w:spacing w:before="5"/>
        <w:ind w:left="0"/>
        <w:rPr>
          <w:b/>
          <w:sz w:val="28"/>
        </w:rPr>
      </w:pPr>
    </w:p>
    <w:p>
      <w:pPr>
        <w:pStyle w:val="5"/>
        <w:numPr>
          <w:ilvl w:val="2"/>
          <w:numId w:val="43"/>
        </w:numPr>
        <w:tabs>
          <w:tab w:val="left" w:pos="1241"/>
        </w:tabs>
        <w:spacing w:before="0" w:after="0" w:line="240" w:lineRule="auto"/>
        <w:ind w:left="1240" w:right="0" w:hanging="701"/>
        <w:jc w:val="both"/>
        <w:outlineLvl w:val="2"/>
      </w:pPr>
      <w:bookmarkStart w:id="284" w:name="5.2.1 大气环境影响预测与评价"/>
      <w:bookmarkEnd w:id="284"/>
      <w:bookmarkStart w:id="285" w:name="5.2.1 大气环境影响预测与评价"/>
      <w:bookmarkEnd w:id="285"/>
      <w:bookmarkStart w:id="286" w:name="_Toc5781"/>
      <w:r>
        <w:rPr>
          <w:spacing w:val="-1"/>
        </w:rPr>
        <w:t>大气环境影响预测与评价</w:t>
      </w:r>
      <w:bookmarkEnd w:id="286"/>
    </w:p>
    <w:p>
      <w:pPr>
        <w:pStyle w:val="7"/>
        <w:spacing w:before="2"/>
        <w:ind w:left="0"/>
        <w:rPr>
          <w:b/>
          <w:sz w:val="22"/>
        </w:rPr>
      </w:pPr>
    </w:p>
    <w:p>
      <w:pPr>
        <w:pStyle w:val="17"/>
        <w:numPr>
          <w:ilvl w:val="3"/>
          <w:numId w:val="49"/>
        </w:numPr>
        <w:tabs>
          <w:tab w:val="left" w:pos="1320"/>
        </w:tabs>
        <w:spacing w:before="0" w:after="0" w:line="240" w:lineRule="auto"/>
        <w:ind w:left="1320" w:right="0" w:hanging="780"/>
        <w:jc w:val="both"/>
        <w:rPr>
          <w:sz w:val="24"/>
        </w:rPr>
      </w:pPr>
      <w:bookmarkStart w:id="287" w:name="5.2.1.1 大气污染物预测参数"/>
      <w:bookmarkEnd w:id="287"/>
      <w:bookmarkStart w:id="288" w:name="5.2.1.1 大气污染物预测参数"/>
      <w:bookmarkEnd w:id="288"/>
      <w:r>
        <w:rPr>
          <w:sz w:val="24"/>
        </w:rPr>
        <w:t>大气污染物预测参数</w:t>
      </w:r>
    </w:p>
    <w:p>
      <w:pPr>
        <w:pStyle w:val="7"/>
        <w:keepNext w:val="0"/>
        <w:keepLines w:val="0"/>
        <w:pageBreakBefore w:val="0"/>
        <w:widowControl w:val="0"/>
        <w:kinsoku/>
        <w:wordWrap/>
        <w:overflowPunct/>
        <w:topLinePunct w:val="0"/>
        <w:autoSpaceDE w:val="0"/>
        <w:autoSpaceDN w:val="0"/>
        <w:bidi w:val="0"/>
        <w:adjustRightInd/>
        <w:snapToGrid/>
        <w:spacing w:before="168" w:line="364" w:lineRule="auto"/>
        <w:ind w:right="572" w:firstLine="480"/>
        <w:jc w:val="both"/>
        <w:textAlignment w:val="auto"/>
      </w:pPr>
      <w:r>
        <w:t>本项目大气环境影响评价等级为二级，根据《环境影响评价技术导则</w:t>
      </w:r>
      <w:r>
        <w:rPr>
          <w:rFonts w:ascii="Times New Roman" w:hAnsi="Times New Roman" w:eastAsia="Times New Roman"/>
        </w:rPr>
        <w:t>·</w:t>
      </w:r>
      <w:r>
        <w:t>大气</w:t>
      </w:r>
      <w:r>
        <w:rPr>
          <w:spacing w:val="-3"/>
        </w:rPr>
        <w:t>环境》</w:t>
      </w:r>
      <w:r>
        <w:t>（</w:t>
      </w:r>
      <w:r>
        <w:rPr>
          <w:rFonts w:ascii="Times New Roman" w:hAnsi="Times New Roman" w:eastAsia="Times New Roman"/>
        </w:rPr>
        <w:t>HJ2.2-2018</w:t>
      </w:r>
      <w:r>
        <w:t>）</w:t>
      </w:r>
      <w:r>
        <w:rPr>
          <w:spacing w:val="-2"/>
        </w:rPr>
        <w:t>，二级评价项目不进行进一步预测与评价，只对污染物排</w:t>
      </w:r>
      <w:r>
        <w:t>放量进行核算。</w:t>
      </w:r>
    </w:p>
    <w:p>
      <w:pPr>
        <w:pStyle w:val="7"/>
        <w:keepNext w:val="0"/>
        <w:keepLines w:val="0"/>
        <w:pageBreakBefore w:val="0"/>
        <w:widowControl w:val="0"/>
        <w:kinsoku/>
        <w:wordWrap/>
        <w:overflowPunct/>
        <w:topLinePunct w:val="0"/>
        <w:autoSpaceDE w:val="0"/>
        <w:autoSpaceDN w:val="0"/>
        <w:bidi w:val="0"/>
        <w:adjustRightInd/>
        <w:snapToGrid/>
        <w:spacing w:before="1" w:line="364" w:lineRule="auto"/>
        <w:ind w:right="485" w:firstLine="480"/>
        <w:jc w:val="both"/>
        <w:textAlignment w:val="auto"/>
      </w:pPr>
      <w:r>
        <w:rPr>
          <w:spacing w:val="-8"/>
        </w:rPr>
        <w:t>通过工程分析可知，项目主要的大气污染物是羊舍、堆肥厂和病死尸体无害</w:t>
      </w:r>
      <w:r>
        <w:rPr>
          <w:spacing w:val="-13"/>
        </w:rPr>
        <w:t>化处理车间产生的恶臭，特征污染物为氨和硫化氢。羊舍和堆肥厂产生的恶臭气</w:t>
      </w:r>
      <w:r>
        <w:rPr>
          <w:spacing w:val="-14"/>
        </w:rPr>
        <w:t>体喷洒除臭剂后无组织排放；病死尸体无害化处理车间产生的恶臭冷凝雾化后，</w:t>
      </w:r>
      <w:r>
        <w:rPr>
          <w:spacing w:val="-3"/>
        </w:rPr>
        <w:t>引至光解除臭装置吸收处理，再经引风机引至</w:t>
      </w:r>
      <w:r>
        <w:rPr>
          <w:rFonts w:ascii="Times New Roman" w:eastAsia="Times New Roman"/>
        </w:rPr>
        <w:t>15m</w:t>
      </w:r>
      <w:r>
        <w:t>高排气筒集中排放。</w:t>
      </w:r>
    </w:p>
    <w:p>
      <w:pPr>
        <w:pStyle w:val="7"/>
        <w:keepNext w:val="0"/>
        <w:keepLines w:val="0"/>
        <w:pageBreakBefore w:val="0"/>
        <w:widowControl w:val="0"/>
        <w:kinsoku/>
        <w:wordWrap/>
        <w:overflowPunct/>
        <w:topLinePunct w:val="0"/>
        <w:autoSpaceDE w:val="0"/>
        <w:autoSpaceDN w:val="0"/>
        <w:bidi w:val="0"/>
        <w:adjustRightInd/>
        <w:snapToGrid/>
        <w:spacing w:before="3" w:line="364" w:lineRule="auto"/>
        <w:ind w:right="572" w:firstLine="480"/>
        <w:jc w:val="both"/>
        <w:textAlignment w:val="auto"/>
      </w:pPr>
      <w:r>
        <w:rPr>
          <w:spacing w:val="-4"/>
        </w:rPr>
        <w:t>项目废气采用《环境影响评价技术导则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4"/>
        </w:rPr>
        <w:t>推荐的估</w:t>
      </w:r>
      <w:r>
        <w:rPr>
          <w:spacing w:val="-6"/>
        </w:rPr>
        <w:t>算模式进行预测病死尸体无害化处理车间点源、羊舍和堆肥厂面源排放的污染物</w:t>
      </w:r>
      <w:r>
        <w:t>最大地面浓度及其占标率。</w:t>
      </w:r>
    </w:p>
    <w:p>
      <w:pPr>
        <w:pStyle w:val="7"/>
        <w:keepNext w:val="0"/>
        <w:keepLines w:val="0"/>
        <w:pageBreakBefore w:val="0"/>
        <w:widowControl w:val="0"/>
        <w:kinsoku/>
        <w:wordWrap/>
        <w:overflowPunct/>
        <w:topLinePunct w:val="0"/>
        <w:autoSpaceDE w:val="0"/>
        <w:autoSpaceDN w:val="0"/>
        <w:bidi w:val="0"/>
        <w:adjustRightInd/>
        <w:snapToGrid/>
        <w:spacing w:before="2" w:line="364" w:lineRule="auto"/>
        <w:ind w:right="577" w:firstLine="480"/>
        <w:jc w:val="both"/>
        <w:textAlignment w:val="auto"/>
      </w:pPr>
      <w:r>
        <w:rPr>
          <w:spacing w:val="-4"/>
        </w:rPr>
        <w:t>本项目病死尸体无害化处理车间设</w:t>
      </w:r>
      <w:r>
        <w:rPr>
          <w:rFonts w:ascii="Times New Roman" w:eastAsia="Times New Roman"/>
        </w:rPr>
        <w:t>1</w:t>
      </w:r>
      <w:r>
        <w:rPr>
          <w:spacing w:val="-15"/>
        </w:rPr>
        <w:t>根内径</w:t>
      </w:r>
      <w:r>
        <w:rPr>
          <w:rFonts w:ascii="Times New Roman" w:eastAsia="Times New Roman"/>
        </w:rPr>
        <w:t>0.3m</w:t>
      </w:r>
      <w:r>
        <w:rPr>
          <w:spacing w:val="-30"/>
        </w:rPr>
        <w:t>高</w:t>
      </w:r>
      <w:r>
        <w:rPr>
          <w:rFonts w:ascii="Times New Roman" w:eastAsia="Times New Roman"/>
        </w:rPr>
        <w:t>15m</w:t>
      </w:r>
      <w:r>
        <w:rPr>
          <w:spacing w:val="-9"/>
        </w:rPr>
        <w:t>排气筒，羊舍和堆</w:t>
      </w:r>
      <w:r>
        <w:rPr>
          <w:spacing w:val="-3"/>
        </w:rPr>
        <w:t>肥厂恶臭以无组织形式排放，污染源估算预测参数见表</w:t>
      </w:r>
      <w:r>
        <w:rPr>
          <w:rFonts w:ascii="Times New Roman" w:eastAsia="Times New Roman"/>
        </w:rPr>
        <w:t>5.2-1</w:t>
      </w:r>
      <w:r>
        <w:t>、</w:t>
      </w:r>
      <w:r>
        <w:rPr>
          <w:rFonts w:ascii="Times New Roman" w:eastAsia="Times New Roman"/>
        </w:rPr>
        <w:t>5.2-2</w:t>
      </w:r>
      <w:r>
        <w:t>。</w:t>
      </w:r>
    </w:p>
    <w:p>
      <w:pPr>
        <w:pStyle w:val="7"/>
        <w:keepNext w:val="0"/>
        <w:keepLines w:val="0"/>
        <w:pageBreakBefore w:val="0"/>
        <w:widowControl w:val="0"/>
        <w:kinsoku/>
        <w:wordWrap/>
        <w:overflowPunct/>
        <w:topLinePunct w:val="0"/>
        <w:autoSpaceDE w:val="0"/>
        <w:autoSpaceDN w:val="0"/>
        <w:bidi w:val="0"/>
        <w:adjustRightInd/>
        <w:snapToGrid/>
        <w:jc w:val="both"/>
        <w:textAlignment w:val="auto"/>
      </w:pPr>
    </w:p>
    <w:p>
      <w:pPr>
        <w:pStyle w:val="7"/>
        <w:keepNext w:val="0"/>
        <w:keepLines w:val="0"/>
        <w:pageBreakBefore w:val="0"/>
        <w:widowControl w:val="0"/>
        <w:kinsoku/>
        <w:wordWrap/>
        <w:overflowPunct/>
        <w:topLinePunct w:val="0"/>
        <w:autoSpaceDE w:val="0"/>
        <w:autoSpaceDN w:val="0"/>
        <w:bidi w:val="0"/>
        <w:adjustRightInd/>
        <w:snapToGrid/>
        <w:jc w:val="both"/>
        <w:textAlignment w:val="auto"/>
      </w:pPr>
    </w:p>
    <w:p>
      <w:pPr>
        <w:pStyle w:val="7"/>
        <w:keepNext w:val="0"/>
        <w:keepLines w:val="0"/>
        <w:pageBreakBefore w:val="0"/>
        <w:widowControl w:val="0"/>
        <w:kinsoku/>
        <w:wordWrap/>
        <w:overflowPunct/>
        <w:topLinePunct w:val="0"/>
        <w:autoSpaceDE w:val="0"/>
        <w:autoSpaceDN w:val="0"/>
        <w:bidi w:val="0"/>
        <w:adjustRightInd/>
        <w:snapToGrid/>
        <w:jc w:val="both"/>
        <w:textAlignment w:val="auto"/>
      </w:pPr>
    </w:p>
    <w:p>
      <w:pPr>
        <w:pStyle w:val="7"/>
        <w:keepNext w:val="0"/>
        <w:keepLines w:val="0"/>
        <w:pageBreakBefore w:val="0"/>
        <w:widowControl w:val="0"/>
        <w:kinsoku/>
        <w:wordWrap/>
        <w:overflowPunct/>
        <w:topLinePunct w:val="0"/>
        <w:autoSpaceDE w:val="0"/>
        <w:autoSpaceDN w:val="0"/>
        <w:bidi w:val="0"/>
        <w:adjustRightInd/>
        <w:snapToGrid/>
        <w:ind w:firstLine="1680" w:firstLineChars="700"/>
        <w:jc w:val="both"/>
        <w:textAlignment w:val="auto"/>
      </w:pPr>
      <w:r>
        <w:t>表</w:t>
      </w:r>
      <w:r>
        <w:rPr>
          <w:rFonts w:ascii="Times New Roman" w:eastAsia="Times New Roman"/>
        </w:rPr>
        <w:t>5.2-1</w:t>
      </w:r>
      <w:r>
        <w:rPr>
          <w:rFonts w:ascii="Times New Roman" w:eastAsia="Times New Roman"/>
        </w:rPr>
        <w:tab/>
      </w:r>
      <w:r>
        <w:t>估算模式预测有组织污染物浓度所选参数</w:t>
      </w:r>
    </w:p>
    <w:p>
      <w:pPr>
        <w:pStyle w:val="7"/>
        <w:spacing w:before="11"/>
        <w:ind w:left="0"/>
        <w:rPr>
          <w:b/>
          <w:sz w:val="4"/>
        </w:rPr>
      </w:pP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951"/>
        <w:gridCol w:w="1125"/>
        <w:gridCol w:w="1047"/>
        <w:gridCol w:w="1149"/>
        <w:gridCol w:w="774"/>
        <w:gridCol w:w="1311"/>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3" w:type="dxa"/>
            <w:gridSpan w:val="2"/>
          </w:tcPr>
          <w:p>
            <w:pPr>
              <w:pStyle w:val="18"/>
              <w:spacing w:before="35"/>
              <w:ind w:left="645"/>
              <w:jc w:val="left"/>
              <w:rPr>
                <w:b/>
                <w:sz w:val="21"/>
              </w:rPr>
            </w:pPr>
            <w:r>
              <w:rPr>
                <w:b/>
                <w:sz w:val="21"/>
              </w:rPr>
              <w:t>排气筒</w:t>
            </w:r>
          </w:p>
        </w:tc>
        <w:tc>
          <w:tcPr>
            <w:tcW w:w="1125" w:type="dxa"/>
            <w:vMerge w:val="restart"/>
          </w:tcPr>
          <w:p>
            <w:pPr>
              <w:pStyle w:val="18"/>
              <w:spacing w:before="55"/>
              <w:ind w:left="111"/>
              <w:jc w:val="left"/>
              <w:rPr>
                <w:rFonts w:ascii="Times New Roman" w:eastAsia="Times New Roman"/>
                <w:b/>
                <w:sz w:val="21"/>
              </w:rPr>
            </w:pPr>
            <w:r>
              <w:rPr>
                <w:b/>
                <w:sz w:val="21"/>
              </w:rPr>
              <w:t>烟气流速</w:t>
            </w:r>
            <w:r>
              <w:rPr>
                <w:rFonts w:ascii="Times New Roman" w:eastAsia="Times New Roman"/>
                <w:b/>
                <w:sz w:val="21"/>
              </w:rPr>
              <w:t>/</w:t>
            </w:r>
          </w:p>
          <w:p>
            <w:pPr>
              <w:pStyle w:val="18"/>
              <w:spacing w:before="42"/>
              <w:ind w:left="195"/>
              <w:jc w:val="left"/>
              <w:rPr>
                <w:b/>
                <w:sz w:val="21"/>
              </w:rPr>
            </w:pPr>
            <w:r>
              <w:rPr>
                <w:b/>
                <w:sz w:val="21"/>
              </w:rPr>
              <w:t>（</w:t>
            </w:r>
            <w:r>
              <w:rPr>
                <w:rFonts w:ascii="Times New Roman" w:eastAsia="Times New Roman"/>
                <w:b/>
                <w:sz w:val="21"/>
              </w:rPr>
              <w:t>m/s</w:t>
            </w:r>
            <w:r>
              <w:rPr>
                <w:b/>
                <w:sz w:val="21"/>
              </w:rPr>
              <w:t>）</w:t>
            </w:r>
          </w:p>
        </w:tc>
        <w:tc>
          <w:tcPr>
            <w:tcW w:w="1047" w:type="dxa"/>
            <w:vMerge w:val="restart"/>
          </w:tcPr>
          <w:p>
            <w:pPr>
              <w:pStyle w:val="18"/>
              <w:spacing w:before="14" w:line="310" w:lineRule="atLeast"/>
              <w:ind w:left="282" w:right="195" w:hanging="75"/>
              <w:jc w:val="left"/>
              <w:rPr>
                <w:b/>
                <w:sz w:val="21"/>
              </w:rPr>
            </w:pPr>
            <w:r>
              <w:rPr>
                <w:b/>
                <w:sz w:val="21"/>
              </w:rPr>
              <w:t>烟气温度</w:t>
            </w:r>
            <w:r>
              <w:rPr>
                <w:rFonts w:ascii="Times New Roman" w:hAnsi="Times New Roman" w:eastAsia="Times New Roman"/>
                <w:b/>
                <w:sz w:val="21"/>
              </w:rPr>
              <w:t>/</w:t>
            </w:r>
            <w:r>
              <w:rPr>
                <w:b/>
                <w:sz w:val="21"/>
              </w:rPr>
              <w:t>℃</w:t>
            </w:r>
          </w:p>
        </w:tc>
        <w:tc>
          <w:tcPr>
            <w:tcW w:w="1149" w:type="dxa"/>
            <w:vMerge w:val="restart"/>
          </w:tcPr>
          <w:p>
            <w:pPr>
              <w:pStyle w:val="18"/>
              <w:spacing w:before="14" w:line="310" w:lineRule="atLeast"/>
              <w:ind w:left="277" w:right="141" w:hanging="125"/>
              <w:jc w:val="left"/>
              <w:rPr>
                <w:rFonts w:ascii="Times New Roman" w:eastAsia="Times New Roman"/>
                <w:b/>
                <w:sz w:val="21"/>
              </w:rPr>
            </w:pPr>
            <w:r>
              <w:rPr>
                <w:b/>
                <w:sz w:val="21"/>
              </w:rPr>
              <w:t>年排放小时数</w:t>
            </w:r>
            <w:r>
              <w:rPr>
                <w:rFonts w:ascii="Times New Roman" w:eastAsia="Times New Roman"/>
                <w:b/>
                <w:sz w:val="21"/>
              </w:rPr>
              <w:t>/h</w:t>
            </w:r>
          </w:p>
        </w:tc>
        <w:tc>
          <w:tcPr>
            <w:tcW w:w="774" w:type="dxa"/>
            <w:vMerge w:val="restart"/>
          </w:tcPr>
          <w:p>
            <w:pPr>
              <w:pStyle w:val="18"/>
              <w:spacing w:before="14" w:line="310" w:lineRule="atLeast"/>
              <w:ind w:left="177" w:right="164"/>
              <w:jc w:val="left"/>
              <w:rPr>
                <w:b/>
                <w:sz w:val="21"/>
              </w:rPr>
            </w:pPr>
            <w:r>
              <w:rPr>
                <w:b/>
                <w:sz w:val="21"/>
              </w:rPr>
              <w:t>排放工况</w:t>
            </w:r>
          </w:p>
        </w:tc>
        <w:tc>
          <w:tcPr>
            <w:tcW w:w="2501" w:type="dxa"/>
            <w:gridSpan w:val="2"/>
          </w:tcPr>
          <w:p>
            <w:pPr>
              <w:pStyle w:val="18"/>
              <w:spacing w:before="35"/>
              <w:ind w:left="111"/>
              <w:jc w:val="left"/>
              <w:rPr>
                <w:b/>
                <w:sz w:val="21"/>
              </w:rPr>
            </w:pPr>
            <w:r>
              <w:rPr>
                <w:b/>
                <w:sz w:val="21"/>
              </w:rPr>
              <w:t>污染物排放速率</w:t>
            </w:r>
            <w:r>
              <w:rPr>
                <w:rFonts w:ascii="Times New Roman" w:eastAsia="Times New Roman"/>
                <w:b/>
                <w:sz w:val="21"/>
              </w:rPr>
              <w:t>/</w:t>
            </w:r>
            <w:r>
              <w:rPr>
                <w:b/>
                <w:sz w:val="21"/>
              </w:rPr>
              <w:t>（</w:t>
            </w:r>
            <w:r>
              <w:rPr>
                <w:rFonts w:ascii="Times New Roman" w:eastAsia="Times New Roman"/>
                <w:b/>
                <w:sz w:val="21"/>
              </w:rPr>
              <w:t>kg/h</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2" w:type="dxa"/>
          </w:tcPr>
          <w:p>
            <w:pPr>
              <w:pStyle w:val="18"/>
              <w:spacing w:before="36"/>
              <w:ind w:left="138" w:right="128"/>
              <w:rPr>
                <w:rFonts w:ascii="Times New Roman" w:eastAsia="Times New Roman"/>
                <w:b/>
                <w:sz w:val="21"/>
              </w:rPr>
            </w:pPr>
            <w:r>
              <w:rPr>
                <w:b/>
                <w:sz w:val="21"/>
              </w:rPr>
              <w:t>高度</w:t>
            </w:r>
            <w:r>
              <w:rPr>
                <w:rFonts w:ascii="Times New Roman" w:eastAsia="Times New Roman"/>
                <w:b/>
                <w:sz w:val="21"/>
              </w:rPr>
              <w:t>/m</w:t>
            </w:r>
          </w:p>
        </w:tc>
        <w:tc>
          <w:tcPr>
            <w:tcW w:w="951" w:type="dxa"/>
          </w:tcPr>
          <w:p>
            <w:pPr>
              <w:pStyle w:val="18"/>
              <w:spacing w:before="36"/>
              <w:ind w:left="126" w:right="119"/>
              <w:rPr>
                <w:rFonts w:ascii="Times New Roman" w:eastAsia="Times New Roman"/>
                <w:b/>
                <w:sz w:val="21"/>
              </w:rPr>
            </w:pPr>
            <w:r>
              <w:rPr>
                <w:b/>
                <w:sz w:val="21"/>
              </w:rPr>
              <w:t>内径</w:t>
            </w:r>
            <w:r>
              <w:rPr>
                <w:rFonts w:ascii="Times New Roman" w:eastAsia="Times New Roman"/>
                <w:b/>
                <w:sz w:val="21"/>
              </w:rPr>
              <w:t>/m</w:t>
            </w:r>
          </w:p>
        </w:tc>
        <w:tc>
          <w:tcPr>
            <w:tcW w:w="1125" w:type="dxa"/>
            <w:vMerge w:val="continue"/>
            <w:tcBorders>
              <w:top w:val="nil"/>
            </w:tcBorders>
          </w:tcPr>
          <w:p>
            <w:pPr>
              <w:rPr>
                <w:sz w:val="2"/>
                <w:szCs w:val="2"/>
              </w:rPr>
            </w:pPr>
          </w:p>
        </w:tc>
        <w:tc>
          <w:tcPr>
            <w:tcW w:w="1047"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774" w:type="dxa"/>
            <w:vMerge w:val="continue"/>
            <w:tcBorders>
              <w:top w:val="nil"/>
            </w:tcBorders>
          </w:tcPr>
          <w:p>
            <w:pPr>
              <w:rPr>
                <w:sz w:val="2"/>
                <w:szCs w:val="2"/>
              </w:rPr>
            </w:pPr>
          </w:p>
        </w:tc>
        <w:tc>
          <w:tcPr>
            <w:tcW w:w="1311" w:type="dxa"/>
          </w:tcPr>
          <w:p>
            <w:pPr>
              <w:pStyle w:val="18"/>
              <w:spacing w:before="46"/>
              <w:ind w:left="292" w:right="282"/>
              <w:rPr>
                <w:rFonts w:ascii="Times New Roman"/>
                <w:b/>
                <w:sz w:val="21"/>
              </w:rPr>
            </w:pPr>
            <w:r>
              <w:rPr>
                <w:rFonts w:ascii="Times New Roman"/>
                <w:b/>
                <w:position w:val="2"/>
                <w:sz w:val="21"/>
              </w:rPr>
              <w:t>NH</w:t>
            </w:r>
            <w:r>
              <w:rPr>
                <w:rFonts w:ascii="Times New Roman"/>
                <w:b/>
                <w:position w:val="2"/>
                <w:sz w:val="21"/>
                <w:vertAlign w:val="subscript"/>
              </w:rPr>
              <w:t>3</w:t>
            </w:r>
          </w:p>
        </w:tc>
        <w:tc>
          <w:tcPr>
            <w:tcW w:w="1190" w:type="dxa"/>
          </w:tcPr>
          <w:p>
            <w:pPr>
              <w:pStyle w:val="18"/>
              <w:spacing w:before="46"/>
              <w:ind w:left="179" w:right="172"/>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2" w:type="dxa"/>
          </w:tcPr>
          <w:p>
            <w:pPr>
              <w:pStyle w:val="18"/>
              <w:spacing w:before="48"/>
              <w:ind w:left="138" w:right="128"/>
              <w:rPr>
                <w:rFonts w:ascii="Times New Roman"/>
                <w:sz w:val="21"/>
              </w:rPr>
            </w:pPr>
            <w:r>
              <w:rPr>
                <w:rFonts w:ascii="Times New Roman"/>
                <w:sz w:val="21"/>
              </w:rPr>
              <w:t>15</w:t>
            </w:r>
          </w:p>
        </w:tc>
        <w:tc>
          <w:tcPr>
            <w:tcW w:w="951" w:type="dxa"/>
          </w:tcPr>
          <w:p>
            <w:pPr>
              <w:pStyle w:val="18"/>
              <w:spacing w:before="48"/>
              <w:ind w:left="126" w:right="119"/>
              <w:rPr>
                <w:rFonts w:ascii="Times New Roman"/>
                <w:sz w:val="21"/>
              </w:rPr>
            </w:pPr>
            <w:r>
              <w:rPr>
                <w:rFonts w:ascii="Times New Roman"/>
                <w:sz w:val="21"/>
              </w:rPr>
              <w:t>0.3</w:t>
            </w:r>
          </w:p>
        </w:tc>
        <w:tc>
          <w:tcPr>
            <w:tcW w:w="1125" w:type="dxa"/>
          </w:tcPr>
          <w:p>
            <w:pPr>
              <w:pStyle w:val="18"/>
              <w:spacing w:before="48"/>
              <w:ind w:left="120" w:right="110"/>
              <w:rPr>
                <w:rFonts w:ascii="Times New Roman"/>
                <w:sz w:val="21"/>
              </w:rPr>
            </w:pPr>
            <w:r>
              <w:rPr>
                <w:rFonts w:ascii="Times New Roman"/>
                <w:sz w:val="21"/>
              </w:rPr>
              <w:t>1.8</w:t>
            </w:r>
          </w:p>
        </w:tc>
        <w:tc>
          <w:tcPr>
            <w:tcW w:w="1047" w:type="dxa"/>
          </w:tcPr>
          <w:p>
            <w:pPr>
              <w:pStyle w:val="18"/>
              <w:spacing w:before="48"/>
              <w:ind w:left="397" w:right="390"/>
              <w:rPr>
                <w:rFonts w:ascii="Times New Roman"/>
                <w:sz w:val="21"/>
              </w:rPr>
            </w:pPr>
            <w:r>
              <w:rPr>
                <w:rFonts w:ascii="Times New Roman"/>
                <w:sz w:val="21"/>
              </w:rPr>
              <w:t>20</w:t>
            </w:r>
          </w:p>
        </w:tc>
        <w:tc>
          <w:tcPr>
            <w:tcW w:w="1149" w:type="dxa"/>
          </w:tcPr>
          <w:p>
            <w:pPr>
              <w:pStyle w:val="18"/>
              <w:spacing w:before="48"/>
              <w:ind w:left="363"/>
              <w:jc w:val="left"/>
              <w:rPr>
                <w:rFonts w:ascii="Times New Roman"/>
                <w:sz w:val="21"/>
              </w:rPr>
            </w:pPr>
            <w:r>
              <w:rPr>
                <w:rFonts w:ascii="Times New Roman"/>
                <w:sz w:val="21"/>
              </w:rPr>
              <w:t>8760</w:t>
            </w:r>
          </w:p>
        </w:tc>
        <w:tc>
          <w:tcPr>
            <w:tcW w:w="774" w:type="dxa"/>
          </w:tcPr>
          <w:p>
            <w:pPr>
              <w:pStyle w:val="18"/>
              <w:spacing w:before="34"/>
              <w:ind w:left="177"/>
              <w:jc w:val="left"/>
              <w:rPr>
                <w:sz w:val="21"/>
              </w:rPr>
            </w:pPr>
            <w:r>
              <w:rPr>
                <w:sz w:val="21"/>
              </w:rPr>
              <w:t>正常</w:t>
            </w:r>
          </w:p>
        </w:tc>
        <w:tc>
          <w:tcPr>
            <w:tcW w:w="1311" w:type="dxa"/>
          </w:tcPr>
          <w:p>
            <w:pPr>
              <w:pStyle w:val="18"/>
              <w:spacing w:before="48"/>
              <w:ind w:left="292" w:right="285"/>
              <w:rPr>
                <w:rFonts w:ascii="Times New Roman"/>
                <w:sz w:val="21"/>
              </w:rPr>
            </w:pPr>
            <w:r>
              <w:rPr>
                <w:rFonts w:ascii="Times New Roman"/>
                <w:sz w:val="21"/>
              </w:rPr>
              <w:t>0.00125</w:t>
            </w:r>
          </w:p>
        </w:tc>
        <w:tc>
          <w:tcPr>
            <w:tcW w:w="1190" w:type="dxa"/>
          </w:tcPr>
          <w:p>
            <w:pPr>
              <w:pStyle w:val="18"/>
              <w:spacing w:before="48"/>
              <w:ind w:left="179" w:right="172"/>
              <w:rPr>
                <w:rFonts w:ascii="Times New Roman"/>
                <w:sz w:val="21"/>
              </w:rPr>
            </w:pPr>
            <w:r>
              <w:rPr>
                <w:rFonts w:ascii="Times New Roman"/>
                <w:sz w:val="21"/>
              </w:rPr>
              <w:t>0.000125</w:t>
            </w:r>
          </w:p>
        </w:tc>
      </w:tr>
    </w:tbl>
    <w:p>
      <w:pPr>
        <w:pStyle w:val="7"/>
        <w:spacing w:before="8"/>
        <w:ind w:left="0"/>
        <w:rPr>
          <w:b/>
          <w:sz w:val="6"/>
        </w:rPr>
      </w:pPr>
    </w:p>
    <w:p>
      <w:pPr>
        <w:tabs>
          <w:tab w:val="left" w:pos="1519"/>
        </w:tabs>
        <w:spacing w:before="74" w:after="3"/>
        <w:ind w:left="0" w:right="23" w:firstLine="0"/>
        <w:jc w:val="center"/>
        <w:rPr>
          <w:b/>
          <w:sz w:val="24"/>
        </w:rPr>
      </w:pPr>
      <w:r>
        <w:rPr>
          <w:rFonts w:hint="eastAsia"/>
          <w:b/>
          <w:sz w:val="24"/>
          <w:lang w:val="en-US" w:eastAsia="zh-CN"/>
        </w:rPr>
        <w:t xml:space="preserve">   </w:t>
      </w:r>
      <w:r>
        <w:rPr>
          <w:b/>
          <w:sz w:val="24"/>
        </w:rPr>
        <w:t>表</w:t>
      </w:r>
      <w:r>
        <w:rPr>
          <w:rFonts w:ascii="Times New Roman" w:eastAsia="Times New Roman"/>
          <w:b/>
          <w:sz w:val="24"/>
        </w:rPr>
        <w:t>5.2-2</w:t>
      </w:r>
      <w:r>
        <w:rPr>
          <w:rFonts w:ascii="Times New Roman" w:eastAsia="Times New Roman"/>
          <w:b/>
          <w:sz w:val="24"/>
        </w:rPr>
        <w:tab/>
      </w:r>
      <w:r>
        <w:rPr>
          <w:b/>
          <w:sz w:val="24"/>
        </w:rPr>
        <w:t>估算模式预测无组织污染浓度所选参数</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732"/>
        <w:gridCol w:w="732"/>
        <w:gridCol w:w="732"/>
        <w:gridCol w:w="735"/>
        <w:gridCol w:w="842"/>
        <w:gridCol w:w="803"/>
        <w:gridCol w:w="677"/>
        <w:gridCol w:w="983"/>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vMerge w:val="restart"/>
          </w:tcPr>
          <w:p>
            <w:pPr>
              <w:pStyle w:val="18"/>
              <w:spacing w:before="124" w:line="213" w:lineRule="auto"/>
              <w:ind w:left="364" w:right="142" w:hanging="212"/>
              <w:jc w:val="left"/>
              <w:rPr>
                <w:b/>
                <w:sz w:val="21"/>
              </w:rPr>
            </w:pPr>
            <w:r>
              <w:rPr>
                <w:b/>
                <w:sz w:val="21"/>
              </w:rPr>
              <w:t>面源名称</w:t>
            </w:r>
          </w:p>
        </w:tc>
        <w:tc>
          <w:tcPr>
            <w:tcW w:w="732" w:type="dxa"/>
            <w:vMerge w:val="restart"/>
          </w:tcPr>
          <w:p>
            <w:pPr>
              <w:pStyle w:val="18"/>
              <w:spacing w:before="4" w:line="213" w:lineRule="auto"/>
              <w:ind w:left="155" w:right="144"/>
              <w:rPr>
                <w:b/>
                <w:sz w:val="21"/>
              </w:rPr>
            </w:pPr>
            <w:r>
              <w:rPr>
                <w:b/>
                <w:spacing w:val="-9"/>
                <w:sz w:val="21"/>
              </w:rPr>
              <w:t>海拔</w:t>
            </w:r>
            <w:r>
              <w:rPr>
                <w:b/>
                <w:spacing w:val="-9"/>
                <w:w w:val="95"/>
                <w:sz w:val="21"/>
              </w:rPr>
              <w:t>高度</w:t>
            </w:r>
          </w:p>
          <w:p>
            <w:pPr>
              <w:pStyle w:val="18"/>
              <w:spacing w:line="217" w:lineRule="exact"/>
              <w:ind w:left="151" w:right="144"/>
              <w:rPr>
                <w:rFonts w:ascii="Times New Roman"/>
                <w:b/>
                <w:sz w:val="21"/>
              </w:rPr>
            </w:pPr>
            <w:r>
              <w:rPr>
                <w:rFonts w:ascii="Times New Roman"/>
                <w:b/>
                <w:sz w:val="21"/>
              </w:rPr>
              <w:t>/m</w:t>
            </w:r>
          </w:p>
        </w:tc>
        <w:tc>
          <w:tcPr>
            <w:tcW w:w="732" w:type="dxa"/>
            <w:vMerge w:val="restart"/>
          </w:tcPr>
          <w:p>
            <w:pPr>
              <w:pStyle w:val="18"/>
              <w:spacing w:before="4" w:line="213" w:lineRule="auto"/>
              <w:ind w:left="155" w:right="144"/>
              <w:rPr>
                <w:b/>
                <w:sz w:val="21"/>
              </w:rPr>
            </w:pPr>
            <w:r>
              <w:rPr>
                <w:b/>
                <w:spacing w:val="-9"/>
                <w:sz w:val="21"/>
              </w:rPr>
              <w:t>面源</w:t>
            </w:r>
            <w:r>
              <w:rPr>
                <w:b/>
                <w:spacing w:val="-9"/>
                <w:w w:val="95"/>
                <w:sz w:val="21"/>
              </w:rPr>
              <w:t>长度</w:t>
            </w:r>
          </w:p>
          <w:p>
            <w:pPr>
              <w:pStyle w:val="18"/>
              <w:spacing w:line="217" w:lineRule="exact"/>
              <w:ind w:left="151" w:right="144"/>
              <w:rPr>
                <w:rFonts w:ascii="Times New Roman"/>
                <w:b/>
                <w:sz w:val="21"/>
              </w:rPr>
            </w:pPr>
            <w:r>
              <w:rPr>
                <w:rFonts w:ascii="Times New Roman"/>
                <w:b/>
                <w:sz w:val="21"/>
              </w:rPr>
              <w:t>/m</w:t>
            </w:r>
          </w:p>
        </w:tc>
        <w:tc>
          <w:tcPr>
            <w:tcW w:w="732" w:type="dxa"/>
            <w:vMerge w:val="restart"/>
          </w:tcPr>
          <w:p>
            <w:pPr>
              <w:pStyle w:val="18"/>
              <w:spacing w:before="4" w:line="213" w:lineRule="auto"/>
              <w:ind w:left="155" w:right="144"/>
              <w:rPr>
                <w:b/>
                <w:sz w:val="21"/>
              </w:rPr>
            </w:pPr>
            <w:r>
              <w:rPr>
                <w:b/>
                <w:spacing w:val="-9"/>
                <w:sz w:val="21"/>
              </w:rPr>
              <w:t>面源</w:t>
            </w:r>
            <w:r>
              <w:rPr>
                <w:b/>
                <w:spacing w:val="-9"/>
                <w:w w:val="95"/>
                <w:sz w:val="21"/>
              </w:rPr>
              <w:t>宽度</w:t>
            </w:r>
          </w:p>
          <w:p>
            <w:pPr>
              <w:pStyle w:val="18"/>
              <w:spacing w:line="217" w:lineRule="exact"/>
              <w:ind w:left="151" w:right="144"/>
              <w:rPr>
                <w:rFonts w:ascii="Times New Roman"/>
                <w:b/>
                <w:sz w:val="21"/>
              </w:rPr>
            </w:pPr>
            <w:r>
              <w:rPr>
                <w:rFonts w:ascii="Times New Roman"/>
                <w:b/>
                <w:sz w:val="21"/>
              </w:rPr>
              <w:t>/m</w:t>
            </w:r>
          </w:p>
        </w:tc>
        <w:tc>
          <w:tcPr>
            <w:tcW w:w="735" w:type="dxa"/>
            <w:vMerge w:val="restart"/>
          </w:tcPr>
          <w:p>
            <w:pPr>
              <w:pStyle w:val="18"/>
              <w:spacing w:before="4" w:line="213" w:lineRule="auto"/>
              <w:ind w:left="157" w:right="145"/>
              <w:jc w:val="left"/>
              <w:rPr>
                <w:b/>
                <w:sz w:val="21"/>
              </w:rPr>
            </w:pPr>
            <w:r>
              <w:rPr>
                <w:b/>
                <w:spacing w:val="-9"/>
                <w:sz w:val="21"/>
              </w:rPr>
              <w:t>与正</w:t>
            </w:r>
            <w:r>
              <w:rPr>
                <w:b/>
                <w:spacing w:val="-9"/>
                <w:w w:val="95"/>
                <w:sz w:val="21"/>
              </w:rPr>
              <w:t>北夹</w:t>
            </w:r>
          </w:p>
          <w:p>
            <w:pPr>
              <w:pStyle w:val="18"/>
              <w:spacing w:line="217" w:lineRule="exact"/>
              <w:ind w:left="191"/>
              <w:jc w:val="left"/>
              <w:rPr>
                <w:rFonts w:ascii="Times New Roman" w:hAnsi="Times New Roman" w:eastAsia="Times New Roman"/>
                <w:b/>
                <w:sz w:val="21"/>
              </w:rPr>
            </w:pPr>
            <w:r>
              <w:rPr>
                <w:b/>
                <w:w w:val="95"/>
                <w:sz w:val="21"/>
              </w:rPr>
              <w:t>角</w:t>
            </w:r>
            <w:r>
              <w:rPr>
                <w:rFonts w:ascii="Times New Roman" w:hAnsi="Times New Roman" w:eastAsia="Times New Roman"/>
                <w:b/>
                <w:w w:val="95"/>
                <w:sz w:val="21"/>
              </w:rPr>
              <w:t>/°</w:t>
            </w:r>
          </w:p>
        </w:tc>
        <w:tc>
          <w:tcPr>
            <w:tcW w:w="842" w:type="dxa"/>
            <w:vMerge w:val="restart"/>
          </w:tcPr>
          <w:p>
            <w:pPr>
              <w:pStyle w:val="18"/>
              <w:spacing w:before="4" w:line="213" w:lineRule="auto"/>
              <w:ind w:left="132" w:right="127"/>
              <w:jc w:val="left"/>
              <w:rPr>
                <w:b/>
                <w:sz w:val="21"/>
              </w:rPr>
            </w:pPr>
            <w:r>
              <w:rPr>
                <w:b/>
                <w:spacing w:val="-5"/>
                <w:w w:val="90"/>
                <w:sz w:val="21"/>
              </w:rPr>
              <w:t>面源初</w:t>
            </w:r>
            <w:r>
              <w:rPr>
                <w:b/>
                <w:spacing w:val="-5"/>
                <w:w w:val="85"/>
                <w:sz w:val="21"/>
              </w:rPr>
              <w:t>始排放</w:t>
            </w:r>
          </w:p>
          <w:p>
            <w:pPr>
              <w:pStyle w:val="18"/>
              <w:spacing w:line="217" w:lineRule="exact"/>
              <w:ind w:left="125"/>
              <w:jc w:val="left"/>
              <w:rPr>
                <w:rFonts w:ascii="Times New Roman" w:eastAsia="Times New Roman"/>
                <w:b/>
                <w:sz w:val="21"/>
              </w:rPr>
            </w:pPr>
            <w:r>
              <w:rPr>
                <w:b/>
                <w:spacing w:val="1"/>
                <w:w w:val="85"/>
                <w:sz w:val="21"/>
              </w:rPr>
              <w:t>高度</w:t>
            </w:r>
            <w:r>
              <w:rPr>
                <w:rFonts w:ascii="Times New Roman" w:eastAsia="Times New Roman"/>
                <w:b/>
                <w:w w:val="85"/>
                <w:sz w:val="21"/>
              </w:rPr>
              <w:t>/m</w:t>
            </w:r>
          </w:p>
        </w:tc>
        <w:tc>
          <w:tcPr>
            <w:tcW w:w="803" w:type="dxa"/>
            <w:vMerge w:val="restart"/>
          </w:tcPr>
          <w:p>
            <w:pPr>
              <w:pStyle w:val="18"/>
              <w:spacing w:before="4" w:line="213" w:lineRule="auto"/>
              <w:ind w:left="114" w:right="107"/>
              <w:rPr>
                <w:b/>
                <w:sz w:val="21"/>
              </w:rPr>
            </w:pPr>
            <w:r>
              <w:rPr>
                <w:b/>
                <w:w w:val="90"/>
                <w:sz w:val="21"/>
              </w:rPr>
              <w:t>年排放小时数</w:t>
            </w:r>
          </w:p>
          <w:p>
            <w:pPr>
              <w:pStyle w:val="18"/>
              <w:spacing w:line="217" w:lineRule="exact"/>
              <w:ind w:left="112" w:right="107"/>
              <w:rPr>
                <w:rFonts w:ascii="Times New Roman"/>
                <w:b/>
                <w:sz w:val="21"/>
              </w:rPr>
            </w:pPr>
            <w:r>
              <w:rPr>
                <w:rFonts w:ascii="Times New Roman"/>
                <w:b/>
                <w:sz w:val="21"/>
              </w:rPr>
              <w:t>/h</w:t>
            </w:r>
          </w:p>
        </w:tc>
        <w:tc>
          <w:tcPr>
            <w:tcW w:w="677" w:type="dxa"/>
            <w:vMerge w:val="restart"/>
          </w:tcPr>
          <w:p>
            <w:pPr>
              <w:pStyle w:val="18"/>
              <w:spacing w:before="124" w:line="213" w:lineRule="auto"/>
              <w:ind w:left="127" w:right="117"/>
              <w:jc w:val="left"/>
              <w:rPr>
                <w:b/>
                <w:sz w:val="21"/>
              </w:rPr>
            </w:pPr>
            <w:r>
              <w:rPr>
                <w:b/>
                <w:sz w:val="21"/>
              </w:rPr>
              <w:t>排放工况</w:t>
            </w:r>
          </w:p>
        </w:tc>
        <w:tc>
          <w:tcPr>
            <w:tcW w:w="2366" w:type="dxa"/>
            <w:gridSpan w:val="2"/>
          </w:tcPr>
          <w:p>
            <w:pPr>
              <w:pStyle w:val="18"/>
              <w:spacing w:before="31"/>
              <w:ind w:left="112" w:right="-15"/>
              <w:jc w:val="left"/>
              <w:rPr>
                <w:b/>
                <w:sz w:val="21"/>
              </w:rPr>
            </w:pPr>
            <w:r>
              <w:rPr>
                <w:b/>
                <w:spacing w:val="-5"/>
                <w:w w:val="99"/>
                <w:sz w:val="21"/>
              </w:rPr>
              <w:t>污染物排放速率</w:t>
            </w:r>
            <w:r>
              <w:rPr>
                <w:b/>
                <w:spacing w:val="-171"/>
                <w:w w:val="99"/>
                <w:sz w:val="21"/>
              </w:rPr>
              <w:t>（</w:t>
            </w:r>
            <w:r>
              <w:rPr>
                <w:rFonts w:ascii="Times New Roman" w:eastAsia="Times New Roman"/>
                <w:b/>
                <w:w w:val="99"/>
                <w:sz w:val="21"/>
              </w:rPr>
              <w:t>/</w:t>
            </w:r>
            <w:r>
              <w:rPr>
                <w:rFonts w:ascii="Times New Roman" w:eastAsia="Times New Roman"/>
                <w:b/>
                <w:spacing w:val="-2"/>
                <w:w w:val="99"/>
                <w:sz w:val="21"/>
              </w:rPr>
              <w:t>k</w:t>
            </w:r>
            <w:r>
              <w:rPr>
                <w:rFonts w:ascii="Times New Roman" w:eastAsia="Times New Roman"/>
                <w:b/>
                <w:spacing w:val="1"/>
                <w:w w:val="99"/>
                <w:sz w:val="21"/>
              </w:rPr>
              <w:t>g</w:t>
            </w:r>
            <w:r>
              <w:rPr>
                <w:rFonts w:ascii="Times New Roman" w:eastAsia="Times New Roman"/>
                <w:b/>
                <w:spacing w:val="-1"/>
                <w:w w:val="99"/>
                <w:sz w:val="21"/>
              </w:rPr>
              <w:t>/</w:t>
            </w:r>
            <w:r>
              <w:rPr>
                <w:rFonts w:ascii="Times New Roman" w:eastAsia="Times New Roman"/>
                <w:b/>
                <w:spacing w:val="1"/>
                <w:w w:val="99"/>
                <w:sz w:val="21"/>
              </w:rPr>
              <w:t>h</w:t>
            </w:r>
            <w:r>
              <w:rPr>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9"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842" w:type="dxa"/>
            <w:vMerge w:val="continue"/>
            <w:tcBorders>
              <w:top w:val="nil"/>
            </w:tcBorders>
          </w:tcPr>
          <w:p>
            <w:pPr>
              <w:rPr>
                <w:sz w:val="2"/>
                <w:szCs w:val="2"/>
              </w:rPr>
            </w:pPr>
          </w:p>
        </w:tc>
        <w:tc>
          <w:tcPr>
            <w:tcW w:w="803" w:type="dxa"/>
            <w:vMerge w:val="continue"/>
            <w:tcBorders>
              <w:top w:val="nil"/>
            </w:tcBorders>
          </w:tcPr>
          <w:p>
            <w:pPr>
              <w:rPr>
                <w:sz w:val="2"/>
                <w:szCs w:val="2"/>
              </w:rPr>
            </w:pPr>
          </w:p>
        </w:tc>
        <w:tc>
          <w:tcPr>
            <w:tcW w:w="677" w:type="dxa"/>
            <w:vMerge w:val="continue"/>
            <w:tcBorders>
              <w:top w:val="nil"/>
            </w:tcBorders>
          </w:tcPr>
          <w:p>
            <w:pPr>
              <w:rPr>
                <w:sz w:val="2"/>
                <w:szCs w:val="2"/>
              </w:rPr>
            </w:pPr>
          </w:p>
        </w:tc>
        <w:tc>
          <w:tcPr>
            <w:tcW w:w="983" w:type="dxa"/>
          </w:tcPr>
          <w:p>
            <w:pPr>
              <w:pStyle w:val="18"/>
              <w:spacing w:before="57"/>
              <w:ind w:left="181" w:right="172"/>
              <w:rPr>
                <w:rFonts w:ascii="Times New Roman"/>
                <w:b/>
                <w:sz w:val="21"/>
              </w:rPr>
            </w:pPr>
            <w:r>
              <w:rPr>
                <w:rFonts w:ascii="Times New Roman"/>
                <w:b/>
                <w:position w:val="2"/>
                <w:sz w:val="21"/>
              </w:rPr>
              <w:t>NH</w:t>
            </w:r>
            <w:r>
              <w:rPr>
                <w:rFonts w:ascii="Times New Roman"/>
                <w:b/>
                <w:position w:val="2"/>
                <w:sz w:val="21"/>
                <w:vertAlign w:val="subscript"/>
              </w:rPr>
              <w:t>3</w:t>
            </w:r>
          </w:p>
        </w:tc>
        <w:tc>
          <w:tcPr>
            <w:tcW w:w="1383" w:type="dxa"/>
          </w:tcPr>
          <w:p>
            <w:pPr>
              <w:pStyle w:val="18"/>
              <w:spacing w:before="62"/>
              <w:ind w:left="328" w:right="319"/>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tcPr>
          <w:p>
            <w:pPr>
              <w:pStyle w:val="18"/>
              <w:spacing w:before="36"/>
              <w:ind w:left="132" w:right="126"/>
              <w:rPr>
                <w:sz w:val="21"/>
              </w:rPr>
            </w:pPr>
            <w:r>
              <w:rPr>
                <w:sz w:val="21"/>
              </w:rPr>
              <w:t>羊舍</w:t>
            </w:r>
          </w:p>
        </w:tc>
        <w:tc>
          <w:tcPr>
            <w:tcW w:w="732" w:type="dxa"/>
          </w:tcPr>
          <w:p>
            <w:pPr>
              <w:pStyle w:val="18"/>
              <w:spacing w:before="50"/>
              <w:ind w:left="9"/>
              <w:rPr>
                <w:rFonts w:ascii="Times New Roman"/>
                <w:sz w:val="21"/>
              </w:rPr>
            </w:pPr>
            <w:r>
              <w:rPr>
                <w:rFonts w:ascii="Times New Roman"/>
                <w:w w:val="99"/>
                <w:sz w:val="21"/>
              </w:rPr>
              <w:t>0</w:t>
            </w:r>
          </w:p>
        </w:tc>
        <w:tc>
          <w:tcPr>
            <w:tcW w:w="732" w:type="dxa"/>
          </w:tcPr>
          <w:p>
            <w:pPr>
              <w:pStyle w:val="18"/>
              <w:spacing w:before="50"/>
              <w:ind w:left="207"/>
              <w:jc w:val="left"/>
              <w:rPr>
                <w:rFonts w:ascii="Times New Roman"/>
                <w:sz w:val="21"/>
              </w:rPr>
            </w:pPr>
            <w:r>
              <w:rPr>
                <w:rFonts w:ascii="Times New Roman"/>
                <w:sz w:val="21"/>
              </w:rPr>
              <w:t>631</w:t>
            </w:r>
          </w:p>
        </w:tc>
        <w:tc>
          <w:tcPr>
            <w:tcW w:w="732" w:type="dxa"/>
          </w:tcPr>
          <w:p>
            <w:pPr>
              <w:pStyle w:val="18"/>
              <w:spacing w:before="50"/>
              <w:ind w:left="153" w:right="144"/>
              <w:rPr>
                <w:rFonts w:ascii="Times New Roman"/>
                <w:sz w:val="21"/>
              </w:rPr>
            </w:pPr>
            <w:r>
              <w:rPr>
                <w:rFonts w:ascii="Times New Roman"/>
                <w:sz w:val="21"/>
              </w:rPr>
              <w:t>437</w:t>
            </w:r>
          </w:p>
        </w:tc>
        <w:tc>
          <w:tcPr>
            <w:tcW w:w="735" w:type="dxa"/>
          </w:tcPr>
          <w:p>
            <w:pPr>
              <w:pStyle w:val="18"/>
              <w:spacing w:before="50"/>
              <w:ind w:left="6"/>
              <w:rPr>
                <w:rFonts w:ascii="Times New Roman"/>
                <w:sz w:val="21"/>
              </w:rPr>
            </w:pPr>
            <w:r>
              <w:rPr>
                <w:rFonts w:ascii="Times New Roman"/>
                <w:w w:val="99"/>
                <w:sz w:val="21"/>
              </w:rPr>
              <w:t>0</w:t>
            </w:r>
          </w:p>
        </w:tc>
        <w:tc>
          <w:tcPr>
            <w:tcW w:w="842" w:type="dxa"/>
          </w:tcPr>
          <w:p>
            <w:pPr>
              <w:pStyle w:val="18"/>
              <w:spacing w:before="50"/>
              <w:ind w:left="368"/>
              <w:jc w:val="left"/>
              <w:rPr>
                <w:rFonts w:ascii="Times New Roman"/>
                <w:sz w:val="21"/>
              </w:rPr>
            </w:pPr>
            <w:r>
              <w:rPr>
                <w:rFonts w:ascii="Times New Roman"/>
                <w:w w:val="99"/>
                <w:sz w:val="21"/>
              </w:rPr>
              <w:t>8</w:t>
            </w:r>
          </w:p>
        </w:tc>
        <w:tc>
          <w:tcPr>
            <w:tcW w:w="803" w:type="dxa"/>
          </w:tcPr>
          <w:p>
            <w:pPr>
              <w:pStyle w:val="18"/>
              <w:spacing w:before="50"/>
              <w:ind w:left="114" w:right="104"/>
              <w:rPr>
                <w:rFonts w:ascii="Times New Roman"/>
                <w:sz w:val="21"/>
              </w:rPr>
            </w:pPr>
            <w:r>
              <w:rPr>
                <w:rFonts w:ascii="Times New Roman"/>
                <w:sz w:val="21"/>
              </w:rPr>
              <w:t>8760</w:t>
            </w:r>
          </w:p>
        </w:tc>
        <w:tc>
          <w:tcPr>
            <w:tcW w:w="677" w:type="dxa"/>
          </w:tcPr>
          <w:p>
            <w:pPr>
              <w:pStyle w:val="18"/>
              <w:spacing w:before="36"/>
              <w:ind w:left="106" w:right="101"/>
              <w:rPr>
                <w:sz w:val="21"/>
              </w:rPr>
            </w:pPr>
            <w:r>
              <w:rPr>
                <w:sz w:val="21"/>
              </w:rPr>
              <w:t>正常</w:t>
            </w:r>
          </w:p>
        </w:tc>
        <w:tc>
          <w:tcPr>
            <w:tcW w:w="983" w:type="dxa"/>
          </w:tcPr>
          <w:p>
            <w:pPr>
              <w:pStyle w:val="18"/>
              <w:spacing w:before="50"/>
              <w:ind w:left="183" w:right="172"/>
              <w:rPr>
                <w:rFonts w:ascii="Times New Roman"/>
                <w:sz w:val="21"/>
              </w:rPr>
            </w:pPr>
            <w:r>
              <w:rPr>
                <w:rFonts w:ascii="Times New Roman"/>
                <w:sz w:val="21"/>
              </w:rPr>
              <w:t>0.0306</w:t>
            </w:r>
          </w:p>
        </w:tc>
        <w:tc>
          <w:tcPr>
            <w:tcW w:w="1383" w:type="dxa"/>
          </w:tcPr>
          <w:p>
            <w:pPr>
              <w:pStyle w:val="18"/>
              <w:spacing w:before="50"/>
              <w:ind w:left="328" w:right="321"/>
              <w:rPr>
                <w:rFonts w:ascii="Times New Roman"/>
                <w:sz w:val="21"/>
              </w:rPr>
            </w:pPr>
            <w:r>
              <w:rPr>
                <w:rFonts w:ascii="Times New Roman"/>
                <w:sz w:val="21"/>
              </w:rPr>
              <w:t>0.00306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tcPr>
          <w:p>
            <w:pPr>
              <w:pStyle w:val="18"/>
              <w:spacing w:before="34"/>
              <w:ind w:left="132" w:right="126"/>
              <w:rPr>
                <w:sz w:val="21"/>
              </w:rPr>
            </w:pPr>
            <w:r>
              <w:rPr>
                <w:sz w:val="21"/>
              </w:rPr>
              <w:t>堆肥厂</w:t>
            </w:r>
          </w:p>
        </w:tc>
        <w:tc>
          <w:tcPr>
            <w:tcW w:w="732" w:type="dxa"/>
          </w:tcPr>
          <w:p>
            <w:pPr>
              <w:pStyle w:val="18"/>
              <w:spacing w:before="48"/>
              <w:ind w:left="9"/>
              <w:rPr>
                <w:rFonts w:ascii="Times New Roman"/>
                <w:sz w:val="21"/>
              </w:rPr>
            </w:pPr>
            <w:r>
              <w:rPr>
                <w:rFonts w:ascii="Times New Roman"/>
                <w:w w:val="99"/>
                <w:sz w:val="21"/>
              </w:rPr>
              <w:t>0</w:t>
            </w:r>
          </w:p>
        </w:tc>
        <w:tc>
          <w:tcPr>
            <w:tcW w:w="732" w:type="dxa"/>
          </w:tcPr>
          <w:p>
            <w:pPr>
              <w:pStyle w:val="18"/>
              <w:spacing w:before="48"/>
              <w:ind w:left="260"/>
              <w:jc w:val="left"/>
              <w:rPr>
                <w:rFonts w:ascii="Times New Roman"/>
                <w:sz w:val="21"/>
              </w:rPr>
            </w:pPr>
            <w:r>
              <w:rPr>
                <w:rFonts w:ascii="Times New Roman"/>
                <w:sz w:val="21"/>
              </w:rPr>
              <w:t>80</w:t>
            </w:r>
          </w:p>
        </w:tc>
        <w:tc>
          <w:tcPr>
            <w:tcW w:w="732" w:type="dxa"/>
          </w:tcPr>
          <w:p>
            <w:pPr>
              <w:pStyle w:val="18"/>
              <w:spacing w:before="48"/>
              <w:ind w:left="153" w:right="144"/>
              <w:rPr>
                <w:rFonts w:ascii="Times New Roman"/>
                <w:sz w:val="21"/>
              </w:rPr>
            </w:pPr>
            <w:r>
              <w:rPr>
                <w:rFonts w:ascii="Times New Roman"/>
                <w:sz w:val="21"/>
              </w:rPr>
              <w:t>50</w:t>
            </w:r>
          </w:p>
        </w:tc>
        <w:tc>
          <w:tcPr>
            <w:tcW w:w="735" w:type="dxa"/>
          </w:tcPr>
          <w:p>
            <w:pPr>
              <w:pStyle w:val="18"/>
              <w:spacing w:before="48"/>
              <w:ind w:left="6"/>
              <w:rPr>
                <w:rFonts w:ascii="Times New Roman"/>
                <w:sz w:val="21"/>
              </w:rPr>
            </w:pPr>
            <w:r>
              <w:rPr>
                <w:rFonts w:ascii="Times New Roman"/>
                <w:w w:val="99"/>
                <w:sz w:val="21"/>
              </w:rPr>
              <w:t>0</w:t>
            </w:r>
          </w:p>
        </w:tc>
        <w:tc>
          <w:tcPr>
            <w:tcW w:w="842" w:type="dxa"/>
          </w:tcPr>
          <w:p>
            <w:pPr>
              <w:pStyle w:val="18"/>
              <w:spacing w:before="48"/>
              <w:ind w:left="368"/>
              <w:jc w:val="left"/>
              <w:rPr>
                <w:rFonts w:ascii="Times New Roman"/>
                <w:sz w:val="21"/>
              </w:rPr>
            </w:pPr>
            <w:r>
              <w:rPr>
                <w:rFonts w:ascii="Times New Roman"/>
                <w:w w:val="99"/>
                <w:sz w:val="21"/>
              </w:rPr>
              <w:t>8</w:t>
            </w:r>
          </w:p>
        </w:tc>
        <w:tc>
          <w:tcPr>
            <w:tcW w:w="803" w:type="dxa"/>
          </w:tcPr>
          <w:p>
            <w:pPr>
              <w:pStyle w:val="18"/>
              <w:spacing w:before="48"/>
              <w:ind w:left="114" w:right="104"/>
              <w:rPr>
                <w:rFonts w:ascii="Times New Roman"/>
                <w:sz w:val="21"/>
              </w:rPr>
            </w:pPr>
            <w:r>
              <w:rPr>
                <w:rFonts w:ascii="Times New Roman"/>
                <w:sz w:val="21"/>
              </w:rPr>
              <w:t>8760</w:t>
            </w:r>
          </w:p>
        </w:tc>
        <w:tc>
          <w:tcPr>
            <w:tcW w:w="677" w:type="dxa"/>
          </w:tcPr>
          <w:p>
            <w:pPr>
              <w:pStyle w:val="18"/>
              <w:spacing w:before="34"/>
              <w:ind w:left="106" w:right="101"/>
              <w:rPr>
                <w:sz w:val="21"/>
              </w:rPr>
            </w:pPr>
            <w:r>
              <w:rPr>
                <w:sz w:val="21"/>
              </w:rPr>
              <w:t>正常</w:t>
            </w:r>
          </w:p>
        </w:tc>
        <w:tc>
          <w:tcPr>
            <w:tcW w:w="983" w:type="dxa"/>
          </w:tcPr>
          <w:p>
            <w:pPr>
              <w:pStyle w:val="18"/>
              <w:spacing w:before="48"/>
              <w:ind w:left="183" w:right="172"/>
              <w:rPr>
                <w:rFonts w:ascii="Times New Roman"/>
                <w:sz w:val="21"/>
              </w:rPr>
            </w:pPr>
            <w:r>
              <w:rPr>
                <w:rFonts w:ascii="Times New Roman"/>
                <w:sz w:val="21"/>
              </w:rPr>
              <w:t>0.0026</w:t>
            </w:r>
          </w:p>
        </w:tc>
        <w:tc>
          <w:tcPr>
            <w:tcW w:w="1383" w:type="dxa"/>
          </w:tcPr>
          <w:p>
            <w:pPr>
              <w:pStyle w:val="18"/>
              <w:spacing w:before="48"/>
              <w:ind w:left="328" w:right="321"/>
              <w:rPr>
                <w:rFonts w:ascii="Times New Roman"/>
                <w:sz w:val="21"/>
              </w:rPr>
            </w:pPr>
            <w:r>
              <w:rPr>
                <w:rFonts w:ascii="Times New Roman"/>
                <w:sz w:val="21"/>
              </w:rPr>
              <w:t>0.00216</w:t>
            </w:r>
          </w:p>
        </w:tc>
      </w:tr>
    </w:tbl>
    <w:p>
      <w:pPr>
        <w:pStyle w:val="7"/>
        <w:spacing w:before="1"/>
        <w:ind w:left="0"/>
        <w:rPr>
          <w:b/>
          <w:sz w:val="19"/>
        </w:rPr>
      </w:pPr>
    </w:p>
    <w:p>
      <w:pPr>
        <w:pStyle w:val="17"/>
        <w:numPr>
          <w:ilvl w:val="3"/>
          <w:numId w:val="49"/>
        </w:numPr>
        <w:tabs>
          <w:tab w:val="left" w:pos="1320"/>
        </w:tabs>
        <w:spacing w:before="0" w:after="0" w:line="240" w:lineRule="auto"/>
        <w:ind w:left="1320" w:right="0" w:hanging="780"/>
        <w:jc w:val="both"/>
        <w:rPr>
          <w:sz w:val="24"/>
        </w:rPr>
      </w:pPr>
      <w:bookmarkStart w:id="289" w:name="5.2.1.2 大气污染物预测结果及分析"/>
      <w:bookmarkEnd w:id="289"/>
      <w:bookmarkStart w:id="290" w:name="5.2.1.2 大气污染物预测结果及分析"/>
      <w:bookmarkEnd w:id="290"/>
      <w:r>
        <w:rPr>
          <w:sz w:val="24"/>
        </w:rPr>
        <w:t>大气污染物预测结果及分析</w:t>
      </w:r>
    </w:p>
    <w:p>
      <w:pPr>
        <w:pStyle w:val="7"/>
        <w:spacing w:before="168" w:line="364" w:lineRule="auto"/>
        <w:ind w:right="577" w:firstLine="482"/>
        <w:jc w:val="both"/>
      </w:pPr>
      <w:r>
        <w:rPr>
          <w:spacing w:val="-5"/>
        </w:rPr>
        <w:t>根据估算模式预测软件的计算结果对硫化氢和氨气的环境影响进行分析。分</w:t>
      </w:r>
      <w:r>
        <w:rPr>
          <w:spacing w:val="-11"/>
        </w:rPr>
        <w:t>析结果见表</w:t>
      </w:r>
      <w:r>
        <w:rPr>
          <w:rFonts w:ascii="Times New Roman" w:eastAsia="Times New Roman"/>
        </w:rPr>
        <w:t>5.2-3</w:t>
      </w:r>
      <w:r>
        <w:rPr>
          <w:spacing w:val="-20"/>
        </w:rPr>
        <w:t>和表</w:t>
      </w:r>
      <w:r>
        <w:rPr>
          <w:rFonts w:ascii="Times New Roman" w:eastAsia="Times New Roman"/>
        </w:rPr>
        <w:t>5.2-4</w:t>
      </w:r>
      <w:r>
        <w:t>。</w:t>
      </w:r>
    </w:p>
    <w:p>
      <w:pPr>
        <w:pStyle w:val="7"/>
        <w:spacing w:line="364" w:lineRule="auto"/>
        <w:ind w:right="575" w:firstLine="480"/>
        <w:jc w:val="both"/>
        <w:rPr>
          <w:color w:val="0000FF"/>
        </w:rPr>
      </w:pPr>
      <w:r>
        <w:rPr>
          <w:color w:val="0000FF"/>
          <w:spacing w:val="-7"/>
          <w:position w:val="2"/>
        </w:rPr>
        <w:t>以上统计结果表明，本项目各排污单元</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2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5"/>
          <w:position w:val="2"/>
          <w:vertAlign w:val="baseline"/>
        </w:rPr>
        <w:t>厂界臭气浓度满足《恶臭</w:t>
      </w:r>
      <w:r>
        <w:rPr>
          <w:color w:val="0000FF"/>
          <w:spacing w:val="-10"/>
          <w:vertAlign w:val="baseline"/>
        </w:rPr>
        <w:t>污染物排放标准》表</w:t>
      </w:r>
      <w:r>
        <w:rPr>
          <w:rFonts w:ascii="Times New Roman" w:eastAsia="Times New Roman"/>
          <w:color w:val="0000FF"/>
          <w:vertAlign w:val="baseline"/>
        </w:rPr>
        <w:t>1</w:t>
      </w:r>
      <w:r>
        <w:rPr>
          <w:color w:val="0000FF"/>
          <w:spacing w:val="-6"/>
          <w:vertAlign w:val="baseline"/>
        </w:rPr>
        <w:t>恶臭污染物厂界标准值，排气筒满足《恶臭污染物排放标</w:t>
      </w:r>
      <w:r>
        <w:rPr>
          <w:color w:val="0000FF"/>
          <w:spacing w:val="-24"/>
          <w:vertAlign w:val="baseline"/>
        </w:rPr>
        <w:t>准》表</w:t>
      </w:r>
      <w:r>
        <w:rPr>
          <w:rFonts w:ascii="Times New Roman" w:eastAsia="Times New Roman"/>
          <w:color w:val="0000FF"/>
          <w:vertAlign w:val="baseline"/>
        </w:rPr>
        <w:t>2</w:t>
      </w:r>
      <w:r>
        <w:rPr>
          <w:color w:val="0000FF"/>
          <w:spacing w:val="-11"/>
          <w:vertAlign w:val="baseline"/>
        </w:rPr>
        <w:t>二级标准，对环境影响较小。距离本项目最近的居民区为</w:t>
      </w:r>
      <w:r>
        <w:rPr>
          <w:rFonts w:hint="eastAsia"/>
          <w:color w:val="0000FF"/>
          <w:spacing w:val="-11"/>
          <w:vertAlign w:val="baseline"/>
          <w:lang w:val="en-US" w:eastAsia="zh-CN"/>
        </w:rPr>
        <w:t>南</w:t>
      </w:r>
      <w:r>
        <w:rPr>
          <w:color w:val="0000FF"/>
          <w:spacing w:val="-11"/>
          <w:vertAlign w:val="baseline"/>
        </w:rPr>
        <w:t>侧</w:t>
      </w:r>
      <w:r>
        <w:rPr>
          <w:rFonts w:hint="eastAsia"/>
          <w:color w:val="0000FF"/>
          <w:spacing w:val="-11"/>
          <w:vertAlign w:val="baseline"/>
          <w:lang w:val="en-US" w:eastAsia="zh-CN"/>
        </w:rPr>
        <w:t>2</w:t>
      </w:r>
      <w:r>
        <w:rPr>
          <w:rFonts w:ascii="Times New Roman" w:eastAsia="Times New Roman"/>
          <w:color w:val="0000FF"/>
          <w:vertAlign w:val="baseline"/>
        </w:rPr>
        <w:t>km</w:t>
      </w:r>
      <w:r>
        <w:rPr>
          <w:color w:val="0000FF"/>
          <w:spacing w:val="-16"/>
          <w:vertAlign w:val="baseline"/>
        </w:rPr>
        <w:t>处</w:t>
      </w:r>
      <w:r>
        <w:rPr>
          <w:color w:val="0000FF"/>
          <w:spacing w:val="-8"/>
          <w:vertAlign w:val="baseline"/>
        </w:rPr>
        <w:t>的</w:t>
      </w:r>
      <w:r>
        <w:rPr>
          <w:rFonts w:hint="eastAsia"/>
          <w:color w:val="0000FF"/>
          <w:spacing w:val="-8"/>
          <w:vertAlign w:val="baseline"/>
          <w:lang w:val="en-US" w:eastAsia="zh-CN"/>
        </w:rPr>
        <w:t>托万巴格托格克拉村</w:t>
      </w:r>
      <w:r>
        <w:rPr>
          <w:color w:val="0000FF"/>
          <w:spacing w:val="-8"/>
          <w:vertAlign w:val="baseline"/>
        </w:rPr>
        <w:t>，处于项目区上风向，距离较远，本项目产生的粉尘、恶臭等</w:t>
      </w:r>
      <w:r>
        <w:rPr>
          <w:color w:val="0000FF"/>
          <w:vertAlign w:val="baseline"/>
        </w:rPr>
        <w:t>污染物对其影响甚微。</w:t>
      </w:r>
    </w:p>
    <w:p>
      <w:pPr>
        <w:pStyle w:val="17"/>
        <w:numPr>
          <w:ilvl w:val="3"/>
          <w:numId w:val="49"/>
        </w:numPr>
        <w:tabs>
          <w:tab w:val="left" w:pos="1320"/>
        </w:tabs>
        <w:spacing w:before="9" w:after="0" w:line="240" w:lineRule="auto"/>
        <w:ind w:left="1320" w:right="0" w:hanging="780"/>
        <w:jc w:val="both"/>
        <w:rPr>
          <w:sz w:val="24"/>
        </w:rPr>
      </w:pPr>
      <w:bookmarkStart w:id="291" w:name="5.2.1.3 大气环境防护距离分析"/>
      <w:bookmarkEnd w:id="291"/>
      <w:bookmarkStart w:id="292" w:name="5.2.1.3 大气环境防护距离分析"/>
      <w:bookmarkEnd w:id="292"/>
      <w:r>
        <w:rPr>
          <w:sz w:val="24"/>
        </w:rPr>
        <w:t>大气环境防护距离分析</w:t>
      </w:r>
    </w:p>
    <w:p>
      <w:pPr>
        <w:pStyle w:val="7"/>
        <w:spacing w:before="168" w:line="364" w:lineRule="auto"/>
        <w:ind w:right="457" w:firstLine="480"/>
        <w:jc w:val="both"/>
      </w:pPr>
      <w:r>
        <w:t>根据《环境影响评价技术导则</w:t>
      </w:r>
      <w:r>
        <w:rPr>
          <w:rFonts w:ascii="Times New Roman" w:hAnsi="Times New Roman" w:eastAsia="Times New Roman"/>
        </w:rPr>
        <w:t>·</w:t>
      </w:r>
      <w:r>
        <w:t>大气环境》（</w:t>
      </w:r>
      <w:r>
        <w:rPr>
          <w:rFonts w:ascii="Times New Roman" w:hAnsi="Times New Roman" w:eastAsia="Times New Roman"/>
        </w:rPr>
        <w:t>HJ 2.2-2018</w:t>
      </w:r>
      <w:r>
        <w:t>）规定，本项目为</w:t>
      </w:r>
      <w:r>
        <w:rPr>
          <w:spacing w:val="-16"/>
        </w:rPr>
        <w:t>大气环境二级评价，不进行进一步预测与评价，因此本项目不设置大气防护距离。</w:t>
      </w:r>
    </w:p>
    <w:p>
      <w:pPr>
        <w:pStyle w:val="17"/>
        <w:numPr>
          <w:ilvl w:val="3"/>
          <w:numId w:val="49"/>
        </w:numPr>
        <w:tabs>
          <w:tab w:val="left" w:pos="1320"/>
        </w:tabs>
        <w:spacing w:before="8" w:after="0" w:line="240" w:lineRule="auto"/>
        <w:ind w:left="1320" w:right="0" w:hanging="780"/>
        <w:jc w:val="both"/>
        <w:rPr>
          <w:sz w:val="24"/>
        </w:rPr>
      </w:pPr>
      <w:bookmarkStart w:id="293" w:name="5.2.1.4 卫生防护距离确定"/>
      <w:bookmarkEnd w:id="293"/>
      <w:bookmarkStart w:id="294" w:name="5.2.1.4 卫生防护距离确定"/>
      <w:bookmarkEnd w:id="294"/>
      <w:r>
        <w:rPr>
          <w:sz w:val="24"/>
        </w:rPr>
        <w:t>卫生防护距离确定</w:t>
      </w:r>
    </w:p>
    <w:p>
      <w:pPr>
        <w:pStyle w:val="7"/>
        <w:spacing w:before="168" w:line="364" w:lineRule="auto"/>
        <w:ind w:right="577" w:firstLine="480"/>
        <w:jc w:val="both"/>
      </w:pPr>
      <w:r>
        <w:t>依照《畜禽养殖业污染防治技术规范》（</w:t>
      </w:r>
      <w:r>
        <w:rPr>
          <w:rFonts w:ascii="Times New Roman" w:eastAsia="Times New Roman"/>
        </w:rPr>
        <w:t>HJ/T81-2001</w:t>
      </w:r>
      <w:r>
        <w:t>）相关规定，新建畜</w:t>
      </w:r>
      <w:r>
        <w:rPr>
          <w:spacing w:val="-5"/>
        </w:rPr>
        <w:t>禽养殖场应建设在禁建区常年主导风向的下风向或侧风向，场界与禁建区边界距</w:t>
      </w:r>
      <w:r>
        <w:t>离不得小于</w:t>
      </w:r>
      <w:r>
        <w:rPr>
          <w:rFonts w:ascii="Times New Roman" w:eastAsia="Times New Roman"/>
        </w:rPr>
        <w:t>500m</w:t>
      </w:r>
      <w:r>
        <w:t>的规定。因此，该项目卫生防护距离设置为</w:t>
      </w:r>
      <w:r>
        <w:rPr>
          <w:rFonts w:ascii="Times New Roman" w:eastAsia="Times New Roman"/>
        </w:rPr>
        <w:t>500m</w:t>
      </w:r>
      <w:r>
        <w:t>。</w:t>
      </w:r>
    </w:p>
    <w:p>
      <w:pPr>
        <w:pStyle w:val="7"/>
        <w:spacing w:before="2" w:line="364" w:lineRule="auto"/>
        <w:ind w:right="659" w:firstLine="480"/>
      </w:pPr>
      <w:r>
        <w:t>根据现场调查，项目区养殖场边界周围</w:t>
      </w:r>
      <w:r>
        <w:rPr>
          <w:rFonts w:ascii="Times New Roman" w:eastAsia="Times New Roman"/>
        </w:rPr>
        <w:t>500m</w:t>
      </w:r>
      <w:r>
        <w:t>范围内无《畜禽养殖业污染防治技术规范》中的禁止区域，项目场址可以满足卫生防护距离的要求。</w:t>
      </w:r>
    </w:p>
    <w:p>
      <w:pPr>
        <w:spacing w:after="0" w:line="364" w:lineRule="auto"/>
        <w:sectPr>
          <w:footerReference r:id="rId17"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5"/>
        <w:ind w:left="0"/>
        <w:rPr>
          <w:sz w:val="11"/>
        </w:rPr>
      </w:pPr>
      <w:r>
        <w:drawing>
          <wp:anchor distT="0" distB="0" distL="0" distR="0" simplePos="0" relativeHeight="232322048" behindDoc="1" locked="0" layoutInCell="1" allowOverlap="1">
            <wp:simplePos x="0" y="0"/>
            <wp:positionH relativeFrom="page">
              <wp:posOffset>3070860</wp:posOffset>
            </wp:positionH>
            <wp:positionV relativeFrom="page">
              <wp:posOffset>5292725</wp:posOffset>
            </wp:positionV>
            <wp:extent cx="320040" cy="173990"/>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3072" behindDoc="1" locked="0" layoutInCell="1" allowOverlap="1">
            <wp:simplePos x="0" y="0"/>
            <wp:positionH relativeFrom="page">
              <wp:posOffset>4993640</wp:posOffset>
            </wp:positionH>
            <wp:positionV relativeFrom="page">
              <wp:posOffset>5292725</wp:posOffset>
            </wp:positionV>
            <wp:extent cx="320040" cy="173990"/>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4096" behindDoc="1" locked="0" layoutInCell="1" allowOverlap="1">
            <wp:simplePos x="0" y="0"/>
            <wp:positionH relativeFrom="page">
              <wp:posOffset>5202555</wp:posOffset>
            </wp:positionH>
            <wp:positionV relativeFrom="page">
              <wp:posOffset>5597525</wp:posOffset>
            </wp:positionV>
            <wp:extent cx="320040" cy="17399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5120" behindDoc="1" locked="0" layoutInCell="1" allowOverlap="1">
            <wp:simplePos x="0" y="0"/>
            <wp:positionH relativeFrom="page">
              <wp:posOffset>3628390</wp:posOffset>
            </wp:positionH>
            <wp:positionV relativeFrom="page">
              <wp:posOffset>5844540</wp:posOffset>
            </wp:positionV>
            <wp:extent cx="320040" cy="17399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6144" behindDoc="1" locked="0" layoutInCell="1" allowOverlap="1">
            <wp:simplePos x="0" y="0"/>
            <wp:positionH relativeFrom="page">
              <wp:posOffset>5202555</wp:posOffset>
            </wp:positionH>
            <wp:positionV relativeFrom="page">
              <wp:posOffset>5844540</wp:posOffset>
            </wp:positionV>
            <wp:extent cx="320040" cy="17399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7168" behindDoc="1" locked="0" layoutInCell="1" allowOverlap="1">
            <wp:simplePos x="0" y="0"/>
            <wp:positionH relativeFrom="page">
              <wp:posOffset>3951605</wp:posOffset>
            </wp:positionH>
            <wp:positionV relativeFrom="page">
              <wp:posOffset>6112510</wp:posOffset>
            </wp:positionV>
            <wp:extent cx="320040" cy="193675"/>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pic:cNvPicPr>
                      <a:picLocks noChangeAspect="1"/>
                    </pic:cNvPicPr>
                  </pic:nvPicPr>
                  <pic:blipFill>
                    <a:blip r:embed="rId45" cstate="print"/>
                    <a:stretch>
                      <a:fillRect/>
                    </a:stretch>
                  </pic:blipFill>
                  <pic:spPr>
                    <a:xfrm>
                      <a:off x="0" y="0"/>
                      <a:ext cx="320039" cy="193548"/>
                    </a:xfrm>
                    <a:prstGeom prst="rect">
                      <a:avLst/>
                    </a:prstGeom>
                  </pic:spPr>
                </pic:pic>
              </a:graphicData>
            </a:graphic>
          </wp:anchor>
        </w:drawing>
      </w:r>
      <w:r>
        <w:drawing>
          <wp:anchor distT="0" distB="0" distL="0" distR="0" simplePos="0" relativeHeight="232328192" behindDoc="1" locked="0" layoutInCell="1" allowOverlap="1">
            <wp:simplePos x="0" y="0"/>
            <wp:positionH relativeFrom="page">
              <wp:posOffset>5231765</wp:posOffset>
            </wp:positionH>
            <wp:positionV relativeFrom="page">
              <wp:posOffset>6123305</wp:posOffset>
            </wp:positionV>
            <wp:extent cx="320040" cy="17399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44"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9216" behindDoc="1" locked="0" layoutInCell="1" allowOverlap="1">
            <wp:simplePos x="0" y="0"/>
            <wp:positionH relativeFrom="page">
              <wp:posOffset>3590290</wp:posOffset>
            </wp:positionH>
            <wp:positionV relativeFrom="page">
              <wp:posOffset>6542405</wp:posOffset>
            </wp:positionV>
            <wp:extent cx="237490" cy="17399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46" cstate="print"/>
                    <a:stretch>
                      <a:fillRect/>
                    </a:stretch>
                  </pic:blipFill>
                  <pic:spPr>
                    <a:xfrm>
                      <a:off x="0" y="0"/>
                      <a:ext cx="237744" cy="173736"/>
                    </a:xfrm>
                    <a:prstGeom prst="rect">
                      <a:avLst/>
                    </a:prstGeom>
                  </pic:spPr>
                </pic:pic>
              </a:graphicData>
            </a:graphic>
          </wp:anchor>
        </w:drawing>
      </w:r>
      <w:r>
        <w:drawing>
          <wp:anchor distT="0" distB="0" distL="0" distR="0" simplePos="0" relativeHeight="232330240" behindDoc="1" locked="0" layoutInCell="1" allowOverlap="1">
            <wp:simplePos x="0" y="0"/>
            <wp:positionH relativeFrom="page">
              <wp:posOffset>5457190</wp:posOffset>
            </wp:positionH>
            <wp:positionV relativeFrom="page">
              <wp:posOffset>6542405</wp:posOffset>
            </wp:positionV>
            <wp:extent cx="237490" cy="173990"/>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46" cstate="print"/>
                    <a:stretch>
                      <a:fillRect/>
                    </a:stretch>
                  </pic:blipFill>
                  <pic:spPr>
                    <a:xfrm>
                      <a:off x="0" y="0"/>
                      <a:ext cx="237744" cy="173736"/>
                    </a:xfrm>
                    <a:prstGeom prst="rect">
                      <a:avLst/>
                    </a:prstGeom>
                  </pic:spPr>
                </pic:pic>
              </a:graphicData>
            </a:graphic>
          </wp:anchor>
        </w:drawing>
      </w:r>
    </w:p>
    <w:p>
      <w:pPr>
        <w:pStyle w:val="7"/>
        <w:bidi w:val="0"/>
        <w:jc w:val="center"/>
      </w:pPr>
      <w:r>
        <w:t>表</w:t>
      </w:r>
      <w:r>
        <w:rPr>
          <w:rFonts w:ascii="Times New Roman" w:eastAsia="Times New Roman"/>
        </w:rPr>
        <w:t>5.2-5</w:t>
      </w:r>
      <w:r>
        <w:rPr>
          <w:rFonts w:ascii="Times New Roman" w:eastAsia="Times New Roman"/>
        </w:rPr>
        <w:tab/>
      </w:r>
      <w:r>
        <w:t>大气环境影响评价自查表</w:t>
      </w:r>
    </w:p>
    <w:tbl>
      <w:tblPr>
        <w:tblStyle w:val="14"/>
        <w:tblW w:w="0" w:type="auto"/>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6"/>
        <w:gridCol w:w="1458"/>
        <w:gridCol w:w="853"/>
        <w:gridCol w:w="428"/>
        <w:gridCol w:w="200"/>
        <w:gridCol w:w="511"/>
        <w:gridCol w:w="502"/>
        <w:gridCol w:w="359"/>
        <w:gridCol w:w="135"/>
        <w:gridCol w:w="527"/>
        <w:gridCol w:w="416"/>
        <w:gridCol w:w="331"/>
        <w:gridCol w:w="221"/>
        <w:gridCol w:w="308"/>
        <w:gridCol w:w="324"/>
        <w:gridCol w:w="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74" w:type="dxa"/>
            <w:gridSpan w:val="2"/>
          </w:tcPr>
          <w:p>
            <w:pPr>
              <w:pStyle w:val="18"/>
              <w:spacing w:before="68"/>
              <w:ind w:left="806" w:right="797"/>
              <w:rPr>
                <w:sz w:val="18"/>
              </w:rPr>
            </w:pPr>
            <w:r>
              <w:rPr>
                <w:sz w:val="18"/>
              </w:rPr>
              <w:t>工作内容</w:t>
            </w:r>
          </w:p>
        </w:tc>
        <w:tc>
          <w:tcPr>
            <w:tcW w:w="5985" w:type="dxa"/>
            <w:gridSpan w:val="14"/>
          </w:tcPr>
          <w:p>
            <w:pPr>
              <w:pStyle w:val="18"/>
              <w:spacing w:before="68"/>
              <w:ind w:left="12"/>
              <w:rPr>
                <w:sz w:val="18"/>
              </w:rPr>
            </w:pPr>
            <w:r>
              <w:rPr>
                <w:sz w:val="18"/>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8"/>
              <w:spacing w:before="114" w:line="268" w:lineRule="auto"/>
              <w:ind w:left="188" w:right="86" w:hanging="92"/>
              <w:jc w:val="left"/>
              <w:rPr>
                <w:sz w:val="18"/>
              </w:rPr>
            </w:pPr>
            <w:r>
              <w:rPr>
                <w:sz w:val="18"/>
              </w:rPr>
              <w:t>评价等级与范围</w:t>
            </w:r>
          </w:p>
        </w:tc>
        <w:tc>
          <w:tcPr>
            <w:tcW w:w="1458" w:type="dxa"/>
          </w:tcPr>
          <w:p>
            <w:pPr>
              <w:pStyle w:val="18"/>
              <w:spacing w:before="68"/>
              <w:ind w:left="369"/>
              <w:jc w:val="left"/>
              <w:rPr>
                <w:sz w:val="18"/>
              </w:rPr>
            </w:pPr>
            <w:r>
              <w:rPr>
                <w:sz w:val="18"/>
              </w:rPr>
              <w:t>评价等级</w:t>
            </w:r>
          </w:p>
        </w:tc>
        <w:tc>
          <w:tcPr>
            <w:tcW w:w="1992" w:type="dxa"/>
            <w:gridSpan w:val="4"/>
          </w:tcPr>
          <w:p>
            <w:pPr>
              <w:pStyle w:val="18"/>
              <w:spacing w:before="68"/>
              <w:ind w:left="650" w:right="640"/>
              <w:rPr>
                <w:rFonts w:ascii="Calibri" w:hAnsi="Calibri" w:eastAsia="Calibri"/>
                <w:sz w:val="18"/>
              </w:rPr>
            </w:pPr>
            <w:r>
              <w:rPr>
                <w:sz w:val="18"/>
              </w:rPr>
              <w:t>一级</w:t>
            </w:r>
            <w:r>
              <w:rPr>
                <w:rFonts w:ascii="Calibri" w:hAnsi="Calibri" w:eastAsia="Calibri"/>
                <w:sz w:val="18"/>
              </w:rPr>
              <w:t>□</w:t>
            </w:r>
          </w:p>
        </w:tc>
        <w:tc>
          <w:tcPr>
            <w:tcW w:w="1939" w:type="dxa"/>
            <w:gridSpan w:val="5"/>
          </w:tcPr>
          <w:p>
            <w:pPr>
              <w:pStyle w:val="18"/>
              <w:spacing w:before="68"/>
              <w:ind w:left="679" w:right="670"/>
              <w:rPr>
                <w:rFonts w:hint="eastAsia" w:ascii="MS UI Gothic" w:hAnsi="MS UI Gothic" w:eastAsia="MS UI Gothic"/>
                <w:sz w:val="18"/>
              </w:rPr>
            </w:pPr>
            <w:r>
              <w:rPr>
                <w:sz w:val="18"/>
              </w:rPr>
              <w:t>二级</w:t>
            </w:r>
            <w:r>
              <w:rPr>
                <w:rFonts w:hint="eastAsia" w:ascii="MS UI Gothic" w:hAnsi="MS UI Gothic" w:eastAsia="MS UI Gothic"/>
                <w:sz w:val="18"/>
              </w:rPr>
              <w:t>☑</w:t>
            </w:r>
          </w:p>
        </w:tc>
        <w:tc>
          <w:tcPr>
            <w:tcW w:w="2054" w:type="dxa"/>
            <w:gridSpan w:val="5"/>
          </w:tcPr>
          <w:p>
            <w:pPr>
              <w:pStyle w:val="18"/>
              <w:spacing w:before="68"/>
              <w:ind w:left="773" w:right="762"/>
              <w:rPr>
                <w:rFonts w:ascii="Calibri" w:hAnsi="Calibri" w:eastAsia="Calibri"/>
                <w:sz w:val="18"/>
              </w:rPr>
            </w:pPr>
            <w:r>
              <w:rPr>
                <w:sz w:val="18"/>
              </w:rPr>
              <w:t>三级</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8"/>
              <w:ind w:left="369"/>
              <w:jc w:val="left"/>
              <w:rPr>
                <w:sz w:val="18"/>
              </w:rPr>
            </w:pPr>
            <w:r>
              <w:rPr>
                <w:sz w:val="18"/>
              </w:rPr>
              <w:t>评价范围</w:t>
            </w:r>
          </w:p>
        </w:tc>
        <w:tc>
          <w:tcPr>
            <w:tcW w:w="1992" w:type="dxa"/>
            <w:gridSpan w:val="4"/>
          </w:tcPr>
          <w:p>
            <w:pPr>
              <w:pStyle w:val="18"/>
              <w:spacing w:before="68"/>
              <w:ind w:left="514"/>
              <w:jc w:val="left"/>
              <w:rPr>
                <w:rFonts w:ascii="Calibri" w:hAnsi="Calibri" w:eastAsia="Calibri"/>
                <w:sz w:val="18"/>
              </w:rPr>
            </w:pPr>
            <w:r>
              <w:rPr>
                <w:sz w:val="18"/>
              </w:rPr>
              <w:t>边长</w:t>
            </w:r>
            <w:r>
              <w:rPr>
                <w:rFonts w:ascii="Calibri" w:hAnsi="Calibri" w:eastAsia="Calibri"/>
                <w:sz w:val="18"/>
              </w:rPr>
              <w:t>=50km□</w:t>
            </w:r>
          </w:p>
        </w:tc>
        <w:tc>
          <w:tcPr>
            <w:tcW w:w="1939" w:type="dxa"/>
            <w:gridSpan w:val="5"/>
          </w:tcPr>
          <w:p>
            <w:pPr>
              <w:pStyle w:val="18"/>
              <w:spacing w:before="68"/>
              <w:ind w:left="339"/>
              <w:jc w:val="left"/>
              <w:rPr>
                <w:rFonts w:hint="eastAsia" w:ascii="MS UI Gothic" w:hAnsi="MS UI Gothic" w:eastAsia="MS UI Gothic"/>
                <w:sz w:val="18"/>
              </w:rPr>
            </w:pPr>
            <w:r>
              <w:rPr>
                <w:sz w:val="18"/>
              </w:rPr>
              <w:t>边长</w:t>
            </w:r>
            <w:r>
              <w:rPr>
                <w:rFonts w:ascii="Calibri" w:hAnsi="Calibri" w:eastAsia="Calibri"/>
                <w:sz w:val="18"/>
              </w:rPr>
              <w:t>5</w:t>
            </w:r>
            <w:r>
              <w:rPr>
                <w:sz w:val="18"/>
              </w:rPr>
              <w:t>～</w:t>
            </w:r>
            <w:r>
              <w:rPr>
                <w:rFonts w:ascii="Calibri" w:hAnsi="Calibri" w:eastAsia="Calibri"/>
                <w:sz w:val="18"/>
              </w:rPr>
              <w:t>50km</w:t>
            </w:r>
            <w:r>
              <w:rPr>
                <w:rFonts w:hint="eastAsia" w:ascii="MS UI Gothic" w:hAnsi="MS UI Gothic" w:eastAsia="MS UI Gothic"/>
                <w:sz w:val="18"/>
              </w:rPr>
              <w:t>☑</w:t>
            </w:r>
          </w:p>
        </w:tc>
        <w:tc>
          <w:tcPr>
            <w:tcW w:w="2054" w:type="dxa"/>
            <w:gridSpan w:val="5"/>
          </w:tcPr>
          <w:p>
            <w:pPr>
              <w:pStyle w:val="18"/>
              <w:spacing w:before="68"/>
              <w:ind w:left="536"/>
              <w:jc w:val="left"/>
              <w:rPr>
                <w:rFonts w:hint="eastAsia" w:ascii="MS UI Gothic" w:hAnsi="MS UI Gothic" w:eastAsia="MS UI Gothic"/>
                <w:sz w:val="18"/>
              </w:rPr>
            </w:pPr>
            <w:r>
              <w:rPr>
                <w:sz w:val="18"/>
              </w:rPr>
              <w:t>边长</w:t>
            </w:r>
            <w:r>
              <w:rPr>
                <w:rFonts w:ascii="Calibri" w:hAnsi="Calibri" w:eastAsia="Calibri"/>
                <w:sz w:val="18"/>
              </w:rPr>
              <w:t>=5 km</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8"/>
              <w:jc w:val="left"/>
              <w:rPr>
                <w:b/>
                <w:sz w:val="26"/>
              </w:rPr>
            </w:pPr>
          </w:p>
          <w:p>
            <w:pPr>
              <w:pStyle w:val="18"/>
              <w:ind w:left="97"/>
              <w:jc w:val="left"/>
              <w:rPr>
                <w:sz w:val="18"/>
              </w:rPr>
            </w:pPr>
            <w:r>
              <w:rPr>
                <w:sz w:val="18"/>
              </w:rPr>
              <w:t>评价因子</w:t>
            </w:r>
          </w:p>
        </w:tc>
        <w:tc>
          <w:tcPr>
            <w:tcW w:w="1458" w:type="dxa"/>
          </w:tcPr>
          <w:p>
            <w:pPr>
              <w:pStyle w:val="18"/>
              <w:spacing w:before="66"/>
              <w:ind w:left="114"/>
              <w:jc w:val="left"/>
              <w:rPr>
                <w:sz w:val="18"/>
              </w:rPr>
            </w:pPr>
            <w:r>
              <w:rPr>
                <w:rFonts w:ascii="Calibri" w:eastAsia="Calibri"/>
                <w:position w:val="2"/>
                <w:sz w:val="18"/>
              </w:rPr>
              <w:t>SO</w:t>
            </w:r>
            <w:r>
              <w:rPr>
                <w:rFonts w:ascii="Calibri" w:eastAsia="Calibri"/>
                <w:position w:val="2"/>
                <w:sz w:val="18"/>
                <w:vertAlign w:val="subscript"/>
              </w:rPr>
              <w:t>2</w:t>
            </w:r>
            <w:r>
              <w:rPr>
                <w:rFonts w:ascii="Calibri" w:eastAsia="Calibri"/>
                <w:position w:val="2"/>
                <w:sz w:val="18"/>
                <w:vertAlign w:val="baseline"/>
              </w:rPr>
              <w:t>+NO</w:t>
            </w:r>
            <w:r>
              <w:rPr>
                <w:rFonts w:ascii="Calibri" w:eastAsia="Calibri"/>
                <w:i/>
                <w:sz w:val="11"/>
                <w:vertAlign w:val="baseline"/>
              </w:rPr>
              <w:t>x</w:t>
            </w:r>
            <w:r>
              <w:rPr>
                <w:position w:val="2"/>
                <w:sz w:val="18"/>
                <w:vertAlign w:val="baseline"/>
              </w:rPr>
              <w:t>排放量</w:t>
            </w:r>
          </w:p>
        </w:tc>
        <w:tc>
          <w:tcPr>
            <w:tcW w:w="1992" w:type="dxa"/>
            <w:gridSpan w:val="4"/>
          </w:tcPr>
          <w:p>
            <w:pPr>
              <w:pStyle w:val="18"/>
              <w:spacing w:before="69"/>
              <w:ind w:left="519"/>
              <w:jc w:val="left"/>
              <w:rPr>
                <w:rFonts w:ascii="Calibri" w:hAnsi="Calibri"/>
                <w:sz w:val="18"/>
              </w:rPr>
            </w:pPr>
            <w:r>
              <w:rPr>
                <w:rFonts w:ascii="仿宋" w:hAnsi="仿宋"/>
                <w:sz w:val="18"/>
              </w:rPr>
              <w:t>≥</w:t>
            </w:r>
            <w:r>
              <w:rPr>
                <w:rFonts w:ascii="Calibri" w:hAnsi="Calibri"/>
                <w:sz w:val="18"/>
              </w:rPr>
              <w:t>2000t/a□</w:t>
            </w:r>
          </w:p>
        </w:tc>
        <w:tc>
          <w:tcPr>
            <w:tcW w:w="1939" w:type="dxa"/>
            <w:gridSpan w:val="5"/>
          </w:tcPr>
          <w:p>
            <w:pPr>
              <w:pStyle w:val="18"/>
              <w:spacing w:before="69"/>
              <w:ind w:left="401"/>
              <w:jc w:val="left"/>
              <w:rPr>
                <w:rFonts w:ascii="Calibri" w:hAnsi="Calibri" w:eastAsia="Calibri"/>
                <w:sz w:val="18"/>
              </w:rPr>
            </w:pPr>
            <w:r>
              <w:rPr>
                <w:rFonts w:ascii="Calibri" w:hAnsi="Calibri" w:eastAsia="Calibri"/>
                <w:sz w:val="18"/>
              </w:rPr>
              <w:t>500</w:t>
            </w:r>
            <w:r>
              <w:rPr>
                <w:rFonts w:hint="eastAsia" w:ascii="仿宋" w:hAnsi="仿宋" w:eastAsia="仿宋"/>
                <w:sz w:val="18"/>
              </w:rPr>
              <w:t>～</w:t>
            </w:r>
            <w:r>
              <w:rPr>
                <w:rFonts w:ascii="Calibri" w:hAnsi="Calibri" w:eastAsia="Calibri"/>
                <w:sz w:val="18"/>
              </w:rPr>
              <w:t>2000t/a□</w:t>
            </w:r>
          </w:p>
        </w:tc>
        <w:tc>
          <w:tcPr>
            <w:tcW w:w="2054" w:type="dxa"/>
            <w:gridSpan w:val="5"/>
          </w:tcPr>
          <w:p>
            <w:pPr>
              <w:pStyle w:val="18"/>
              <w:spacing w:before="69"/>
              <w:ind w:left="584"/>
              <w:jc w:val="left"/>
              <w:rPr>
                <w:rFonts w:hint="eastAsia" w:ascii="MS UI Gothic" w:hAnsi="MS UI Gothic" w:eastAsia="MS UI Gothic"/>
                <w:sz w:val="18"/>
              </w:rPr>
            </w:pPr>
            <w:r>
              <w:rPr>
                <w:rFonts w:hint="eastAsia" w:ascii="仿宋" w:hAnsi="仿宋" w:eastAsia="仿宋"/>
                <w:sz w:val="18"/>
              </w:rPr>
              <w:t>＜</w:t>
            </w:r>
            <w:r>
              <w:rPr>
                <w:rFonts w:ascii="Calibri" w:hAnsi="Calibri" w:eastAsia="Calibri"/>
                <w:sz w:val="18"/>
              </w:rPr>
              <w:t>500 t/a</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before="158"/>
              <w:ind w:left="369"/>
              <w:jc w:val="left"/>
              <w:rPr>
                <w:sz w:val="18"/>
              </w:rPr>
            </w:pPr>
            <w:r>
              <w:rPr>
                <w:sz w:val="18"/>
              </w:rPr>
              <w:t>评价因子</w:t>
            </w:r>
          </w:p>
        </w:tc>
        <w:tc>
          <w:tcPr>
            <w:tcW w:w="3931" w:type="dxa"/>
            <w:gridSpan w:val="9"/>
          </w:tcPr>
          <w:p>
            <w:pPr>
              <w:pStyle w:val="18"/>
              <w:spacing w:before="14" w:line="260" w:lineRule="atLeast"/>
              <w:ind w:left="886" w:right="70" w:hanging="852"/>
              <w:jc w:val="left"/>
              <w:rPr>
                <w:sz w:val="18"/>
              </w:rPr>
            </w:pPr>
            <w:r>
              <w:rPr>
                <w:position w:val="2"/>
                <w:sz w:val="18"/>
              </w:rPr>
              <w:t>基本污染物（</w:t>
            </w:r>
            <w:r>
              <w:rPr>
                <w:rFonts w:ascii="Calibri" w:eastAsia="Calibri"/>
                <w:position w:val="2"/>
                <w:sz w:val="18"/>
              </w:rPr>
              <w:t>SO</w:t>
            </w:r>
            <w:r>
              <w:rPr>
                <w:rFonts w:ascii="Calibri" w:eastAsia="Calibri"/>
                <w:position w:val="2"/>
                <w:sz w:val="18"/>
                <w:vertAlign w:val="subscript"/>
              </w:rPr>
              <w:t>2</w:t>
            </w:r>
            <w:r>
              <w:rPr>
                <w:position w:val="2"/>
                <w:sz w:val="18"/>
                <w:vertAlign w:val="baseline"/>
              </w:rPr>
              <w:t>、</w:t>
            </w:r>
            <w:r>
              <w:rPr>
                <w:rFonts w:ascii="Calibri" w:eastAsia="Calibri"/>
                <w:position w:val="2"/>
                <w:sz w:val="18"/>
                <w:vertAlign w:val="baseline"/>
              </w:rPr>
              <w:t>NO</w:t>
            </w:r>
            <w:r>
              <w:rPr>
                <w:rFonts w:ascii="Calibri" w:eastAsia="Calibri"/>
                <w:position w:val="2"/>
                <w:sz w:val="18"/>
                <w:vertAlign w:val="subscript"/>
              </w:rPr>
              <w:t>2</w:t>
            </w:r>
            <w:r>
              <w:rPr>
                <w:position w:val="2"/>
                <w:sz w:val="18"/>
                <w:vertAlign w:val="baseline"/>
              </w:rPr>
              <w:t>、</w:t>
            </w:r>
            <w:r>
              <w:rPr>
                <w:rFonts w:ascii="Calibri" w:eastAsia="Calibri"/>
                <w:position w:val="2"/>
                <w:sz w:val="18"/>
                <w:vertAlign w:val="baseline"/>
              </w:rPr>
              <w:t>O</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CO</w:t>
            </w:r>
            <w:r>
              <w:rPr>
                <w:position w:val="2"/>
                <w:sz w:val="18"/>
                <w:vertAlign w:val="baseline"/>
              </w:rPr>
              <w:t>、</w:t>
            </w:r>
            <w:r>
              <w:rPr>
                <w:rFonts w:ascii="Calibri" w:eastAsia="Calibri"/>
                <w:position w:val="2"/>
                <w:sz w:val="18"/>
                <w:vertAlign w:val="baseline"/>
              </w:rPr>
              <w:t>PM</w:t>
            </w:r>
            <w:r>
              <w:rPr>
                <w:rFonts w:ascii="Calibri" w:eastAsia="Calibri"/>
                <w:position w:val="2"/>
                <w:sz w:val="18"/>
                <w:vertAlign w:val="subscript"/>
              </w:rPr>
              <w:t>10</w:t>
            </w:r>
            <w:r>
              <w:rPr>
                <w:position w:val="2"/>
                <w:sz w:val="18"/>
                <w:vertAlign w:val="baseline"/>
              </w:rPr>
              <w:t>、</w:t>
            </w:r>
            <w:r>
              <w:rPr>
                <w:rFonts w:ascii="Calibri" w:eastAsia="Calibri"/>
                <w:position w:val="2"/>
                <w:sz w:val="18"/>
                <w:vertAlign w:val="baseline"/>
              </w:rPr>
              <w:t>PM</w:t>
            </w:r>
            <w:r>
              <w:rPr>
                <w:rFonts w:ascii="Calibri" w:eastAsia="Calibri"/>
                <w:position w:val="2"/>
                <w:sz w:val="18"/>
                <w:vertAlign w:val="subscript"/>
              </w:rPr>
              <w:t>2.5</w:t>
            </w:r>
            <w:r>
              <w:rPr>
                <w:position w:val="2"/>
                <w:sz w:val="18"/>
                <w:vertAlign w:val="baseline"/>
              </w:rPr>
              <w:t>其他污染物（</w:t>
            </w:r>
            <w:r>
              <w:rPr>
                <w:rFonts w:ascii="Calibri" w:eastAsia="Calibri"/>
                <w:position w:val="2"/>
                <w:sz w:val="18"/>
                <w:vertAlign w:val="baseline"/>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w:t>
            </w:r>
          </w:p>
        </w:tc>
        <w:tc>
          <w:tcPr>
            <w:tcW w:w="2054" w:type="dxa"/>
            <w:gridSpan w:val="5"/>
          </w:tcPr>
          <w:p>
            <w:pPr>
              <w:pStyle w:val="18"/>
              <w:tabs>
                <w:tab w:val="left" w:pos="293"/>
              </w:tabs>
              <w:spacing w:before="25"/>
              <w:ind w:left="-124" w:right="482"/>
              <w:jc w:val="right"/>
              <w:rPr>
                <w:rFonts w:ascii="Calibri" w:hAnsi="Calibri" w:eastAsia="Calibri"/>
                <w:sz w:val="18"/>
              </w:rPr>
            </w:pPr>
            <w:r>
              <w:rPr>
                <w:position w:val="2"/>
                <w:sz w:val="18"/>
              </w:rPr>
              <w:t>）</w:t>
            </w:r>
            <w:r>
              <w:rPr>
                <w:position w:val="2"/>
                <w:sz w:val="18"/>
              </w:rPr>
              <w:tab/>
            </w:r>
            <w:r>
              <w:rPr>
                <w:spacing w:val="-6"/>
                <w:position w:val="2"/>
                <w:sz w:val="18"/>
              </w:rPr>
              <w:t>包括二次</w:t>
            </w:r>
            <w:r>
              <w:rPr>
                <w:rFonts w:ascii="Calibri" w:hAnsi="Calibri" w:eastAsia="Calibri"/>
                <w:spacing w:val="-6"/>
                <w:position w:val="2"/>
                <w:sz w:val="18"/>
              </w:rPr>
              <w:t>PM</w:t>
            </w:r>
            <w:r>
              <w:rPr>
                <w:rFonts w:ascii="Calibri" w:hAnsi="Calibri" w:eastAsia="Calibri"/>
                <w:spacing w:val="-6"/>
                <w:position w:val="2"/>
                <w:sz w:val="18"/>
                <w:vertAlign w:val="subscript"/>
              </w:rPr>
              <w:t>2.5</w:t>
            </w:r>
            <w:r>
              <w:rPr>
                <w:rFonts w:ascii="Calibri" w:hAnsi="Calibri" w:eastAsia="Calibri"/>
                <w:spacing w:val="-6"/>
                <w:position w:val="2"/>
                <w:sz w:val="18"/>
                <w:vertAlign w:val="baseline"/>
              </w:rPr>
              <w:t>□</w:t>
            </w:r>
          </w:p>
          <w:p>
            <w:pPr>
              <w:pStyle w:val="18"/>
              <w:spacing w:before="11" w:line="215" w:lineRule="exact"/>
              <w:ind w:right="483"/>
              <w:jc w:val="right"/>
              <w:rPr>
                <w:rFonts w:hint="eastAsia" w:ascii="MS UI Gothic" w:hAnsi="MS UI Gothic" w:eastAsia="MS UI Gothic"/>
                <w:sz w:val="18"/>
              </w:rPr>
            </w:pPr>
            <w:r>
              <w:rPr>
                <w:spacing w:val="-7"/>
                <w:position w:val="2"/>
                <w:sz w:val="18"/>
              </w:rPr>
              <w:t>不包括二次</w:t>
            </w:r>
            <w:r>
              <w:rPr>
                <w:rFonts w:ascii="Calibri" w:hAnsi="Calibri" w:eastAsia="Calibri"/>
                <w:position w:val="2"/>
                <w:sz w:val="18"/>
              </w:rPr>
              <w:t>PM</w:t>
            </w:r>
            <w:r>
              <w:rPr>
                <w:rFonts w:ascii="Calibri" w:hAnsi="Calibri" w:eastAsia="Calibri"/>
                <w:position w:val="2"/>
                <w:sz w:val="18"/>
                <w:vertAlign w:val="subscript"/>
              </w:rPr>
              <w:t>2.5</w:t>
            </w:r>
            <w:r>
              <w:rPr>
                <w:rFonts w:hint="eastAsia" w:ascii="MS UI Gothic" w:hAnsi="MS UI Gothic" w:eastAsia="MS UI Gothic"/>
                <w:position w:val="2"/>
                <w:sz w:val="18"/>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16" w:type="dxa"/>
          </w:tcPr>
          <w:p>
            <w:pPr>
              <w:pStyle w:val="18"/>
              <w:spacing w:before="53"/>
              <w:ind w:left="97"/>
              <w:jc w:val="left"/>
              <w:rPr>
                <w:sz w:val="18"/>
              </w:rPr>
            </w:pPr>
            <w:r>
              <w:rPr>
                <w:sz w:val="18"/>
              </w:rPr>
              <w:t>评价标准</w:t>
            </w:r>
          </w:p>
        </w:tc>
        <w:tc>
          <w:tcPr>
            <w:tcW w:w="1458" w:type="dxa"/>
          </w:tcPr>
          <w:p>
            <w:pPr>
              <w:pStyle w:val="18"/>
              <w:spacing w:before="53"/>
              <w:ind w:left="369"/>
              <w:jc w:val="left"/>
              <w:rPr>
                <w:sz w:val="18"/>
              </w:rPr>
            </w:pPr>
            <w:r>
              <w:rPr>
                <w:sz w:val="18"/>
              </w:rPr>
              <w:t>评价标准</w:t>
            </w:r>
          </w:p>
        </w:tc>
        <w:tc>
          <w:tcPr>
            <w:tcW w:w="1992" w:type="dxa"/>
            <w:gridSpan w:val="4"/>
          </w:tcPr>
          <w:p>
            <w:pPr>
              <w:pStyle w:val="18"/>
              <w:spacing w:before="53"/>
              <w:ind w:left="545"/>
              <w:jc w:val="left"/>
              <w:rPr>
                <w:rFonts w:hint="eastAsia" w:ascii="MS UI Gothic" w:hAnsi="MS UI Gothic" w:eastAsia="MS UI Gothic"/>
                <w:sz w:val="18"/>
              </w:rPr>
            </w:pPr>
            <w:r>
              <w:rPr>
                <w:sz w:val="18"/>
              </w:rPr>
              <w:t>国家标准</w:t>
            </w:r>
            <w:r>
              <w:rPr>
                <w:rFonts w:hint="eastAsia" w:ascii="MS UI Gothic" w:hAnsi="MS UI Gothic" w:eastAsia="MS UI Gothic"/>
                <w:sz w:val="18"/>
              </w:rPr>
              <w:t>☑</w:t>
            </w:r>
          </w:p>
        </w:tc>
        <w:tc>
          <w:tcPr>
            <w:tcW w:w="1939" w:type="dxa"/>
            <w:gridSpan w:val="5"/>
          </w:tcPr>
          <w:p>
            <w:pPr>
              <w:pStyle w:val="18"/>
              <w:spacing w:before="53"/>
              <w:ind w:left="509"/>
              <w:jc w:val="left"/>
              <w:rPr>
                <w:rFonts w:ascii="Calibri" w:hAnsi="Calibri" w:eastAsia="Calibri"/>
                <w:sz w:val="18"/>
              </w:rPr>
            </w:pPr>
            <w:r>
              <w:rPr>
                <w:sz w:val="18"/>
              </w:rPr>
              <w:t>地方标准</w:t>
            </w:r>
            <w:r>
              <w:rPr>
                <w:rFonts w:ascii="Calibri" w:hAnsi="Calibri" w:eastAsia="Calibri"/>
                <w:sz w:val="18"/>
              </w:rPr>
              <w:t>□</w:t>
            </w:r>
          </w:p>
        </w:tc>
        <w:tc>
          <w:tcPr>
            <w:tcW w:w="860" w:type="dxa"/>
            <w:gridSpan w:val="3"/>
          </w:tcPr>
          <w:p>
            <w:pPr>
              <w:pStyle w:val="18"/>
              <w:spacing w:before="53"/>
              <w:ind w:left="99"/>
              <w:jc w:val="left"/>
              <w:rPr>
                <w:rFonts w:ascii="Calibri" w:hAnsi="Calibri" w:eastAsia="Calibri"/>
                <w:sz w:val="18"/>
              </w:rPr>
            </w:pPr>
            <w:r>
              <w:rPr>
                <w:sz w:val="18"/>
              </w:rPr>
              <w:t>附录</w:t>
            </w:r>
            <w:r>
              <w:rPr>
                <w:rFonts w:ascii="Calibri" w:hAnsi="Calibri" w:eastAsia="Calibri"/>
                <w:sz w:val="18"/>
              </w:rPr>
              <w:t>D□</w:t>
            </w:r>
          </w:p>
        </w:tc>
        <w:tc>
          <w:tcPr>
            <w:tcW w:w="1194" w:type="dxa"/>
            <w:gridSpan w:val="2"/>
          </w:tcPr>
          <w:p>
            <w:pPr>
              <w:pStyle w:val="18"/>
              <w:spacing w:before="53"/>
              <w:ind w:left="139"/>
              <w:jc w:val="left"/>
              <w:rPr>
                <w:rFonts w:ascii="Calibri" w:hAnsi="Calibri" w:eastAsia="Calibri"/>
                <w:sz w:val="18"/>
              </w:rPr>
            </w:pPr>
            <w:r>
              <w:rPr>
                <w:sz w:val="18"/>
              </w:rPr>
              <w:t>其他标准</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8"/>
              <w:jc w:val="left"/>
              <w:rPr>
                <w:b/>
                <w:sz w:val="18"/>
              </w:rPr>
            </w:pPr>
          </w:p>
          <w:p>
            <w:pPr>
              <w:pStyle w:val="18"/>
              <w:jc w:val="left"/>
              <w:rPr>
                <w:b/>
                <w:sz w:val="18"/>
              </w:rPr>
            </w:pPr>
          </w:p>
          <w:p>
            <w:pPr>
              <w:pStyle w:val="18"/>
              <w:jc w:val="left"/>
              <w:rPr>
                <w:b/>
                <w:sz w:val="18"/>
              </w:rPr>
            </w:pPr>
          </w:p>
          <w:p>
            <w:pPr>
              <w:pStyle w:val="18"/>
              <w:spacing w:before="120"/>
              <w:ind w:left="97"/>
              <w:jc w:val="left"/>
              <w:rPr>
                <w:sz w:val="18"/>
              </w:rPr>
            </w:pPr>
            <w:r>
              <w:rPr>
                <w:sz w:val="18"/>
              </w:rPr>
              <w:t>现状评价</w:t>
            </w:r>
          </w:p>
        </w:tc>
        <w:tc>
          <w:tcPr>
            <w:tcW w:w="1458" w:type="dxa"/>
          </w:tcPr>
          <w:p>
            <w:pPr>
              <w:pStyle w:val="18"/>
              <w:spacing w:before="68"/>
              <w:ind w:left="278"/>
              <w:jc w:val="left"/>
              <w:rPr>
                <w:sz w:val="18"/>
              </w:rPr>
            </w:pPr>
            <w:r>
              <w:rPr>
                <w:sz w:val="18"/>
              </w:rPr>
              <w:t>环境功能区</w:t>
            </w:r>
          </w:p>
        </w:tc>
        <w:tc>
          <w:tcPr>
            <w:tcW w:w="1992" w:type="dxa"/>
            <w:gridSpan w:val="4"/>
          </w:tcPr>
          <w:p>
            <w:pPr>
              <w:pStyle w:val="18"/>
              <w:spacing w:before="68"/>
              <w:ind w:left="650" w:right="643"/>
              <w:rPr>
                <w:rFonts w:ascii="Calibri" w:hAnsi="Calibri" w:eastAsia="Calibri"/>
                <w:sz w:val="18"/>
              </w:rPr>
            </w:pPr>
            <w:r>
              <w:rPr>
                <w:sz w:val="18"/>
              </w:rPr>
              <w:t>一类区</w:t>
            </w:r>
            <w:r>
              <w:rPr>
                <w:rFonts w:ascii="Calibri" w:hAnsi="Calibri" w:eastAsia="Calibri"/>
                <w:sz w:val="18"/>
              </w:rPr>
              <w:t>□</w:t>
            </w:r>
          </w:p>
        </w:tc>
        <w:tc>
          <w:tcPr>
            <w:tcW w:w="1939" w:type="dxa"/>
            <w:gridSpan w:val="5"/>
          </w:tcPr>
          <w:p>
            <w:pPr>
              <w:pStyle w:val="18"/>
              <w:spacing w:before="68"/>
              <w:ind w:left="610"/>
              <w:jc w:val="left"/>
              <w:rPr>
                <w:rFonts w:hint="eastAsia" w:ascii="MS UI Gothic" w:hAnsi="MS UI Gothic" w:eastAsia="MS UI Gothic"/>
                <w:sz w:val="18"/>
              </w:rPr>
            </w:pPr>
            <w:r>
              <w:rPr>
                <w:sz w:val="18"/>
              </w:rPr>
              <w:t>二类区</w:t>
            </w:r>
            <w:r>
              <w:rPr>
                <w:rFonts w:hint="eastAsia" w:ascii="MS UI Gothic" w:hAnsi="MS UI Gothic" w:eastAsia="MS UI Gothic"/>
                <w:sz w:val="18"/>
              </w:rPr>
              <w:t>☑</w:t>
            </w:r>
          </w:p>
        </w:tc>
        <w:tc>
          <w:tcPr>
            <w:tcW w:w="2054" w:type="dxa"/>
            <w:gridSpan w:val="5"/>
          </w:tcPr>
          <w:p>
            <w:pPr>
              <w:pStyle w:val="18"/>
              <w:spacing w:before="68"/>
              <w:ind w:left="344"/>
              <w:jc w:val="left"/>
              <w:rPr>
                <w:rFonts w:ascii="Calibri" w:hAnsi="Calibri" w:eastAsia="Calibri"/>
                <w:sz w:val="18"/>
              </w:rPr>
            </w:pPr>
            <w:r>
              <w:rPr>
                <w:sz w:val="18"/>
              </w:rPr>
              <w:t>一类区和二类区</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8"/>
              <w:ind w:left="278"/>
              <w:jc w:val="left"/>
              <w:rPr>
                <w:sz w:val="18"/>
              </w:rPr>
            </w:pPr>
            <w:r>
              <w:rPr>
                <w:sz w:val="18"/>
              </w:rPr>
              <w:t>评价基准年</w:t>
            </w:r>
          </w:p>
        </w:tc>
        <w:tc>
          <w:tcPr>
            <w:tcW w:w="5985" w:type="dxa"/>
            <w:gridSpan w:val="14"/>
          </w:tcPr>
          <w:p>
            <w:pPr>
              <w:pStyle w:val="18"/>
              <w:spacing w:before="68"/>
              <w:ind w:left="10"/>
              <w:rPr>
                <w:sz w:val="18"/>
              </w:rPr>
            </w:pPr>
            <w:r>
              <w:rPr>
                <w:sz w:val="18"/>
              </w:rPr>
              <w:t>（</w:t>
            </w:r>
            <w:r>
              <w:rPr>
                <w:rFonts w:ascii="Calibri" w:eastAsia="Calibri"/>
                <w:sz w:val="18"/>
              </w:rPr>
              <w:t>2018</w:t>
            </w:r>
            <w:r>
              <w:rPr>
                <w:sz w:val="18"/>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916" w:type="dxa"/>
            <w:vMerge w:val="continue"/>
            <w:tcBorders>
              <w:top w:val="nil"/>
            </w:tcBorders>
          </w:tcPr>
          <w:p>
            <w:pPr>
              <w:rPr>
                <w:sz w:val="2"/>
                <w:szCs w:val="2"/>
              </w:rPr>
            </w:pPr>
          </w:p>
        </w:tc>
        <w:tc>
          <w:tcPr>
            <w:tcW w:w="1458" w:type="dxa"/>
          </w:tcPr>
          <w:p>
            <w:pPr>
              <w:pStyle w:val="18"/>
              <w:spacing w:before="28" w:line="268" w:lineRule="auto"/>
              <w:ind w:left="98" w:right="87" w:firstLine="2"/>
              <w:rPr>
                <w:sz w:val="18"/>
              </w:rPr>
            </w:pPr>
            <w:r>
              <w:rPr>
                <w:sz w:val="18"/>
              </w:rPr>
              <w:t>环境空气质量</w:t>
            </w:r>
            <w:r>
              <w:rPr>
                <w:spacing w:val="-3"/>
                <w:sz w:val="18"/>
              </w:rPr>
              <w:t>现状调查数据来</w:t>
            </w:r>
          </w:p>
          <w:p>
            <w:pPr>
              <w:pStyle w:val="18"/>
              <w:spacing w:before="4" w:line="211" w:lineRule="exact"/>
              <w:ind w:left="8"/>
              <w:rPr>
                <w:sz w:val="18"/>
              </w:rPr>
            </w:pPr>
            <w:r>
              <w:rPr>
                <w:sz w:val="18"/>
              </w:rPr>
              <w:t>源</w:t>
            </w:r>
          </w:p>
        </w:tc>
        <w:tc>
          <w:tcPr>
            <w:tcW w:w="1992" w:type="dxa"/>
            <w:gridSpan w:val="4"/>
          </w:tcPr>
          <w:p>
            <w:pPr>
              <w:pStyle w:val="18"/>
              <w:spacing w:before="5"/>
              <w:jc w:val="left"/>
              <w:rPr>
                <w:b/>
                <w:sz w:val="22"/>
              </w:rPr>
            </w:pPr>
          </w:p>
          <w:p>
            <w:pPr>
              <w:pStyle w:val="18"/>
              <w:ind w:left="221"/>
              <w:jc w:val="left"/>
              <w:rPr>
                <w:rFonts w:ascii="Calibri" w:hAnsi="Calibri" w:eastAsia="Calibri"/>
                <w:sz w:val="18"/>
              </w:rPr>
            </w:pPr>
            <w:r>
              <w:rPr>
                <w:sz w:val="18"/>
              </w:rPr>
              <w:t>长期例行监测数据</w:t>
            </w:r>
            <w:r>
              <w:rPr>
                <w:rFonts w:ascii="Calibri" w:hAnsi="Calibri" w:eastAsia="Calibri"/>
                <w:sz w:val="18"/>
              </w:rPr>
              <w:t>□</w:t>
            </w:r>
          </w:p>
        </w:tc>
        <w:tc>
          <w:tcPr>
            <w:tcW w:w="1939" w:type="dxa"/>
            <w:gridSpan w:val="5"/>
          </w:tcPr>
          <w:p>
            <w:pPr>
              <w:pStyle w:val="18"/>
              <w:spacing w:before="5"/>
              <w:jc w:val="left"/>
              <w:rPr>
                <w:b/>
                <w:sz w:val="22"/>
              </w:rPr>
            </w:pPr>
          </w:p>
          <w:p>
            <w:pPr>
              <w:pStyle w:val="18"/>
              <w:ind w:left="70"/>
              <w:jc w:val="left"/>
              <w:rPr>
                <w:rFonts w:hint="eastAsia" w:ascii="MS UI Gothic" w:hAnsi="MS UI Gothic" w:eastAsia="MS UI Gothic"/>
                <w:sz w:val="18"/>
              </w:rPr>
            </w:pPr>
            <w:r>
              <w:rPr>
                <w:sz w:val="18"/>
              </w:rPr>
              <w:t>主管部门发布的数据</w:t>
            </w:r>
            <w:r>
              <w:rPr>
                <w:rFonts w:hint="eastAsia" w:ascii="MS UI Gothic" w:hAnsi="MS UI Gothic" w:eastAsia="MS UI Gothic"/>
                <w:sz w:val="18"/>
              </w:rPr>
              <w:t>☑</w:t>
            </w:r>
          </w:p>
        </w:tc>
        <w:tc>
          <w:tcPr>
            <w:tcW w:w="2054" w:type="dxa"/>
            <w:gridSpan w:val="5"/>
          </w:tcPr>
          <w:p>
            <w:pPr>
              <w:pStyle w:val="18"/>
              <w:spacing w:before="5"/>
              <w:jc w:val="left"/>
              <w:rPr>
                <w:b/>
                <w:sz w:val="22"/>
              </w:rPr>
            </w:pPr>
          </w:p>
          <w:p>
            <w:pPr>
              <w:pStyle w:val="18"/>
              <w:ind w:left="397"/>
              <w:jc w:val="left"/>
              <w:rPr>
                <w:rFonts w:hint="eastAsia" w:ascii="MS UI Gothic" w:hAnsi="MS UI Gothic" w:eastAsia="MS UI Gothic"/>
                <w:sz w:val="18"/>
              </w:rPr>
            </w:pPr>
            <w:r>
              <w:rPr>
                <w:sz w:val="18"/>
              </w:rPr>
              <w:t>现状补充监测</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8"/>
              <w:ind w:left="369"/>
              <w:jc w:val="left"/>
              <w:rPr>
                <w:sz w:val="18"/>
              </w:rPr>
            </w:pPr>
            <w:r>
              <w:rPr>
                <w:sz w:val="18"/>
              </w:rPr>
              <w:t>现状评价</w:t>
            </w:r>
          </w:p>
        </w:tc>
        <w:tc>
          <w:tcPr>
            <w:tcW w:w="2853" w:type="dxa"/>
            <w:gridSpan w:val="6"/>
          </w:tcPr>
          <w:p>
            <w:pPr>
              <w:pStyle w:val="18"/>
              <w:spacing w:before="68"/>
              <w:ind w:left="1082" w:right="1072"/>
              <w:rPr>
                <w:rFonts w:ascii="Calibri" w:hAnsi="Calibri" w:eastAsia="Calibri"/>
                <w:sz w:val="18"/>
              </w:rPr>
            </w:pPr>
            <w:r>
              <w:rPr>
                <w:sz w:val="18"/>
              </w:rPr>
              <w:t>达标区</w:t>
            </w:r>
            <w:r>
              <w:rPr>
                <w:rFonts w:ascii="Calibri" w:hAnsi="Calibri" w:eastAsia="Calibri"/>
                <w:sz w:val="18"/>
              </w:rPr>
              <w:t>□</w:t>
            </w:r>
          </w:p>
        </w:tc>
        <w:tc>
          <w:tcPr>
            <w:tcW w:w="3132" w:type="dxa"/>
            <w:gridSpan w:val="8"/>
          </w:tcPr>
          <w:p>
            <w:pPr>
              <w:pStyle w:val="18"/>
              <w:spacing w:before="68"/>
              <w:ind w:left="1097" w:right="1084"/>
              <w:rPr>
                <w:rFonts w:hint="eastAsia" w:ascii="MS UI Gothic" w:hAnsi="MS UI Gothic" w:eastAsia="MS UI Gothic"/>
                <w:sz w:val="18"/>
              </w:rPr>
            </w:pPr>
            <w:r>
              <w:rPr>
                <w:sz w:val="18"/>
              </w:rPr>
              <w:t>不达标区</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916" w:type="dxa"/>
          </w:tcPr>
          <w:p>
            <w:pPr>
              <w:pStyle w:val="18"/>
              <w:spacing w:before="157" w:line="271" w:lineRule="auto"/>
              <w:ind w:left="368" w:right="86" w:hanging="272"/>
              <w:jc w:val="left"/>
              <w:rPr>
                <w:sz w:val="18"/>
              </w:rPr>
            </w:pPr>
            <w:r>
              <w:rPr>
                <w:sz w:val="18"/>
              </w:rPr>
              <w:t>污染源调查</w:t>
            </w:r>
          </w:p>
        </w:tc>
        <w:tc>
          <w:tcPr>
            <w:tcW w:w="1458" w:type="dxa"/>
          </w:tcPr>
          <w:p>
            <w:pPr>
              <w:pStyle w:val="18"/>
              <w:spacing w:before="5"/>
              <w:jc w:val="left"/>
              <w:rPr>
                <w:b/>
                <w:sz w:val="22"/>
              </w:rPr>
            </w:pPr>
          </w:p>
          <w:p>
            <w:pPr>
              <w:pStyle w:val="18"/>
              <w:ind w:left="369"/>
              <w:jc w:val="left"/>
              <w:rPr>
                <w:sz w:val="18"/>
              </w:rPr>
            </w:pPr>
            <w:r>
              <w:rPr>
                <w:sz w:val="18"/>
              </w:rPr>
              <w:t>调查内容</w:t>
            </w:r>
          </w:p>
        </w:tc>
        <w:tc>
          <w:tcPr>
            <w:tcW w:w="1992" w:type="dxa"/>
            <w:gridSpan w:val="4"/>
          </w:tcPr>
          <w:p>
            <w:pPr>
              <w:pStyle w:val="18"/>
              <w:spacing w:before="28" w:line="268" w:lineRule="auto"/>
              <w:ind w:left="27" w:right="223"/>
              <w:jc w:val="left"/>
              <w:rPr>
                <w:rFonts w:ascii="Calibri" w:hAnsi="Calibri" w:eastAsia="Calibri"/>
                <w:sz w:val="18"/>
              </w:rPr>
            </w:pPr>
            <w:r>
              <w:rPr>
                <w:sz w:val="18"/>
              </w:rPr>
              <w:t>本项目正常排放源</w:t>
            </w:r>
            <w:r>
              <w:rPr>
                <w:rFonts w:ascii="Wingdings 2" w:hAnsi="Wingdings 2" w:eastAsia="Wingdings 2"/>
                <w:sz w:val="18"/>
              </w:rPr>
              <w:t></w:t>
            </w:r>
            <w:r>
              <w:rPr>
                <w:sz w:val="18"/>
              </w:rPr>
              <w:t>本项目非正常排放源</w:t>
            </w:r>
            <w:r>
              <w:rPr>
                <w:rFonts w:ascii="Calibri" w:hAnsi="Calibri" w:eastAsia="Calibri"/>
                <w:sz w:val="18"/>
              </w:rPr>
              <w:t>□</w:t>
            </w:r>
          </w:p>
          <w:p>
            <w:pPr>
              <w:pStyle w:val="18"/>
              <w:spacing w:before="4" w:line="211" w:lineRule="exact"/>
              <w:ind w:left="27"/>
              <w:jc w:val="left"/>
              <w:rPr>
                <w:rFonts w:ascii="Calibri" w:hAnsi="Calibri" w:eastAsia="Calibri"/>
                <w:sz w:val="18"/>
              </w:rPr>
            </w:pPr>
            <w:r>
              <w:rPr>
                <w:sz w:val="18"/>
              </w:rPr>
              <w:t>现有污染源</w:t>
            </w:r>
            <w:r>
              <w:rPr>
                <w:rFonts w:ascii="Calibri" w:hAnsi="Calibri" w:eastAsia="Calibri"/>
                <w:sz w:val="18"/>
              </w:rPr>
              <w:t>□</w:t>
            </w:r>
          </w:p>
        </w:tc>
        <w:tc>
          <w:tcPr>
            <w:tcW w:w="861" w:type="dxa"/>
            <w:gridSpan w:val="2"/>
          </w:tcPr>
          <w:p>
            <w:pPr>
              <w:pStyle w:val="18"/>
              <w:spacing w:before="157" w:line="271" w:lineRule="auto"/>
              <w:ind w:left="106" w:right="58" w:hanging="36"/>
              <w:jc w:val="left"/>
              <w:rPr>
                <w:rFonts w:ascii="Calibri" w:hAnsi="Calibri" w:eastAsia="Calibri"/>
                <w:sz w:val="18"/>
              </w:rPr>
            </w:pPr>
            <w:r>
              <w:rPr>
                <w:sz w:val="18"/>
              </w:rPr>
              <w:t>拟替代的污染源</w:t>
            </w:r>
            <w:r>
              <w:rPr>
                <w:rFonts w:ascii="Calibri" w:hAnsi="Calibri" w:eastAsia="Calibri"/>
                <w:sz w:val="18"/>
              </w:rPr>
              <w:t>□</w:t>
            </w:r>
          </w:p>
        </w:tc>
        <w:tc>
          <w:tcPr>
            <w:tcW w:w="1938" w:type="dxa"/>
            <w:gridSpan w:val="6"/>
          </w:tcPr>
          <w:p>
            <w:pPr>
              <w:pStyle w:val="18"/>
              <w:spacing w:before="157" w:line="271" w:lineRule="auto"/>
              <w:ind w:left="735" w:right="57" w:hanging="668"/>
              <w:jc w:val="left"/>
              <w:rPr>
                <w:rFonts w:ascii="Calibri" w:hAnsi="Calibri" w:eastAsia="Calibri"/>
                <w:sz w:val="18"/>
              </w:rPr>
            </w:pPr>
            <w:r>
              <w:rPr>
                <w:sz w:val="18"/>
              </w:rPr>
              <w:t>其他在建、拟建项目污染源</w:t>
            </w:r>
            <w:r>
              <w:rPr>
                <w:rFonts w:ascii="Calibri" w:hAnsi="Calibri" w:eastAsia="Calibri"/>
                <w:sz w:val="18"/>
              </w:rPr>
              <w:t>□</w:t>
            </w:r>
          </w:p>
        </w:tc>
        <w:tc>
          <w:tcPr>
            <w:tcW w:w="1194" w:type="dxa"/>
            <w:gridSpan w:val="2"/>
          </w:tcPr>
          <w:p>
            <w:pPr>
              <w:pStyle w:val="18"/>
              <w:spacing w:before="5"/>
              <w:jc w:val="left"/>
              <w:rPr>
                <w:b/>
                <w:sz w:val="22"/>
              </w:rPr>
            </w:pPr>
          </w:p>
          <w:p>
            <w:pPr>
              <w:pStyle w:val="18"/>
              <w:ind w:left="93"/>
              <w:jc w:val="left"/>
              <w:rPr>
                <w:rFonts w:ascii="Calibri" w:hAnsi="Calibri" w:eastAsia="Calibri"/>
                <w:sz w:val="18"/>
              </w:rPr>
            </w:pPr>
            <w:r>
              <w:rPr>
                <w:sz w:val="18"/>
              </w:rPr>
              <w:t>区域污染源</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restart"/>
          </w:tcPr>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spacing w:before="7"/>
              <w:jc w:val="left"/>
              <w:rPr>
                <w:b/>
                <w:sz w:val="23"/>
              </w:rPr>
            </w:pPr>
          </w:p>
          <w:p>
            <w:pPr>
              <w:pStyle w:val="18"/>
              <w:spacing w:line="271" w:lineRule="auto"/>
              <w:ind w:left="97" w:right="86"/>
              <w:jc w:val="both"/>
              <w:rPr>
                <w:sz w:val="18"/>
              </w:rPr>
            </w:pPr>
            <w:r>
              <w:rPr>
                <w:sz w:val="18"/>
              </w:rPr>
              <w:t>大气环境影响预测与评价</w:t>
            </w:r>
          </w:p>
        </w:tc>
        <w:tc>
          <w:tcPr>
            <w:tcW w:w="1458" w:type="dxa"/>
          </w:tcPr>
          <w:p>
            <w:pPr>
              <w:pStyle w:val="18"/>
              <w:spacing w:before="157"/>
              <w:ind w:left="369"/>
              <w:jc w:val="left"/>
              <w:rPr>
                <w:sz w:val="18"/>
              </w:rPr>
            </w:pPr>
            <w:r>
              <w:rPr>
                <w:sz w:val="18"/>
              </w:rPr>
              <w:t>预测模型</w:t>
            </w:r>
          </w:p>
        </w:tc>
        <w:tc>
          <w:tcPr>
            <w:tcW w:w="853" w:type="dxa"/>
          </w:tcPr>
          <w:p>
            <w:pPr>
              <w:pStyle w:val="18"/>
              <w:spacing w:before="41"/>
              <w:ind w:left="46" w:right="35"/>
              <w:rPr>
                <w:rFonts w:ascii="Calibri"/>
                <w:sz w:val="18"/>
              </w:rPr>
            </w:pPr>
            <w:r>
              <w:rPr>
                <w:rFonts w:ascii="Calibri"/>
                <w:sz w:val="18"/>
              </w:rPr>
              <w:t>AERMOD</w:t>
            </w:r>
          </w:p>
          <w:p>
            <w:pPr>
              <w:pStyle w:val="18"/>
              <w:spacing w:before="39" w:line="200" w:lineRule="exact"/>
              <w:ind w:left="6"/>
              <w:rPr>
                <w:rFonts w:ascii="Calibri" w:hAnsi="Calibri"/>
                <w:sz w:val="18"/>
              </w:rPr>
            </w:pPr>
            <w:r>
              <w:rPr>
                <w:rFonts w:ascii="Calibri" w:hAnsi="Calibri"/>
                <w:sz w:val="18"/>
              </w:rPr>
              <w:t>□</w:t>
            </w:r>
          </w:p>
        </w:tc>
        <w:tc>
          <w:tcPr>
            <w:tcW w:w="628" w:type="dxa"/>
            <w:gridSpan w:val="2"/>
          </w:tcPr>
          <w:p>
            <w:pPr>
              <w:pStyle w:val="18"/>
              <w:spacing w:before="41"/>
              <w:ind w:left="20" w:right="22"/>
              <w:rPr>
                <w:rFonts w:ascii="Calibri"/>
                <w:sz w:val="18"/>
              </w:rPr>
            </w:pPr>
            <w:r>
              <w:rPr>
                <w:rFonts w:ascii="Calibri"/>
                <w:sz w:val="18"/>
              </w:rPr>
              <w:t>ADMS</w:t>
            </w:r>
          </w:p>
          <w:p>
            <w:pPr>
              <w:pStyle w:val="18"/>
              <w:spacing w:before="39" w:line="200" w:lineRule="exact"/>
              <w:ind w:right="3"/>
              <w:rPr>
                <w:rFonts w:ascii="Calibri" w:hAnsi="Calibri"/>
                <w:sz w:val="18"/>
              </w:rPr>
            </w:pPr>
            <w:r>
              <w:rPr>
                <w:rFonts w:ascii="Calibri" w:hAnsi="Calibri"/>
                <w:sz w:val="18"/>
              </w:rPr>
              <w:t>□</w:t>
            </w:r>
          </w:p>
        </w:tc>
        <w:tc>
          <w:tcPr>
            <w:tcW w:w="1013" w:type="dxa"/>
            <w:gridSpan w:val="2"/>
          </w:tcPr>
          <w:p>
            <w:pPr>
              <w:pStyle w:val="18"/>
              <w:spacing w:before="41"/>
              <w:ind w:left="60" w:right="61"/>
              <w:rPr>
                <w:rFonts w:ascii="Calibri"/>
                <w:sz w:val="18"/>
              </w:rPr>
            </w:pPr>
            <w:r>
              <w:rPr>
                <w:rFonts w:ascii="Calibri"/>
                <w:w w:val="90"/>
                <w:sz w:val="18"/>
              </w:rPr>
              <w:t>AUSTAL2000</w:t>
            </w:r>
          </w:p>
          <w:p>
            <w:pPr>
              <w:pStyle w:val="18"/>
              <w:spacing w:before="39" w:line="200" w:lineRule="exact"/>
              <w:ind w:right="1"/>
              <w:rPr>
                <w:rFonts w:ascii="Calibri" w:hAnsi="Calibri"/>
                <w:sz w:val="18"/>
              </w:rPr>
            </w:pPr>
            <w:r>
              <w:rPr>
                <w:rFonts w:ascii="Calibri" w:hAnsi="Calibri"/>
                <w:w w:val="88"/>
                <w:sz w:val="18"/>
              </w:rPr>
              <w:t>□</w:t>
            </w:r>
          </w:p>
        </w:tc>
        <w:tc>
          <w:tcPr>
            <w:tcW w:w="1021" w:type="dxa"/>
            <w:gridSpan w:val="3"/>
          </w:tcPr>
          <w:p>
            <w:pPr>
              <w:pStyle w:val="18"/>
              <w:spacing w:before="41"/>
              <w:ind w:left="53" w:right="66"/>
              <w:rPr>
                <w:rFonts w:ascii="Calibri"/>
                <w:sz w:val="18"/>
              </w:rPr>
            </w:pPr>
            <w:r>
              <w:rPr>
                <w:rFonts w:ascii="Calibri"/>
                <w:w w:val="95"/>
                <w:sz w:val="18"/>
              </w:rPr>
              <w:t>EDMS/AEDT</w:t>
            </w:r>
          </w:p>
          <w:p>
            <w:pPr>
              <w:pStyle w:val="18"/>
              <w:spacing w:before="39" w:line="200" w:lineRule="exact"/>
              <w:ind w:right="19"/>
              <w:rPr>
                <w:rFonts w:ascii="Calibri" w:hAnsi="Calibri"/>
                <w:sz w:val="18"/>
              </w:rPr>
            </w:pPr>
            <w:r>
              <w:rPr>
                <w:rFonts w:ascii="Calibri" w:hAnsi="Calibri"/>
                <w:w w:val="88"/>
                <w:sz w:val="18"/>
              </w:rPr>
              <w:t>□</w:t>
            </w:r>
          </w:p>
        </w:tc>
        <w:tc>
          <w:tcPr>
            <w:tcW w:w="747" w:type="dxa"/>
            <w:gridSpan w:val="2"/>
          </w:tcPr>
          <w:p>
            <w:pPr>
              <w:pStyle w:val="18"/>
              <w:spacing w:before="41"/>
              <w:ind w:left="32" w:right="47"/>
              <w:rPr>
                <w:rFonts w:ascii="Calibri"/>
                <w:sz w:val="18"/>
              </w:rPr>
            </w:pPr>
            <w:r>
              <w:rPr>
                <w:rFonts w:ascii="Calibri"/>
                <w:w w:val="95"/>
                <w:sz w:val="18"/>
              </w:rPr>
              <w:t>CALPUFF</w:t>
            </w:r>
          </w:p>
          <w:p>
            <w:pPr>
              <w:pStyle w:val="18"/>
              <w:spacing w:before="39" w:line="200" w:lineRule="exact"/>
              <w:ind w:right="16"/>
              <w:rPr>
                <w:rFonts w:ascii="Calibri" w:hAnsi="Calibri"/>
                <w:sz w:val="18"/>
              </w:rPr>
            </w:pPr>
            <w:r>
              <w:rPr>
                <w:rFonts w:ascii="Calibri" w:hAnsi="Calibri"/>
                <w:w w:val="88"/>
                <w:sz w:val="18"/>
              </w:rPr>
              <w:t>□</w:t>
            </w:r>
          </w:p>
        </w:tc>
        <w:tc>
          <w:tcPr>
            <w:tcW w:w="853" w:type="dxa"/>
            <w:gridSpan w:val="3"/>
          </w:tcPr>
          <w:p>
            <w:pPr>
              <w:pStyle w:val="18"/>
              <w:spacing w:before="27"/>
              <w:ind w:left="46" w:right="37"/>
              <w:rPr>
                <w:sz w:val="18"/>
              </w:rPr>
            </w:pPr>
            <w:r>
              <w:rPr>
                <w:sz w:val="18"/>
              </w:rPr>
              <w:t>网格模型</w:t>
            </w:r>
          </w:p>
          <w:p>
            <w:pPr>
              <w:pStyle w:val="18"/>
              <w:spacing w:before="42" w:line="200" w:lineRule="exact"/>
              <w:ind w:left="12"/>
              <w:rPr>
                <w:rFonts w:ascii="Calibri" w:hAnsi="Calibri"/>
                <w:sz w:val="18"/>
              </w:rPr>
            </w:pPr>
            <w:r>
              <w:rPr>
                <w:rFonts w:ascii="Calibri" w:hAnsi="Calibri"/>
                <w:sz w:val="18"/>
              </w:rPr>
              <w:t>□</w:t>
            </w:r>
          </w:p>
        </w:tc>
        <w:tc>
          <w:tcPr>
            <w:tcW w:w="870" w:type="dxa"/>
          </w:tcPr>
          <w:p>
            <w:pPr>
              <w:pStyle w:val="18"/>
              <w:spacing w:before="27"/>
              <w:ind w:left="234" w:right="225"/>
              <w:rPr>
                <w:sz w:val="18"/>
              </w:rPr>
            </w:pPr>
            <w:r>
              <w:rPr>
                <w:sz w:val="18"/>
              </w:rPr>
              <w:t>其他</w:t>
            </w:r>
          </w:p>
          <w:p>
            <w:pPr>
              <w:pStyle w:val="18"/>
              <w:spacing w:before="34" w:line="208" w:lineRule="exact"/>
              <w:ind w:left="11"/>
              <w:rPr>
                <w:rFonts w:ascii="MS UI Gothic" w:hAnsi="MS UI Gothic"/>
                <w:sz w:val="18"/>
              </w:rPr>
            </w:pPr>
            <w:r>
              <w:rPr>
                <w:rFonts w:ascii="MS UI Gothic" w:hAnsi="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8"/>
              <w:ind w:left="369"/>
              <w:jc w:val="left"/>
              <w:rPr>
                <w:sz w:val="18"/>
              </w:rPr>
            </w:pPr>
            <w:r>
              <w:rPr>
                <w:sz w:val="18"/>
              </w:rPr>
              <w:t>预测范围</w:t>
            </w:r>
          </w:p>
        </w:tc>
        <w:tc>
          <w:tcPr>
            <w:tcW w:w="1992" w:type="dxa"/>
            <w:gridSpan w:val="4"/>
          </w:tcPr>
          <w:p>
            <w:pPr>
              <w:pStyle w:val="18"/>
              <w:spacing w:before="68"/>
              <w:ind w:left="423"/>
              <w:jc w:val="left"/>
              <w:rPr>
                <w:rFonts w:ascii="Calibri" w:hAnsi="Calibri" w:eastAsia="Calibri"/>
                <w:sz w:val="18"/>
              </w:rPr>
            </w:pPr>
            <w:r>
              <w:rPr>
                <w:sz w:val="18"/>
              </w:rPr>
              <w:t>边长</w:t>
            </w:r>
            <w:r>
              <w:rPr>
                <w:rFonts w:hint="eastAsia" w:ascii="仿宋" w:hAnsi="仿宋" w:eastAsia="仿宋"/>
                <w:sz w:val="18"/>
              </w:rPr>
              <w:t>≥</w:t>
            </w:r>
            <w:r>
              <w:rPr>
                <w:rFonts w:ascii="Calibri" w:hAnsi="Calibri" w:eastAsia="Calibri"/>
                <w:sz w:val="18"/>
              </w:rPr>
              <w:t>50km□</w:t>
            </w:r>
          </w:p>
        </w:tc>
        <w:tc>
          <w:tcPr>
            <w:tcW w:w="1939" w:type="dxa"/>
            <w:gridSpan w:val="5"/>
          </w:tcPr>
          <w:p>
            <w:pPr>
              <w:pStyle w:val="18"/>
              <w:spacing w:before="68"/>
              <w:ind w:left="375"/>
              <w:jc w:val="left"/>
              <w:rPr>
                <w:rFonts w:ascii="Calibri" w:hAnsi="Calibri" w:eastAsia="Calibri"/>
                <w:sz w:val="18"/>
              </w:rPr>
            </w:pPr>
            <w:r>
              <w:rPr>
                <w:sz w:val="18"/>
              </w:rPr>
              <w:t>边长</w:t>
            </w:r>
            <w:r>
              <w:rPr>
                <w:rFonts w:ascii="Calibri" w:hAnsi="Calibri" w:eastAsia="Calibri"/>
                <w:sz w:val="18"/>
              </w:rPr>
              <w:t>5</w:t>
            </w:r>
            <w:r>
              <w:rPr>
                <w:sz w:val="18"/>
              </w:rPr>
              <w:t>～</w:t>
            </w:r>
            <w:r>
              <w:rPr>
                <w:rFonts w:ascii="Calibri" w:hAnsi="Calibri" w:eastAsia="Calibri"/>
                <w:sz w:val="18"/>
              </w:rPr>
              <w:t>50km□</w:t>
            </w:r>
          </w:p>
        </w:tc>
        <w:tc>
          <w:tcPr>
            <w:tcW w:w="2054" w:type="dxa"/>
            <w:gridSpan w:val="5"/>
          </w:tcPr>
          <w:p>
            <w:pPr>
              <w:pStyle w:val="18"/>
              <w:spacing w:before="68"/>
              <w:ind w:left="555"/>
              <w:jc w:val="left"/>
              <w:rPr>
                <w:rFonts w:hint="eastAsia" w:ascii="MS UI Gothic" w:hAnsi="MS UI Gothic" w:eastAsia="MS UI Gothic"/>
                <w:sz w:val="18"/>
              </w:rPr>
            </w:pPr>
            <w:r>
              <w:rPr>
                <w:sz w:val="18"/>
              </w:rPr>
              <w:t>边长</w:t>
            </w:r>
            <w:r>
              <w:rPr>
                <w:rFonts w:ascii="Calibri" w:hAnsi="Calibri" w:eastAsia="Calibri"/>
                <w:sz w:val="18"/>
              </w:rPr>
              <w:t>=5km</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before="158"/>
              <w:ind w:left="369"/>
              <w:jc w:val="left"/>
              <w:rPr>
                <w:sz w:val="18"/>
              </w:rPr>
            </w:pPr>
            <w:r>
              <w:rPr>
                <w:sz w:val="18"/>
              </w:rPr>
              <w:t>预测因子</w:t>
            </w:r>
          </w:p>
        </w:tc>
        <w:tc>
          <w:tcPr>
            <w:tcW w:w="3515" w:type="dxa"/>
            <w:gridSpan w:val="8"/>
          </w:tcPr>
          <w:p>
            <w:pPr>
              <w:pStyle w:val="18"/>
              <w:spacing w:before="155"/>
              <w:ind w:left="514"/>
              <w:jc w:val="left"/>
              <w:rPr>
                <w:sz w:val="18"/>
              </w:rPr>
            </w:pPr>
            <w:r>
              <w:rPr>
                <w:position w:val="2"/>
                <w:sz w:val="18"/>
              </w:rPr>
              <w:t>预测因子（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2470" w:type="dxa"/>
            <w:gridSpan w:val="6"/>
          </w:tcPr>
          <w:p>
            <w:pPr>
              <w:pStyle w:val="18"/>
              <w:spacing w:before="25"/>
              <w:ind w:left="135" w:right="718"/>
              <w:rPr>
                <w:rFonts w:ascii="Calibri" w:hAnsi="Calibri" w:eastAsia="Calibri"/>
                <w:sz w:val="18"/>
              </w:rPr>
            </w:pPr>
            <w:r>
              <w:rPr>
                <w:position w:val="2"/>
                <w:sz w:val="18"/>
              </w:rPr>
              <w:t>包括二次</w:t>
            </w:r>
            <w:r>
              <w:rPr>
                <w:rFonts w:ascii="Calibri" w:hAnsi="Calibri" w:eastAsia="Calibri"/>
                <w:position w:val="2"/>
                <w:sz w:val="18"/>
              </w:rPr>
              <w:t>PM</w:t>
            </w:r>
            <w:r>
              <w:rPr>
                <w:rFonts w:ascii="Calibri" w:hAnsi="Calibri" w:eastAsia="Calibri"/>
                <w:position w:val="2"/>
                <w:sz w:val="18"/>
                <w:vertAlign w:val="subscript"/>
              </w:rPr>
              <w:t>2.5</w:t>
            </w:r>
            <w:r>
              <w:rPr>
                <w:rFonts w:ascii="Calibri" w:hAnsi="Calibri" w:eastAsia="Calibri"/>
                <w:position w:val="2"/>
                <w:sz w:val="18"/>
                <w:vertAlign w:val="baseline"/>
              </w:rPr>
              <w:t>□</w:t>
            </w:r>
          </w:p>
          <w:p>
            <w:pPr>
              <w:pStyle w:val="18"/>
              <w:spacing w:before="11" w:line="216" w:lineRule="exact"/>
              <w:ind w:left="135" w:right="719"/>
              <w:rPr>
                <w:rFonts w:hint="eastAsia" w:ascii="MS UI Gothic" w:hAnsi="MS UI Gothic" w:eastAsia="MS UI Gothic"/>
                <w:sz w:val="18"/>
              </w:rPr>
            </w:pPr>
            <w:r>
              <w:rPr>
                <w:position w:val="2"/>
                <w:sz w:val="18"/>
              </w:rPr>
              <w:t>不包括二次</w:t>
            </w:r>
            <w:r>
              <w:rPr>
                <w:rFonts w:ascii="Calibri" w:hAnsi="Calibri" w:eastAsia="Calibri"/>
                <w:position w:val="2"/>
                <w:sz w:val="18"/>
              </w:rPr>
              <w:t>PM</w:t>
            </w:r>
            <w:r>
              <w:rPr>
                <w:rFonts w:ascii="Calibri" w:hAnsi="Calibri" w:eastAsia="Calibri"/>
                <w:position w:val="2"/>
                <w:sz w:val="18"/>
                <w:vertAlign w:val="subscript"/>
              </w:rPr>
              <w:t>2.5</w:t>
            </w:r>
            <w:r>
              <w:rPr>
                <w:rFonts w:hint="eastAsia" w:ascii="MS UI Gothic" w:hAnsi="MS UI Gothic" w:eastAsia="MS UI Gothic"/>
                <w:position w:val="2"/>
                <w:sz w:val="18"/>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line="260" w:lineRule="atLeast"/>
              <w:ind w:left="369" w:right="87" w:hanging="272"/>
              <w:jc w:val="left"/>
              <w:rPr>
                <w:sz w:val="18"/>
              </w:rPr>
            </w:pPr>
            <w:r>
              <w:rPr>
                <w:sz w:val="18"/>
              </w:rPr>
              <w:t>正常排放短期浓度贡献值</w:t>
            </w:r>
          </w:p>
        </w:tc>
        <w:tc>
          <w:tcPr>
            <w:tcW w:w="3515" w:type="dxa"/>
            <w:gridSpan w:val="8"/>
          </w:tcPr>
          <w:p>
            <w:pPr>
              <w:pStyle w:val="18"/>
              <w:spacing w:before="12"/>
              <w:jc w:val="left"/>
              <w:rPr>
                <w:b/>
                <w:sz w:val="14"/>
              </w:rPr>
            </w:pPr>
          </w:p>
          <w:p>
            <w:pPr>
              <w:pStyle w:val="18"/>
              <w:ind w:left="1193"/>
              <w:jc w:val="left"/>
              <w:rPr>
                <w:rFonts w:hint="eastAsia" w:ascii="MS UI Gothic" w:hAnsi="MS UI Gothic" w:eastAsia="MS UI Gothic"/>
                <w:sz w:val="18"/>
              </w:rPr>
            </w:pPr>
            <w:r>
              <w:rPr>
                <w:sz w:val="18"/>
              </w:rPr>
              <w:t>最大占标率</w:t>
            </w:r>
            <w:r>
              <w:rPr>
                <w:rFonts w:hint="eastAsia" w:ascii="仿宋" w:hAnsi="仿宋" w:eastAsia="仿宋"/>
                <w:sz w:val="18"/>
              </w:rPr>
              <w:t>≤</w:t>
            </w:r>
            <w:r>
              <w:rPr>
                <w:rFonts w:ascii="Calibri" w:hAnsi="Calibri" w:eastAsia="Calibri"/>
                <w:sz w:val="18"/>
              </w:rPr>
              <w:t>100%</w:t>
            </w:r>
            <w:r>
              <w:rPr>
                <w:rFonts w:hint="eastAsia" w:ascii="MS UI Gothic" w:hAnsi="MS UI Gothic" w:eastAsia="MS UI Gothic"/>
                <w:sz w:val="18"/>
              </w:rPr>
              <w:t>☑</w:t>
            </w:r>
          </w:p>
        </w:tc>
        <w:tc>
          <w:tcPr>
            <w:tcW w:w="2470" w:type="dxa"/>
            <w:gridSpan w:val="6"/>
          </w:tcPr>
          <w:p>
            <w:pPr>
              <w:pStyle w:val="18"/>
              <w:spacing w:before="12"/>
              <w:jc w:val="left"/>
              <w:rPr>
                <w:b/>
                <w:sz w:val="14"/>
              </w:rPr>
            </w:pPr>
          </w:p>
          <w:p>
            <w:pPr>
              <w:pStyle w:val="18"/>
              <w:ind w:left="707"/>
              <w:jc w:val="left"/>
              <w:rPr>
                <w:rFonts w:ascii="Calibri" w:hAnsi="Calibri" w:eastAsia="Calibri"/>
                <w:sz w:val="18"/>
              </w:rPr>
            </w:pPr>
            <w:r>
              <w:rPr>
                <w:sz w:val="18"/>
              </w:rPr>
              <w:t>最大占标率</w:t>
            </w:r>
            <w:r>
              <w:rPr>
                <w:rFonts w:hint="eastAsia" w:ascii="仿宋" w:hAnsi="仿宋" w:eastAsia="仿宋"/>
                <w:sz w:val="18"/>
              </w:rPr>
              <w:t>＞</w:t>
            </w:r>
            <w:r>
              <w:rPr>
                <w:rFonts w:ascii="Calibri" w:hAnsi="Calibri" w:eastAsia="Calibri"/>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916" w:type="dxa"/>
            <w:vMerge w:val="continue"/>
            <w:tcBorders>
              <w:top w:val="nil"/>
            </w:tcBorders>
          </w:tcPr>
          <w:p>
            <w:pPr>
              <w:rPr>
                <w:sz w:val="2"/>
                <w:szCs w:val="2"/>
              </w:rPr>
            </w:pPr>
          </w:p>
        </w:tc>
        <w:tc>
          <w:tcPr>
            <w:tcW w:w="1458" w:type="dxa"/>
            <w:vMerge w:val="restart"/>
          </w:tcPr>
          <w:p>
            <w:pPr>
              <w:pStyle w:val="18"/>
              <w:spacing w:before="151" w:line="271" w:lineRule="auto"/>
              <w:ind w:left="369" w:right="87" w:hanging="272"/>
              <w:jc w:val="left"/>
              <w:rPr>
                <w:sz w:val="18"/>
              </w:rPr>
            </w:pPr>
            <w:r>
              <w:rPr>
                <w:sz w:val="18"/>
              </w:rPr>
              <w:t>正常排放年均浓度贡献值</w:t>
            </w:r>
          </w:p>
        </w:tc>
        <w:tc>
          <w:tcPr>
            <w:tcW w:w="1281" w:type="dxa"/>
            <w:gridSpan w:val="2"/>
          </w:tcPr>
          <w:p>
            <w:pPr>
              <w:pStyle w:val="18"/>
              <w:spacing w:before="106"/>
              <w:ind w:left="370"/>
              <w:jc w:val="left"/>
              <w:rPr>
                <w:sz w:val="18"/>
              </w:rPr>
            </w:pPr>
            <w:r>
              <w:rPr>
                <w:sz w:val="18"/>
              </w:rPr>
              <w:t>一类区</w:t>
            </w:r>
          </w:p>
        </w:tc>
        <w:tc>
          <w:tcPr>
            <w:tcW w:w="2650" w:type="dxa"/>
            <w:gridSpan w:val="7"/>
          </w:tcPr>
          <w:p>
            <w:pPr>
              <w:pStyle w:val="18"/>
              <w:spacing w:before="30"/>
              <w:ind w:left="323"/>
              <w:jc w:val="left"/>
              <w:rPr>
                <w:rFonts w:ascii="Calibri" w:hAnsi="Calibri" w:eastAsia="Calibri"/>
                <w:sz w:val="18"/>
              </w:rPr>
            </w:pPr>
            <w:r>
              <w:drawing>
                <wp:inline distT="0" distB="0" distL="0" distR="0">
                  <wp:extent cx="319405" cy="19304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45" cstate="print"/>
                          <a:stretch>
                            <a:fillRect/>
                          </a:stretch>
                        </pic:blipFill>
                        <pic:spPr>
                          <a:xfrm>
                            <a:off x="0" y="0"/>
                            <a:ext cx="320039" cy="193548"/>
                          </a:xfrm>
                          <a:prstGeom prst="rect">
                            <a:avLst/>
                          </a:prstGeom>
                        </pic:spPr>
                      </pic:pic>
                    </a:graphicData>
                  </a:graphic>
                </wp:inline>
              </w:drawing>
            </w:r>
            <w:r>
              <w:rPr>
                <w:sz w:val="18"/>
              </w:rPr>
              <w:t>最大占标率</w:t>
            </w:r>
            <w:r>
              <w:rPr>
                <w:rFonts w:hint="eastAsia" w:ascii="仿宋" w:hAnsi="仿宋" w:eastAsia="仿宋"/>
                <w:sz w:val="18"/>
              </w:rPr>
              <w:t>≤</w:t>
            </w:r>
            <w:r>
              <w:rPr>
                <w:rFonts w:ascii="Calibri" w:hAnsi="Calibri" w:eastAsia="Calibri"/>
                <w:sz w:val="18"/>
              </w:rPr>
              <w:t>10%□</w:t>
            </w:r>
          </w:p>
        </w:tc>
        <w:tc>
          <w:tcPr>
            <w:tcW w:w="2054" w:type="dxa"/>
            <w:gridSpan w:val="5"/>
          </w:tcPr>
          <w:p>
            <w:pPr>
              <w:pStyle w:val="18"/>
              <w:spacing w:before="139"/>
              <w:ind w:left="620"/>
              <w:jc w:val="left"/>
              <w:rPr>
                <w:rFonts w:ascii="Calibri" w:hAnsi="Calibri" w:eastAsia="Calibri"/>
                <w:sz w:val="18"/>
              </w:rPr>
            </w:pPr>
            <w:r>
              <w:rPr>
                <w:sz w:val="18"/>
              </w:rPr>
              <w:t>最大标率</w:t>
            </w:r>
            <w:r>
              <w:rPr>
                <w:rFonts w:hint="eastAsia" w:ascii="仿宋" w:hAnsi="仿宋" w:eastAsia="仿宋"/>
                <w:sz w:val="18"/>
              </w:rPr>
              <w:t>＞</w:t>
            </w:r>
            <w:r>
              <w:rPr>
                <w:rFonts w:ascii="Calibri" w:hAnsi="Calibri" w:eastAsia="Calibri"/>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vMerge w:val="continue"/>
            <w:tcBorders>
              <w:top w:val="nil"/>
            </w:tcBorders>
          </w:tcPr>
          <w:p>
            <w:pPr>
              <w:rPr>
                <w:sz w:val="2"/>
                <w:szCs w:val="2"/>
              </w:rPr>
            </w:pPr>
          </w:p>
        </w:tc>
        <w:tc>
          <w:tcPr>
            <w:tcW w:w="1281" w:type="dxa"/>
            <w:gridSpan w:val="2"/>
          </w:tcPr>
          <w:p>
            <w:pPr>
              <w:pStyle w:val="18"/>
              <w:spacing w:before="69"/>
              <w:ind w:left="370"/>
              <w:jc w:val="left"/>
              <w:rPr>
                <w:sz w:val="18"/>
              </w:rPr>
            </w:pPr>
            <w:r>
              <w:rPr>
                <w:sz w:val="18"/>
              </w:rPr>
              <w:t>二类区</w:t>
            </w:r>
          </w:p>
        </w:tc>
        <w:tc>
          <w:tcPr>
            <w:tcW w:w="2650" w:type="dxa"/>
            <w:gridSpan w:val="7"/>
          </w:tcPr>
          <w:p>
            <w:pPr>
              <w:pStyle w:val="18"/>
              <w:spacing w:before="100" w:line="220" w:lineRule="exact"/>
              <w:ind w:left="791"/>
              <w:jc w:val="left"/>
              <w:rPr>
                <w:rFonts w:hint="eastAsia" w:ascii="MS UI Gothic" w:hAnsi="MS UI Gothic" w:eastAsia="MS UI Gothic"/>
                <w:sz w:val="18"/>
              </w:rPr>
            </w:pPr>
            <w:r>
              <w:rPr>
                <w:sz w:val="18"/>
              </w:rPr>
              <w:t>最大占标率</w:t>
            </w:r>
            <w:r>
              <w:rPr>
                <w:rFonts w:hint="eastAsia" w:ascii="仿宋" w:hAnsi="仿宋" w:eastAsia="仿宋"/>
                <w:sz w:val="18"/>
              </w:rPr>
              <w:t>≤</w:t>
            </w:r>
            <w:r>
              <w:rPr>
                <w:rFonts w:ascii="Calibri" w:hAnsi="Calibri" w:eastAsia="Calibri"/>
                <w:sz w:val="18"/>
              </w:rPr>
              <w:t>30%</w:t>
            </w:r>
            <w:r>
              <w:rPr>
                <w:rFonts w:hint="eastAsia" w:ascii="MS UI Gothic" w:hAnsi="MS UI Gothic" w:eastAsia="MS UI Gothic"/>
                <w:sz w:val="18"/>
              </w:rPr>
              <w:t>☑</w:t>
            </w:r>
          </w:p>
        </w:tc>
        <w:tc>
          <w:tcPr>
            <w:tcW w:w="2054" w:type="dxa"/>
            <w:gridSpan w:val="5"/>
          </w:tcPr>
          <w:p>
            <w:pPr>
              <w:pStyle w:val="18"/>
              <w:spacing w:before="100" w:line="220" w:lineRule="exact"/>
              <w:ind w:left="620"/>
              <w:jc w:val="left"/>
              <w:rPr>
                <w:rFonts w:ascii="Calibri" w:hAnsi="Calibri" w:eastAsia="Calibri"/>
                <w:sz w:val="18"/>
              </w:rPr>
            </w:pPr>
            <w:r>
              <w:rPr>
                <w:sz w:val="18"/>
              </w:rPr>
              <w:t>最大标率</w:t>
            </w:r>
            <w:r>
              <w:rPr>
                <w:rFonts w:hint="eastAsia" w:ascii="仿宋" w:hAnsi="仿宋" w:eastAsia="仿宋"/>
                <w:sz w:val="18"/>
              </w:rPr>
              <w:t>＞</w:t>
            </w:r>
            <w:r>
              <w:rPr>
                <w:rFonts w:ascii="Calibri" w:hAnsi="Calibri" w:eastAsia="Calibri"/>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line="260" w:lineRule="atLeast"/>
              <w:ind w:left="369" w:right="1" w:hanging="320"/>
              <w:jc w:val="left"/>
              <w:rPr>
                <w:sz w:val="18"/>
              </w:rPr>
            </w:pPr>
            <w:r>
              <w:rPr>
                <w:sz w:val="18"/>
              </w:rPr>
              <w:t>非正常排放</w:t>
            </w:r>
            <w:r>
              <w:rPr>
                <w:rFonts w:ascii="Calibri" w:eastAsia="Calibri"/>
                <w:sz w:val="18"/>
              </w:rPr>
              <w:t>1h</w:t>
            </w:r>
            <w:r>
              <w:rPr>
                <w:sz w:val="18"/>
              </w:rPr>
              <w:t>浓度贡献值</w:t>
            </w:r>
          </w:p>
        </w:tc>
        <w:tc>
          <w:tcPr>
            <w:tcW w:w="1992" w:type="dxa"/>
            <w:gridSpan w:val="4"/>
          </w:tcPr>
          <w:p>
            <w:pPr>
              <w:pStyle w:val="18"/>
              <w:spacing w:before="158"/>
              <w:ind w:left="48"/>
              <w:jc w:val="left"/>
              <w:rPr>
                <w:rFonts w:ascii="Calibri" w:eastAsia="Calibri"/>
                <w:sz w:val="18"/>
              </w:rPr>
            </w:pPr>
            <w:r>
              <w:rPr>
                <w:sz w:val="18"/>
              </w:rPr>
              <w:t>非正常持续时长（）</w:t>
            </w:r>
            <w:r>
              <w:rPr>
                <w:rFonts w:ascii="Calibri" w:eastAsia="Calibri"/>
                <w:sz w:val="18"/>
              </w:rPr>
              <w:t>h</w:t>
            </w:r>
          </w:p>
        </w:tc>
        <w:tc>
          <w:tcPr>
            <w:tcW w:w="1939" w:type="dxa"/>
            <w:gridSpan w:val="5"/>
          </w:tcPr>
          <w:p>
            <w:pPr>
              <w:pStyle w:val="18"/>
              <w:spacing w:before="1"/>
              <w:jc w:val="left"/>
              <w:rPr>
                <w:b/>
                <w:sz w:val="16"/>
              </w:rPr>
            </w:pPr>
          </w:p>
          <w:p>
            <w:pPr>
              <w:pStyle w:val="18"/>
              <w:ind w:left="586"/>
              <w:jc w:val="left"/>
              <w:rPr>
                <w:rFonts w:ascii="Calibri" w:hAnsi="Calibri" w:eastAsia="Calibri"/>
                <w:sz w:val="18"/>
              </w:rPr>
            </w:pPr>
            <w:r>
              <w:rPr>
                <w:sz w:val="18"/>
              </w:rPr>
              <w:t>占标率</w:t>
            </w:r>
            <w:r>
              <w:rPr>
                <w:rFonts w:hint="eastAsia" w:ascii="仿宋" w:hAnsi="仿宋" w:eastAsia="仿宋"/>
                <w:sz w:val="18"/>
              </w:rPr>
              <w:t>≤</w:t>
            </w:r>
            <w:r>
              <w:rPr>
                <w:rFonts w:ascii="Calibri" w:hAnsi="Calibri" w:eastAsia="Calibri"/>
                <w:sz w:val="18"/>
              </w:rPr>
              <w:t>100%□</w:t>
            </w:r>
          </w:p>
        </w:tc>
        <w:tc>
          <w:tcPr>
            <w:tcW w:w="2054" w:type="dxa"/>
            <w:gridSpan w:val="5"/>
          </w:tcPr>
          <w:p>
            <w:pPr>
              <w:pStyle w:val="18"/>
              <w:spacing w:before="12"/>
              <w:jc w:val="left"/>
              <w:rPr>
                <w:b/>
                <w:sz w:val="14"/>
              </w:rPr>
            </w:pPr>
          </w:p>
          <w:p>
            <w:pPr>
              <w:pStyle w:val="18"/>
              <w:ind w:left="663"/>
              <w:jc w:val="left"/>
              <w:rPr>
                <w:rFonts w:ascii="Calibri" w:hAnsi="Calibri" w:eastAsia="Calibri"/>
                <w:sz w:val="18"/>
              </w:rPr>
            </w:pPr>
            <w:r>
              <w:rPr>
                <w:sz w:val="18"/>
              </w:rPr>
              <w:t>占标率</w:t>
            </w:r>
            <w:r>
              <w:rPr>
                <w:rFonts w:hint="eastAsia" w:ascii="仿宋" w:hAnsi="仿宋" w:eastAsia="仿宋"/>
                <w:sz w:val="18"/>
              </w:rPr>
              <w:t>＞</w:t>
            </w:r>
            <w:r>
              <w:rPr>
                <w:rFonts w:ascii="Calibri" w:hAnsi="Calibri" w:eastAsia="Calibri"/>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916" w:type="dxa"/>
            <w:vMerge w:val="continue"/>
            <w:tcBorders>
              <w:top w:val="nil"/>
            </w:tcBorders>
          </w:tcPr>
          <w:p>
            <w:pPr>
              <w:rPr>
                <w:sz w:val="2"/>
                <w:szCs w:val="2"/>
              </w:rPr>
            </w:pPr>
          </w:p>
        </w:tc>
        <w:tc>
          <w:tcPr>
            <w:tcW w:w="1458" w:type="dxa"/>
          </w:tcPr>
          <w:p>
            <w:pPr>
              <w:pStyle w:val="18"/>
              <w:spacing w:line="260" w:lineRule="atLeast"/>
              <w:ind w:left="98" w:right="87"/>
              <w:rPr>
                <w:sz w:val="18"/>
              </w:rPr>
            </w:pPr>
            <w:r>
              <w:rPr>
                <w:sz w:val="18"/>
              </w:rPr>
              <w:t>保证率日平均浓度和年平均浓度叠加值</w:t>
            </w:r>
          </w:p>
        </w:tc>
        <w:tc>
          <w:tcPr>
            <w:tcW w:w="3931" w:type="dxa"/>
            <w:gridSpan w:val="9"/>
          </w:tcPr>
          <w:p>
            <w:pPr>
              <w:pStyle w:val="18"/>
              <w:spacing w:before="1"/>
              <w:jc w:val="left"/>
              <w:rPr>
                <w:b/>
                <w:sz w:val="25"/>
              </w:rPr>
            </w:pPr>
          </w:p>
          <w:p>
            <w:pPr>
              <w:pStyle w:val="18"/>
              <w:ind w:left="1522" w:right="1138"/>
              <w:rPr>
                <w:rFonts w:hint="eastAsia" w:ascii="MS UI Gothic" w:hAnsi="MS UI Gothic" w:eastAsia="MS UI Gothic"/>
                <w:sz w:val="18"/>
              </w:rPr>
            </w:pPr>
            <w:r>
              <w:rPr>
                <w:sz w:val="18"/>
              </w:rPr>
              <w:t>达标</w:t>
            </w:r>
            <w:r>
              <w:rPr>
                <w:rFonts w:hint="eastAsia" w:ascii="MS UI Gothic" w:hAnsi="MS UI Gothic" w:eastAsia="MS UI Gothic"/>
                <w:sz w:val="18"/>
              </w:rPr>
              <w:t>☑</w:t>
            </w:r>
          </w:p>
        </w:tc>
        <w:tc>
          <w:tcPr>
            <w:tcW w:w="2054" w:type="dxa"/>
            <w:gridSpan w:val="5"/>
          </w:tcPr>
          <w:p>
            <w:pPr>
              <w:pStyle w:val="18"/>
              <w:spacing w:before="1"/>
              <w:jc w:val="left"/>
              <w:rPr>
                <w:b/>
                <w:sz w:val="25"/>
              </w:rPr>
            </w:pPr>
          </w:p>
          <w:p>
            <w:pPr>
              <w:pStyle w:val="18"/>
              <w:ind w:left="891"/>
              <w:jc w:val="left"/>
              <w:rPr>
                <w:rFonts w:ascii="Calibri" w:hAnsi="Calibri" w:eastAsia="Calibri"/>
                <w:sz w:val="18"/>
              </w:rPr>
            </w:pPr>
            <w:r>
              <w:rPr>
                <w:sz w:val="18"/>
              </w:rPr>
              <w:t>不达标</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line="260" w:lineRule="atLeast"/>
              <w:ind w:left="189" w:right="87" w:hanging="92"/>
              <w:jc w:val="left"/>
              <w:rPr>
                <w:sz w:val="18"/>
              </w:rPr>
            </w:pPr>
            <w:r>
              <w:rPr>
                <w:sz w:val="18"/>
              </w:rPr>
              <w:t>区域环境质量的整体变化情况</w:t>
            </w:r>
          </w:p>
        </w:tc>
        <w:tc>
          <w:tcPr>
            <w:tcW w:w="3931" w:type="dxa"/>
            <w:gridSpan w:val="9"/>
          </w:tcPr>
          <w:p>
            <w:pPr>
              <w:pStyle w:val="18"/>
              <w:spacing w:before="158"/>
              <w:ind w:left="1490" w:right="1478"/>
              <w:rPr>
                <w:rFonts w:ascii="MS UI Gothic" w:hAnsi="MS UI Gothic"/>
                <w:sz w:val="18"/>
              </w:rPr>
            </w:pPr>
            <w:r>
              <w:rPr>
                <w:rFonts w:ascii="Calibri" w:hAnsi="Calibri"/>
                <w:i/>
                <w:sz w:val="18"/>
              </w:rPr>
              <w:t>k</w:t>
            </w:r>
            <w:r>
              <w:rPr>
                <w:rFonts w:ascii="仿宋" w:hAnsi="仿宋"/>
                <w:sz w:val="18"/>
              </w:rPr>
              <w:t>≤</w:t>
            </w:r>
            <w:r>
              <w:rPr>
                <w:rFonts w:ascii="Calibri" w:hAnsi="Calibri"/>
                <w:sz w:val="18"/>
              </w:rPr>
              <w:t>-20%</w:t>
            </w:r>
            <w:r>
              <w:rPr>
                <w:rFonts w:ascii="MS UI Gothic" w:hAnsi="MS UI Gothic"/>
                <w:sz w:val="18"/>
              </w:rPr>
              <w:t>☑</w:t>
            </w:r>
          </w:p>
        </w:tc>
        <w:tc>
          <w:tcPr>
            <w:tcW w:w="2054" w:type="dxa"/>
            <w:gridSpan w:val="5"/>
          </w:tcPr>
          <w:p>
            <w:pPr>
              <w:pStyle w:val="18"/>
              <w:spacing w:before="158"/>
              <w:ind w:left="661"/>
              <w:jc w:val="left"/>
              <w:rPr>
                <w:rFonts w:ascii="Calibri" w:hAnsi="Calibri" w:eastAsia="Calibri"/>
                <w:sz w:val="18"/>
              </w:rPr>
            </w:pPr>
            <w:r>
              <w:rPr>
                <w:rFonts w:ascii="Calibri" w:hAnsi="Calibri" w:eastAsia="Calibri"/>
                <w:i/>
                <w:sz w:val="18"/>
              </w:rPr>
              <w:t>k</w:t>
            </w:r>
            <w:r>
              <w:rPr>
                <w:rFonts w:hint="eastAsia" w:ascii="仿宋" w:hAnsi="仿宋" w:eastAsia="仿宋"/>
                <w:sz w:val="18"/>
              </w:rPr>
              <w:t>＞</w:t>
            </w:r>
            <w:r>
              <w:rPr>
                <w:rFonts w:ascii="Calibri" w:hAnsi="Calibri" w:eastAsia="Calibri"/>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restart"/>
          </w:tcPr>
          <w:p>
            <w:pPr>
              <w:pStyle w:val="18"/>
              <w:spacing w:before="9"/>
              <w:jc w:val="left"/>
              <w:rPr>
                <w:b/>
                <w:sz w:val="15"/>
              </w:rPr>
            </w:pPr>
          </w:p>
          <w:p>
            <w:pPr>
              <w:pStyle w:val="18"/>
              <w:spacing w:before="1" w:line="271" w:lineRule="auto"/>
              <w:ind w:left="277" w:right="86" w:hanging="180"/>
              <w:jc w:val="left"/>
              <w:rPr>
                <w:sz w:val="18"/>
              </w:rPr>
            </w:pPr>
            <w:r>
              <w:rPr>
                <w:sz w:val="18"/>
              </w:rPr>
              <w:t>环境监测计划</w:t>
            </w:r>
          </w:p>
        </w:tc>
        <w:tc>
          <w:tcPr>
            <w:tcW w:w="1458" w:type="dxa"/>
          </w:tcPr>
          <w:p>
            <w:pPr>
              <w:pStyle w:val="18"/>
              <w:spacing w:before="159"/>
              <w:ind w:left="278"/>
              <w:jc w:val="left"/>
              <w:rPr>
                <w:sz w:val="18"/>
              </w:rPr>
            </w:pPr>
            <w:r>
              <w:rPr>
                <w:sz w:val="18"/>
              </w:rPr>
              <w:t>污染源监测</w:t>
            </w:r>
          </w:p>
        </w:tc>
        <w:tc>
          <w:tcPr>
            <w:tcW w:w="2853" w:type="dxa"/>
            <w:gridSpan w:val="6"/>
          </w:tcPr>
          <w:p>
            <w:pPr>
              <w:pStyle w:val="18"/>
              <w:spacing w:before="155"/>
              <w:ind w:left="77"/>
              <w:jc w:val="left"/>
              <w:rPr>
                <w:sz w:val="18"/>
              </w:rPr>
            </w:pPr>
            <w:r>
              <w:rPr>
                <w:position w:val="2"/>
                <w:sz w:val="18"/>
              </w:rPr>
              <w:t>监测因子：（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1938" w:type="dxa"/>
            <w:gridSpan w:val="6"/>
          </w:tcPr>
          <w:p>
            <w:pPr>
              <w:pStyle w:val="18"/>
              <w:spacing w:line="260" w:lineRule="atLeast"/>
              <w:ind w:left="248" w:right="237"/>
              <w:jc w:val="left"/>
              <w:rPr>
                <w:rFonts w:hint="eastAsia" w:ascii="MS UI Gothic" w:hAnsi="MS UI Gothic" w:eastAsia="MS UI Gothic"/>
                <w:sz w:val="18"/>
              </w:rPr>
            </w:pPr>
            <w:r>
              <w:rPr>
                <w:sz w:val="18"/>
              </w:rPr>
              <w:t>有组织废气监测</w:t>
            </w:r>
            <w:r>
              <w:rPr>
                <w:rFonts w:hint="eastAsia" w:ascii="MS UI Gothic" w:hAnsi="MS UI Gothic" w:eastAsia="MS UI Gothic"/>
                <w:sz w:val="18"/>
              </w:rPr>
              <w:t>☑</w:t>
            </w:r>
            <w:r>
              <w:rPr>
                <w:sz w:val="18"/>
              </w:rPr>
              <w:t>无组织废气监测</w:t>
            </w:r>
            <w:r>
              <w:rPr>
                <w:rFonts w:hint="eastAsia" w:ascii="MS UI Gothic" w:hAnsi="MS UI Gothic" w:eastAsia="MS UI Gothic"/>
                <w:sz w:val="18"/>
              </w:rPr>
              <w:t>☑</w:t>
            </w:r>
          </w:p>
        </w:tc>
        <w:tc>
          <w:tcPr>
            <w:tcW w:w="1194" w:type="dxa"/>
            <w:gridSpan w:val="2"/>
          </w:tcPr>
          <w:p>
            <w:pPr>
              <w:pStyle w:val="18"/>
              <w:spacing w:before="159"/>
              <w:ind w:left="273"/>
              <w:jc w:val="left"/>
              <w:rPr>
                <w:rFonts w:ascii="Calibri" w:hAnsi="Calibri" w:eastAsia="Calibri"/>
                <w:sz w:val="18"/>
              </w:rPr>
            </w:pPr>
            <w:r>
              <w:rPr>
                <w:sz w:val="18"/>
              </w:rPr>
              <w:t>无监测</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8"/>
              <w:ind w:left="189"/>
              <w:jc w:val="left"/>
              <w:rPr>
                <w:sz w:val="18"/>
              </w:rPr>
            </w:pPr>
            <w:r>
              <w:rPr>
                <w:sz w:val="18"/>
              </w:rPr>
              <w:t>环境质量监测</w:t>
            </w:r>
          </w:p>
        </w:tc>
        <w:tc>
          <w:tcPr>
            <w:tcW w:w="2853" w:type="dxa"/>
            <w:gridSpan w:val="6"/>
          </w:tcPr>
          <w:p>
            <w:pPr>
              <w:pStyle w:val="18"/>
              <w:spacing w:before="65"/>
              <w:ind w:left="77"/>
              <w:jc w:val="left"/>
              <w:rPr>
                <w:sz w:val="18"/>
              </w:rPr>
            </w:pPr>
            <w:r>
              <w:rPr>
                <w:position w:val="2"/>
                <w:sz w:val="18"/>
              </w:rPr>
              <w:t>监测因子：（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1938" w:type="dxa"/>
            <w:gridSpan w:val="6"/>
          </w:tcPr>
          <w:p>
            <w:pPr>
              <w:pStyle w:val="18"/>
              <w:spacing w:before="68"/>
              <w:ind w:left="294"/>
              <w:jc w:val="left"/>
              <w:rPr>
                <w:sz w:val="18"/>
              </w:rPr>
            </w:pPr>
            <w:r>
              <w:rPr>
                <w:sz w:val="18"/>
              </w:rPr>
              <w:t>监测点位数（</w:t>
            </w:r>
            <w:r>
              <w:rPr>
                <w:rFonts w:ascii="Calibri" w:eastAsia="Calibri"/>
                <w:sz w:val="18"/>
              </w:rPr>
              <w:t>4</w:t>
            </w:r>
            <w:r>
              <w:rPr>
                <w:sz w:val="18"/>
              </w:rPr>
              <w:t>）</w:t>
            </w:r>
          </w:p>
        </w:tc>
        <w:tc>
          <w:tcPr>
            <w:tcW w:w="1194" w:type="dxa"/>
            <w:gridSpan w:val="2"/>
          </w:tcPr>
          <w:p>
            <w:pPr>
              <w:pStyle w:val="18"/>
              <w:spacing w:before="68"/>
              <w:ind w:left="273"/>
              <w:jc w:val="left"/>
              <w:rPr>
                <w:rFonts w:ascii="Calibri" w:hAnsi="Calibri" w:eastAsia="Calibri"/>
                <w:sz w:val="18"/>
              </w:rPr>
            </w:pPr>
            <w:r>
              <w:rPr>
                <w:sz w:val="18"/>
              </w:rPr>
              <w:t>无监测</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8"/>
              <w:jc w:val="left"/>
              <w:rPr>
                <w:b/>
                <w:sz w:val="18"/>
              </w:rPr>
            </w:pPr>
          </w:p>
          <w:p>
            <w:pPr>
              <w:pStyle w:val="18"/>
              <w:spacing w:before="7"/>
              <w:jc w:val="left"/>
              <w:rPr>
                <w:b/>
                <w:sz w:val="21"/>
              </w:rPr>
            </w:pPr>
          </w:p>
          <w:p>
            <w:pPr>
              <w:pStyle w:val="18"/>
              <w:spacing w:before="1"/>
              <w:ind w:left="97"/>
              <w:jc w:val="left"/>
              <w:rPr>
                <w:sz w:val="18"/>
              </w:rPr>
            </w:pPr>
            <w:r>
              <w:rPr>
                <w:sz w:val="18"/>
              </w:rPr>
              <w:t>评价结论</w:t>
            </w:r>
          </w:p>
        </w:tc>
        <w:tc>
          <w:tcPr>
            <w:tcW w:w="1458" w:type="dxa"/>
          </w:tcPr>
          <w:p>
            <w:pPr>
              <w:pStyle w:val="18"/>
              <w:spacing w:before="68"/>
              <w:ind w:left="369"/>
              <w:jc w:val="left"/>
              <w:rPr>
                <w:sz w:val="18"/>
              </w:rPr>
            </w:pPr>
            <w:r>
              <w:rPr>
                <w:sz w:val="18"/>
              </w:rPr>
              <w:t>环境影响</w:t>
            </w:r>
          </w:p>
        </w:tc>
        <w:tc>
          <w:tcPr>
            <w:tcW w:w="5985" w:type="dxa"/>
            <w:gridSpan w:val="14"/>
          </w:tcPr>
          <w:p>
            <w:pPr>
              <w:pStyle w:val="18"/>
              <w:tabs>
                <w:tab w:val="left" w:pos="3209"/>
              </w:tabs>
              <w:spacing w:before="68"/>
              <w:ind w:left="1769"/>
              <w:jc w:val="left"/>
              <w:rPr>
                <w:rFonts w:ascii="Calibri" w:hAnsi="Calibri" w:eastAsia="Calibri"/>
                <w:sz w:val="18"/>
              </w:rPr>
            </w:pPr>
            <w:r>
              <w:rPr>
                <w:sz w:val="18"/>
              </w:rPr>
              <w:t>可以接受</w:t>
            </w:r>
            <w:r>
              <w:rPr>
                <w:rFonts w:hint="eastAsia" w:ascii="MS UI Gothic" w:hAnsi="MS UI Gothic" w:eastAsia="MS UI Gothic"/>
                <w:sz w:val="18"/>
              </w:rPr>
              <w:t>☑</w:t>
            </w:r>
            <w:r>
              <w:rPr>
                <w:rFonts w:hint="eastAsia" w:ascii="MS UI Gothic" w:hAnsi="MS UI Gothic" w:eastAsia="MS UI Gothic"/>
                <w:sz w:val="18"/>
              </w:rPr>
              <w:tab/>
            </w:r>
            <w:r>
              <w:rPr>
                <w:sz w:val="18"/>
              </w:rPr>
              <w:t>不可以接受</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8"/>
              <w:spacing w:line="260" w:lineRule="exact"/>
              <w:ind w:left="638" w:right="87" w:hanging="540"/>
              <w:jc w:val="left"/>
              <w:rPr>
                <w:sz w:val="18"/>
              </w:rPr>
            </w:pPr>
            <w:r>
              <w:rPr>
                <w:sz w:val="18"/>
              </w:rPr>
              <w:t>大气环境防护距离</w:t>
            </w:r>
          </w:p>
        </w:tc>
        <w:tc>
          <w:tcPr>
            <w:tcW w:w="5985" w:type="dxa"/>
            <w:gridSpan w:val="14"/>
          </w:tcPr>
          <w:p>
            <w:pPr>
              <w:pStyle w:val="18"/>
              <w:tabs>
                <w:tab w:val="left" w:pos="1358"/>
              </w:tabs>
              <w:spacing w:before="157"/>
              <w:ind w:left="9"/>
              <w:rPr>
                <w:rFonts w:ascii="Calibri" w:eastAsia="Calibri"/>
                <w:sz w:val="18"/>
              </w:rPr>
            </w:pPr>
            <w:r>
              <w:rPr>
                <w:sz w:val="18"/>
              </w:rPr>
              <w:t>距厂界最远（</w:t>
            </w:r>
            <w:r>
              <w:rPr>
                <w:sz w:val="18"/>
              </w:rPr>
              <w:tab/>
            </w:r>
            <w:r>
              <w:rPr>
                <w:sz w:val="18"/>
              </w:rPr>
              <w:t>）</w:t>
            </w:r>
            <w:r>
              <w:rPr>
                <w:rFonts w:ascii="Calibri" w:eastAsia="Calibri"/>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8"/>
              <w:spacing w:before="69"/>
              <w:ind w:left="98"/>
              <w:jc w:val="left"/>
              <w:rPr>
                <w:sz w:val="18"/>
              </w:rPr>
            </w:pPr>
            <w:r>
              <w:rPr>
                <w:sz w:val="18"/>
              </w:rPr>
              <w:t>污染源年排放量</w:t>
            </w:r>
          </w:p>
        </w:tc>
        <w:tc>
          <w:tcPr>
            <w:tcW w:w="1481" w:type="dxa"/>
            <w:gridSpan w:val="3"/>
          </w:tcPr>
          <w:p>
            <w:pPr>
              <w:pStyle w:val="18"/>
              <w:tabs>
                <w:tab w:val="left" w:pos="929"/>
              </w:tabs>
              <w:spacing w:before="66"/>
              <w:ind w:left="173"/>
              <w:jc w:val="left"/>
              <w:rPr>
                <w:rFonts w:ascii="Calibri" w:eastAsia="Calibri"/>
                <w:sz w:val="18"/>
              </w:rPr>
            </w:pPr>
            <w:r>
              <w:rPr>
                <w:rFonts w:ascii="Calibri" w:eastAsia="Calibri"/>
                <w:position w:val="2"/>
                <w:sz w:val="18"/>
              </w:rPr>
              <w:t>SO</w:t>
            </w:r>
            <w:r>
              <w:rPr>
                <w:rFonts w:ascii="Calibri" w:eastAsia="Calibri"/>
                <w:position w:val="2"/>
                <w:sz w:val="18"/>
                <w:vertAlign w:val="subscript"/>
              </w:rPr>
              <w:t>2</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c>
          <w:tcPr>
            <w:tcW w:w="1507" w:type="dxa"/>
            <w:gridSpan w:val="4"/>
          </w:tcPr>
          <w:p>
            <w:pPr>
              <w:pStyle w:val="18"/>
              <w:tabs>
                <w:tab w:val="left" w:pos="955"/>
              </w:tabs>
              <w:spacing w:before="66"/>
              <w:ind w:left="173"/>
              <w:jc w:val="left"/>
              <w:rPr>
                <w:rFonts w:ascii="Calibri" w:eastAsia="Calibri"/>
                <w:sz w:val="18"/>
              </w:rPr>
            </w:pPr>
            <w:r>
              <w:rPr>
                <w:rFonts w:ascii="Calibri" w:eastAsia="Calibri"/>
                <w:position w:val="2"/>
                <w:sz w:val="18"/>
              </w:rPr>
              <w:t>NO</w:t>
            </w:r>
            <w:r>
              <w:rPr>
                <w:rFonts w:ascii="Calibri" w:eastAsia="Calibri"/>
                <w:position w:val="2"/>
                <w:sz w:val="18"/>
                <w:vertAlign w:val="subscript"/>
              </w:rPr>
              <w:t>x</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c>
          <w:tcPr>
            <w:tcW w:w="1495" w:type="dxa"/>
            <w:gridSpan w:val="4"/>
          </w:tcPr>
          <w:p>
            <w:pPr>
              <w:pStyle w:val="18"/>
              <w:tabs>
                <w:tab w:val="left" w:pos="1071"/>
              </w:tabs>
              <w:spacing w:before="69"/>
              <w:ind w:left="32"/>
              <w:jc w:val="left"/>
              <w:rPr>
                <w:rFonts w:ascii="Calibri" w:eastAsia="Calibri"/>
                <w:sz w:val="18"/>
              </w:rPr>
            </w:pPr>
            <w:r>
              <w:rPr>
                <w:sz w:val="18"/>
              </w:rPr>
              <w:t>颗粒物</w:t>
            </w:r>
            <w:r>
              <w:rPr>
                <w:rFonts w:ascii="Calibri" w:eastAsia="Calibri"/>
                <w:sz w:val="18"/>
              </w:rPr>
              <w:t>:</w:t>
            </w:r>
            <w:r>
              <w:rPr>
                <w:sz w:val="18"/>
              </w:rPr>
              <w:t>（</w:t>
            </w:r>
            <w:r>
              <w:rPr>
                <w:sz w:val="18"/>
              </w:rPr>
              <w:tab/>
            </w:r>
            <w:r>
              <w:rPr>
                <w:sz w:val="18"/>
              </w:rPr>
              <w:t>）</w:t>
            </w:r>
            <w:r>
              <w:rPr>
                <w:rFonts w:ascii="Calibri" w:eastAsia="Calibri"/>
                <w:sz w:val="18"/>
              </w:rPr>
              <w:t>t/a</w:t>
            </w:r>
          </w:p>
        </w:tc>
        <w:tc>
          <w:tcPr>
            <w:tcW w:w="1502" w:type="dxa"/>
            <w:gridSpan w:val="3"/>
          </w:tcPr>
          <w:p>
            <w:pPr>
              <w:pStyle w:val="18"/>
              <w:tabs>
                <w:tab w:val="left" w:pos="985"/>
              </w:tabs>
              <w:spacing w:before="66"/>
              <w:ind w:left="128"/>
              <w:jc w:val="left"/>
              <w:rPr>
                <w:rFonts w:ascii="Calibri" w:eastAsia="Calibri"/>
                <w:sz w:val="18"/>
              </w:rPr>
            </w:pPr>
            <w:r>
              <w:rPr>
                <w:rFonts w:ascii="Calibri" w:eastAsia="Calibri"/>
                <w:position w:val="2"/>
                <w:sz w:val="18"/>
              </w:rPr>
              <w:t>VOC</w:t>
            </w:r>
            <w:r>
              <w:rPr>
                <w:rFonts w:ascii="Calibri" w:eastAsia="Calibri"/>
                <w:position w:val="2"/>
                <w:sz w:val="18"/>
                <w:vertAlign w:val="subscript"/>
              </w:rPr>
              <w:t>s</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59" w:type="dxa"/>
            <w:gridSpan w:val="16"/>
          </w:tcPr>
          <w:p>
            <w:pPr>
              <w:pStyle w:val="18"/>
              <w:tabs>
                <w:tab w:val="left" w:pos="3195"/>
              </w:tabs>
              <w:spacing w:before="67"/>
              <w:ind w:left="27"/>
              <w:jc w:val="left"/>
              <w:rPr>
                <w:sz w:val="18"/>
              </w:rPr>
            </w:pPr>
            <w:r>
              <w:rPr>
                <w:sz w:val="18"/>
              </w:rPr>
              <w:t>注：“</w:t>
            </w:r>
            <w:r>
              <w:rPr>
                <w:rFonts w:ascii="Calibri" w:hAnsi="Calibri" w:eastAsia="Calibri"/>
                <w:sz w:val="18"/>
              </w:rPr>
              <w:t>□</w:t>
            </w:r>
            <w:r>
              <w:rPr>
                <w:rFonts w:hint="eastAsia" w:ascii="仿宋" w:hAnsi="仿宋" w:eastAsia="仿宋"/>
                <w:sz w:val="18"/>
              </w:rPr>
              <w:t>”</w:t>
            </w:r>
            <w:r>
              <w:rPr>
                <w:sz w:val="18"/>
              </w:rPr>
              <w:t>为勾选项，填“</w:t>
            </w:r>
            <w:r>
              <w:rPr>
                <w:rFonts w:ascii="Calibri" w:hAnsi="Calibri" w:eastAsia="Calibri"/>
                <w:sz w:val="18"/>
              </w:rPr>
              <w:t>√</w:t>
            </w:r>
            <w:r>
              <w:rPr>
                <w:sz w:val="18"/>
              </w:rPr>
              <w:t>”；“（</w:t>
            </w:r>
            <w:r>
              <w:rPr>
                <w:sz w:val="18"/>
              </w:rPr>
              <w:tab/>
            </w:r>
            <w:r>
              <w:rPr>
                <w:sz w:val="18"/>
              </w:rPr>
              <w:t>）”为内容填写项</w:t>
            </w:r>
          </w:p>
        </w:tc>
      </w:tr>
    </w:tbl>
    <w:p>
      <w:pPr>
        <w:spacing w:after="0"/>
        <w:jc w:val="left"/>
        <w:rPr>
          <w:sz w:val="18"/>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8"/>
        <w:ind w:left="0"/>
        <w:rPr>
          <w:b/>
          <w:sz w:val="9"/>
        </w:rPr>
      </w:pPr>
    </w:p>
    <w:p>
      <w:pPr>
        <w:pStyle w:val="17"/>
        <w:numPr>
          <w:ilvl w:val="2"/>
          <w:numId w:val="43"/>
        </w:numPr>
        <w:tabs>
          <w:tab w:val="left" w:pos="1241"/>
        </w:tabs>
        <w:spacing w:before="73" w:after="0" w:line="240" w:lineRule="auto"/>
        <w:ind w:left="1240" w:right="0" w:hanging="701"/>
        <w:jc w:val="left"/>
        <w:outlineLvl w:val="2"/>
        <w:rPr>
          <w:b/>
          <w:sz w:val="28"/>
        </w:rPr>
      </w:pPr>
      <w:bookmarkStart w:id="295" w:name="5.2.2 运营期水环境影响分析"/>
      <w:bookmarkEnd w:id="295"/>
      <w:bookmarkStart w:id="296" w:name="5.2.2 运营期水环境影响分析"/>
      <w:bookmarkEnd w:id="296"/>
      <w:bookmarkStart w:id="297" w:name="_Toc25916"/>
      <w:r>
        <w:rPr>
          <w:b/>
          <w:sz w:val="28"/>
        </w:rPr>
        <w:t>运营期水环境影响分析</w:t>
      </w:r>
      <w:bookmarkEnd w:id="297"/>
    </w:p>
    <w:p>
      <w:pPr>
        <w:pStyle w:val="7"/>
        <w:spacing w:before="12"/>
        <w:ind w:left="0"/>
        <w:rPr>
          <w:b/>
          <w:sz w:val="21"/>
        </w:rPr>
      </w:pPr>
    </w:p>
    <w:p>
      <w:pPr>
        <w:pStyle w:val="17"/>
        <w:numPr>
          <w:ilvl w:val="3"/>
          <w:numId w:val="50"/>
        </w:numPr>
        <w:tabs>
          <w:tab w:val="left" w:pos="1320"/>
        </w:tabs>
        <w:spacing w:before="0" w:after="0" w:line="240" w:lineRule="auto"/>
        <w:ind w:left="1320" w:right="0" w:hanging="780"/>
        <w:jc w:val="left"/>
        <w:rPr>
          <w:sz w:val="24"/>
        </w:rPr>
      </w:pPr>
      <w:bookmarkStart w:id="298" w:name="5.2.2.1 废水排放情况"/>
      <w:bookmarkEnd w:id="298"/>
      <w:bookmarkStart w:id="299" w:name="5.2.2.1 废水排放情况"/>
      <w:bookmarkEnd w:id="299"/>
      <w:r>
        <w:rPr>
          <w:sz w:val="24"/>
        </w:rPr>
        <w:t>废水排放情况</w:t>
      </w:r>
    </w:p>
    <w:p>
      <w:pPr>
        <w:pStyle w:val="7"/>
        <w:spacing w:before="202" w:line="343" w:lineRule="auto"/>
        <w:ind w:left="1020" w:right="485"/>
        <w:rPr>
          <w:color w:val="0000FF"/>
        </w:rPr>
      </w:pPr>
      <w:r>
        <w:rPr>
          <w:color w:val="0000FF"/>
        </w:rPr>
        <w:t>根据工程分析，本项目废水包括畜禽无害化处理车间化制废水和消毒废水。本项目采用干清粪工艺，不产生圈舍冲洗废水；羊饮水一部分参与羊的新陈</w:t>
      </w:r>
    </w:p>
    <w:p>
      <w:pPr>
        <w:pStyle w:val="7"/>
        <w:spacing w:line="343" w:lineRule="auto"/>
        <w:ind w:right="457"/>
        <w:rPr>
          <w:rFonts w:hint="eastAsia"/>
          <w:color w:val="0000FF"/>
          <w:spacing w:val="-1"/>
        </w:rPr>
      </w:pPr>
      <w:r>
        <w:rPr>
          <w:color w:val="0000FF"/>
          <w:spacing w:val="-10"/>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24090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r>
        <w:rPr>
          <w:rFonts w:hint="eastAsia"/>
          <w:color w:val="0000FF"/>
          <w:spacing w:val="-1"/>
          <w:lang w:val="en-US" w:eastAsia="zh-CN"/>
        </w:rPr>
        <w:t>本项目运行人员为 30 人，</w:t>
      </w:r>
      <w:r>
        <w:rPr>
          <w:rFonts w:hint="eastAsia"/>
          <w:color w:val="0000FF"/>
          <w:spacing w:val="-1"/>
        </w:rPr>
        <w:t>生活用水量 0.08 m</w:t>
      </w:r>
      <w:r>
        <w:rPr>
          <w:rFonts w:hint="eastAsia"/>
          <w:color w:val="0000FF"/>
          <w:spacing w:val="-1"/>
          <w:vertAlign w:val="superscript"/>
        </w:rPr>
        <w:t>3</w:t>
      </w:r>
      <w:r>
        <w:rPr>
          <w:rFonts w:hint="eastAsia"/>
          <w:color w:val="0000FF"/>
          <w:spacing w:val="-1"/>
        </w:rPr>
        <w:t xml:space="preserve"> /(人·d)计，生活污水排放系数取 0.8，年排放量约</w:t>
      </w:r>
      <w:r>
        <w:rPr>
          <w:rFonts w:hint="eastAsia"/>
          <w:color w:val="0000FF"/>
          <w:spacing w:val="-1"/>
          <w:lang w:val="en-US" w:eastAsia="zh-CN"/>
        </w:rPr>
        <w:t>700m</w:t>
      </w:r>
      <w:r>
        <w:rPr>
          <w:rFonts w:hint="eastAsia"/>
          <w:color w:val="0000FF"/>
          <w:spacing w:val="-1"/>
          <w:vertAlign w:val="superscript"/>
          <w:lang w:val="en-US" w:eastAsia="zh-CN"/>
        </w:rPr>
        <w:t>3</w:t>
      </w:r>
      <w:r>
        <w:rPr>
          <w:rFonts w:hint="eastAsia"/>
          <w:color w:val="0000FF"/>
          <w:spacing w:val="-1"/>
        </w:rPr>
        <w:t xml:space="preserve"> /a，生活污水含有污染物主要为 CODcr、BOD5、SS、氨氮等，</w:t>
      </w:r>
      <w:r>
        <w:rPr>
          <w:rFonts w:hint="eastAsia"/>
          <w:color w:val="0000FF"/>
          <w:spacing w:val="-1"/>
          <w:lang w:val="en-US" w:eastAsia="zh-CN"/>
        </w:rPr>
        <w:t>污水经过</w:t>
      </w:r>
      <w:r>
        <w:rPr>
          <w:rFonts w:hint="eastAsia"/>
          <w:color w:val="0000FF"/>
          <w:spacing w:val="-1"/>
        </w:rPr>
        <w:t>化粪池及一套地埋式</w:t>
      </w:r>
      <w:r>
        <w:rPr>
          <w:rFonts w:hint="eastAsia"/>
          <w:color w:val="0000FF"/>
          <w:spacing w:val="-1"/>
          <w:lang w:val="en-US" w:eastAsia="zh-CN"/>
        </w:rPr>
        <w:t>一体化</w:t>
      </w:r>
      <w:r>
        <w:rPr>
          <w:rFonts w:hint="eastAsia"/>
          <w:color w:val="0000FF"/>
          <w:spacing w:val="-1"/>
        </w:rPr>
        <w:t>污水处理设备</w:t>
      </w:r>
      <w:r>
        <w:rPr>
          <w:rFonts w:hint="eastAsia"/>
          <w:color w:val="0000FF"/>
          <w:spacing w:val="-1"/>
          <w:lang w:val="en-US" w:eastAsia="zh-CN"/>
        </w:rPr>
        <w:t>处理过的水冬季储存，夏季用于场区洒水降尘。沉淀物由相关环卫部门抽运。 达到《污水综合排放标准》(GB8978-1996)中的二级标准。</w:t>
      </w:r>
    </w:p>
    <w:p>
      <w:pPr>
        <w:pStyle w:val="7"/>
        <w:spacing w:before="1" w:line="343" w:lineRule="auto"/>
        <w:ind w:right="485" w:firstLine="480"/>
      </w:pPr>
      <w:r>
        <w:rPr>
          <w:spacing w:val="-9"/>
        </w:rPr>
        <w:t>按照《国务院办公厅关于加快推进畜禽养殖废弃物资源化利用的意见》中要</w:t>
      </w:r>
      <w:r>
        <w:rPr>
          <w:spacing w:val="-10"/>
        </w:rPr>
        <w:t>求：“鼓励沼液和经无害化处理的畜禽养殖废水作为肥料科学还田利用”。养殖</w:t>
      </w:r>
      <w:r>
        <w:rPr>
          <w:spacing w:val="-14"/>
        </w:rPr>
        <w:t>场每栋羊舍地面为混凝土地面，上端覆盖</w:t>
      </w:r>
      <w:r>
        <w:rPr>
          <w:rFonts w:ascii="Times New Roman" w:hAnsi="Times New Roman" w:eastAsia="Times New Roman"/>
        </w:rPr>
        <w:t>35cm</w:t>
      </w:r>
      <w:r>
        <w:rPr>
          <w:spacing w:val="-4"/>
        </w:rPr>
        <w:t>厚垫料，铺设垫床一般采用废气</w:t>
      </w:r>
      <w:r>
        <w:rPr>
          <w:spacing w:val="-11"/>
        </w:rPr>
        <w:t>杂草、农作物秸秆粉、锯末等农业材料，羊排泄的尿液被垫料吸收、蒸发，项目</w:t>
      </w:r>
      <w:r>
        <w:rPr>
          <w:spacing w:val="-12"/>
        </w:rPr>
        <w:t>定期对垫料层和粪便进行清理更换，不需要对畜舍进行冲洗，无冲栏废水产生。</w:t>
      </w:r>
      <w:r>
        <w:rPr>
          <w:spacing w:val="-5"/>
        </w:rPr>
        <w:t>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spacing w:before="1" w:line="343" w:lineRule="auto"/>
        <w:ind w:right="461" w:firstLine="480"/>
      </w:pPr>
      <w:r>
        <w:rPr>
          <w:spacing w:val="-2"/>
        </w:rPr>
        <w:t>项目进场需对车辆进行消毒处理，设置消毒池，每车消毒耗水约为</w:t>
      </w:r>
      <w:r>
        <w:rPr>
          <w:rFonts w:ascii="Times New Roman" w:eastAsia="Times New Roman"/>
          <w:spacing w:val="-4"/>
        </w:rPr>
        <w:t>0.05m</w:t>
      </w:r>
      <w:r>
        <w:rPr>
          <w:rFonts w:ascii="Times New Roman" w:eastAsia="Times New Roman"/>
          <w:spacing w:val="-4"/>
          <w:position w:val="8"/>
          <w:sz w:val="15"/>
        </w:rPr>
        <w:t>3</w:t>
      </w:r>
      <w:r>
        <w:rPr>
          <w:spacing w:val="-4"/>
        </w:rPr>
        <w:t>，</w:t>
      </w:r>
      <w:r>
        <w:rPr>
          <w:spacing w:val="-7"/>
        </w:rPr>
        <w:t>进入厂区车辆平均约</w:t>
      </w:r>
      <w:r>
        <w:rPr>
          <w:rFonts w:ascii="Times New Roman" w:eastAsia="Times New Roman"/>
        </w:rPr>
        <w:t>2</w:t>
      </w:r>
      <w:r>
        <w:t>辆</w:t>
      </w:r>
      <w:r>
        <w:rPr>
          <w:rFonts w:ascii="Times New Roman" w:eastAsia="Times New Roman"/>
        </w:rPr>
        <w:t>/d</w:t>
      </w:r>
      <w:r>
        <w:rPr>
          <w:spacing w:val="-5"/>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before="17" w:line="360" w:lineRule="auto"/>
        <w:ind w:right="577" w:firstLine="480"/>
      </w:pPr>
      <w:r>
        <w:rPr>
          <w:spacing w:val="-6"/>
        </w:rPr>
        <w:t>畜禽无害化处理车间化制废水进入废水槽，收集后拉运至</w:t>
      </w:r>
      <w:r>
        <w:rPr>
          <w:rFonts w:hint="eastAsia"/>
          <w:spacing w:val="-6"/>
          <w:lang w:eastAsia="zh-CN"/>
        </w:rPr>
        <w:t>莎车</w:t>
      </w:r>
      <w:r>
        <w:rPr>
          <w:spacing w:val="-6"/>
        </w:rPr>
        <w:t>县污水处理站</w:t>
      </w:r>
      <w:r>
        <w:t>处理，不外排。</w:t>
      </w:r>
    </w:p>
    <w:p>
      <w:pPr>
        <w:pStyle w:val="17"/>
        <w:numPr>
          <w:ilvl w:val="3"/>
          <w:numId w:val="50"/>
        </w:numPr>
        <w:tabs>
          <w:tab w:val="left" w:pos="1320"/>
        </w:tabs>
        <w:spacing w:before="0" w:after="0" w:line="266" w:lineRule="exact"/>
        <w:ind w:left="1320" w:right="0" w:hanging="780"/>
        <w:jc w:val="left"/>
        <w:rPr>
          <w:sz w:val="24"/>
        </w:rPr>
      </w:pPr>
      <w:bookmarkStart w:id="300" w:name="5.2.2.2 地下水环境影响分析"/>
      <w:bookmarkEnd w:id="300"/>
      <w:bookmarkStart w:id="301" w:name="5.2.2.2 地下水环境影响分析"/>
      <w:bookmarkEnd w:id="301"/>
      <w:r>
        <w:rPr>
          <w:sz w:val="24"/>
        </w:rPr>
        <w:t>地下水环境影响分析</w:t>
      </w:r>
    </w:p>
    <w:p>
      <w:pPr>
        <w:pStyle w:val="17"/>
        <w:numPr>
          <w:ilvl w:val="4"/>
          <w:numId w:val="50"/>
        </w:numPr>
        <w:tabs>
          <w:tab w:val="left" w:pos="1621"/>
        </w:tabs>
        <w:spacing w:before="168" w:after="0" w:line="240" w:lineRule="auto"/>
        <w:ind w:left="1621" w:right="0" w:hanging="601"/>
        <w:jc w:val="left"/>
        <w:rPr>
          <w:sz w:val="24"/>
        </w:rPr>
      </w:pPr>
      <w:r>
        <w:rPr>
          <w:sz w:val="24"/>
        </w:rPr>
        <w:t>主要污染源</w:t>
      </w:r>
    </w:p>
    <w:p>
      <w:pPr>
        <w:pStyle w:val="7"/>
        <w:spacing w:before="161" w:line="364" w:lineRule="auto"/>
        <w:ind w:right="575" w:firstLine="480"/>
        <w:jc w:val="both"/>
      </w:pPr>
      <w:r>
        <w:rPr>
          <w:spacing w:val="-6"/>
        </w:rPr>
        <w:t>本项目对地下水的主要污染源为羊舍及堆肥厂等，上述区块防渗措施受损污</w:t>
      </w:r>
      <w:r>
        <w:rPr>
          <w:spacing w:val="-2"/>
        </w:rPr>
        <w:t>染物</w:t>
      </w:r>
      <w:r>
        <w:rPr>
          <w:spacing w:val="-3"/>
        </w:rPr>
        <w:t>（</w:t>
      </w:r>
      <w:r>
        <w:rPr>
          <w:spacing w:val="-15"/>
        </w:rPr>
        <w:t>主要为</w:t>
      </w:r>
      <w:r>
        <w:rPr>
          <w:rFonts w:ascii="Times New Roman" w:eastAsia="Times New Roman"/>
        </w:rPr>
        <w:t>pH</w:t>
      </w:r>
      <w:r>
        <w:rPr>
          <w:spacing w:val="-3"/>
        </w:rPr>
        <w:t>、</w:t>
      </w:r>
      <w:r>
        <w:rPr>
          <w:rFonts w:ascii="Times New Roman" w:eastAsia="Times New Roman"/>
        </w:rPr>
        <w:t>SS</w:t>
      </w:r>
      <w:r>
        <w:rPr>
          <w:spacing w:val="-3"/>
        </w:rPr>
        <w:t>、</w:t>
      </w:r>
      <w:r>
        <w:rPr>
          <w:rFonts w:ascii="Times New Roman" w:eastAsia="Times New Roman"/>
        </w:rPr>
        <w:t>COD</w:t>
      </w:r>
      <w:r>
        <w:rPr>
          <w:spacing w:val="-2"/>
        </w:rPr>
        <w:t>、氨氮</w:t>
      </w:r>
      <w:r>
        <w:rPr>
          <w:spacing w:val="-5"/>
        </w:rPr>
        <w:t>）</w:t>
      </w:r>
      <w:r>
        <w:rPr>
          <w:spacing w:val="-1"/>
        </w:rPr>
        <w:t>通过垂直渗透进入包气带，进入包气带的污染物在物理、化学和生物作用下经吸附、转化、迁移和分解后输入地下水。</w:t>
      </w:r>
    </w:p>
    <w:p>
      <w:pPr>
        <w:pStyle w:val="7"/>
        <w:spacing w:before="143" w:line="364" w:lineRule="auto"/>
        <w:ind w:right="455"/>
      </w:pPr>
      <w:r>
        <w:rPr>
          <w:spacing w:val="-2"/>
          <w:sz w:val="24"/>
        </w:rPr>
        <w:t>主要污染途径污染物通过土层垂直下渗首先经过表土，再进入包气带</w:t>
      </w:r>
      <w:r>
        <w:rPr>
          <w:spacing w:val="-9"/>
          <w:sz w:val="24"/>
        </w:rPr>
        <w:t>，在包气带污染可以得到一定程度的净化，包气带的净化能力与其自身的岩性和</w:t>
      </w:r>
      <w:r>
        <w:rPr>
          <w:spacing w:val="-13"/>
          <w:sz w:val="24"/>
        </w:rPr>
        <w:t>机构组成有关，包气带厚度越大，粘性矿物和有机质含量越高，其对污染物的净化能力越强。不能被净化或固定的污染物随入渗水进入地下水层。地层对污染物质</w:t>
      </w:r>
      <w:r>
        <w:rPr>
          <w:spacing w:val="-5"/>
        </w:rPr>
        <w:t>的防护性能取决于污染源到含水层之间地层岩性、包气带厚度、污染物质的特性</w:t>
      </w:r>
      <w:r>
        <w:rPr>
          <w:spacing w:val="-16"/>
        </w:rPr>
        <w:t>及排放形式的差异等因素。废水进入包气带入渗过程中会发生交换、吸附、过滤、</w:t>
      </w:r>
      <w:r>
        <w:rPr>
          <w:spacing w:val="-10"/>
        </w:rPr>
        <w:t>沉降等作用，因而被不同程度的净化，吸附的大部分有机物可被土壤中的微生物分解而去除。只有在包气带土壤吸附饱和后，污染物才会继续下渗进入含水层。</w:t>
      </w:r>
    </w:p>
    <w:p>
      <w:pPr>
        <w:pStyle w:val="17"/>
        <w:numPr>
          <w:ilvl w:val="4"/>
          <w:numId w:val="50"/>
        </w:numPr>
        <w:tabs>
          <w:tab w:val="left" w:pos="1621"/>
        </w:tabs>
        <w:spacing w:before="2" w:after="0" w:line="240" w:lineRule="auto"/>
        <w:ind w:left="1621" w:right="0" w:hanging="601"/>
        <w:jc w:val="left"/>
        <w:rPr>
          <w:sz w:val="24"/>
        </w:rPr>
      </w:pPr>
      <w:r>
        <w:rPr>
          <w:sz w:val="24"/>
        </w:rPr>
        <w:t>区域地下水现状</w:t>
      </w:r>
    </w:p>
    <w:p>
      <w:pPr>
        <w:pStyle w:val="7"/>
        <w:spacing w:before="161" w:line="364" w:lineRule="auto"/>
        <w:ind w:right="577" w:firstLine="480"/>
        <w:jc w:val="both"/>
      </w:pPr>
      <w:r>
        <w:rPr>
          <w:spacing w:val="-3"/>
        </w:rPr>
        <w:t>本次勘察，地下水埋深在现状自然地面以下</w:t>
      </w:r>
      <w:r>
        <w:rPr>
          <w:rFonts w:ascii="Times New Roman" w:eastAsia="Times New Roman"/>
        </w:rPr>
        <w:t>1.03</w:t>
      </w:r>
      <w:r>
        <w:t>～</w:t>
      </w:r>
      <w:r>
        <w:rPr>
          <w:rFonts w:ascii="Times New Roman" w:eastAsia="Times New Roman"/>
        </w:rPr>
        <w:t>1.20m</w:t>
      </w:r>
      <w:r>
        <w:rPr>
          <w:spacing w:val="-2"/>
        </w:rPr>
        <w:t>，属孔隙潜水，含</w:t>
      </w:r>
      <w:r>
        <w:rPr>
          <w:spacing w:val="-9"/>
        </w:rPr>
        <w:t>水层为粉砂层，主要由大气降水、地下迳流、上游灌溉水等补给，以地下水迳流</w:t>
      </w:r>
      <w:r>
        <w:rPr>
          <w:spacing w:val="-2"/>
        </w:rPr>
        <w:t>及蒸发方式排泄。根据地区建筑经验，该场地地下水年变化幅度一般在</w:t>
      </w:r>
      <w:r>
        <w:rPr>
          <w:rFonts w:ascii="Times New Roman" w:eastAsia="Times New Roman"/>
        </w:rPr>
        <w:t>0.50</w:t>
      </w:r>
      <w:r>
        <w:t>～</w:t>
      </w:r>
      <w:r>
        <w:rPr>
          <w:rFonts w:ascii="Times New Roman" w:eastAsia="Times New Roman"/>
        </w:rPr>
        <w:t>1.00m</w:t>
      </w:r>
      <w:r>
        <w:t>左右。</w:t>
      </w:r>
    </w:p>
    <w:p>
      <w:pPr>
        <w:pStyle w:val="7"/>
        <w:spacing w:before="2" w:line="364" w:lineRule="auto"/>
        <w:ind w:right="455" w:firstLine="480"/>
        <w:rPr>
          <w:color w:val="0000FF"/>
        </w:rPr>
      </w:pPr>
      <w:r>
        <w:rPr>
          <w:color w:val="0000FF"/>
          <w:spacing w:val="-6"/>
        </w:rPr>
        <w:t>项目地下水现状监测设置</w:t>
      </w:r>
      <w:r>
        <w:rPr>
          <w:rFonts w:hint="eastAsia"/>
          <w:color w:val="0000FF"/>
          <w:spacing w:val="-6"/>
          <w:lang w:val="en-US" w:eastAsia="zh-CN"/>
        </w:rPr>
        <w:t>一</w:t>
      </w:r>
      <w:r>
        <w:rPr>
          <w:color w:val="0000FF"/>
          <w:spacing w:val="-6"/>
        </w:rPr>
        <w:t>个点位，经监测，地下水监测因子中</w:t>
      </w:r>
      <w:r>
        <w:rPr>
          <w:rFonts w:hint="eastAsia" w:ascii="Times New Roman" w:hAnsi="Times New Roman" w:cs="Times New Roman"/>
          <w:color w:val="0000FF"/>
          <w:sz w:val="24"/>
          <w:lang w:val="en-US" w:eastAsia="zh-CN"/>
        </w:rPr>
        <w:t>总硬度</w:t>
      </w:r>
      <w:r>
        <w:rPr>
          <w:rFonts w:hint="eastAsia" w:ascii="Times New Roman" w:hAnsi="Times New Roman" w:cs="Times New Roman"/>
          <w:color w:val="0000FF"/>
          <w:sz w:val="24"/>
          <w:lang w:eastAsia="zh-CN"/>
        </w:rPr>
        <w:t>、</w:t>
      </w:r>
      <w:r>
        <w:rPr>
          <w:rFonts w:hint="eastAsia" w:ascii="Times New Roman" w:hAnsi="Times New Roman" w:cs="Times New Roman"/>
          <w:color w:val="0000FF"/>
          <w:sz w:val="24"/>
          <w:lang w:val="en-US" w:eastAsia="zh-CN"/>
        </w:rPr>
        <w:t>硫酸盐</w:t>
      </w:r>
      <w:r>
        <w:rPr>
          <w:rFonts w:hint="eastAsia" w:ascii="Times New Roman" w:hAnsi="Times New Roman" w:eastAsia="宋体" w:cs="Times New Roman"/>
          <w:color w:val="0000FF"/>
          <w:sz w:val="24"/>
          <w:lang w:val="en-US" w:eastAsia="zh-CN"/>
        </w:rPr>
        <w:t>、</w:t>
      </w:r>
      <w:r>
        <w:rPr>
          <w:rFonts w:hint="eastAsia" w:ascii="Times New Roman" w:hAnsi="Times New Roman" w:cs="Times New Roman"/>
          <w:color w:val="0000FF"/>
          <w:sz w:val="24"/>
          <w:lang w:val="en-US" w:eastAsia="zh-CN"/>
        </w:rPr>
        <w:t>氯化物、溶解性总固体和钠</w:t>
      </w:r>
      <w:r>
        <w:rPr>
          <w:color w:val="0000FF"/>
          <w:spacing w:val="-16"/>
        </w:rPr>
        <w:t>，氨氮、铜、锌、硒、砷、汞、</w:t>
      </w:r>
      <w:r>
        <w:rPr>
          <w:color w:val="0000FF"/>
          <w:spacing w:val="-10"/>
        </w:rPr>
        <w:t>镉、六价铬、铁、铅、猛、挥发酚、氰化物均未检出，其他监测因子均满足《地</w:t>
      </w:r>
      <w:r>
        <w:rPr>
          <w:color w:val="0000FF"/>
          <w:spacing w:val="3"/>
        </w:rPr>
        <w:t>下水质量标准》</w:t>
      </w:r>
      <w:r>
        <w:rPr>
          <w:color w:val="0000FF"/>
        </w:rPr>
        <w:t>（</w:t>
      </w:r>
      <w:r>
        <w:rPr>
          <w:rFonts w:ascii="Times New Roman" w:hAnsi="Times New Roman" w:eastAsia="Times New Roman"/>
          <w:color w:val="0000FF"/>
        </w:rPr>
        <w:t>GB/T14848-2017</w:t>
      </w:r>
      <w:r>
        <w:rPr>
          <w:color w:val="0000FF"/>
        </w:rPr>
        <w:t>）</w:t>
      </w:r>
      <w:r>
        <w:rPr>
          <w:color w:val="0000FF"/>
          <w:spacing w:val="-4"/>
        </w:rPr>
        <w:t>中的Ⅲ类标准要求。经分析，上述</w:t>
      </w:r>
      <w:r>
        <w:rPr>
          <w:rFonts w:hint="eastAsia"/>
          <w:color w:val="0000FF"/>
          <w:spacing w:val="-4"/>
          <w:lang w:val="en-US" w:eastAsia="zh-CN"/>
        </w:rPr>
        <w:t>5</w:t>
      </w:r>
      <w:r>
        <w:rPr>
          <w:color w:val="0000FF"/>
          <w:spacing w:val="2"/>
        </w:rPr>
        <w:t>项指</w:t>
      </w:r>
      <w:r>
        <w:rPr>
          <w:color w:val="0000FF"/>
          <w:spacing w:val="-3"/>
        </w:rPr>
        <w:t>标超标的</w:t>
      </w:r>
      <w:r>
        <w:rPr>
          <w:rFonts w:hint="eastAsia" w:ascii="Times New Roman" w:hAnsi="Times New Roman" w:cs="Times New Roman"/>
          <w:color w:val="0000FF"/>
          <w:sz w:val="24"/>
          <w:lang w:val="en-US" w:eastAsia="zh-CN"/>
        </w:rPr>
        <w:t>原因是南疆地区干旱炎热土壤的盐碱化程度非常高，故导致地下水出现超标。</w:t>
      </w:r>
      <w:r>
        <w:rPr>
          <w:color w:val="0000FF"/>
          <w:spacing w:val="-3"/>
        </w:rPr>
        <w:t>不是污染所致。项目区地下水环境质量一般。</w:t>
      </w:r>
    </w:p>
    <w:p>
      <w:pPr>
        <w:pStyle w:val="17"/>
        <w:numPr>
          <w:ilvl w:val="4"/>
          <w:numId w:val="50"/>
        </w:numPr>
        <w:tabs>
          <w:tab w:val="left" w:pos="1621"/>
        </w:tabs>
        <w:spacing w:before="4" w:after="0" w:line="240" w:lineRule="auto"/>
        <w:ind w:left="1621" w:right="0" w:hanging="601"/>
        <w:jc w:val="left"/>
        <w:rPr>
          <w:sz w:val="24"/>
        </w:rPr>
      </w:pPr>
      <w:r>
        <w:rPr>
          <w:sz w:val="24"/>
        </w:rPr>
        <w:t>地下水污染及防治措施</w:t>
      </w:r>
    </w:p>
    <w:p>
      <w:pPr>
        <w:pStyle w:val="7"/>
        <w:spacing w:before="160" w:line="364" w:lineRule="auto"/>
        <w:ind w:right="577" w:firstLine="480"/>
      </w:pPr>
      <w:r>
        <w:rPr>
          <w:spacing w:val="-11"/>
        </w:rPr>
        <w:t>根据《畜禽养殖业污染防治技术规范》，本工程各区针对污染途径采取相应</w:t>
      </w:r>
      <w:r>
        <w:rPr>
          <w:spacing w:val="-12"/>
        </w:rPr>
        <w:t>措施如表</w:t>
      </w:r>
      <w:r>
        <w:rPr>
          <w:rFonts w:ascii="Times New Roman" w:eastAsia="Times New Roman"/>
        </w:rPr>
        <w:t>5.2-6</w:t>
      </w:r>
      <w:r>
        <w:t>所示。</w:t>
      </w:r>
    </w:p>
    <w:p>
      <w:pPr>
        <w:pStyle w:val="7"/>
        <w:bidi w:val="0"/>
        <w:jc w:val="center"/>
      </w:pPr>
      <w:r>
        <w:t>表</w:t>
      </w:r>
      <w:r>
        <w:rPr>
          <w:rFonts w:ascii="Times New Roman" w:eastAsia="Times New Roman"/>
        </w:rPr>
        <w:t>5.2-6</w:t>
      </w:r>
      <w:r>
        <w:rPr>
          <w:rFonts w:ascii="Times New Roman" w:eastAsia="Times New Roman"/>
        </w:rPr>
        <w:tab/>
      </w:r>
      <w:r>
        <w:t>项目污染地下水途径及防治措施一览表</w:t>
      </w:r>
    </w:p>
    <w:tbl>
      <w:tblPr>
        <w:tblStyle w:val="14"/>
        <w:tblpPr w:leftFromText="180" w:rightFromText="180" w:vertAnchor="text" w:horzAnchor="page" w:tblpX="1755" w:tblpY="2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2486"/>
        <w:gridCol w:w="2804"/>
        <w:gridCol w:w="2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8"/>
              <w:spacing w:before="35"/>
              <w:ind w:left="38" w:right="27"/>
              <w:rPr>
                <w:b/>
                <w:sz w:val="21"/>
              </w:rPr>
            </w:pPr>
            <w:r>
              <w:rPr>
                <w:b/>
                <w:sz w:val="21"/>
              </w:rPr>
              <w:t>序号</w:t>
            </w:r>
          </w:p>
        </w:tc>
        <w:tc>
          <w:tcPr>
            <w:tcW w:w="2486" w:type="dxa"/>
            <w:tcBorders>
              <w:tl2br w:val="nil"/>
              <w:tr2bl w:val="nil"/>
            </w:tcBorders>
          </w:tcPr>
          <w:p>
            <w:pPr>
              <w:pStyle w:val="18"/>
              <w:spacing w:before="35"/>
              <w:ind w:left="67" w:right="56"/>
              <w:rPr>
                <w:b/>
                <w:sz w:val="21"/>
              </w:rPr>
            </w:pPr>
            <w:r>
              <w:rPr>
                <w:b/>
                <w:sz w:val="21"/>
              </w:rPr>
              <w:t>项目</w:t>
            </w:r>
          </w:p>
        </w:tc>
        <w:tc>
          <w:tcPr>
            <w:tcW w:w="2804" w:type="dxa"/>
            <w:tcBorders>
              <w:tl2br w:val="nil"/>
              <w:tr2bl w:val="nil"/>
            </w:tcBorders>
          </w:tcPr>
          <w:p>
            <w:pPr>
              <w:pStyle w:val="18"/>
              <w:spacing w:before="35"/>
              <w:ind w:left="960" w:right="949"/>
              <w:rPr>
                <w:b/>
                <w:sz w:val="21"/>
              </w:rPr>
            </w:pPr>
            <w:r>
              <w:rPr>
                <w:b/>
                <w:sz w:val="21"/>
              </w:rPr>
              <w:t>保护措施</w:t>
            </w:r>
          </w:p>
        </w:tc>
        <w:tc>
          <w:tcPr>
            <w:tcW w:w="2624" w:type="dxa"/>
            <w:tcBorders>
              <w:tl2br w:val="nil"/>
              <w:tr2bl w:val="nil"/>
            </w:tcBorders>
          </w:tcPr>
          <w:p>
            <w:pPr>
              <w:pStyle w:val="18"/>
              <w:spacing w:before="35"/>
              <w:ind w:left="871" w:right="859"/>
              <w:rPr>
                <w:b/>
                <w:sz w:val="21"/>
              </w:rPr>
            </w:pPr>
            <w:r>
              <w:rPr>
                <w:b/>
                <w:sz w:val="21"/>
              </w:rPr>
              <w:t>达到效果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8"/>
              <w:spacing w:before="50"/>
              <w:ind w:left="8"/>
              <w:rPr>
                <w:rFonts w:ascii="Times New Roman"/>
                <w:sz w:val="21"/>
              </w:rPr>
            </w:pPr>
            <w:r>
              <w:rPr>
                <w:rFonts w:ascii="Times New Roman"/>
                <w:w w:val="99"/>
                <w:sz w:val="21"/>
              </w:rPr>
              <w:t>1</w:t>
            </w:r>
          </w:p>
        </w:tc>
        <w:tc>
          <w:tcPr>
            <w:tcW w:w="2486" w:type="dxa"/>
            <w:tcBorders>
              <w:tl2br w:val="nil"/>
              <w:tr2bl w:val="nil"/>
            </w:tcBorders>
          </w:tcPr>
          <w:p>
            <w:pPr>
              <w:pStyle w:val="18"/>
              <w:spacing w:before="36"/>
              <w:ind w:left="67" w:right="58"/>
              <w:rPr>
                <w:sz w:val="21"/>
              </w:rPr>
            </w:pPr>
            <w:r>
              <w:rPr>
                <w:sz w:val="21"/>
              </w:rPr>
              <w:t>圈舍</w:t>
            </w:r>
          </w:p>
        </w:tc>
        <w:tc>
          <w:tcPr>
            <w:tcW w:w="2804" w:type="dxa"/>
            <w:vMerge w:val="restart"/>
            <w:tcBorders>
              <w:tl2br w:val="nil"/>
              <w:tr2bl w:val="nil"/>
            </w:tcBorders>
          </w:tcPr>
          <w:p>
            <w:pPr>
              <w:pStyle w:val="18"/>
              <w:spacing w:before="21" w:line="255" w:lineRule="exact"/>
              <w:ind w:left="4"/>
              <w:jc w:val="both"/>
              <w:rPr>
                <w:sz w:val="21"/>
              </w:rPr>
            </w:pPr>
            <w:r>
              <w:rPr>
                <w:sz w:val="21"/>
              </w:rPr>
              <w:t>采用高密度聚乙烯土工膜</w:t>
            </w:r>
          </w:p>
          <w:p>
            <w:pPr>
              <w:pStyle w:val="18"/>
              <w:spacing w:before="9" w:line="213" w:lineRule="auto"/>
              <w:ind w:left="4" w:right="-15"/>
              <w:jc w:val="both"/>
              <w:rPr>
                <w:sz w:val="21"/>
              </w:rPr>
            </w:pPr>
            <w:r>
              <w:rPr>
                <w:spacing w:val="-6"/>
                <w:sz w:val="21"/>
              </w:rPr>
              <w:t>（</w:t>
            </w:r>
            <w:r>
              <w:rPr>
                <w:rFonts w:ascii="Times New Roman" w:hAnsi="Times New Roman" w:eastAsia="Times New Roman"/>
                <w:spacing w:val="-6"/>
                <w:sz w:val="21"/>
              </w:rPr>
              <w:t>HDPE</w:t>
            </w:r>
            <w:r>
              <w:rPr>
                <w:spacing w:val="-6"/>
                <w:sz w:val="21"/>
              </w:rPr>
              <w:t>）进行防渗，其渗透系</w:t>
            </w:r>
            <w:r>
              <w:rPr>
                <w:spacing w:val="5"/>
                <w:sz w:val="21"/>
              </w:rPr>
              <w:t xml:space="preserve">数不大于 </w:t>
            </w:r>
            <w:r>
              <w:rPr>
                <w:rFonts w:ascii="Times New Roman" w:hAnsi="Times New Roman" w:eastAsia="Times New Roman"/>
                <w:sz w:val="21"/>
              </w:rPr>
              <w:t>1.0×10</w:t>
            </w:r>
            <w:r>
              <w:rPr>
                <w:rFonts w:ascii="Times New Roman" w:hAnsi="Times New Roman" w:eastAsia="Times New Roman"/>
                <w:position w:val="7"/>
                <w:sz w:val="13"/>
              </w:rPr>
              <w:t>-12</w:t>
            </w:r>
            <w:r>
              <w:rPr>
                <w:rFonts w:ascii="Times New Roman" w:hAnsi="Times New Roman" w:eastAsia="Times New Roman"/>
                <w:sz w:val="21"/>
              </w:rPr>
              <w:t>cm/s</w:t>
            </w:r>
            <w:r>
              <w:rPr>
                <w:spacing w:val="5"/>
                <w:sz w:val="21"/>
              </w:rPr>
              <w:t>，厚度</w:t>
            </w:r>
            <w:r>
              <w:rPr>
                <w:spacing w:val="-10"/>
                <w:sz w:val="21"/>
              </w:rPr>
              <w:t xml:space="preserve">不小于 </w:t>
            </w:r>
            <w:r>
              <w:rPr>
                <w:rFonts w:ascii="Times New Roman" w:hAnsi="Times New Roman" w:eastAsia="Times New Roman"/>
                <w:sz w:val="21"/>
              </w:rPr>
              <w:t>1.5mm</w:t>
            </w:r>
            <w:r>
              <w:rPr>
                <w:sz w:val="21"/>
              </w:rPr>
              <w:t>。</w:t>
            </w:r>
          </w:p>
        </w:tc>
        <w:tc>
          <w:tcPr>
            <w:tcW w:w="2624" w:type="dxa"/>
            <w:vMerge w:val="restart"/>
            <w:tcBorders>
              <w:tl2br w:val="nil"/>
              <w:tr2bl w:val="nil"/>
            </w:tcBorders>
          </w:tcPr>
          <w:p>
            <w:pPr>
              <w:pStyle w:val="18"/>
              <w:spacing w:before="164" w:line="213" w:lineRule="auto"/>
              <w:ind w:left="3" w:right="-15"/>
              <w:jc w:val="left"/>
              <w:rPr>
                <w:sz w:val="21"/>
              </w:rPr>
            </w:pPr>
            <w:r>
              <w:rPr>
                <w:spacing w:val="8"/>
                <w:w w:val="95"/>
                <w:sz w:val="21"/>
              </w:rPr>
              <w:t>满足《畜禽养殖业污染物防</w:t>
            </w:r>
            <w:r>
              <w:rPr>
                <w:spacing w:val="-7"/>
                <w:sz w:val="21"/>
              </w:rPr>
              <w:t>治技术规范》</w:t>
            </w:r>
            <w:r>
              <w:rPr>
                <w:sz w:val="21"/>
              </w:rPr>
              <w:t>（</w:t>
            </w:r>
            <w:r>
              <w:rPr>
                <w:rFonts w:ascii="Times New Roman" w:eastAsia="Times New Roman"/>
                <w:sz w:val="21"/>
              </w:rPr>
              <w:t xml:space="preserve">HJ/T81-2001 </w:t>
            </w:r>
            <w:r>
              <w:rPr>
                <w:sz w:val="21"/>
              </w:rPr>
              <w:t>的相关要求。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8"/>
              <w:spacing w:before="48"/>
              <w:ind w:left="8"/>
              <w:rPr>
                <w:rFonts w:ascii="Times New Roman"/>
                <w:sz w:val="21"/>
              </w:rPr>
            </w:pPr>
            <w:r>
              <w:rPr>
                <w:rFonts w:ascii="Times New Roman"/>
                <w:w w:val="99"/>
                <w:sz w:val="21"/>
              </w:rPr>
              <w:t>2</w:t>
            </w:r>
          </w:p>
        </w:tc>
        <w:tc>
          <w:tcPr>
            <w:tcW w:w="2486" w:type="dxa"/>
            <w:tcBorders>
              <w:tl2br w:val="nil"/>
              <w:tr2bl w:val="nil"/>
            </w:tcBorders>
          </w:tcPr>
          <w:p>
            <w:pPr>
              <w:pStyle w:val="18"/>
              <w:spacing w:before="34"/>
              <w:ind w:left="67" w:right="58"/>
              <w:rPr>
                <w:sz w:val="21"/>
              </w:rPr>
            </w:pPr>
            <w:r>
              <w:rPr>
                <w:sz w:val="21"/>
              </w:rPr>
              <w:t>堆肥厂</w:t>
            </w:r>
          </w:p>
        </w:tc>
        <w:tc>
          <w:tcPr>
            <w:tcW w:w="2804" w:type="dxa"/>
            <w:vMerge w:val="continue"/>
            <w:tcBorders>
              <w:tl2br w:val="nil"/>
              <w:tr2bl w:val="nil"/>
            </w:tcBorders>
          </w:tcPr>
          <w:p>
            <w:pPr>
              <w:rPr>
                <w:sz w:val="2"/>
                <w:szCs w:val="2"/>
              </w:rPr>
            </w:pPr>
          </w:p>
        </w:tc>
        <w:tc>
          <w:tcPr>
            <w:tcW w:w="2624"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8"/>
              <w:spacing w:before="48"/>
              <w:ind w:left="8"/>
              <w:rPr>
                <w:rFonts w:ascii="Times New Roman"/>
                <w:sz w:val="21"/>
              </w:rPr>
            </w:pPr>
            <w:r>
              <w:rPr>
                <w:rFonts w:ascii="Times New Roman"/>
                <w:w w:val="99"/>
                <w:sz w:val="21"/>
              </w:rPr>
              <w:t>3</w:t>
            </w:r>
          </w:p>
        </w:tc>
        <w:tc>
          <w:tcPr>
            <w:tcW w:w="2486" w:type="dxa"/>
            <w:tcBorders>
              <w:tl2br w:val="nil"/>
              <w:tr2bl w:val="nil"/>
            </w:tcBorders>
          </w:tcPr>
          <w:p>
            <w:pPr>
              <w:pStyle w:val="18"/>
              <w:spacing w:before="34"/>
              <w:ind w:left="67" w:right="58"/>
              <w:rPr>
                <w:sz w:val="21"/>
              </w:rPr>
            </w:pPr>
            <w:r>
              <w:rPr>
                <w:sz w:val="21"/>
              </w:rPr>
              <w:t>病死尸体无害化处理车间</w:t>
            </w:r>
          </w:p>
        </w:tc>
        <w:tc>
          <w:tcPr>
            <w:tcW w:w="2804" w:type="dxa"/>
            <w:vMerge w:val="continue"/>
            <w:tcBorders>
              <w:tl2br w:val="nil"/>
              <w:tr2bl w:val="nil"/>
            </w:tcBorders>
          </w:tcPr>
          <w:p>
            <w:pPr>
              <w:rPr>
                <w:sz w:val="2"/>
                <w:szCs w:val="2"/>
              </w:rPr>
            </w:pPr>
          </w:p>
        </w:tc>
        <w:tc>
          <w:tcPr>
            <w:tcW w:w="2624"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8"/>
              <w:spacing w:before="48"/>
              <w:ind w:left="8"/>
              <w:rPr>
                <w:rFonts w:hint="eastAsia" w:ascii="Times New Roman"/>
                <w:w w:val="99"/>
                <w:sz w:val="21"/>
                <w:lang w:val="en-US" w:eastAsia="zh-CN"/>
              </w:rPr>
            </w:pPr>
          </w:p>
          <w:p>
            <w:pPr>
              <w:pStyle w:val="18"/>
              <w:spacing w:before="48"/>
              <w:ind w:left="8"/>
              <w:rPr>
                <w:rFonts w:hint="eastAsia" w:ascii="Times New Roman" w:eastAsia="宋体"/>
                <w:w w:val="99"/>
                <w:sz w:val="21"/>
                <w:lang w:val="en-US" w:eastAsia="zh-CN"/>
              </w:rPr>
            </w:pPr>
            <w:r>
              <w:rPr>
                <w:rFonts w:hint="eastAsia" w:ascii="Times New Roman"/>
                <w:w w:val="99"/>
                <w:sz w:val="21"/>
                <w:lang w:val="en-US" w:eastAsia="zh-CN"/>
              </w:rPr>
              <w:t>4</w:t>
            </w:r>
          </w:p>
        </w:tc>
        <w:tc>
          <w:tcPr>
            <w:tcW w:w="2486" w:type="dxa"/>
            <w:tcBorders>
              <w:tl2br w:val="nil"/>
              <w:tr2bl w:val="nil"/>
            </w:tcBorders>
          </w:tcPr>
          <w:p>
            <w:pPr>
              <w:pStyle w:val="18"/>
              <w:spacing w:before="34"/>
              <w:ind w:left="67" w:right="58"/>
              <w:jc w:val="center"/>
              <w:rPr>
                <w:rFonts w:hint="eastAsia" w:eastAsia="宋体"/>
                <w:sz w:val="21"/>
                <w:lang w:val="en-US" w:eastAsia="zh-CN"/>
              </w:rPr>
            </w:pPr>
            <w:r>
              <w:rPr>
                <w:rFonts w:hint="eastAsia"/>
                <w:sz w:val="21"/>
                <w:lang w:val="en-US" w:eastAsia="zh-CN"/>
              </w:rPr>
              <w:t>生活污水</w:t>
            </w:r>
          </w:p>
        </w:tc>
        <w:tc>
          <w:tcPr>
            <w:tcW w:w="2804" w:type="dxa"/>
            <w:tcBorders>
              <w:tl2br w:val="nil"/>
              <w:tr2bl w:val="nil"/>
            </w:tcBorders>
          </w:tcPr>
          <w:p>
            <w:pPr>
              <w:rPr>
                <w:sz w:val="2"/>
                <w:szCs w:val="2"/>
              </w:rPr>
            </w:pP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r>
              <w:rPr>
                <w:rFonts w:hint="eastAsia" w:ascii="宋体" w:hAnsi="宋体" w:eastAsia="宋体" w:cs="宋体"/>
                <w:color w:val="FF0000"/>
                <w:sz w:val="21"/>
                <w:szCs w:val="21"/>
                <w:lang w:val="en-US" w:eastAsia="zh-CN"/>
              </w:rPr>
              <w:t>处理过的水</w:t>
            </w:r>
            <w:r>
              <w:rPr>
                <w:rFonts w:hint="eastAsia" w:ascii="宋体" w:hAnsi="宋体" w:eastAsia="宋体" w:cs="宋体"/>
                <w:color w:val="FF0000"/>
                <w:spacing w:val="-1"/>
                <w:sz w:val="21"/>
                <w:szCs w:val="21"/>
                <w:lang w:val="en-US" w:eastAsia="zh-CN"/>
              </w:rPr>
              <w:t>冬季储存，夏季用于场区洒水降尘。沉淀物由相关环卫部门抽运</w:t>
            </w:r>
          </w:p>
        </w:tc>
        <w:tc>
          <w:tcPr>
            <w:tcW w:w="2624" w:type="dxa"/>
            <w:tcBorders>
              <w:tl2br w:val="nil"/>
              <w:tr2bl w:val="nil"/>
            </w:tcBorders>
          </w:tcPr>
          <w:p>
            <w:pPr>
              <w:rPr>
                <w:sz w:val="2"/>
                <w:szCs w:val="2"/>
              </w:rPr>
            </w:pPr>
            <w:r>
              <w:rPr>
                <w:rFonts w:hint="eastAsia" w:ascii="宋体" w:hAnsi="宋体" w:eastAsia="宋体" w:cs="宋体"/>
                <w:color w:val="FF0000"/>
                <w:spacing w:val="-1"/>
                <w:sz w:val="21"/>
                <w:szCs w:val="21"/>
                <w:lang w:val="en-US" w:eastAsia="zh-CN"/>
              </w:rPr>
              <w:t>《污水综合排放标准》(GB8978-1996)中的二级标准</w:t>
            </w:r>
          </w:p>
        </w:tc>
      </w:tr>
    </w:tbl>
    <w:p>
      <w:pPr>
        <w:pStyle w:val="7"/>
        <w:ind w:left="0"/>
        <w:rPr>
          <w:b/>
          <w:sz w:val="26"/>
        </w:rPr>
      </w:pPr>
    </w:p>
    <w:p>
      <w:pPr>
        <w:pStyle w:val="7"/>
        <w:spacing w:before="12"/>
        <w:ind w:left="0"/>
        <w:rPr>
          <w:b/>
          <w:sz w:val="31"/>
        </w:rPr>
      </w:pPr>
    </w:p>
    <w:p>
      <w:pPr>
        <w:spacing w:before="0"/>
        <w:ind w:left="0" w:right="330" w:firstLine="0"/>
        <w:jc w:val="right"/>
        <w:rPr>
          <w:sz w:val="21"/>
        </w:rPr>
      </w:pPr>
      <w:r>
        <w:rPr>
          <w:w w:val="99"/>
          <w:sz w:val="21"/>
        </w:rPr>
        <w:t>）</w:t>
      </w:r>
    </w:p>
    <w:p>
      <w:pPr>
        <w:pStyle w:val="7"/>
        <w:spacing w:line="364" w:lineRule="auto"/>
        <w:ind w:right="577" w:firstLine="480"/>
      </w:pPr>
      <w:r>
        <w:rPr>
          <w:spacing w:val="-10"/>
        </w:rPr>
        <w:t>在落实好防渗、防污措施后，本项目的污染物能够得到有效的处理，避免正</w:t>
      </w:r>
      <w:r>
        <w:t>常情况下污染物下渗或泄露对地下水造成影响。</w:t>
      </w:r>
    </w:p>
    <w:p>
      <w:pPr>
        <w:pStyle w:val="17"/>
        <w:numPr>
          <w:ilvl w:val="4"/>
          <w:numId w:val="50"/>
        </w:numPr>
        <w:tabs>
          <w:tab w:val="left" w:pos="1621"/>
        </w:tabs>
        <w:spacing w:before="1" w:after="0" w:line="240" w:lineRule="auto"/>
        <w:ind w:left="1621" w:right="0" w:hanging="601"/>
        <w:jc w:val="left"/>
        <w:rPr>
          <w:sz w:val="24"/>
        </w:rPr>
      </w:pPr>
      <w:r>
        <w:rPr>
          <w:sz w:val="24"/>
        </w:rPr>
        <w:t>地下水影响预防措施</w:t>
      </w:r>
    </w:p>
    <w:p>
      <w:pPr>
        <w:pStyle w:val="7"/>
        <w:spacing w:before="143" w:line="364" w:lineRule="auto"/>
        <w:ind w:right="455"/>
      </w:pPr>
      <w:r>
        <w:rPr>
          <w:spacing w:val="-10"/>
        </w:rPr>
        <w:t>根据项目实际特征，评价认为在采取羊舍、堆肥厂和病死尸体无害化处理车</w:t>
      </w:r>
      <w:r>
        <w:rPr>
          <w:spacing w:val="-7"/>
        </w:rPr>
        <w:t>间等地面采取采取防渗措施；确保污水管道质量，应用质量良好的管材，增加管</w:t>
      </w:r>
      <w:r>
        <w:rPr>
          <w:spacing w:val="-11"/>
        </w:rPr>
        <w:t>段长度，减少管道接口，避免废水的跑、冒、滴、漏现象的发生；加强管理，建</w:t>
      </w:r>
      <w:r>
        <w:rPr>
          <w:spacing w:val="-10"/>
        </w:rPr>
        <w:t>立巡逻制度，定期对堆肥厂和病死尸体无害化处理车间等地进行检查，及时发现</w:t>
      </w:r>
      <w:r>
        <w:rPr>
          <w:spacing w:val="-16"/>
        </w:rPr>
        <w:t>问题，查找隐患，杜绝污染物的外排；厂内绿化区种植乔灌木、果树等绿化植物，</w:t>
      </w:r>
      <w:r>
        <w:rPr>
          <w:spacing w:val="-7"/>
        </w:rPr>
        <w:t>对恶臭气体进行吸附，减少污染物伴随雨水渗漏而污染地下水环境等措施后，废水不会对地下水源造成影响。</w:t>
      </w:r>
    </w:p>
    <w:p>
      <w:pPr>
        <w:pStyle w:val="5"/>
        <w:numPr>
          <w:ilvl w:val="2"/>
          <w:numId w:val="43"/>
        </w:numPr>
        <w:tabs>
          <w:tab w:val="left" w:pos="1241"/>
        </w:tabs>
        <w:spacing w:before="115" w:after="0" w:line="240" w:lineRule="auto"/>
        <w:ind w:left="1240" w:right="0" w:hanging="701"/>
        <w:jc w:val="left"/>
        <w:outlineLvl w:val="2"/>
      </w:pPr>
      <w:bookmarkStart w:id="302" w:name="5.2.3 运营期声环境影响分析"/>
      <w:bookmarkEnd w:id="302"/>
      <w:bookmarkStart w:id="303" w:name="5.2.3 运营期声环境影响分析"/>
      <w:bookmarkEnd w:id="303"/>
      <w:bookmarkStart w:id="304" w:name="_Toc23597"/>
      <w:r>
        <w:t>运营期声环境影响分析</w:t>
      </w:r>
      <w:bookmarkEnd w:id="304"/>
    </w:p>
    <w:p>
      <w:pPr>
        <w:pStyle w:val="7"/>
        <w:spacing w:before="2"/>
        <w:ind w:left="0"/>
        <w:rPr>
          <w:b/>
          <w:sz w:val="22"/>
        </w:rPr>
      </w:pPr>
    </w:p>
    <w:p>
      <w:pPr>
        <w:pStyle w:val="17"/>
        <w:numPr>
          <w:ilvl w:val="3"/>
          <w:numId w:val="51"/>
        </w:numPr>
        <w:tabs>
          <w:tab w:val="left" w:pos="1320"/>
        </w:tabs>
        <w:spacing w:before="0" w:after="0" w:line="240" w:lineRule="auto"/>
        <w:ind w:left="1320" w:right="0" w:hanging="780"/>
        <w:jc w:val="left"/>
        <w:rPr>
          <w:sz w:val="24"/>
        </w:rPr>
      </w:pPr>
      <w:bookmarkStart w:id="305" w:name="5.2.3.1 噪声源强"/>
      <w:bookmarkEnd w:id="305"/>
      <w:bookmarkStart w:id="306" w:name="5.2.3.1 噪声源强"/>
      <w:bookmarkEnd w:id="306"/>
      <w:r>
        <w:rPr>
          <w:sz w:val="24"/>
        </w:rPr>
        <w:t>噪声源强</w:t>
      </w:r>
    </w:p>
    <w:p>
      <w:pPr>
        <w:pStyle w:val="7"/>
        <w:spacing w:before="168" w:line="364" w:lineRule="auto"/>
        <w:ind w:right="577" w:firstLine="480"/>
        <w:jc w:val="both"/>
      </w:pPr>
      <w:r>
        <w:rPr>
          <w:spacing w:val="-6"/>
        </w:rPr>
        <w:t>本项目在运营期间噪声主要来源于羊舍畜禽叫声、饲料混合机、铡草机等设</w:t>
      </w:r>
      <w:r>
        <w:rPr>
          <w:spacing w:val="-2"/>
        </w:rPr>
        <w:t>备运行噪声以及运输车辆噪声等，噪声源强约为</w:t>
      </w:r>
      <w:r>
        <w:rPr>
          <w:rFonts w:ascii="Times New Roman" w:eastAsia="Times New Roman"/>
        </w:rPr>
        <w:t>60</w:t>
      </w:r>
      <w:r>
        <w:t>～</w:t>
      </w:r>
      <w:r>
        <w:rPr>
          <w:rFonts w:ascii="Times New Roman" w:eastAsia="Times New Roman"/>
        </w:rPr>
        <w:t>85dB</w:t>
      </w:r>
      <w:r>
        <w:t>（</w:t>
      </w:r>
      <w:r>
        <w:rPr>
          <w:rFonts w:ascii="Times New Roman" w:eastAsia="Times New Roman"/>
        </w:rPr>
        <w:t>A</w:t>
      </w:r>
      <w:r>
        <w:t>），各个机械设</w:t>
      </w:r>
      <w:r>
        <w:rPr>
          <w:spacing w:val="-8"/>
        </w:rPr>
        <w:t>备均置于厂房内，大部分噪声设备均置于室内，在采取墙体隔声、基础减震措施</w:t>
      </w:r>
      <w:r>
        <w:rPr>
          <w:spacing w:val="-9"/>
        </w:rPr>
        <w:t>后，噪声值在</w:t>
      </w:r>
      <w:r>
        <w:rPr>
          <w:rFonts w:ascii="Times New Roman" w:eastAsia="Times New Roman"/>
        </w:rPr>
        <w:t>50</w:t>
      </w:r>
      <w:r>
        <w:t>～</w:t>
      </w:r>
      <w:r>
        <w:rPr>
          <w:rFonts w:ascii="Times New Roman" w:eastAsia="Times New Roman"/>
        </w:rPr>
        <w:t>65dB</w:t>
      </w:r>
      <w:r>
        <w:t>（</w:t>
      </w:r>
      <w:r>
        <w:rPr>
          <w:rFonts w:ascii="Times New Roman" w:eastAsia="Times New Roman"/>
        </w:rPr>
        <w:t>A</w:t>
      </w:r>
      <w:r>
        <w:t>）</w:t>
      </w:r>
      <w:r>
        <w:rPr>
          <w:spacing w:val="-5"/>
        </w:rPr>
        <w:t>之间。噪声排放情况见表</w:t>
      </w:r>
      <w:r>
        <w:rPr>
          <w:rFonts w:ascii="Times New Roman" w:eastAsia="Times New Roman"/>
        </w:rPr>
        <w:t>5.2-7</w:t>
      </w:r>
      <w:r>
        <w:t>。</w:t>
      </w:r>
    </w:p>
    <w:p>
      <w:pPr>
        <w:pStyle w:val="7"/>
        <w:bidi w:val="0"/>
        <w:jc w:val="center"/>
      </w:pPr>
      <w:r>
        <w:t>表</w:t>
      </w:r>
      <w:r>
        <w:rPr>
          <w:rFonts w:ascii="Times New Roman" w:eastAsia="Times New Roman"/>
        </w:rPr>
        <w:t>5.2-7</w:t>
      </w:r>
      <w:r>
        <w:rPr>
          <w:rFonts w:ascii="Times New Roman" w:eastAsia="Times New Roman"/>
        </w:rPr>
        <w:tab/>
      </w:r>
      <w:r>
        <w:t>项目主要噪声源强表单位：</w:t>
      </w:r>
      <w:r>
        <w:rPr>
          <w:rFonts w:ascii="Times New Roman" w:eastAsia="Times New Roman"/>
        </w:rPr>
        <w:t>dB</w:t>
      </w:r>
      <w:r>
        <w:t>（</w:t>
      </w:r>
      <w:r>
        <w:rPr>
          <w:rFonts w:ascii="Times New Roman" w:eastAsia="Times New Roman"/>
        </w:rPr>
        <w:t>A</w:t>
      </w:r>
      <w:r>
        <w:t>）</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6"/>
        <w:gridCol w:w="1112"/>
        <w:gridCol w:w="1425"/>
        <w:gridCol w:w="1019"/>
        <w:gridCol w:w="2627"/>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066" w:type="dxa"/>
          </w:tcPr>
          <w:p>
            <w:pPr>
              <w:pStyle w:val="18"/>
              <w:spacing w:before="78"/>
              <w:ind w:left="61" w:right="52"/>
              <w:rPr>
                <w:b/>
                <w:sz w:val="21"/>
              </w:rPr>
            </w:pPr>
            <w:r>
              <w:rPr>
                <w:b/>
                <w:sz w:val="21"/>
              </w:rPr>
              <w:t>种类</w:t>
            </w:r>
          </w:p>
        </w:tc>
        <w:tc>
          <w:tcPr>
            <w:tcW w:w="1112" w:type="dxa"/>
          </w:tcPr>
          <w:p>
            <w:pPr>
              <w:pStyle w:val="18"/>
              <w:spacing w:before="78"/>
              <w:ind w:left="220" w:right="210"/>
              <w:rPr>
                <w:b/>
                <w:sz w:val="21"/>
              </w:rPr>
            </w:pPr>
            <w:r>
              <w:rPr>
                <w:b/>
                <w:sz w:val="21"/>
              </w:rPr>
              <w:t>来源</w:t>
            </w:r>
          </w:p>
        </w:tc>
        <w:tc>
          <w:tcPr>
            <w:tcW w:w="1425" w:type="dxa"/>
          </w:tcPr>
          <w:p>
            <w:pPr>
              <w:pStyle w:val="18"/>
              <w:spacing w:before="78"/>
              <w:ind w:left="61" w:right="48"/>
              <w:rPr>
                <w:b/>
                <w:sz w:val="21"/>
              </w:rPr>
            </w:pPr>
            <w:r>
              <w:rPr>
                <w:b/>
                <w:sz w:val="21"/>
              </w:rPr>
              <w:t>产生方式</w:t>
            </w:r>
          </w:p>
        </w:tc>
        <w:tc>
          <w:tcPr>
            <w:tcW w:w="1019" w:type="dxa"/>
          </w:tcPr>
          <w:p>
            <w:pPr>
              <w:pStyle w:val="18"/>
              <w:spacing w:before="78"/>
              <w:ind w:left="96" w:right="87"/>
              <w:rPr>
                <w:rFonts w:ascii="Times New Roman" w:eastAsia="Times New Roman"/>
                <w:b/>
                <w:sz w:val="21"/>
              </w:rPr>
            </w:pPr>
            <w:r>
              <w:rPr>
                <w:b/>
                <w:sz w:val="21"/>
              </w:rPr>
              <w:t>源强</w:t>
            </w:r>
            <w:r>
              <w:rPr>
                <w:rFonts w:ascii="Times New Roman" w:eastAsia="Times New Roman"/>
                <w:b/>
                <w:sz w:val="21"/>
              </w:rPr>
              <w:t>dB</w:t>
            </w:r>
          </w:p>
        </w:tc>
        <w:tc>
          <w:tcPr>
            <w:tcW w:w="2627" w:type="dxa"/>
          </w:tcPr>
          <w:p>
            <w:pPr>
              <w:pStyle w:val="18"/>
              <w:spacing w:before="78"/>
              <w:ind w:left="557" w:right="548"/>
              <w:rPr>
                <w:b/>
                <w:sz w:val="21"/>
              </w:rPr>
            </w:pPr>
            <w:r>
              <w:rPr>
                <w:b/>
                <w:sz w:val="21"/>
              </w:rPr>
              <w:t>治理措施</w:t>
            </w:r>
          </w:p>
        </w:tc>
        <w:tc>
          <w:tcPr>
            <w:tcW w:w="1270" w:type="dxa"/>
          </w:tcPr>
          <w:p>
            <w:pPr>
              <w:pStyle w:val="18"/>
              <w:spacing w:before="78"/>
              <w:ind w:left="193" w:right="183"/>
              <w:rPr>
                <w:b/>
                <w:sz w:val="21"/>
              </w:rPr>
            </w:pPr>
            <w:r>
              <w:rPr>
                <w:b/>
                <w:sz w:val="21"/>
              </w:rPr>
              <w:t>降噪效果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066" w:type="dxa"/>
          </w:tcPr>
          <w:p>
            <w:pPr>
              <w:pStyle w:val="18"/>
              <w:spacing w:before="161"/>
              <w:ind w:left="59" w:right="52"/>
              <w:rPr>
                <w:sz w:val="21"/>
              </w:rPr>
            </w:pPr>
            <w:r>
              <w:rPr>
                <w:sz w:val="21"/>
              </w:rPr>
              <w:t>羊叫</w:t>
            </w:r>
          </w:p>
        </w:tc>
        <w:tc>
          <w:tcPr>
            <w:tcW w:w="1112" w:type="dxa"/>
          </w:tcPr>
          <w:p>
            <w:pPr>
              <w:pStyle w:val="18"/>
              <w:spacing w:before="161"/>
              <w:ind w:left="220" w:right="212"/>
              <w:rPr>
                <w:sz w:val="21"/>
              </w:rPr>
            </w:pPr>
            <w:r>
              <w:rPr>
                <w:sz w:val="21"/>
              </w:rPr>
              <w:t>羊舍</w:t>
            </w:r>
          </w:p>
        </w:tc>
        <w:tc>
          <w:tcPr>
            <w:tcW w:w="1425" w:type="dxa"/>
          </w:tcPr>
          <w:p>
            <w:pPr>
              <w:pStyle w:val="18"/>
              <w:spacing w:before="161"/>
              <w:ind w:left="61" w:right="53"/>
              <w:rPr>
                <w:sz w:val="21"/>
              </w:rPr>
            </w:pPr>
            <w:r>
              <w:rPr>
                <w:sz w:val="21"/>
              </w:rPr>
              <w:t>流动、间歇性</w:t>
            </w:r>
          </w:p>
        </w:tc>
        <w:tc>
          <w:tcPr>
            <w:tcW w:w="1019" w:type="dxa"/>
          </w:tcPr>
          <w:p>
            <w:pPr>
              <w:pStyle w:val="18"/>
              <w:spacing w:before="175"/>
              <w:ind w:left="95" w:right="87"/>
              <w:rPr>
                <w:rFonts w:ascii="Times New Roman"/>
                <w:sz w:val="21"/>
              </w:rPr>
            </w:pPr>
            <w:r>
              <w:rPr>
                <w:rFonts w:ascii="Times New Roman"/>
                <w:sz w:val="21"/>
              </w:rPr>
              <w:t>60-70</w:t>
            </w:r>
          </w:p>
        </w:tc>
        <w:tc>
          <w:tcPr>
            <w:tcW w:w="2627" w:type="dxa"/>
          </w:tcPr>
          <w:p>
            <w:pPr>
              <w:pStyle w:val="18"/>
              <w:spacing w:before="61" w:line="213" w:lineRule="auto"/>
              <w:ind w:left="368" w:right="148" w:hanging="212"/>
              <w:jc w:val="left"/>
              <w:rPr>
                <w:sz w:val="21"/>
              </w:rPr>
            </w:pPr>
            <w:r>
              <w:rPr>
                <w:sz w:val="21"/>
              </w:rPr>
              <w:t>隔声，喂足饲料和水，避免饥渴及突发性噪声</w:t>
            </w:r>
          </w:p>
        </w:tc>
        <w:tc>
          <w:tcPr>
            <w:tcW w:w="1270" w:type="dxa"/>
          </w:tcPr>
          <w:p>
            <w:pPr>
              <w:pStyle w:val="18"/>
              <w:spacing w:before="175"/>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066" w:type="dxa"/>
          </w:tcPr>
          <w:p>
            <w:pPr>
              <w:pStyle w:val="18"/>
              <w:spacing w:before="77"/>
              <w:ind w:left="124" w:right="50"/>
              <w:rPr>
                <w:sz w:val="21"/>
              </w:rPr>
            </w:pPr>
            <w:r>
              <w:rPr>
                <w:sz w:val="21"/>
              </w:rPr>
              <w:t>风机</w:t>
            </w:r>
          </w:p>
        </w:tc>
        <w:tc>
          <w:tcPr>
            <w:tcW w:w="1112" w:type="dxa"/>
          </w:tcPr>
          <w:p>
            <w:pPr>
              <w:pStyle w:val="18"/>
              <w:spacing w:before="77"/>
              <w:ind w:left="220" w:right="212"/>
              <w:rPr>
                <w:sz w:val="21"/>
              </w:rPr>
            </w:pPr>
            <w:r>
              <w:rPr>
                <w:sz w:val="21"/>
              </w:rPr>
              <w:t>羊舍</w:t>
            </w:r>
          </w:p>
        </w:tc>
        <w:tc>
          <w:tcPr>
            <w:tcW w:w="1425" w:type="dxa"/>
          </w:tcPr>
          <w:p>
            <w:pPr>
              <w:pStyle w:val="18"/>
              <w:spacing w:before="77"/>
              <w:ind w:left="58" w:right="53"/>
              <w:rPr>
                <w:sz w:val="21"/>
              </w:rPr>
            </w:pPr>
            <w:r>
              <w:rPr>
                <w:sz w:val="21"/>
              </w:rPr>
              <w:t>连续性</w:t>
            </w:r>
          </w:p>
        </w:tc>
        <w:tc>
          <w:tcPr>
            <w:tcW w:w="1019" w:type="dxa"/>
          </w:tcPr>
          <w:p>
            <w:pPr>
              <w:pStyle w:val="18"/>
              <w:spacing w:before="91"/>
              <w:ind w:left="95" w:right="87"/>
              <w:rPr>
                <w:rFonts w:ascii="Times New Roman"/>
                <w:sz w:val="21"/>
              </w:rPr>
            </w:pPr>
            <w:r>
              <w:rPr>
                <w:rFonts w:ascii="Times New Roman"/>
                <w:sz w:val="21"/>
              </w:rPr>
              <w:t>65-75</w:t>
            </w:r>
          </w:p>
        </w:tc>
        <w:tc>
          <w:tcPr>
            <w:tcW w:w="2627" w:type="dxa"/>
            <w:vMerge w:val="restart"/>
          </w:tcPr>
          <w:p>
            <w:pPr>
              <w:pStyle w:val="18"/>
              <w:spacing w:before="156" w:line="213" w:lineRule="auto"/>
              <w:ind w:left="263" w:right="-15" w:hanging="156"/>
              <w:jc w:val="left"/>
              <w:rPr>
                <w:sz w:val="21"/>
              </w:rPr>
            </w:pPr>
            <w:r>
              <w:rPr>
                <w:spacing w:val="-1"/>
                <w:sz w:val="21"/>
              </w:rPr>
              <w:t>选低噪声设备，墙体隔声，基础减振，消声，隔声</w:t>
            </w:r>
          </w:p>
        </w:tc>
        <w:tc>
          <w:tcPr>
            <w:tcW w:w="1270" w:type="dxa"/>
          </w:tcPr>
          <w:p>
            <w:pPr>
              <w:pStyle w:val="18"/>
              <w:spacing w:before="91"/>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066" w:type="dxa"/>
          </w:tcPr>
          <w:p>
            <w:pPr>
              <w:pStyle w:val="18"/>
              <w:spacing w:before="77"/>
              <w:ind w:left="72"/>
              <w:rPr>
                <w:sz w:val="21"/>
              </w:rPr>
            </w:pPr>
            <w:r>
              <w:rPr>
                <w:w w:val="99"/>
                <w:sz w:val="21"/>
              </w:rPr>
              <w:t>泵</w:t>
            </w:r>
          </w:p>
        </w:tc>
        <w:tc>
          <w:tcPr>
            <w:tcW w:w="1112" w:type="dxa"/>
          </w:tcPr>
          <w:p>
            <w:pPr>
              <w:pStyle w:val="18"/>
              <w:spacing w:before="77"/>
              <w:ind w:left="220" w:right="212"/>
              <w:rPr>
                <w:sz w:val="21"/>
              </w:rPr>
            </w:pPr>
            <w:r>
              <w:rPr>
                <w:sz w:val="21"/>
              </w:rPr>
              <w:t>泵房</w:t>
            </w:r>
          </w:p>
        </w:tc>
        <w:tc>
          <w:tcPr>
            <w:tcW w:w="1425" w:type="dxa"/>
          </w:tcPr>
          <w:p>
            <w:pPr>
              <w:pStyle w:val="18"/>
              <w:spacing w:before="77"/>
              <w:ind w:left="61" w:right="53"/>
              <w:rPr>
                <w:sz w:val="21"/>
              </w:rPr>
            </w:pPr>
            <w:r>
              <w:rPr>
                <w:sz w:val="21"/>
              </w:rPr>
              <w:t>固定、持续性</w:t>
            </w:r>
          </w:p>
        </w:tc>
        <w:tc>
          <w:tcPr>
            <w:tcW w:w="1019" w:type="dxa"/>
          </w:tcPr>
          <w:p>
            <w:pPr>
              <w:pStyle w:val="18"/>
              <w:spacing w:before="90"/>
              <w:ind w:left="95" w:right="87"/>
              <w:rPr>
                <w:rFonts w:ascii="Times New Roman"/>
                <w:sz w:val="21"/>
              </w:rPr>
            </w:pPr>
            <w:r>
              <w:rPr>
                <w:rFonts w:ascii="Times New Roman"/>
                <w:sz w:val="21"/>
              </w:rPr>
              <w:t>70-75</w:t>
            </w:r>
          </w:p>
        </w:tc>
        <w:tc>
          <w:tcPr>
            <w:tcW w:w="2627" w:type="dxa"/>
            <w:vMerge w:val="continue"/>
            <w:tcBorders>
              <w:top w:val="nil"/>
            </w:tcBorders>
          </w:tcPr>
          <w:p>
            <w:pPr>
              <w:rPr>
                <w:sz w:val="2"/>
                <w:szCs w:val="2"/>
              </w:rPr>
            </w:pPr>
          </w:p>
        </w:tc>
        <w:tc>
          <w:tcPr>
            <w:tcW w:w="1270" w:type="dxa"/>
          </w:tcPr>
          <w:p>
            <w:pPr>
              <w:pStyle w:val="18"/>
              <w:spacing w:before="90"/>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066" w:type="dxa"/>
          </w:tcPr>
          <w:p>
            <w:pPr>
              <w:pStyle w:val="18"/>
              <w:spacing w:before="60" w:line="213" w:lineRule="auto"/>
              <w:ind w:left="250" w:right="71" w:hanging="106"/>
              <w:jc w:val="left"/>
              <w:rPr>
                <w:sz w:val="21"/>
              </w:rPr>
            </w:pPr>
            <w:r>
              <w:rPr>
                <w:sz w:val="21"/>
              </w:rPr>
              <w:t>无害化处理设备</w:t>
            </w:r>
          </w:p>
        </w:tc>
        <w:tc>
          <w:tcPr>
            <w:tcW w:w="1112" w:type="dxa"/>
          </w:tcPr>
          <w:p>
            <w:pPr>
              <w:pStyle w:val="18"/>
              <w:spacing w:before="60" w:line="213" w:lineRule="auto"/>
              <w:ind w:left="240" w:right="127" w:hanging="106"/>
              <w:jc w:val="left"/>
              <w:rPr>
                <w:sz w:val="21"/>
              </w:rPr>
            </w:pPr>
            <w:r>
              <w:rPr>
                <w:sz w:val="21"/>
              </w:rPr>
              <w:t>无害化处理车间</w:t>
            </w:r>
          </w:p>
        </w:tc>
        <w:tc>
          <w:tcPr>
            <w:tcW w:w="1425" w:type="dxa"/>
          </w:tcPr>
          <w:p>
            <w:pPr>
              <w:pStyle w:val="18"/>
              <w:spacing w:before="162"/>
              <w:ind w:left="61" w:right="53"/>
              <w:rPr>
                <w:sz w:val="21"/>
              </w:rPr>
            </w:pPr>
            <w:r>
              <w:rPr>
                <w:sz w:val="21"/>
              </w:rPr>
              <w:t>固定、持续性</w:t>
            </w:r>
          </w:p>
        </w:tc>
        <w:tc>
          <w:tcPr>
            <w:tcW w:w="1019" w:type="dxa"/>
          </w:tcPr>
          <w:p>
            <w:pPr>
              <w:pStyle w:val="18"/>
              <w:spacing w:before="176"/>
              <w:ind w:left="95" w:right="87"/>
              <w:rPr>
                <w:rFonts w:ascii="Times New Roman"/>
                <w:sz w:val="21"/>
              </w:rPr>
            </w:pPr>
            <w:r>
              <w:rPr>
                <w:rFonts w:ascii="Times New Roman"/>
                <w:sz w:val="21"/>
              </w:rPr>
              <w:t>70-85</w:t>
            </w:r>
          </w:p>
        </w:tc>
        <w:tc>
          <w:tcPr>
            <w:tcW w:w="2627" w:type="dxa"/>
          </w:tcPr>
          <w:p>
            <w:pPr>
              <w:pStyle w:val="18"/>
              <w:spacing w:before="162"/>
              <w:ind w:left="557" w:right="550"/>
              <w:rPr>
                <w:sz w:val="21"/>
              </w:rPr>
            </w:pPr>
            <w:r>
              <w:rPr>
                <w:sz w:val="21"/>
              </w:rPr>
              <w:t>基础减振，消声</w:t>
            </w:r>
          </w:p>
        </w:tc>
        <w:tc>
          <w:tcPr>
            <w:tcW w:w="1270" w:type="dxa"/>
          </w:tcPr>
          <w:p>
            <w:pPr>
              <w:pStyle w:val="18"/>
              <w:spacing w:before="176"/>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066" w:type="dxa"/>
          </w:tcPr>
          <w:p>
            <w:pPr>
              <w:pStyle w:val="18"/>
              <w:spacing w:before="76"/>
              <w:ind w:left="124" w:right="52"/>
              <w:rPr>
                <w:sz w:val="21"/>
              </w:rPr>
            </w:pPr>
            <w:r>
              <w:rPr>
                <w:sz w:val="21"/>
              </w:rPr>
              <w:t>运输车辆</w:t>
            </w:r>
          </w:p>
        </w:tc>
        <w:tc>
          <w:tcPr>
            <w:tcW w:w="1112" w:type="dxa"/>
          </w:tcPr>
          <w:p>
            <w:pPr>
              <w:pStyle w:val="18"/>
              <w:spacing w:before="76"/>
              <w:ind w:left="220" w:right="212"/>
              <w:rPr>
                <w:sz w:val="21"/>
              </w:rPr>
            </w:pPr>
            <w:r>
              <w:rPr>
                <w:sz w:val="21"/>
              </w:rPr>
              <w:t>养殖区</w:t>
            </w:r>
          </w:p>
        </w:tc>
        <w:tc>
          <w:tcPr>
            <w:tcW w:w="1425" w:type="dxa"/>
          </w:tcPr>
          <w:p>
            <w:pPr>
              <w:pStyle w:val="18"/>
              <w:spacing w:before="76"/>
              <w:ind w:left="61" w:right="53"/>
              <w:rPr>
                <w:sz w:val="21"/>
              </w:rPr>
            </w:pPr>
            <w:r>
              <w:rPr>
                <w:sz w:val="21"/>
              </w:rPr>
              <w:t>流动、间歇性</w:t>
            </w:r>
          </w:p>
        </w:tc>
        <w:tc>
          <w:tcPr>
            <w:tcW w:w="1019" w:type="dxa"/>
          </w:tcPr>
          <w:p>
            <w:pPr>
              <w:pStyle w:val="18"/>
              <w:spacing w:before="90"/>
              <w:ind w:left="95" w:right="87"/>
              <w:rPr>
                <w:rFonts w:ascii="Times New Roman"/>
                <w:sz w:val="21"/>
              </w:rPr>
            </w:pPr>
            <w:r>
              <w:rPr>
                <w:rFonts w:ascii="Times New Roman"/>
                <w:sz w:val="21"/>
              </w:rPr>
              <w:t>75-85</w:t>
            </w:r>
          </w:p>
        </w:tc>
        <w:tc>
          <w:tcPr>
            <w:tcW w:w="2627" w:type="dxa"/>
          </w:tcPr>
          <w:p>
            <w:pPr>
              <w:pStyle w:val="18"/>
              <w:spacing w:before="76"/>
              <w:ind w:left="557" w:right="550"/>
              <w:rPr>
                <w:sz w:val="21"/>
              </w:rPr>
            </w:pPr>
            <w:r>
              <w:rPr>
                <w:sz w:val="21"/>
              </w:rPr>
              <w:t>禁止鸣笛、限速</w:t>
            </w:r>
          </w:p>
        </w:tc>
        <w:tc>
          <w:tcPr>
            <w:tcW w:w="1270" w:type="dxa"/>
          </w:tcPr>
          <w:p>
            <w:pPr>
              <w:pStyle w:val="18"/>
              <w:spacing w:before="90"/>
              <w:ind w:left="193" w:right="182"/>
              <w:rPr>
                <w:rFonts w:ascii="Times New Roman"/>
                <w:sz w:val="21"/>
              </w:rPr>
            </w:pPr>
            <w:r>
              <w:rPr>
                <w:rFonts w:ascii="Times New Roman"/>
                <w:sz w:val="21"/>
              </w:rPr>
              <w:t>20</w:t>
            </w:r>
          </w:p>
        </w:tc>
      </w:tr>
    </w:tbl>
    <w:p>
      <w:pPr>
        <w:pStyle w:val="7"/>
        <w:spacing w:before="1"/>
        <w:ind w:left="0"/>
        <w:rPr>
          <w:b/>
          <w:sz w:val="19"/>
        </w:rPr>
      </w:pPr>
    </w:p>
    <w:p>
      <w:pPr>
        <w:pStyle w:val="17"/>
        <w:numPr>
          <w:ilvl w:val="3"/>
          <w:numId w:val="51"/>
        </w:numPr>
        <w:tabs>
          <w:tab w:val="left" w:pos="1320"/>
        </w:tabs>
        <w:spacing w:before="0" w:after="0" w:line="240" w:lineRule="auto"/>
        <w:ind w:left="1320" w:right="0" w:hanging="780"/>
        <w:jc w:val="left"/>
        <w:rPr>
          <w:sz w:val="24"/>
        </w:rPr>
      </w:pPr>
      <w:bookmarkStart w:id="307" w:name="5.2.3.2 预测模式"/>
      <w:bookmarkEnd w:id="307"/>
      <w:bookmarkStart w:id="308" w:name="5.2.3.2 预测模式"/>
      <w:bookmarkEnd w:id="308"/>
      <w:r>
        <w:rPr>
          <w:sz w:val="24"/>
        </w:rPr>
        <w:t>预测模式</w:t>
      </w:r>
    </w:p>
    <w:p>
      <w:pPr>
        <w:pStyle w:val="7"/>
        <w:spacing w:before="168" w:line="364" w:lineRule="auto"/>
        <w:ind w:right="577" w:firstLine="480"/>
      </w:pPr>
      <w:r>
        <w:rPr>
          <w:spacing w:val="-7"/>
        </w:rPr>
        <w:t>本项目高噪声机械设备均置于室内，本次预测考虑距离厂界较近声源对厂界</w:t>
      </w:r>
      <w:r>
        <w:t>噪声贡献值，预测声源衰减模式及多源叠加模式进行：</w:t>
      </w:r>
    </w:p>
    <w:p>
      <w:pPr>
        <w:pStyle w:val="7"/>
        <w:spacing w:line="362" w:lineRule="auto"/>
        <w:ind w:left="2940" w:right="2578" w:hanging="240"/>
      </w:pP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w:t>
      </w:r>
      <w:r>
        <w:rPr>
          <w:rFonts w:ascii="Times New Roman" w:hAnsi="Times New Roman" w:eastAsia="Times New Roman"/>
          <w:position w:val="2"/>
          <w:vertAlign w:val="baseline"/>
        </w:rPr>
        <w:t>r</w:t>
      </w:r>
      <w:r>
        <w:rPr>
          <w:position w:val="2"/>
          <w:vertAlign w:val="baseline"/>
        </w:rPr>
        <w:t>）</w:t>
      </w:r>
      <w:r>
        <w:rPr>
          <w:rFonts w:ascii="Times New Roman" w:hAnsi="Times New Roman" w:eastAsia="Times New Roman"/>
          <w:position w:val="2"/>
          <w:vertAlign w:val="baseline"/>
        </w:rPr>
        <w:t>=L</w:t>
      </w:r>
      <w:r>
        <w:rPr>
          <w:rFonts w:ascii="Times New Roman" w:hAnsi="Times New Roman" w:eastAsia="Times New Roman"/>
          <w:position w:val="2"/>
          <w:vertAlign w:val="subscript"/>
        </w:rPr>
        <w:t>WA</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div</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exc</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div</w:t>
      </w:r>
      <w:r>
        <w:rPr>
          <w:rFonts w:ascii="Times New Roman" w:hAnsi="Times New Roman" w:eastAsia="Times New Roman"/>
          <w:position w:val="2"/>
          <w:vertAlign w:val="baseline"/>
        </w:rPr>
        <w:t>=20lg</w:t>
      </w:r>
      <w:r>
        <w:rPr>
          <w:position w:val="2"/>
          <w:vertAlign w:val="baseline"/>
        </w:rPr>
        <w:t>（</w:t>
      </w:r>
      <w:r>
        <w:rPr>
          <w:rFonts w:ascii="Times New Roman" w:hAnsi="Times New Roman" w:eastAsia="Times New Roman"/>
          <w:position w:val="2"/>
          <w:vertAlign w:val="baseline"/>
        </w:rPr>
        <w:t>r/r</w:t>
      </w:r>
      <w:r>
        <w:rPr>
          <w:rFonts w:ascii="Times New Roman" w:hAnsi="Times New Roman" w:eastAsia="Times New Roman"/>
          <w:position w:val="2"/>
          <w:vertAlign w:val="subscript"/>
        </w:rPr>
        <w:t>0</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rFonts w:ascii="Times New Roman" w:hAnsi="Times New Roman" w:eastAsia="Times New Roman"/>
          <w:position w:val="2"/>
          <w:vertAlign w:val="baseline"/>
        </w:rPr>
        <w:t>=α</w:t>
      </w:r>
      <w:r>
        <w:rPr>
          <w:position w:val="2"/>
          <w:vertAlign w:val="baseline"/>
        </w:rPr>
        <w:t>（</w:t>
      </w:r>
      <w:r>
        <w:rPr>
          <w:rFonts w:ascii="Times New Roman" w:hAnsi="Times New Roman" w:eastAsia="Times New Roman"/>
          <w:position w:val="2"/>
          <w:vertAlign w:val="baseline"/>
        </w:rPr>
        <w:t>r</w:t>
      </w:r>
      <w:r>
        <w:rPr>
          <w:position w:val="2"/>
          <w:vertAlign w:val="baseline"/>
        </w:rPr>
        <w:t>－</w:t>
      </w:r>
      <w:r>
        <w:rPr>
          <w:rFonts w:ascii="Times New Roman" w:hAnsi="Times New Roman" w:eastAsia="Times New Roman"/>
          <w:position w:val="2"/>
          <w:vertAlign w:val="baseline"/>
        </w:rPr>
        <w:t>r</w:t>
      </w:r>
      <w:r>
        <w:rPr>
          <w:rFonts w:ascii="Times New Roman" w:hAnsi="Times New Roman" w:eastAsia="Times New Roman"/>
          <w:position w:val="2"/>
          <w:vertAlign w:val="subscript"/>
        </w:rPr>
        <w:t>0</w:t>
      </w:r>
      <w:r>
        <w:rPr>
          <w:position w:val="2"/>
          <w:vertAlign w:val="baseline"/>
        </w:rPr>
        <w:t>）</w:t>
      </w:r>
      <w:r>
        <w:rPr>
          <w:rFonts w:ascii="Times New Roman" w:hAnsi="Times New Roman" w:eastAsia="Times New Roman"/>
          <w:position w:val="2"/>
          <w:vertAlign w:val="baseline"/>
        </w:rPr>
        <w:t xml:space="preserve">/1000 </w:t>
      </w:r>
      <w:r>
        <w:rPr>
          <w:rFonts w:ascii="Times New Roman" w:hAnsi="Times New Roman" w:eastAsia="Times New Roman"/>
          <w:spacing w:val="-1"/>
          <w:position w:val="2"/>
          <w:vertAlign w:val="baseline"/>
        </w:rPr>
        <w:t>A</w:t>
      </w:r>
      <w:r>
        <w:rPr>
          <w:rFonts w:ascii="Times New Roman" w:hAnsi="Times New Roman" w:eastAsia="Times New Roman"/>
          <w:spacing w:val="-1"/>
          <w:position w:val="2"/>
          <w:vertAlign w:val="subscript"/>
        </w:rPr>
        <w:t>gr</w:t>
      </w:r>
      <w:r>
        <w:rPr>
          <w:rFonts w:ascii="Times New Roman" w:hAnsi="Times New Roman" w:eastAsia="Times New Roman"/>
          <w:spacing w:val="-1"/>
          <w:position w:val="2"/>
          <w:vertAlign w:val="baseline"/>
        </w:rPr>
        <w:t>=4.8</w:t>
      </w:r>
      <w:r>
        <w:rPr>
          <w:spacing w:val="-1"/>
          <w:position w:val="2"/>
          <w:vertAlign w:val="baseline"/>
        </w:rPr>
        <w:t>－（</w:t>
      </w:r>
      <w:r>
        <w:rPr>
          <w:rFonts w:ascii="Times New Roman" w:hAnsi="Times New Roman" w:eastAsia="Times New Roman"/>
          <w:spacing w:val="-1"/>
          <w:position w:val="2"/>
          <w:vertAlign w:val="baseline"/>
        </w:rPr>
        <w:t>2h</w:t>
      </w:r>
      <w:r>
        <w:rPr>
          <w:rFonts w:ascii="Times New Roman" w:hAnsi="Times New Roman" w:eastAsia="Times New Roman"/>
          <w:spacing w:val="-1"/>
          <w:position w:val="2"/>
          <w:vertAlign w:val="subscript"/>
        </w:rPr>
        <w:t>m</w:t>
      </w:r>
      <w:r>
        <w:rPr>
          <w:rFonts w:ascii="Times New Roman" w:hAnsi="Times New Roman" w:eastAsia="Times New Roman"/>
          <w:spacing w:val="-1"/>
          <w:position w:val="2"/>
          <w:vertAlign w:val="baseline"/>
        </w:rPr>
        <w:t>/r</w:t>
      </w:r>
      <w:r>
        <w:rPr>
          <w:spacing w:val="-1"/>
          <w:position w:val="2"/>
          <w:vertAlign w:val="baseline"/>
        </w:rPr>
        <w:t>）［</w:t>
      </w:r>
      <w:r>
        <w:rPr>
          <w:rFonts w:ascii="Times New Roman" w:hAnsi="Times New Roman" w:eastAsia="Times New Roman"/>
          <w:spacing w:val="-1"/>
          <w:position w:val="2"/>
          <w:vertAlign w:val="baseline"/>
        </w:rPr>
        <w:t>17</w:t>
      </w:r>
      <w:r>
        <w:rPr>
          <w:spacing w:val="-1"/>
          <w:position w:val="2"/>
          <w:vertAlign w:val="baseline"/>
        </w:rPr>
        <w:t>＋（</w:t>
      </w:r>
      <w:r>
        <w:rPr>
          <w:rFonts w:ascii="Times New Roman" w:hAnsi="Times New Roman" w:eastAsia="Times New Roman"/>
          <w:spacing w:val="-1"/>
          <w:position w:val="2"/>
          <w:vertAlign w:val="baseline"/>
        </w:rPr>
        <w:t>300/r</w:t>
      </w:r>
      <w:r>
        <w:rPr>
          <w:spacing w:val="-1"/>
          <w:position w:val="2"/>
          <w:vertAlign w:val="baseline"/>
        </w:rPr>
        <w:t>）］</w:t>
      </w:r>
    </w:p>
    <w:p>
      <w:pPr>
        <w:pStyle w:val="7"/>
        <w:spacing w:line="309" w:lineRule="exact"/>
        <w:ind w:left="1500"/>
      </w:pP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w:t>
      </w:r>
      <w:r>
        <w:rPr>
          <w:rFonts w:ascii="Times New Roman" w:hAnsi="Times New Roman" w:eastAsia="Times New Roman"/>
          <w:position w:val="2"/>
          <w:vertAlign w:val="baseline"/>
        </w:rPr>
        <w:t>r</w:t>
      </w:r>
      <w:r>
        <w:rPr>
          <w:position w:val="2"/>
          <w:vertAlign w:val="baseline"/>
        </w:rPr>
        <w:t>）—距声源</w:t>
      </w:r>
      <w:r>
        <w:rPr>
          <w:rFonts w:ascii="Times New Roman" w:hAnsi="Times New Roman" w:eastAsia="Times New Roman"/>
          <w:position w:val="2"/>
          <w:vertAlign w:val="baseline"/>
        </w:rPr>
        <w:t>r</w:t>
      </w:r>
      <w:r>
        <w:rPr>
          <w:position w:val="2"/>
          <w:vertAlign w:val="baseline"/>
        </w:rPr>
        <w:t>处的</w:t>
      </w:r>
      <w:r>
        <w:rPr>
          <w:rFonts w:ascii="Times New Roman" w:hAnsi="Times New Roman" w:eastAsia="Times New Roman"/>
          <w:position w:val="2"/>
          <w:vertAlign w:val="baseline"/>
        </w:rPr>
        <w:t>A</w:t>
      </w:r>
      <w:r>
        <w:rPr>
          <w:position w:val="2"/>
          <w:vertAlign w:val="baseline"/>
        </w:rPr>
        <w:t>声级值，</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54"/>
        <w:ind w:left="1500"/>
      </w:pPr>
      <w:r>
        <w:rPr>
          <w:rFonts w:ascii="Times New Roman" w:hAnsi="Times New Roman" w:eastAsia="Times New Roman"/>
          <w:position w:val="2"/>
        </w:rPr>
        <w:t>L</w:t>
      </w:r>
      <w:r>
        <w:rPr>
          <w:rFonts w:ascii="Times New Roman" w:hAnsi="Times New Roman" w:eastAsia="Times New Roman"/>
          <w:position w:val="2"/>
          <w:vertAlign w:val="subscript"/>
        </w:rPr>
        <w:t>WA</w:t>
      </w:r>
      <w:r>
        <w:rPr>
          <w:position w:val="2"/>
          <w:vertAlign w:val="baseline"/>
        </w:rPr>
        <w:t>—已知点声源</w:t>
      </w:r>
      <w:r>
        <w:rPr>
          <w:rFonts w:ascii="Times New Roman" w:hAnsi="Times New Roman" w:eastAsia="Times New Roman"/>
          <w:position w:val="2"/>
          <w:vertAlign w:val="baseline"/>
        </w:rPr>
        <w:t>A</w:t>
      </w:r>
      <w:r>
        <w:rPr>
          <w:position w:val="2"/>
          <w:vertAlign w:val="baseline"/>
        </w:rPr>
        <w:t>声级值，</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rPr>
        <w:t>A</w:t>
      </w:r>
      <w:r>
        <w:rPr>
          <w:rFonts w:ascii="Times New Roman" w:hAnsi="Times New Roman" w:eastAsia="Times New Roman"/>
          <w:position w:val="2"/>
          <w:vertAlign w:val="subscript"/>
        </w:rPr>
        <w:t>div</w:t>
      </w:r>
      <w:r>
        <w:rPr>
          <w:position w:val="2"/>
          <w:vertAlign w:val="baseline"/>
        </w:rPr>
        <w:t>—声级几何发散引起的</w:t>
      </w:r>
      <w:r>
        <w:rPr>
          <w:rFonts w:ascii="Times New Roman" w:hAnsi="Times New Roman" w:eastAsia="Times New Roman"/>
          <w:position w:val="2"/>
          <w:vertAlign w:val="baseline"/>
        </w:rPr>
        <w:t>A</w:t>
      </w:r>
      <w:r>
        <w:rPr>
          <w:position w:val="2"/>
          <w:vertAlign w:val="baseline"/>
        </w:rPr>
        <w:t>声级衰减量，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position w:val="2"/>
          <w:vertAlign w:val="baseline"/>
        </w:rPr>
        <w:t>—空气吸收引起的</w:t>
      </w:r>
      <w:r>
        <w:rPr>
          <w:rFonts w:ascii="Times New Roman" w:hAnsi="Times New Roman" w:eastAsia="Times New Roman"/>
          <w:position w:val="2"/>
          <w:vertAlign w:val="baseline"/>
        </w:rPr>
        <w:t>A</w:t>
      </w:r>
      <w:r>
        <w:rPr>
          <w:position w:val="2"/>
          <w:vertAlign w:val="baseline"/>
        </w:rPr>
        <w:t>声级衰减量，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vertAlign w:val="baseline"/>
        </w:rPr>
        <w:t>A</w:t>
      </w:r>
      <w:r>
        <w:rPr>
          <w:rFonts w:ascii="Times New Roman" w:hAnsi="Times New Roman" w:eastAsia="Times New Roman"/>
          <w:position w:val="2"/>
          <w:vertAlign w:val="subscript"/>
        </w:rPr>
        <w:t>gr</w:t>
      </w:r>
      <w:r>
        <w:rPr>
          <w:position w:val="2"/>
          <w:vertAlign w:val="baseline"/>
        </w:rPr>
        <w:t>—地面效应引起的附加衰减量，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pPr>
      <w:r>
        <w:rPr>
          <w:rFonts w:ascii="Times New Roman" w:hAnsi="Times New Roman" w:eastAsia="Times New Roman"/>
        </w:rPr>
        <w:t>α</w:t>
      </w:r>
      <w:r>
        <w:t>—空气吸收系数，</w:t>
      </w:r>
      <w:r>
        <w:rPr>
          <w:rFonts w:ascii="Times New Roman" w:hAnsi="Times New Roman" w:eastAsia="Times New Roman"/>
        </w:rPr>
        <w:t>dB/1000m</w:t>
      </w:r>
      <w:r>
        <w:rPr>
          <w:spacing w:val="-9"/>
        </w:rPr>
        <w:t>；取相对湿度</w:t>
      </w:r>
      <w:r>
        <w:rPr>
          <w:rFonts w:ascii="Times New Roman" w:hAnsi="Times New Roman" w:eastAsia="Times New Roman"/>
        </w:rPr>
        <w:t>20%</w:t>
      </w:r>
      <w:r>
        <w:rPr>
          <w:spacing w:val="-12"/>
        </w:rPr>
        <w:t>，温度取</w:t>
      </w:r>
      <w:r>
        <w:rPr>
          <w:rFonts w:ascii="Times New Roman" w:hAnsi="Times New Roman" w:eastAsia="Times New Roman"/>
          <w:spacing w:val="-4"/>
        </w:rPr>
        <w:t>15</w:t>
      </w:r>
      <w:r>
        <w:rPr>
          <w:spacing w:val="-4"/>
        </w:rPr>
        <w:t>℃；</w:t>
      </w:r>
      <w:r>
        <w:rPr>
          <w:rFonts w:ascii="Times New Roman" w:hAnsi="Times New Roman" w:eastAsia="Times New Roman"/>
          <w:position w:val="2"/>
        </w:rPr>
        <w:t>r</w:t>
      </w:r>
      <w:r>
        <w:rPr>
          <w:position w:val="2"/>
        </w:rPr>
        <w:t>、</w:t>
      </w:r>
      <w:r>
        <w:rPr>
          <w:rFonts w:ascii="Times New Roman" w:hAnsi="Times New Roman" w:eastAsia="Times New Roman"/>
          <w:position w:val="2"/>
        </w:rPr>
        <w:t>r</w:t>
      </w:r>
      <w:r>
        <w:rPr>
          <w:rFonts w:ascii="Times New Roman" w:hAnsi="Times New Roman" w:eastAsia="Times New Roman"/>
          <w:position w:val="2"/>
          <w:vertAlign w:val="subscript"/>
        </w:rPr>
        <w:t>0</w:t>
      </w:r>
      <w:r>
        <w:rPr>
          <w:position w:val="2"/>
          <w:vertAlign w:val="baseline"/>
        </w:rPr>
        <w:t>—声源至预测点和测量点的距离。</w:t>
      </w:r>
    </w:p>
    <w:p>
      <w:pPr>
        <w:pStyle w:val="7"/>
        <w:spacing w:before="3"/>
        <w:ind w:firstLine="960" w:firstLineChars="400"/>
      </w:pPr>
      <w:r>
        <w:t>预测点的</w:t>
      </w:r>
      <w:r>
        <w:rPr>
          <w:rFonts w:ascii="Times New Roman" w:eastAsia="Times New Roman"/>
        </w:rPr>
        <w:t>A</w:t>
      </w:r>
      <w:r>
        <w:t>声级叠加公式如下：</w:t>
      </w:r>
    </w:p>
    <w:p>
      <w:pPr>
        <w:pStyle w:val="7"/>
        <w:spacing w:before="11"/>
        <w:ind w:left="0"/>
        <w:rPr>
          <w:sz w:val="27"/>
        </w:rPr>
      </w:pPr>
      <w:r>
        <w:drawing>
          <wp:anchor distT="0" distB="0" distL="0" distR="0" simplePos="0" relativeHeight="1024" behindDoc="0" locked="0" layoutInCell="1" allowOverlap="1">
            <wp:simplePos x="0" y="0"/>
            <wp:positionH relativeFrom="page">
              <wp:posOffset>2976245</wp:posOffset>
            </wp:positionH>
            <wp:positionV relativeFrom="paragraph">
              <wp:posOffset>251460</wp:posOffset>
            </wp:positionV>
            <wp:extent cx="1520190" cy="450215"/>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47" cstate="print"/>
                    <a:stretch>
                      <a:fillRect/>
                    </a:stretch>
                  </pic:blipFill>
                  <pic:spPr>
                    <a:xfrm>
                      <a:off x="0" y="0"/>
                      <a:ext cx="1520308" cy="450056"/>
                    </a:xfrm>
                    <a:prstGeom prst="rect">
                      <a:avLst/>
                    </a:prstGeom>
                  </pic:spPr>
                </pic:pic>
              </a:graphicData>
            </a:graphic>
          </wp:anchor>
        </w:drawing>
      </w:r>
    </w:p>
    <w:p>
      <w:pPr>
        <w:pStyle w:val="7"/>
        <w:spacing w:before="7"/>
        <w:ind w:left="0"/>
        <w:rPr>
          <w:sz w:val="15"/>
        </w:rPr>
      </w:pPr>
    </w:p>
    <w:p>
      <w:pPr>
        <w:pStyle w:val="7"/>
        <w:spacing w:before="71"/>
        <w:ind w:left="1020"/>
      </w:pPr>
      <w:r>
        <w:rPr>
          <w:position w:val="2"/>
        </w:rPr>
        <w:t>式中：</w:t>
      </w: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—总预测点处总的</w:t>
      </w:r>
      <w:r>
        <w:rPr>
          <w:rFonts w:ascii="Times New Roman" w:hAnsi="Times New Roman" w:eastAsia="Times New Roman"/>
          <w:position w:val="2"/>
          <w:vertAlign w:val="baseline"/>
        </w:rPr>
        <w:t>A</w:t>
      </w:r>
      <w:r>
        <w:rPr>
          <w:position w:val="2"/>
          <w:vertAlign w:val="baseline"/>
        </w:rPr>
        <w:t>声级，</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56"/>
        <w:ind w:left="1740"/>
      </w:pPr>
      <w:r>
        <w:rPr>
          <w:rFonts w:ascii="Times New Roman" w:hAnsi="Times New Roman" w:eastAsia="Times New Roman"/>
          <w:position w:val="2"/>
        </w:rPr>
        <w:t>L</w:t>
      </w:r>
      <w:r>
        <w:rPr>
          <w:rFonts w:ascii="Times New Roman" w:hAnsi="Times New Roman" w:eastAsia="Times New Roman"/>
          <w:position w:val="2"/>
          <w:vertAlign w:val="subscript"/>
        </w:rPr>
        <w:t>Ai</w:t>
      </w:r>
      <w:r>
        <w:rPr>
          <w:position w:val="2"/>
          <w:vertAlign w:val="baseline"/>
        </w:rPr>
        <w:t>—第</w:t>
      </w:r>
      <w:r>
        <w:rPr>
          <w:rFonts w:ascii="Times New Roman" w:hAnsi="Times New Roman" w:eastAsia="Times New Roman"/>
          <w:position w:val="2"/>
          <w:vertAlign w:val="baseline"/>
        </w:rPr>
        <w:t>i</w:t>
      </w:r>
      <w:r>
        <w:rPr>
          <w:position w:val="2"/>
          <w:vertAlign w:val="baseline"/>
        </w:rPr>
        <w:t>个声源至预测总处的</w:t>
      </w:r>
      <w:r>
        <w:rPr>
          <w:rFonts w:ascii="Times New Roman" w:hAnsi="Times New Roman" w:eastAsia="Times New Roman"/>
          <w:position w:val="2"/>
          <w:vertAlign w:val="baseline"/>
        </w:rPr>
        <w:t>A</w:t>
      </w:r>
      <w:r>
        <w:rPr>
          <w:position w:val="2"/>
          <w:vertAlign w:val="baseline"/>
        </w:rPr>
        <w:t>声级，</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60"/>
        <w:ind w:left="1740"/>
      </w:pPr>
      <w:r>
        <w:rPr>
          <w:rFonts w:ascii="Times New Roman" w:hAnsi="Times New Roman" w:eastAsia="Times New Roman"/>
        </w:rPr>
        <w:t>N</w:t>
      </w:r>
      <w:r>
        <w:t>—声源个数。</w:t>
      </w:r>
    </w:p>
    <w:p>
      <w:pPr>
        <w:pStyle w:val="17"/>
        <w:numPr>
          <w:ilvl w:val="3"/>
          <w:numId w:val="51"/>
        </w:numPr>
        <w:tabs>
          <w:tab w:val="left" w:pos="1320"/>
        </w:tabs>
        <w:spacing w:before="170" w:after="0" w:line="240" w:lineRule="auto"/>
        <w:ind w:left="1320" w:right="0" w:hanging="780"/>
        <w:jc w:val="left"/>
        <w:rPr>
          <w:sz w:val="24"/>
        </w:rPr>
      </w:pPr>
      <w:bookmarkStart w:id="309" w:name="5.2.3.3 预测结果"/>
      <w:bookmarkEnd w:id="309"/>
      <w:bookmarkStart w:id="310" w:name="5.2.3.3 预测结果"/>
      <w:bookmarkEnd w:id="310"/>
      <w:r>
        <w:rPr>
          <w:sz w:val="24"/>
        </w:rPr>
        <w:t>预测结果</w:t>
      </w:r>
    </w:p>
    <w:p>
      <w:pPr>
        <w:pStyle w:val="7"/>
        <w:spacing w:before="168" w:line="364" w:lineRule="auto"/>
        <w:ind w:right="572" w:firstLine="480"/>
        <w:jc w:val="both"/>
      </w:pPr>
      <w:r>
        <w:rPr>
          <w:spacing w:val="-5"/>
        </w:rPr>
        <w:t>根据上述公式计算项目各车间对建设单位厂界的噪声预测贡献值，根据《环</w:t>
      </w:r>
      <w:r>
        <w:rPr>
          <w:spacing w:val="-1"/>
        </w:rPr>
        <w:t>境影响评价技术导则</w:t>
      </w:r>
      <w:r>
        <w:rPr>
          <w:rFonts w:ascii="Times New Roman" w:hAnsi="Times New Roman" w:eastAsia="Times New Roman"/>
        </w:rPr>
        <w:t>·</w:t>
      </w:r>
      <w:r>
        <w:rPr>
          <w:spacing w:val="-13"/>
        </w:rPr>
        <w:t>声环境》</w:t>
      </w:r>
      <w:r>
        <w:rPr>
          <w:spacing w:val="-3"/>
        </w:rPr>
        <w:t>（</w:t>
      </w:r>
      <w:r>
        <w:rPr>
          <w:rFonts w:ascii="Times New Roman" w:hAnsi="Times New Roman" w:eastAsia="Times New Roman"/>
          <w:spacing w:val="-3"/>
        </w:rPr>
        <w:t>HJ2.4-2009</w:t>
      </w:r>
      <w:r>
        <w:rPr>
          <w:spacing w:val="-3"/>
        </w:rPr>
        <w:t>）新建项目的贡献值即为预测值，环</w:t>
      </w:r>
      <w:r>
        <w:rPr>
          <w:spacing w:val="-5"/>
        </w:rPr>
        <w:t>境敏感目标的评价量则为贡献值与背景噪声值叠加后的预测值。本项目夜间不进</w:t>
      </w:r>
      <w:r>
        <w:rPr>
          <w:spacing w:val="-10"/>
        </w:rPr>
        <w:t>行生产，故声环境影响预测主要是预测各声源叠加后昼间对厂界的影响。利用上</w:t>
      </w:r>
      <w:r>
        <w:rPr>
          <w:spacing w:val="-9"/>
        </w:rPr>
        <w:t>述的预测评价数学模型，将噪声源强、源强距离厂界距离等有关参数代入公式计</w:t>
      </w:r>
      <w:r>
        <w:t>算预测项目噪声源同时产生噪声的最不利情况下的厂界噪声。</w:t>
      </w:r>
    </w:p>
    <w:p>
      <w:pPr>
        <w:pStyle w:val="7"/>
        <w:spacing w:before="3" w:line="364" w:lineRule="auto"/>
        <w:ind w:right="577" w:firstLine="480"/>
        <w:jc w:val="both"/>
      </w:pPr>
      <w:r>
        <w:rPr>
          <w:spacing w:val="-7"/>
        </w:rPr>
        <w:t>各声源噪声经构筑物隔声，换算成等效室外声源声级值，各声源对场界噪声</w:t>
      </w:r>
      <w:r>
        <w:rPr>
          <w:spacing w:val="-3"/>
        </w:rPr>
        <w:t>预测点影响值进行叠加计算后，得出昼间噪声预测结果见表</w:t>
      </w:r>
      <w:r>
        <w:rPr>
          <w:rFonts w:ascii="Times New Roman" w:eastAsia="Times New Roman"/>
        </w:rPr>
        <w:t>5.2-8</w:t>
      </w:r>
      <w:r>
        <w:t>。</w:t>
      </w:r>
    </w:p>
    <w:p>
      <w:pPr>
        <w:pStyle w:val="7"/>
        <w:bidi w:val="0"/>
        <w:jc w:val="center"/>
      </w:pPr>
      <w:r>
        <w:t>表</w:t>
      </w:r>
      <w:r>
        <w:rPr>
          <w:rFonts w:ascii="Times New Roman" w:eastAsia="Times New Roman"/>
        </w:rPr>
        <w:t>5.2-8</w:t>
      </w:r>
      <w:r>
        <w:rPr>
          <w:rFonts w:ascii="Times New Roman" w:eastAsia="Times New Roman"/>
        </w:rPr>
        <w:tab/>
      </w:r>
      <w:r>
        <w:t>运营期噪声预测结果一览表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0"/>
        <w:gridCol w:w="2105"/>
        <w:gridCol w:w="2012"/>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8"/>
              <w:spacing w:before="29"/>
              <w:ind w:left="618" w:right="608"/>
              <w:rPr>
                <w:b/>
                <w:sz w:val="21"/>
              </w:rPr>
            </w:pPr>
            <w:r>
              <w:rPr>
                <w:b/>
                <w:sz w:val="21"/>
              </w:rPr>
              <w:t>测点</w:t>
            </w:r>
          </w:p>
        </w:tc>
        <w:tc>
          <w:tcPr>
            <w:tcW w:w="2105" w:type="dxa"/>
          </w:tcPr>
          <w:p>
            <w:pPr>
              <w:pStyle w:val="18"/>
              <w:spacing w:before="29"/>
              <w:ind w:left="97" w:right="98"/>
              <w:rPr>
                <w:b/>
                <w:sz w:val="21"/>
              </w:rPr>
            </w:pPr>
            <w:r>
              <w:rPr>
                <w:b/>
                <w:sz w:val="21"/>
              </w:rPr>
              <w:t>贡献值</w:t>
            </w:r>
          </w:p>
        </w:tc>
        <w:tc>
          <w:tcPr>
            <w:tcW w:w="2012" w:type="dxa"/>
          </w:tcPr>
          <w:p>
            <w:pPr>
              <w:pStyle w:val="18"/>
              <w:spacing w:before="29"/>
              <w:ind w:left="562" w:right="553"/>
              <w:rPr>
                <w:b/>
                <w:sz w:val="21"/>
              </w:rPr>
            </w:pPr>
            <w:r>
              <w:rPr>
                <w:b/>
                <w:sz w:val="21"/>
              </w:rPr>
              <w:t>标准值</w:t>
            </w:r>
          </w:p>
        </w:tc>
        <w:tc>
          <w:tcPr>
            <w:tcW w:w="2012" w:type="dxa"/>
          </w:tcPr>
          <w:p>
            <w:pPr>
              <w:pStyle w:val="18"/>
              <w:spacing w:before="29"/>
              <w:ind w:left="565" w:right="553"/>
              <w:rPr>
                <w:b/>
                <w:sz w:val="21"/>
              </w:rPr>
            </w:pPr>
            <w:r>
              <w:rPr>
                <w:b/>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8"/>
              <w:spacing w:before="30"/>
              <w:ind w:left="682" w:right="608"/>
              <w:rPr>
                <w:rFonts w:ascii="Times New Roman" w:eastAsia="Times New Roman"/>
                <w:sz w:val="21"/>
              </w:rPr>
            </w:pPr>
            <w:r>
              <w:rPr>
                <w:sz w:val="21"/>
              </w:rPr>
              <w:t>厂界东侧</w:t>
            </w:r>
            <w:r>
              <w:rPr>
                <w:rFonts w:ascii="Times New Roman" w:eastAsia="Times New Roman"/>
                <w:sz w:val="21"/>
              </w:rPr>
              <w:t>1#</w:t>
            </w:r>
          </w:p>
        </w:tc>
        <w:tc>
          <w:tcPr>
            <w:tcW w:w="2105" w:type="dxa"/>
          </w:tcPr>
          <w:p>
            <w:pPr>
              <w:pStyle w:val="18"/>
              <w:spacing w:before="44"/>
              <w:ind w:left="100" w:right="98"/>
              <w:rPr>
                <w:rFonts w:ascii="Times New Roman"/>
                <w:sz w:val="21"/>
              </w:rPr>
            </w:pPr>
            <w:r>
              <w:rPr>
                <w:rFonts w:ascii="Times New Roman"/>
                <w:sz w:val="21"/>
              </w:rPr>
              <w:t>42.2</w:t>
            </w:r>
          </w:p>
        </w:tc>
        <w:tc>
          <w:tcPr>
            <w:tcW w:w="2012" w:type="dxa"/>
            <w:vMerge w:val="restart"/>
          </w:tcPr>
          <w:p>
            <w:pPr>
              <w:pStyle w:val="18"/>
              <w:jc w:val="left"/>
              <w:rPr>
                <w:b/>
                <w:sz w:val="22"/>
              </w:rPr>
            </w:pPr>
          </w:p>
          <w:p>
            <w:pPr>
              <w:pStyle w:val="18"/>
              <w:spacing w:before="1"/>
              <w:jc w:val="left"/>
              <w:rPr>
                <w:b/>
                <w:sz w:val="21"/>
              </w:rPr>
            </w:pPr>
          </w:p>
          <w:p>
            <w:pPr>
              <w:pStyle w:val="18"/>
              <w:spacing w:before="1"/>
              <w:ind w:left="563" w:right="553"/>
              <w:rPr>
                <w:rFonts w:ascii="Times New Roman"/>
                <w:sz w:val="21"/>
              </w:rPr>
            </w:pPr>
            <w:r>
              <w:rPr>
                <w:rFonts w:ascii="Times New Roman"/>
                <w:sz w:val="21"/>
              </w:rPr>
              <w:t>60</w:t>
            </w:r>
          </w:p>
        </w:tc>
        <w:tc>
          <w:tcPr>
            <w:tcW w:w="2012" w:type="dxa"/>
          </w:tcPr>
          <w:p>
            <w:pPr>
              <w:pStyle w:val="18"/>
              <w:spacing w:before="27"/>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8"/>
              <w:spacing w:before="28"/>
              <w:ind w:left="682" w:right="608"/>
              <w:rPr>
                <w:rFonts w:ascii="Times New Roman" w:eastAsia="Times New Roman"/>
                <w:sz w:val="21"/>
              </w:rPr>
            </w:pPr>
            <w:r>
              <w:rPr>
                <w:sz w:val="21"/>
              </w:rPr>
              <w:t>厂界南侧</w:t>
            </w:r>
            <w:r>
              <w:rPr>
                <w:rFonts w:ascii="Times New Roman" w:eastAsia="Times New Roman"/>
                <w:sz w:val="21"/>
              </w:rPr>
              <w:t>2#</w:t>
            </w:r>
          </w:p>
        </w:tc>
        <w:tc>
          <w:tcPr>
            <w:tcW w:w="2105" w:type="dxa"/>
          </w:tcPr>
          <w:p>
            <w:pPr>
              <w:pStyle w:val="18"/>
              <w:spacing w:before="42"/>
              <w:ind w:left="100" w:right="98"/>
              <w:rPr>
                <w:rFonts w:ascii="Times New Roman"/>
                <w:sz w:val="21"/>
              </w:rPr>
            </w:pPr>
            <w:r>
              <w:rPr>
                <w:rFonts w:ascii="Times New Roman"/>
                <w:sz w:val="21"/>
              </w:rPr>
              <w:t>45.7</w:t>
            </w:r>
          </w:p>
        </w:tc>
        <w:tc>
          <w:tcPr>
            <w:tcW w:w="2012" w:type="dxa"/>
            <w:vMerge w:val="continue"/>
            <w:tcBorders>
              <w:top w:val="nil"/>
            </w:tcBorders>
          </w:tcPr>
          <w:p>
            <w:pPr>
              <w:rPr>
                <w:sz w:val="2"/>
                <w:szCs w:val="2"/>
              </w:rPr>
            </w:pPr>
          </w:p>
        </w:tc>
        <w:tc>
          <w:tcPr>
            <w:tcW w:w="2012" w:type="dxa"/>
          </w:tcPr>
          <w:p>
            <w:pPr>
              <w:pStyle w:val="18"/>
              <w:spacing w:before="28"/>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8"/>
              <w:spacing w:before="29"/>
              <w:ind w:left="682" w:right="608"/>
              <w:rPr>
                <w:rFonts w:ascii="Times New Roman" w:eastAsia="Times New Roman"/>
                <w:sz w:val="21"/>
              </w:rPr>
            </w:pPr>
            <w:r>
              <w:rPr>
                <w:sz w:val="21"/>
              </w:rPr>
              <w:t>厂界西侧</w:t>
            </w:r>
            <w:r>
              <w:rPr>
                <w:rFonts w:ascii="Times New Roman" w:eastAsia="Times New Roman"/>
                <w:sz w:val="21"/>
              </w:rPr>
              <w:t>3#</w:t>
            </w:r>
          </w:p>
        </w:tc>
        <w:tc>
          <w:tcPr>
            <w:tcW w:w="2105" w:type="dxa"/>
          </w:tcPr>
          <w:p>
            <w:pPr>
              <w:pStyle w:val="18"/>
              <w:spacing w:before="43"/>
              <w:ind w:left="100" w:right="98"/>
              <w:rPr>
                <w:rFonts w:ascii="Times New Roman"/>
                <w:sz w:val="21"/>
              </w:rPr>
            </w:pPr>
            <w:r>
              <w:rPr>
                <w:rFonts w:ascii="Times New Roman"/>
                <w:sz w:val="21"/>
              </w:rPr>
              <w:t>46.8</w:t>
            </w:r>
          </w:p>
        </w:tc>
        <w:tc>
          <w:tcPr>
            <w:tcW w:w="2012" w:type="dxa"/>
            <w:vMerge w:val="continue"/>
            <w:tcBorders>
              <w:top w:val="nil"/>
            </w:tcBorders>
          </w:tcPr>
          <w:p>
            <w:pPr>
              <w:rPr>
                <w:sz w:val="2"/>
                <w:szCs w:val="2"/>
              </w:rPr>
            </w:pPr>
          </w:p>
        </w:tc>
        <w:tc>
          <w:tcPr>
            <w:tcW w:w="2012" w:type="dxa"/>
          </w:tcPr>
          <w:p>
            <w:pPr>
              <w:pStyle w:val="18"/>
              <w:spacing w:before="29"/>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8"/>
              <w:spacing w:before="30"/>
              <w:ind w:left="682" w:right="608"/>
              <w:rPr>
                <w:rFonts w:ascii="Times New Roman" w:eastAsia="Times New Roman"/>
                <w:sz w:val="21"/>
              </w:rPr>
            </w:pPr>
            <w:r>
              <w:rPr>
                <w:sz w:val="21"/>
              </w:rPr>
              <w:t>厂界北侧</w:t>
            </w:r>
            <w:r>
              <w:rPr>
                <w:rFonts w:ascii="Times New Roman" w:eastAsia="Times New Roman"/>
                <w:sz w:val="21"/>
              </w:rPr>
              <w:t>4#</w:t>
            </w:r>
          </w:p>
        </w:tc>
        <w:tc>
          <w:tcPr>
            <w:tcW w:w="2105" w:type="dxa"/>
          </w:tcPr>
          <w:p>
            <w:pPr>
              <w:pStyle w:val="18"/>
              <w:spacing w:before="44"/>
              <w:ind w:left="100" w:right="98"/>
              <w:rPr>
                <w:rFonts w:ascii="Times New Roman"/>
                <w:sz w:val="21"/>
              </w:rPr>
            </w:pPr>
            <w:r>
              <w:rPr>
                <w:rFonts w:ascii="Times New Roman"/>
                <w:sz w:val="21"/>
              </w:rPr>
              <w:t>42.1</w:t>
            </w:r>
          </w:p>
        </w:tc>
        <w:tc>
          <w:tcPr>
            <w:tcW w:w="2012" w:type="dxa"/>
            <w:vMerge w:val="continue"/>
            <w:tcBorders>
              <w:top w:val="nil"/>
            </w:tcBorders>
          </w:tcPr>
          <w:p>
            <w:pPr>
              <w:rPr>
                <w:sz w:val="2"/>
                <w:szCs w:val="2"/>
              </w:rPr>
            </w:pPr>
          </w:p>
        </w:tc>
        <w:tc>
          <w:tcPr>
            <w:tcW w:w="2012" w:type="dxa"/>
          </w:tcPr>
          <w:p>
            <w:pPr>
              <w:pStyle w:val="18"/>
              <w:spacing w:before="27"/>
              <w:ind w:left="558" w:right="553"/>
              <w:rPr>
                <w:sz w:val="21"/>
              </w:rPr>
            </w:pPr>
            <w:r>
              <w:rPr>
                <w:sz w:val="21"/>
              </w:rPr>
              <w:t>达标</w:t>
            </w:r>
          </w:p>
        </w:tc>
      </w:tr>
    </w:tbl>
    <w:p>
      <w:pPr>
        <w:pStyle w:val="7"/>
        <w:spacing w:before="5"/>
        <w:ind w:left="0"/>
        <w:rPr>
          <w:b/>
          <w:color w:val="0000FF"/>
          <w:sz w:val="18"/>
        </w:rPr>
      </w:pP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0" w:firstLine="400" w:firstLineChars="200"/>
        <w:textAlignment w:val="auto"/>
        <w:rPr>
          <w:sz w:val="9"/>
        </w:rPr>
      </w:pPr>
      <w:r>
        <w:rPr>
          <w:color w:val="0000FF"/>
          <w:spacing w:val="-20"/>
        </w:rPr>
        <w:t>由表</w:t>
      </w:r>
      <w:r>
        <w:rPr>
          <w:rFonts w:ascii="Times New Roman" w:hAnsi="Times New Roman" w:eastAsia="Times New Roman"/>
          <w:color w:val="0000FF"/>
        </w:rPr>
        <w:t>5.2-8</w:t>
      </w:r>
      <w:r>
        <w:rPr>
          <w:color w:val="0000FF"/>
        </w:rPr>
        <w:t>可知，项目运营期在落实噪声污染防治措施的前提下，设备运行</w:t>
      </w:r>
      <w:r>
        <w:rPr>
          <w:color w:val="0000FF"/>
          <w:spacing w:val="-5"/>
        </w:rPr>
        <w:t>产生的噪声衰减到厂界外的噪声值较小，项目现状厂界背景声环境均达标，经叠</w:t>
      </w:r>
      <w:r>
        <w:rPr>
          <w:color w:val="0000FF"/>
          <w:spacing w:val="-12"/>
        </w:rPr>
        <w:t>加后厂区北、西、东、南厂界昼、夜间噪声值满足《工业企业厂界环境噪声排放</w:t>
      </w:r>
      <w:r>
        <w:rPr>
          <w:color w:val="0000FF"/>
          <w:spacing w:val="-17"/>
        </w:rPr>
        <w:t>标准》</w:t>
      </w:r>
      <w:r>
        <w:rPr>
          <w:color w:val="0000FF"/>
        </w:rPr>
        <w:t>（</w:t>
      </w:r>
      <w:r>
        <w:rPr>
          <w:rFonts w:ascii="Times New Roman" w:hAnsi="Times New Roman" w:eastAsia="Times New Roman"/>
          <w:color w:val="0000FF"/>
        </w:rPr>
        <w:t>GB12348-2008</w:t>
      </w:r>
      <w:r>
        <w:rPr>
          <w:color w:val="0000FF"/>
        </w:rPr>
        <w:t>）</w:t>
      </w:r>
      <w:r>
        <w:rPr>
          <w:rFonts w:ascii="Times New Roman" w:hAnsi="Times New Roman" w:eastAsia="Times New Roman"/>
          <w:color w:val="0000FF"/>
        </w:rPr>
        <w:t>2</w:t>
      </w:r>
      <w:r>
        <w:rPr>
          <w:color w:val="0000FF"/>
          <w:spacing w:val="-3"/>
        </w:rPr>
        <w:t>类标准要求</w:t>
      </w:r>
      <w:r>
        <w:rPr>
          <w:color w:val="0000FF"/>
        </w:rPr>
        <w:t>（</w:t>
      </w:r>
      <w:r>
        <w:rPr>
          <w:color w:val="0000FF"/>
          <w:spacing w:val="-2"/>
        </w:rPr>
        <w:t>昼间≤</w:t>
      </w:r>
      <w:r>
        <w:rPr>
          <w:rFonts w:ascii="Times New Roman" w:hAnsi="Times New Roman" w:eastAsia="Times New Roman"/>
          <w:color w:val="0000FF"/>
          <w:spacing w:val="-5"/>
        </w:rPr>
        <w:t>60dB</w:t>
      </w:r>
      <w:r>
        <w:rPr>
          <w:color w:val="0000FF"/>
          <w:spacing w:val="-5"/>
        </w:rPr>
        <w:t>（</w:t>
      </w:r>
      <w:r>
        <w:rPr>
          <w:rFonts w:ascii="Times New Roman" w:hAnsi="Times New Roman" w:eastAsia="Times New Roman"/>
          <w:color w:val="0000FF"/>
          <w:spacing w:val="-5"/>
        </w:rPr>
        <w:t>A</w:t>
      </w:r>
      <w:r>
        <w:rPr>
          <w:color w:val="0000FF"/>
          <w:spacing w:val="-5"/>
        </w:rPr>
        <w:t>）</w:t>
      </w:r>
      <w:r>
        <w:rPr>
          <w:color w:val="0000FF"/>
          <w:spacing w:val="-3"/>
        </w:rPr>
        <w:t>，夜间≤</w:t>
      </w:r>
      <w:r>
        <w:rPr>
          <w:rFonts w:ascii="Times New Roman" w:hAnsi="Times New Roman" w:eastAsia="Times New Roman"/>
          <w:color w:val="0000FF"/>
          <w:spacing w:val="-5"/>
        </w:rPr>
        <w:t>50dB</w:t>
      </w:r>
      <w:r>
        <w:rPr>
          <w:color w:val="0000FF"/>
          <w:spacing w:val="-5"/>
        </w:rPr>
        <w:t>（</w:t>
      </w:r>
      <w:r>
        <w:rPr>
          <w:rFonts w:ascii="Times New Roman" w:hAnsi="Times New Roman" w:eastAsia="Times New Roman"/>
          <w:color w:val="0000FF"/>
          <w:spacing w:val="-5"/>
        </w:rPr>
        <w:t>A</w:t>
      </w:r>
      <w:r>
        <w:rPr>
          <w:color w:val="0000FF"/>
          <w:spacing w:val="-5"/>
        </w:rPr>
        <w:t>））</w:t>
      </w:r>
      <w:r>
        <w:rPr>
          <w:color w:val="0000FF"/>
          <w:spacing w:val="-9"/>
        </w:rPr>
        <w:t>限值要求，项目投产后对周围声环境的影响较小。另外项目区周边距离项目区最</w:t>
      </w:r>
      <w:r>
        <w:rPr>
          <w:color w:val="0000FF"/>
          <w:spacing w:val="-13"/>
        </w:rPr>
        <w:t>近的声环境保护目标为西侧约</w:t>
      </w:r>
      <w:r>
        <w:rPr>
          <w:rFonts w:hint="eastAsia" w:ascii="Times New Roman" w:hAnsi="Times New Roman" w:eastAsia="宋体"/>
          <w:color w:val="0000FF"/>
          <w:lang w:val="en-US" w:eastAsia="zh-CN"/>
        </w:rPr>
        <w:t>1.6</w:t>
      </w:r>
      <w:r>
        <w:rPr>
          <w:rFonts w:ascii="Times New Roman" w:hAnsi="Times New Roman" w:eastAsia="Times New Roman"/>
          <w:color w:val="0000FF"/>
        </w:rPr>
        <w:t>km</w:t>
      </w:r>
      <w:r>
        <w:rPr>
          <w:color w:val="0000FF"/>
        </w:rPr>
        <w:t>处的村庄，项目产生的噪声对其影响甚微。</w:t>
      </w:r>
    </w:p>
    <w:p>
      <w:pPr>
        <w:pStyle w:val="5"/>
        <w:numPr>
          <w:ilvl w:val="2"/>
          <w:numId w:val="43"/>
        </w:numPr>
        <w:tabs>
          <w:tab w:val="left" w:pos="1241"/>
        </w:tabs>
        <w:spacing w:before="73" w:after="0" w:line="240" w:lineRule="auto"/>
        <w:ind w:left="1240" w:right="0" w:hanging="701"/>
        <w:jc w:val="left"/>
        <w:outlineLvl w:val="2"/>
      </w:pPr>
      <w:bookmarkStart w:id="311" w:name="5.2.4 固体废物环境影响分析"/>
      <w:bookmarkEnd w:id="311"/>
      <w:bookmarkStart w:id="312" w:name="5.2.4 固体废物环境影响分析"/>
      <w:bookmarkEnd w:id="312"/>
      <w:bookmarkStart w:id="313" w:name="_Toc22937"/>
      <w:r>
        <w:t>固体废物环境影响分析</w:t>
      </w:r>
      <w:bookmarkEnd w:id="313"/>
    </w:p>
    <w:p>
      <w:pPr>
        <w:pStyle w:val="7"/>
        <w:spacing w:before="5"/>
        <w:ind w:left="0"/>
        <w:rPr>
          <w:b/>
          <w:sz w:val="21"/>
        </w:rPr>
      </w:pPr>
    </w:p>
    <w:p>
      <w:pPr>
        <w:pStyle w:val="7"/>
        <w:spacing w:line="364" w:lineRule="auto"/>
        <w:ind w:right="575" w:firstLine="480"/>
      </w:pPr>
      <w:r>
        <w:rPr>
          <w:spacing w:val="-6"/>
        </w:rPr>
        <w:t>本项目产生的固体废物主要为羊粪及粪渣、废弃垫料、病死羊及分娩物、医</w:t>
      </w:r>
      <w:r>
        <w:t>疗垃圾、生活垃圾。</w:t>
      </w:r>
    </w:p>
    <w:p>
      <w:pPr>
        <w:pStyle w:val="17"/>
        <w:numPr>
          <w:ilvl w:val="0"/>
          <w:numId w:val="52"/>
        </w:numPr>
        <w:tabs>
          <w:tab w:val="left" w:pos="1621"/>
        </w:tabs>
        <w:spacing w:before="1" w:after="0" w:line="240" w:lineRule="auto"/>
        <w:ind w:left="1621" w:right="0" w:hanging="601"/>
        <w:jc w:val="left"/>
        <w:rPr>
          <w:sz w:val="24"/>
        </w:rPr>
      </w:pPr>
      <w:r>
        <w:rPr>
          <w:sz w:val="24"/>
        </w:rPr>
        <w:t>羊粪及粪渣</w:t>
      </w:r>
    </w:p>
    <w:p>
      <w:pPr>
        <w:pStyle w:val="7"/>
        <w:spacing w:before="161" w:line="364" w:lineRule="auto"/>
        <w:ind w:right="577" w:firstLine="480"/>
        <w:jc w:val="both"/>
        <w:rPr>
          <w:color w:val="0000FF"/>
        </w:rPr>
      </w:pPr>
      <w:r>
        <w:rPr>
          <w:color w:val="0000FF"/>
          <w:spacing w:val="-7"/>
        </w:rPr>
        <w:t>根据《畜禽养殖业污染治理工程技术规范》</w:t>
      </w:r>
      <w:r>
        <w:rPr>
          <w:color w:val="0000FF"/>
        </w:rPr>
        <w:t>（</w:t>
      </w:r>
      <w:r>
        <w:rPr>
          <w:rFonts w:ascii="Times New Roman" w:eastAsia="Times New Roman"/>
          <w:color w:val="0000FF"/>
        </w:rPr>
        <w:t>HJ497-2009</w:t>
      </w:r>
      <w:r>
        <w:rPr>
          <w:color w:val="0000FF"/>
        </w:rPr>
        <w:t>）</w:t>
      </w:r>
      <w:r>
        <w:rPr>
          <w:color w:val="0000FF"/>
          <w:spacing w:val="-6"/>
        </w:rPr>
        <w:t>和《畜禽养殖业</w:t>
      </w:r>
      <w:r>
        <w:rPr>
          <w:color w:val="0000FF"/>
        </w:rPr>
        <w:t>污染防治技术规范》（</w:t>
      </w:r>
      <w:r>
        <w:rPr>
          <w:rFonts w:ascii="Times New Roman" w:eastAsia="Times New Roman"/>
          <w:color w:val="0000FF"/>
        </w:rPr>
        <w:t>HT/T81-2001</w:t>
      </w:r>
      <w:r>
        <w:rPr>
          <w:color w:val="0000FF"/>
        </w:rPr>
        <w:t>）的要求，新建畜禽养殖场采取干法清粪工</w:t>
      </w:r>
      <w:r>
        <w:rPr>
          <w:color w:val="0000FF"/>
          <w:spacing w:val="-10"/>
        </w:rPr>
        <w:t>艺，采取人工或机械方式将牲畜类便及时、单独清出。根据生态与农村环境学报</w:t>
      </w:r>
    </w:p>
    <w:p>
      <w:pPr>
        <w:pStyle w:val="7"/>
        <w:spacing w:before="2" w:line="364" w:lineRule="auto"/>
        <w:ind w:right="457"/>
        <w:rPr>
          <w:color w:val="0000FF"/>
        </w:rPr>
      </w:pPr>
      <w:r>
        <w:rPr>
          <w:color w:val="0000FF"/>
          <w:spacing w:val="-13"/>
        </w:rPr>
        <w:t>《集约化养殖场羊与羊粪尿产生量的监测》可知，每只羊每天可产生羊粪</w:t>
      </w:r>
      <w:r>
        <w:rPr>
          <w:rFonts w:ascii="Times New Roman" w:eastAsia="Times New Roman"/>
          <w:color w:val="0000FF"/>
          <w:spacing w:val="-3"/>
        </w:rPr>
        <w:t>1.09kg</w:t>
      </w:r>
      <w:r>
        <w:rPr>
          <w:color w:val="0000FF"/>
          <w:spacing w:val="-3"/>
        </w:rPr>
        <w:t>，</w:t>
      </w:r>
      <w:r>
        <w:rPr>
          <w:color w:val="0000FF"/>
          <w:spacing w:val="-7"/>
        </w:rPr>
        <w:t>本项目肉羊存栏量</w:t>
      </w:r>
      <w:r>
        <w:rPr>
          <w:rFonts w:hint="eastAsia"/>
          <w:color w:val="0000FF"/>
          <w:spacing w:val="-7"/>
          <w:lang w:val="en-US" w:eastAsia="zh-CN"/>
        </w:rPr>
        <w:t>10</w:t>
      </w:r>
      <w:r>
        <w:rPr>
          <w:color w:val="0000FF"/>
        </w:rPr>
        <w:t>万只</w:t>
      </w:r>
      <w:r>
        <w:rPr>
          <w:rFonts w:ascii="Times New Roman" w:eastAsia="Times New Roman"/>
          <w:color w:val="0000FF"/>
        </w:rPr>
        <w:t>/a</w:t>
      </w:r>
      <w:r>
        <w:rPr>
          <w:color w:val="0000FF"/>
          <w:spacing w:val="-4"/>
        </w:rPr>
        <w:t>，由此计算得出，本项目羊粪产生量为</w:t>
      </w:r>
      <w:r>
        <w:rPr>
          <w:rFonts w:hint="eastAsia" w:ascii="Times New Roman" w:eastAsia="宋体"/>
          <w:color w:val="0000FF"/>
          <w:lang w:val="en-US" w:eastAsia="zh-CN"/>
        </w:rPr>
        <w:t>39785</w:t>
      </w:r>
      <w:r>
        <w:rPr>
          <w:rFonts w:ascii="Times New Roman" w:eastAsia="Times New Roman"/>
          <w:color w:val="0000FF"/>
        </w:rPr>
        <w:t>t/a</w:t>
      </w:r>
      <w:r>
        <w:rPr>
          <w:color w:val="0000FF"/>
        </w:rPr>
        <w:t>，每天产生的粪便由人工清理至堆肥厂通过高温堆肥发酵处理方式对固体粪污进</w:t>
      </w:r>
      <w:r>
        <w:rPr>
          <w:color w:val="0000FF"/>
          <w:spacing w:val="-3"/>
        </w:rPr>
        <w:t>行无害化处理，符合《粪便无害化卫生要求》</w:t>
      </w:r>
      <w:r>
        <w:rPr>
          <w:color w:val="0000FF"/>
        </w:rPr>
        <w:t>（</w:t>
      </w:r>
      <w:r>
        <w:rPr>
          <w:rFonts w:ascii="Times New Roman" w:eastAsia="Times New Roman"/>
          <w:color w:val="0000FF"/>
        </w:rPr>
        <w:t>GB7959-2012</w:t>
      </w:r>
      <w:r>
        <w:rPr>
          <w:color w:val="0000FF"/>
        </w:rPr>
        <w:t>）</w:t>
      </w:r>
      <w:r>
        <w:rPr>
          <w:color w:val="0000FF"/>
          <w:spacing w:val="-2"/>
        </w:rPr>
        <w:t>后，外售给附近</w:t>
      </w:r>
      <w:r>
        <w:rPr>
          <w:color w:val="0000FF"/>
          <w:spacing w:val="-9"/>
        </w:rPr>
        <w:t>村民，直接还田进行土地利用，禁止未经处理的畜禽粪便直接施入农田。环评要</w:t>
      </w:r>
      <w:r>
        <w:rPr>
          <w:color w:val="0000FF"/>
          <w:spacing w:val="-15"/>
        </w:rPr>
        <w:t>求堆肥厂必须建设遮雨棚、防风墙、截洪沟，防止雨水对羊粪的冲刷造成水体污染。同时，羊粪不能直接堆放裸露地面，堆方场所必须要有防渗漏、溢流措施，不会对周边环境造成不利影响。</w:t>
      </w:r>
    </w:p>
    <w:p>
      <w:pPr>
        <w:pStyle w:val="17"/>
        <w:numPr>
          <w:ilvl w:val="0"/>
          <w:numId w:val="52"/>
        </w:numPr>
        <w:tabs>
          <w:tab w:val="left" w:pos="1621"/>
        </w:tabs>
        <w:spacing w:before="4" w:after="0" w:line="240" w:lineRule="auto"/>
        <w:ind w:left="1621" w:right="0" w:hanging="601"/>
        <w:jc w:val="left"/>
        <w:rPr>
          <w:sz w:val="24"/>
        </w:rPr>
      </w:pPr>
      <w:r>
        <w:rPr>
          <w:sz w:val="24"/>
        </w:rPr>
        <w:t>废弃垫料</w:t>
      </w:r>
    </w:p>
    <w:p>
      <w:pPr>
        <w:pStyle w:val="7"/>
        <w:spacing w:before="161" w:line="364" w:lineRule="auto"/>
        <w:ind w:right="452" w:firstLine="480"/>
        <w:rPr>
          <w:color w:val="0000FF"/>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，羊舍总建筑面积</w:t>
      </w:r>
      <w:r>
        <w:rPr>
          <w:rFonts w:hint="eastAsia" w:ascii="Times New Roman" w:eastAsia="宋体"/>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。根据业主提供的资料，</w:t>
      </w:r>
      <w:r>
        <w:rPr>
          <w:color w:val="0000FF"/>
          <w:spacing w:val="-16"/>
        </w:rPr>
        <w:t>粪床每</w:t>
      </w:r>
      <w:r>
        <w:rPr>
          <w:rFonts w:ascii="Times New Roman" w:eastAsia="Times New Roman"/>
          <w:color w:val="0000FF"/>
        </w:rPr>
        <w:t>1</w:t>
      </w:r>
      <w:r>
        <w:rPr>
          <w:color w:val="0000FF"/>
          <w:spacing w:val="-16"/>
        </w:rPr>
        <w:t>年清理一次，垫料层与羊粪、粪渣一起进入堆肥厂高温发酵无害化处理，</w:t>
      </w:r>
      <w:r>
        <w:rPr>
          <w:color w:val="0000FF"/>
        </w:rPr>
        <w:t>不外排，实现综合利用。</w:t>
      </w:r>
    </w:p>
    <w:p>
      <w:pPr>
        <w:pStyle w:val="7"/>
        <w:spacing w:before="161" w:line="364" w:lineRule="auto"/>
        <w:ind w:right="452" w:firstLine="480"/>
        <w:rPr>
          <w:color w:val="0000FF"/>
        </w:rPr>
      </w:pPr>
    </w:p>
    <w:p>
      <w:pPr>
        <w:pStyle w:val="17"/>
        <w:numPr>
          <w:ilvl w:val="0"/>
          <w:numId w:val="52"/>
        </w:numPr>
        <w:tabs>
          <w:tab w:val="left" w:pos="1621"/>
        </w:tabs>
        <w:spacing w:before="3" w:after="0" w:line="240" w:lineRule="auto"/>
        <w:ind w:left="1621" w:right="0" w:hanging="601"/>
        <w:jc w:val="left"/>
        <w:rPr>
          <w:color w:val="0000FF"/>
          <w:sz w:val="24"/>
        </w:rPr>
      </w:pPr>
      <w:r>
        <w:rPr>
          <w:color w:val="0000FF"/>
          <w:sz w:val="24"/>
        </w:rPr>
        <w:t>病死羊</w:t>
      </w:r>
    </w:p>
    <w:p>
      <w:pPr>
        <w:pStyle w:val="7"/>
        <w:spacing w:before="161" w:line="364" w:lineRule="auto"/>
        <w:ind w:right="365" w:firstLine="480"/>
        <w:rPr>
          <w:color w:val="0000FF"/>
        </w:rPr>
      </w:pPr>
      <w:r>
        <w:rPr>
          <w:color w:val="0000FF"/>
          <w:spacing w:val="-7"/>
        </w:rPr>
        <w:t>根据环办函</w:t>
      </w:r>
      <w:r>
        <w:rPr>
          <w:color w:val="0000FF"/>
          <w:spacing w:val="-4"/>
        </w:rPr>
        <w:t>［</w:t>
      </w:r>
      <w:r>
        <w:rPr>
          <w:rFonts w:ascii="Times New Roman" w:hAnsi="Times New Roman" w:eastAsia="Times New Roman"/>
          <w:color w:val="0000FF"/>
          <w:spacing w:val="-4"/>
        </w:rPr>
        <w:t>2014</w:t>
      </w:r>
      <w:r>
        <w:rPr>
          <w:color w:val="0000FF"/>
          <w:spacing w:val="-4"/>
        </w:rPr>
        <w:t>］</w:t>
      </w:r>
      <w:r>
        <w:rPr>
          <w:rFonts w:ascii="Times New Roman" w:hAnsi="Times New Roman" w:eastAsia="Times New Roman"/>
          <w:color w:val="0000FF"/>
          <w:spacing w:val="-4"/>
        </w:rPr>
        <w:t>789</w:t>
      </w:r>
      <w:r>
        <w:rPr>
          <w:color w:val="0000FF"/>
          <w:spacing w:val="-9"/>
        </w:rPr>
        <w:t>号文《关于病害动物无害化处理有关意见的复函》：</w:t>
      </w:r>
      <w:r>
        <w:rPr>
          <w:color w:val="0000FF"/>
        </w:rPr>
        <w:t>“病害动物无害化处理项目由农业部门按照有关法律法规和技术规范进行监管，</w:t>
      </w:r>
      <w:r>
        <w:rPr>
          <w:color w:val="0000FF"/>
          <w:spacing w:val="-4"/>
        </w:rPr>
        <w:t>可以实现病害动物无害化处理和环境污染防控的目的，不宜再认定为危险废物集中处置项目。病害动物的无害化处理应执行《动物防治法》。”</w:t>
      </w:r>
    </w:p>
    <w:p>
      <w:pPr>
        <w:pStyle w:val="7"/>
        <w:spacing w:before="2"/>
        <w:ind w:left="1020"/>
        <w:rPr>
          <w:rFonts w:hint="eastAsia" w:ascii="Times New Roman" w:eastAsia="宋体"/>
          <w:color w:val="0000FF"/>
          <w:lang w:val="en-US" w:eastAsia="zh-CN"/>
        </w:rPr>
      </w:pPr>
      <w:r>
        <w:rPr>
          <w:color w:val="0000FF"/>
        </w:rPr>
        <w:t>类比分析，羊的病死率按</w:t>
      </w:r>
      <w:r>
        <w:rPr>
          <w:rFonts w:ascii="Times New Roman" w:eastAsia="Times New Roman"/>
          <w:color w:val="0000FF"/>
        </w:rPr>
        <w:t>0.5%</w:t>
      </w:r>
      <w:r>
        <w:rPr>
          <w:color w:val="0000FF"/>
        </w:rPr>
        <w:t>计，羊只出栏量</w:t>
      </w:r>
      <w:r>
        <w:rPr>
          <w:rFonts w:hint="eastAsia" w:ascii="Times New Roman" w:eastAsia="宋体"/>
          <w:color w:val="0000FF"/>
          <w:lang w:val="en-US" w:eastAsia="zh-CN"/>
        </w:rPr>
        <w:t>4</w:t>
      </w:r>
      <w:r>
        <w:rPr>
          <w:color w:val="0000FF"/>
        </w:rPr>
        <w:t>万只，则年死亡羊</w:t>
      </w:r>
      <w:r>
        <w:rPr>
          <w:rFonts w:hint="eastAsia" w:ascii="Times New Roman" w:eastAsia="宋体"/>
          <w:color w:val="0000FF"/>
          <w:lang w:val="en-US" w:eastAsia="zh-CN"/>
        </w:rPr>
        <w:t>200</w:t>
      </w:r>
    </w:p>
    <w:p>
      <w:pPr>
        <w:pStyle w:val="7"/>
        <w:spacing w:before="2"/>
        <w:ind w:left="1020"/>
        <w:rPr>
          <w:sz w:val="9"/>
        </w:rPr>
      </w:pPr>
      <w:r>
        <w:rPr>
          <w:color w:val="0000FF"/>
        </w:rPr>
        <w:t>只，每只羊重约</w:t>
      </w:r>
      <w:r>
        <w:rPr>
          <w:rFonts w:ascii="Times New Roman" w:eastAsia="Times New Roman"/>
          <w:color w:val="0000FF"/>
        </w:rPr>
        <w:t>40kg</w:t>
      </w:r>
      <w:r>
        <w:rPr>
          <w:color w:val="0000FF"/>
        </w:rPr>
        <w:t>，合计</w:t>
      </w:r>
      <w:r>
        <w:rPr>
          <w:rFonts w:ascii="Times New Roman" w:eastAsia="Times New Roman"/>
          <w:color w:val="0000FF"/>
        </w:rPr>
        <w:t>8t</w:t>
      </w:r>
      <w:r>
        <w:rPr>
          <w:color w:val="0000FF"/>
        </w:rPr>
        <w:t>。本项目运营期估算病死羊量约</w:t>
      </w:r>
      <w:r>
        <w:rPr>
          <w:rFonts w:ascii="Times New Roman" w:eastAsia="Times New Roman"/>
          <w:color w:val="0000FF"/>
        </w:rPr>
        <w:t>8t/a</w:t>
      </w:r>
      <w:r>
        <w:rPr>
          <w:color w:val="0000FF"/>
        </w:rPr>
        <w:t>。</w:t>
      </w:r>
    </w:p>
    <w:p>
      <w:pPr>
        <w:pStyle w:val="7"/>
        <w:spacing w:before="66" w:line="360" w:lineRule="auto"/>
        <w:ind w:right="577" w:firstLine="480"/>
        <w:jc w:val="both"/>
      </w:pPr>
      <w:r>
        <w:rPr>
          <w:spacing w:val="-7"/>
        </w:rPr>
        <w:t>病羊进入隔离室进行注射治疗，治理康复后继续饲养，疫病羊按照《病害动</w:t>
      </w:r>
      <w:r>
        <w:t>物和病害动物产品生物安全处理规程》（</w:t>
      </w:r>
      <w:r>
        <w:rPr>
          <w:rFonts w:ascii="Times New Roman" w:hAnsi="Times New Roman" w:eastAsia="Times New Roman"/>
        </w:rPr>
        <w:t>GB16548-2006</w:t>
      </w:r>
      <w:r>
        <w:t>）的相关要求，“确认</w:t>
      </w:r>
      <w:r>
        <w:rPr>
          <w:spacing w:val="-10"/>
        </w:rPr>
        <w:t>山羊痘、山羊关节炎脑炎、高致病性禽流感、羊快疫、羊肠毒血症、羊猝狙以及</w:t>
      </w:r>
      <w:r>
        <w:t>其他严重危害人畜健康的病害动物及其产品”必须予以销毁。</w:t>
      </w:r>
    </w:p>
    <w:p>
      <w:pPr>
        <w:pStyle w:val="7"/>
        <w:spacing w:line="360" w:lineRule="auto"/>
        <w:ind w:right="577" w:firstLine="480"/>
        <w:jc w:val="both"/>
      </w:pPr>
      <w:r>
        <w:rPr>
          <w:spacing w:val="-6"/>
        </w:rPr>
        <w:t>本项目病死羊采用干化法畜禽无害化处理方式处理。计划项目区拟建畜禽无</w:t>
      </w:r>
      <w:r>
        <w:rPr>
          <w:spacing w:val="-2"/>
        </w:rPr>
        <w:t>害化处理车间，并购进畜禽无害化处理</w:t>
      </w:r>
      <w:r>
        <w:rPr>
          <w:rFonts w:ascii="Times New Roman" w:eastAsia="Times New Roman"/>
        </w:rPr>
        <w:t>1</w:t>
      </w:r>
      <w:r>
        <w:t>吨</w:t>
      </w:r>
      <w:r>
        <w:rPr>
          <w:rFonts w:ascii="Times New Roman" w:eastAsia="Times New Roman"/>
        </w:rPr>
        <w:t>/</w:t>
      </w:r>
      <w:r>
        <w:t>次成套设备，采用高温高压灭菌技</w:t>
      </w:r>
      <w:r>
        <w:rPr>
          <w:spacing w:val="-12"/>
        </w:rPr>
        <w:t>术，大型动物无需肢解，可直接进行处理，处理后的产物可出售给肉骨粉干品生</w:t>
      </w:r>
      <w:r>
        <w:rPr>
          <w:spacing w:val="-8"/>
        </w:rPr>
        <w:t>产厂和工业用油脂厂，综合利用，符合国家防疫法规要求。因此病死羊及分娩物</w:t>
      </w:r>
      <w:r>
        <w:t>对周边环境影响较小。</w:t>
      </w:r>
    </w:p>
    <w:p>
      <w:pPr>
        <w:pStyle w:val="17"/>
        <w:numPr>
          <w:ilvl w:val="0"/>
          <w:numId w:val="52"/>
        </w:numPr>
        <w:tabs>
          <w:tab w:val="left" w:pos="1621"/>
        </w:tabs>
        <w:spacing w:before="0" w:after="0" w:line="300" w:lineRule="exact"/>
        <w:ind w:left="1621" w:right="0" w:hanging="601"/>
        <w:jc w:val="left"/>
        <w:rPr>
          <w:sz w:val="24"/>
        </w:rPr>
      </w:pPr>
      <w:r>
        <w:rPr>
          <w:sz w:val="24"/>
        </w:rPr>
        <w:t>肉骨粉和油脂</w:t>
      </w:r>
    </w:p>
    <w:p>
      <w:pPr>
        <w:pStyle w:val="7"/>
        <w:spacing w:before="150" w:line="360" w:lineRule="auto"/>
        <w:ind w:right="577" w:firstLine="480"/>
        <w:rPr>
          <w:color w:val="0000FF"/>
        </w:rPr>
      </w:pPr>
      <w:r>
        <w:rPr>
          <w:color w:val="0000FF"/>
          <w:spacing w:val="-5"/>
        </w:rPr>
        <w:t>本项目病死畜禽无害化处理最终得到肉骨粉干品和工业用油脂。据调查每处理一吨病死动物，产出肉骨粉</w:t>
      </w:r>
      <w:r>
        <w:rPr>
          <w:rFonts w:ascii="Times New Roman" w:eastAsia="Times New Roman"/>
          <w:color w:val="0000FF"/>
        </w:rPr>
        <w:t>330kg</w:t>
      </w:r>
      <w:r>
        <w:rPr>
          <w:color w:val="0000FF"/>
          <w:spacing w:val="-6"/>
        </w:rPr>
        <w:t>左右、产出工业用油脂</w:t>
      </w:r>
      <w:r>
        <w:rPr>
          <w:rFonts w:ascii="Times New Roman" w:eastAsia="Times New Roman"/>
          <w:color w:val="0000FF"/>
        </w:rPr>
        <w:t>130kg</w:t>
      </w:r>
      <w:r>
        <w:rPr>
          <w:color w:val="0000FF"/>
        </w:rPr>
        <w:t>左右。</w:t>
      </w:r>
    </w:p>
    <w:p>
      <w:pPr>
        <w:pStyle w:val="7"/>
        <w:spacing w:line="304" w:lineRule="exact"/>
        <w:ind w:left="1020"/>
        <w:rPr>
          <w:color w:val="0000FF"/>
        </w:rPr>
      </w:pPr>
      <w:r>
        <w:rPr>
          <w:color w:val="0000FF"/>
        </w:rPr>
        <w:t>本项目年处理病死羊量为</w:t>
      </w:r>
      <w:r>
        <w:rPr>
          <w:rFonts w:ascii="Times New Roman" w:eastAsia="Times New Roman"/>
          <w:color w:val="0000FF"/>
        </w:rPr>
        <w:t>8t/a</w:t>
      </w:r>
      <w:r>
        <w:rPr>
          <w:color w:val="0000FF"/>
        </w:rPr>
        <w:t>，得到肉骨粉</w:t>
      </w:r>
      <w:r>
        <w:rPr>
          <w:rFonts w:hint="eastAsia"/>
          <w:color w:val="0000FF"/>
          <w:lang w:val="en-US" w:eastAsia="zh-CN"/>
        </w:rPr>
        <w:t>2.64</w:t>
      </w:r>
      <w:r>
        <w:rPr>
          <w:rFonts w:ascii="Times New Roman" w:eastAsia="Times New Roman"/>
          <w:color w:val="0000FF"/>
        </w:rPr>
        <w:t>t/a</w:t>
      </w:r>
      <w:r>
        <w:rPr>
          <w:color w:val="0000FF"/>
        </w:rPr>
        <w:t>，油脂</w:t>
      </w:r>
      <w:r>
        <w:rPr>
          <w:rFonts w:hint="eastAsia" w:ascii="Times New Roman" w:eastAsia="宋体"/>
          <w:color w:val="0000FF"/>
          <w:lang w:val="en-US" w:eastAsia="zh-CN"/>
        </w:rPr>
        <w:t>1.04</w:t>
      </w:r>
      <w:r>
        <w:rPr>
          <w:rFonts w:ascii="Times New Roman" w:eastAsia="Times New Roman"/>
          <w:color w:val="0000FF"/>
        </w:rPr>
        <w:t>4t/a</w:t>
      </w:r>
      <w:r>
        <w:rPr>
          <w:color w:val="0000FF"/>
        </w:rPr>
        <w:t>。</w:t>
      </w:r>
    </w:p>
    <w:p>
      <w:pPr>
        <w:pStyle w:val="7"/>
        <w:spacing w:before="153" w:line="360" w:lineRule="auto"/>
        <w:ind w:right="577" w:firstLine="480"/>
        <w:rPr>
          <w:color w:val="0000FF"/>
        </w:rPr>
      </w:pPr>
      <w:r>
        <w:rPr>
          <w:color w:val="0000FF"/>
          <w:spacing w:val="-7"/>
        </w:rPr>
        <w:t>肉骨粉可出售给肉骨粉干品生产厂；油脂可作为化工用油及生物柴油的原料</w:t>
      </w:r>
      <w:r>
        <w:rPr>
          <w:color w:val="0000FF"/>
        </w:rPr>
        <w:t>出售给工业用油脂厂。</w:t>
      </w:r>
    </w:p>
    <w:p>
      <w:pPr>
        <w:pStyle w:val="17"/>
        <w:numPr>
          <w:ilvl w:val="0"/>
          <w:numId w:val="52"/>
        </w:numPr>
        <w:tabs>
          <w:tab w:val="left" w:pos="1621"/>
        </w:tabs>
        <w:spacing w:before="0" w:after="0" w:line="304" w:lineRule="exact"/>
        <w:ind w:left="1621" w:right="0" w:hanging="601"/>
        <w:jc w:val="left"/>
        <w:rPr>
          <w:sz w:val="24"/>
        </w:rPr>
      </w:pPr>
      <w:r>
        <w:rPr>
          <w:sz w:val="24"/>
        </w:rPr>
        <w:t>消毒、防疫废物</w:t>
      </w:r>
    </w:p>
    <w:p>
      <w:pPr>
        <w:pStyle w:val="7"/>
        <w:spacing w:before="153" w:line="357" w:lineRule="auto"/>
        <w:ind w:right="577" w:firstLine="480"/>
        <w:jc w:val="both"/>
      </w:pPr>
      <w:r>
        <w:rPr>
          <w:spacing w:val="-11"/>
        </w:rPr>
        <w:t>消毒、防疫废物包括羊消毒废碘液、消毒过程产生废消毒液和羊分娩过程及</w:t>
      </w:r>
      <w:r>
        <w:rPr>
          <w:spacing w:val="-6"/>
        </w:rPr>
        <w:t>防疫过程中产生的一定量医疗垃圾，主要为注射器、消毒棉、药品包装等。类比</w:t>
      </w:r>
      <w:r>
        <w:rPr>
          <w:spacing w:val="-4"/>
        </w:rPr>
        <w:t>同类项目，消毒、防疫废物产生量约为</w:t>
      </w:r>
      <w:r>
        <w:rPr>
          <w:rFonts w:ascii="Times New Roman" w:eastAsia="Times New Roman"/>
        </w:rPr>
        <w:t>0.2t/a</w:t>
      </w:r>
      <w:r>
        <w:t>。</w:t>
      </w:r>
    </w:p>
    <w:p>
      <w:pPr>
        <w:pStyle w:val="7"/>
        <w:spacing w:before="6" w:line="357" w:lineRule="auto"/>
        <w:ind w:right="577" w:firstLine="480"/>
        <w:jc w:val="both"/>
      </w:pPr>
      <w:r>
        <w:rPr>
          <w:spacing w:val="-8"/>
        </w:rPr>
        <w:t>根据《国家危险废物名录》</w:t>
      </w:r>
      <w:r>
        <w:rPr>
          <w:spacing w:val="-5"/>
        </w:rPr>
        <w:t>（</w:t>
      </w:r>
      <w:r>
        <w:rPr>
          <w:rFonts w:ascii="Times New Roman" w:eastAsia="Times New Roman"/>
          <w:spacing w:val="-5"/>
        </w:rPr>
        <w:t>2016</w:t>
      </w:r>
      <w:r>
        <w:rPr>
          <w:spacing w:val="-5"/>
        </w:rPr>
        <w:t>），医疗垃圾属于危险废物，废物类别为</w:t>
      </w:r>
      <w:r>
        <w:rPr>
          <w:rFonts w:ascii="Times New Roman" w:eastAsia="Times New Roman"/>
        </w:rPr>
        <w:t>HW01</w:t>
      </w:r>
      <w:r>
        <w:t>医疗废物。消毒、防疫垃圾由项目所在乡镇</w:t>
      </w:r>
      <w:r>
        <w:rPr>
          <w:rFonts w:hint="eastAsia"/>
          <w:lang w:eastAsia="zh-CN"/>
        </w:rPr>
        <w:t>莎车</w:t>
      </w:r>
      <w:r>
        <w:t>乡兽医站以及村级防疫中心委托有资质的单位处理处置。</w:t>
      </w:r>
    </w:p>
    <w:p>
      <w:pPr>
        <w:pStyle w:val="17"/>
        <w:numPr>
          <w:ilvl w:val="0"/>
          <w:numId w:val="52"/>
        </w:numPr>
        <w:tabs>
          <w:tab w:val="left" w:pos="1621"/>
        </w:tabs>
        <w:spacing w:before="5" w:after="0" w:line="240" w:lineRule="auto"/>
        <w:ind w:left="1621" w:right="0" w:hanging="601"/>
        <w:jc w:val="left"/>
        <w:rPr>
          <w:sz w:val="24"/>
        </w:rPr>
      </w:pPr>
      <w:r>
        <w:rPr>
          <w:sz w:val="24"/>
        </w:rPr>
        <w:t>兽用医疗废物</w:t>
      </w:r>
    </w:p>
    <w:p>
      <w:pPr>
        <w:pStyle w:val="7"/>
        <w:spacing w:before="153" w:line="357" w:lineRule="auto"/>
        <w:ind w:right="577" w:firstLine="480"/>
        <w:jc w:val="both"/>
      </w:pPr>
      <w:r>
        <w:rPr>
          <w:spacing w:val="1"/>
        </w:rPr>
        <w:t>本项目充分发挥</w:t>
      </w:r>
      <w:r>
        <w:rPr>
          <w:rFonts w:hint="eastAsia"/>
          <w:spacing w:val="1"/>
          <w:lang w:eastAsia="zh-CN"/>
        </w:rPr>
        <w:t>莎车</w:t>
      </w:r>
      <w:r>
        <w:rPr>
          <w:spacing w:val="1"/>
        </w:rPr>
        <w:t>县农业农村局和</w:t>
      </w:r>
      <w:r>
        <w:rPr>
          <w:rFonts w:hint="eastAsia"/>
          <w:spacing w:val="1"/>
          <w:lang w:eastAsia="zh-CN"/>
        </w:rPr>
        <w:t>莎车</w:t>
      </w:r>
      <w:r>
        <w:rPr>
          <w:spacing w:val="1"/>
        </w:rPr>
        <w:t>乡镇兽医站以及村级防疫中心在</w:t>
      </w:r>
      <w:r>
        <w:rPr>
          <w:spacing w:val="-9"/>
        </w:rPr>
        <w:t>养殖工作的作用，负责标准化羊产业养殖场的日常防疫工作；</w:t>
      </w:r>
      <w:r>
        <w:rPr>
          <w:rFonts w:hint="eastAsia"/>
          <w:spacing w:val="-9"/>
          <w:lang w:eastAsia="zh-CN"/>
        </w:rPr>
        <w:t>莎车</w:t>
      </w:r>
      <w:r>
        <w:rPr>
          <w:spacing w:val="-9"/>
        </w:rPr>
        <w:t>县农业农村局</w:t>
      </w:r>
      <w:r>
        <w:t>作为技术指导单位，负责羊产业养殖场的全局防疫工作。</w:t>
      </w:r>
    </w:p>
    <w:p>
      <w:pPr>
        <w:pStyle w:val="7"/>
        <w:keepNext w:val="0"/>
        <w:keepLines w:val="0"/>
        <w:pageBreakBefore w:val="0"/>
        <w:widowControl w:val="0"/>
        <w:kinsoku/>
        <w:wordWrap/>
        <w:overflowPunct/>
        <w:topLinePunct w:val="0"/>
        <w:autoSpaceDE w:val="0"/>
        <w:autoSpaceDN w:val="0"/>
        <w:bidi w:val="0"/>
        <w:adjustRightInd/>
        <w:snapToGrid/>
        <w:spacing w:before="216" w:line="360" w:lineRule="auto"/>
        <w:ind w:left="187" w:leftChars="85" w:right="178" w:rightChars="81" w:firstLine="456" w:firstLineChars="200"/>
        <w:textAlignment w:val="auto"/>
        <w:rPr>
          <w:sz w:val="9"/>
        </w:rPr>
      </w:pPr>
      <w:r>
        <w:rPr>
          <w:spacing w:val="-6"/>
        </w:rPr>
        <w:t>兽用医疗废物包括治疗羊感染性疾病、损伤性疾病等产生的医疗废弃物，主</w:t>
      </w:r>
      <w:r>
        <w:rPr>
          <w:spacing w:val="-10"/>
        </w:rPr>
        <w:t>要为注射器、输液管、棉球、棉签、纱布、玻璃药剂瓶等。参考《规模养殖场动</w:t>
      </w:r>
      <w:r>
        <w:t>物医疗废弃物产生量的统计试验》文献可知，羊只的兽用医疗废弃物产生量为</w:t>
      </w:r>
      <w:r>
        <w:rPr>
          <w:rFonts w:ascii="Times New Roman" w:eastAsia="Times New Roman"/>
        </w:rPr>
        <w:t>6.75t/a</w:t>
      </w:r>
      <w:r>
        <w:t>。</w:t>
      </w:r>
    </w:p>
    <w:p>
      <w:pPr>
        <w:pStyle w:val="7"/>
        <w:spacing w:before="74" w:line="360" w:lineRule="auto"/>
        <w:ind w:right="575" w:firstLine="480"/>
        <w:jc w:val="both"/>
      </w:pPr>
      <w:r>
        <w:rPr>
          <w:spacing w:val="-8"/>
        </w:rPr>
        <w:t>根据《国家危险废物名录》</w:t>
      </w:r>
      <w:r>
        <w:rPr>
          <w:spacing w:val="-5"/>
        </w:rPr>
        <w:t>（</w:t>
      </w:r>
      <w:r>
        <w:rPr>
          <w:rFonts w:ascii="Times New Roman" w:hAnsi="Times New Roman" w:eastAsia="Times New Roman"/>
          <w:spacing w:val="-5"/>
        </w:rPr>
        <w:t>2016</w:t>
      </w:r>
      <w:r>
        <w:rPr>
          <w:spacing w:val="-5"/>
        </w:rPr>
        <w:t>），医疗垃圾属于危险废物，废物类别为</w:t>
      </w:r>
      <w:r>
        <w:t>“</w:t>
      </w:r>
      <w:r>
        <w:rPr>
          <w:rFonts w:ascii="Times New Roman" w:hAnsi="Times New Roman" w:eastAsia="Times New Roman"/>
        </w:rPr>
        <w:t>HW01</w:t>
      </w:r>
      <w:r>
        <w:t>医疗废物”。兽用医疗废物由项目所在乡镇</w:t>
      </w:r>
      <w:r>
        <w:rPr>
          <w:rFonts w:hint="eastAsia"/>
          <w:lang w:eastAsia="zh-CN"/>
        </w:rPr>
        <w:t>莎车</w:t>
      </w:r>
      <w:r>
        <w:t>乡兽医站以及村级防疫中心委托有资质的单位处理处置。</w:t>
      </w:r>
    </w:p>
    <w:p>
      <w:pPr>
        <w:pStyle w:val="7"/>
        <w:spacing w:line="304" w:lineRule="exact"/>
        <w:ind w:left="1020"/>
      </w:pPr>
      <w:r>
        <w:t>（</w:t>
      </w:r>
      <w:r>
        <w:rPr>
          <w:rFonts w:hint="eastAsia" w:ascii="Times New Roman" w:eastAsia="宋体"/>
          <w:lang w:val="en-US" w:eastAsia="zh-CN"/>
        </w:rPr>
        <w:t>7</w:t>
      </w:r>
      <w:r>
        <w:t>）员工生活垃圾</w:t>
      </w:r>
    </w:p>
    <w:p>
      <w:pPr>
        <w:pStyle w:val="8"/>
        <w:spacing w:line="560" w:lineRule="exact"/>
        <w:ind w:firstLine="480"/>
        <w:rPr>
          <w:bCs/>
          <w:color w:val="FF0000"/>
          <w:sz w:val="24"/>
          <w:szCs w:val="24"/>
        </w:rPr>
      </w:pPr>
      <w:bookmarkStart w:id="314" w:name="5.2.5 土壤环境影响分析"/>
      <w:bookmarkEnd w:id="314"/>
      <w:bookmarkStart w:id="315" w:name="5.2.5 土壤环境影响分析"/>
      <w:bookmarkEnd w:id="315"/>
      <w:r>
        <w:rPr>
          <w:color w:val="FF0000"/>
          <w:sz w:val="24"/>
          <w:szCs w:val="24"/>
        </w:rPr>
        <w:t>本项目劳动定员</w:t>
      </w:r>
      <w:r>
        <w:rPr>
          <w:rFonts w:ascii="Times New Roman" w:eastAsia="Times New Roman"/>
          <w:color w:val="FF0000"/>
          <w:sz w:val="24"/>
          <w:szCs w:val="24"/>
        </w:rPr>
        <w:t>30</w:t>
      </w:r>
      <w:r>
        <w:rPr>
          <w:color w:val="FF0000"/>
          <w:sz w:val="24"/>
          <w:szCs w:val="24"/>
        </w:rPr>
        <w:t>人，</w:t>
      </w:r>
      <w:r>
        <w:rPr>
          <w:bCs/>
          <w:color w:val="FF0000"/>
          <w:sz w:val="24"/>
          <w:szCs w:val="24"/>
        </w:rPr>
        <w:t>每人每天产生生活垃圾约 0.8kg/d，运行期排放生活垃圾约</w:t>
      </w:r>
      <w:r>
        <w:rPr>
          <w:rFonts w:hint="eastAsia"/>
          <w:bCs/>
          <w:color w:val="FF0000"/>
          <w:sz w:val="24"/>
          <w:szCs w:val="24"/>
          <w:lang w:val="en-US" w:eastAsia="zh-CN"/>
        </w:rPr>
        <w:t>8.76</w:t>
      </w:r>
      <w:r>
        <w:rPr>
          <w:bCs/>
          <w:color w:val="FF0000"/>
          <w:sz w:val="24"/>
          <w:szCs w:val="24"/>
        </w:rPr>
        <w:t>t/a，站内设垃圾堆放装置，生活垃圾集中收集后统一送至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5"/>
        <w:numPr>
          <w:ilvl w:val="2"/>
          <w:numId w:val="43"/>
        </w:numPr>
        <w:tabs>
          <w:tab w:val="left" w:pos="1241"/>
        </w:tabs>
        <w:spacing w:before="62" w:after="0" w:line="240" w:lineRule="auto"/>
        <w:ind w:left="1240" w:right="0" w:hanging="701"/>
        <w:jc w:val="left"/>
        <w:outlineLvl w:val="2"/>
      </w:pPr>
      <w:bookmarkStart w:id="316" w:name="_Toc22986"/>
      <w:r>
        <w:t>土壤环境影响分析</w:t>
      </w:r>
      <w:bookmarkEnd w:id="316"/>
    </w:p>
    <w:p>
      <w:pPr>
        <w:pStyle w:val="7"/>
        <w:spacing w:before="2"/>
        <w:ind w:left="0"/>
        <w:rPr>
          <w:b/>
          <w:sz w:val="22"/>
        </w:rPr>
      </w:pPr>
    </w:p>
    <w:p>
      <w:pPr>
        <w:pStyle w:val="5"/>
        <w:numPr>
          <w:ilvl w:val="3"/>
          <w:numId w:val="53"/>
        </w:numPr>
        <w:bidi w:val="0"/>
      </w:pPr>
      <w:bookmarkStart w:id="317" w:name="5.2.5.1 区域土壤概况"/>
      <w:bookmarkEnd w:id="317"/>
      <w:bookmarkStart w:id="318" w:name="5.2.5.1 区域土壤概况"/>
      <w:bookmarkEnd w:id="318"/>
      <w:r>
        <w:t>区域土壤概况</w:t>
      </w:r>
    </w:p>
    <w:p>
      <w:pPr>
        <w:pStyle w:val="7"/>
        <w:spacing w:before="168" w:line="364" w:lineRule="auto"/>
        <w:ind w:right="577" w:firstLine="480"/>
      </w:pPr>
      <w:r>
        <w:rPr>
          <w:spacing w:val="-10"/>
        </w:rPr>
        <w:t>项目区场地地形较平坦，其原始地貌类型属于叶尔羌河中下游冲积平原地带</w:t>
      </w:r>
      <w:r>
        <w:t>上。场地地层主要为第四系松散堆积物，地基土主要由粉土及细砂构成。</w:t>
      </w:r>
    </w:p>
    <w:p>
      <w:pPr>
        <w:pStyle w:val="7"/>
        <w:spacing w:before="1" w:line="364" w:lineRule="auto"/>
        <w:ind w:right="457" w:firstLine="480"/>
        <w:rPr>
          <w:color w:val="0000FF"/>
        </w:rPr>
      </w:pPr>
      <w:r>
        <w:rPr>
          <w:color w:val="0000FF"/>
          <w:spacing w:val="-6"/>
        </w:rPr>
        <w:t>拟建场地属</w:t>
      </w:r>
      <w:r>
        <w:rPr>
          <w:rFonts w:hint="eastAsia"/>
          <w:color w:val="0000FF"/>
          <w:spacing w:val="-6"/>
          <w:lang w:val="en-US" w:eastAsia="zh-CN"/>
        </w:rPr>
        <w:t>喀尔苏</w:t>
      </w:r>
      <w:r>
        <w:rPr>
          <w:color w:val="0000FF"/>
          <w:spacing w:val="-6"/>
        </w:rPr>
        <w:t>沙漠</w:t>
      </w:r>
      <w:r>
        <w:rPr>
          <w:rFonts w:hint="eastAsia"/>
          <w:color w:val="0000FF"/>
          <w:spacing w:val="-6"/>
          <w:lang w:val="en-US" w:eastAsia="zh-CN"/>
        </w:rPr>
        <w:t>西</w:t>
      </w:r>
      <w:r>
        <w:rPr>
          <w:color w:val="0000FF"/>
          <w:spacing w:val="-6"/>
        </w:rPr>
        <w:t>缘。拟建场地地面相对比较平坦。根据钻孔揭</w:t>
      </w:r>
      <w:r>
        <w:rPr>
          <w:color w:val="0000FF"/>
          <w:spacing w:val="-15"/>
        </w:rPr>
        <w:t>露，勘察深度范围内场地土的构成为：杂填土层、粉砂层；现自上而下描述如下：</w:t>
      </w:r>
    </w:p>
    <w:p>
      <w:pPr>
        <w:pStyle w:val="7"/>
        <w:spacing w:before="1" w:line="364" w:lineRule="auto"/>
        <w:ind w:right="577" w:firstLine="480"/>
      </w:pPr>
      <w:r>
        <w:rPr>
          <w:spacing w:val="-12"/>
        </w:rPr>
        <w:t>①杂填土层：杂色、稍湿、松散，层厚</w:t>
      </w:r>
      <w:r>
        <w:rPr>
          <w:rFonts w:ascii="Times New Roman" w:hAnsi="Times New Roman" w:eastAsia="Times New Roman"/>
        </w:rPr>
        <w:t>0.80</w:t>
      </w:r>
      <w:r>
        <w:t>～</w:t>
      </w:r>
      <w:r>
        <w:rPr>
          <w:rFonts w:ascii="Times New Roman" w:hAnsi="Times New Roman" w:eastAsia="Times New Roman"/>
        </w:rPr>
        <w:t>1.30m</w:t>
      </w:r>
      <w:r>
        <w:rPr>
          <w:spacing w:val="-5"/>
        </w:rPr>
        <w:t>，以粉砂为主，土质不</w:t>
      </w:r>
      <w:r>
        <w:t>均匀，结构松散，含大量树根及其他植物根系。</w:t>
      </w:r>
    </w:p>
    <w:p>
      <w:pPr>
        <w:pStyle w:val="7"/>
        <w:spacing w:before="1" w:line="364" w:lineRule="auto"/>
        <w:ind w:right="444" w:firstLine="480"/>
      </w:pPr>
      <w:r>
        <w:t>②粉砂层：黄色、稍湿</w:t>
      </w:r>
      <w:r>
        <w:rPr>
          <w:rFonts w:ascii="Times New Roman" w:hAnsi="Times New Roman" w:eastAsia="Times New Roman"/>
        </w:rPr>
        <w:t>-</w:t>
      </w:r>
      <w:r>
        <w:t>饱和、稍密</w:t>
      </w:r>
      <w:r>
        <w:rPr>
          <w:rFonts w:ascii="Times New Roman" w:hAnsi="Times New Roman" w:eastAsia="Times New Roman"/>
        </w:rPr>
        <w:t>-</w:t>
      </w:r>
      <w:r>
        <w:t>中密，埋深</w:t>
      </w:r>
      <w:r>
        <w:rPr>
          <w:rFonts w:ascii="Times New Roman" w:hAnsi="Times New Roman" w:eastAsia="Times New Roman"/>
        </w:rPr>
        <w:t>0.80</w:t>
      </w:r>
      <w:r>
        <w:t>～</w:t>
      </w:r>
      <w:r>
        <w:rPr>
          <w:rFonts w:ascii="Times New Roman" w:hAnsi="Times New Roman" w:eastAsia="Times New Roman"/>
        </w:rPr>
        <w:t>1.30m</w:t>
      </w:r>
      <w:r>
        <w:t>，本次勘察未揭穿该层，最大可见厚度</w:t>
      </w:r>
      <w:r>
        <w:rPr>
          <w:rFonts w:ascii="Times New Roman" w:hAnsi="Times New Roman" w:eastAsia="Times New Roman"/>
        </w:rPr>
        <w:t>14.2m</w:t>
      </w:r>
      <w:r>
        <w:t>，属冲洪积成因，局部夹有青灰色细沙薄层，主要矿物成分以石英、长石、云母为主。颗粒较均匀，颗粒形状呈棱角，次棱角。该层承载力特征值</w:t>
      </w:r>
      <w:r>
        <w:rPr>
          <w:rFonts w:ascii="Times New Roman" w:hAnsi="Times New Roman" w:eastAsia="Times New Roman"/>
        </w:rPr>
        <w:t>fak=110kPa</w:t>
      </w:r>
      <w:r>
        <w:t>，变形模量</w:t>
      </w:r>
      <w:r>
        <w:rPr>
          <w:rFonts w:ascii="Times New Roman" w:hAnsi="Times New Roman" w:eastAsia="Times New Roman"/>
        </w:rPr>
        <w:t>E0=6.3MPa</w:t>
      </w:r>
      <w:r>
        <w:t>。</w:t>
      </w:r>
    </w:p>
    <w:p>
      <w:pPr>
        <w:pStyle w:val="7"/>
        <w:spacing w:before="3" w:line="364" w:lineRule="auto"/>
        <w:ind w:right="577" w:firstLine="480"/>
        <w:rPr>
          <w:color w:val="0000FF"/>
        </w:rPr>
      </w:pPr>
      <w:r>
        <w:rPr>
          <w:color w:val="0000FF"/>
          <w:spacing w:val="-3"/>
        </w:rPr>
        <w:t>本项目位于</w:t>
      </w:r>
      <w:r>
        <w:rPr>
          <w:rFonts w:hint="eastAsia"/>
          <w:color w:val="0000FF"/>
          <w:spacing w:val="-3"/>
          <w:lang w:eastAsia="zh-CN"/>
        </w:rPr>
        <w:t>莎车</w:t>
      </w:r>
      <w:r>
        <w:rPr>
          <w:color w:val="0000FF"/>
          <w:spacing w:val="-3"/>
        </w:rPr>
        <w:t>县</w:t>
      </w:r>
      <w:r>
        <w:rPr>
          <w:rFonts w:hint="eastAsia"/>
          <w:color w:val="0000FF"/>
          <w:spacing w:val="-3"/>
          <w:lang w:val="en-US" w:eastAsia="zh-CN"/>
        </w:rPr>
        <w:t>阿拉买提</w:t>
      </w:r>
      <w:r>
        <w:rPr>
          <w:color w:val="0000FF"/>
          <w:spacing w:val="-3"/>
        </w:rPr>
        <w:t>乡</w:t>
      </w:r>
      <w:r>
        <w:rPr>
          <w:rFonts w:hint="eastAsia"/>
          <w:color w:val="0000FF"/>
          <w:spacing w:val="-3"/>
          <w:lang w:val="en-US" w:eastAsia="zh-CN"/>
        </w:rPr>
        <w:t>托万巴格托格克拉村北</w:t>
      </w:r>
      <w:r>
        <w:rPr>
          <w:color w:val="0000FF"/>
          <w:spacing w:val="-3"/>
        </w:rPr>
        <w:t>侧</w:t>
      </w:r>
      <w:r>
        <w:rPr>
          <w:rFonts w:hint="eastAsia" w:ascii="Times New Roman"/>
          <w:color w:val="0000FF"/>
          <w:lang w:val="en-US" w:eastAsia="zh-CN"/>
        </w:rPr>
        <w:t>2</w:t>
      </w:r>
      <w:r>
        <w:rPr>
          <w:rFonts w:ascii="Times New Roman" w:eastAsia="Times New Roman"/>
          <w:color w:val="0000FF"/>
        </w:rPr>
        <w:t>km</w:t>
      </w:r>
      <w:r>
        <w:rPr>
          <w:color w:val="0000FF"/>
          <w:spacing w:val="-14"/>
        </w:rPr>
        <w:t>处，处于塔里木盆地南</w:t>
      </w:r>
      <w:r>
        <w:rPr>
          <w:color w:val="0000FF"/>
        </w:rPr>
        <w:t>部和东部沙漠、戈壁、绿洲农业生态亚区，土壤主要以风沙土为主。</w:t>
      </w:r>
    </w:p>
    <w:p>
      <w:pPr>
        <w:pStyle w:val="5"/>
        <w:numPr>
          <w:ilvl w:val="3"/>
          <w:numId w:val="53"/>
        </w:numPr>
        <w:bidi w:val="0"/>
      </w:pPr>
      <w:bookmarkStart w:id="319" w:name="5.2.5.2 区域土壤环境质量现状"/>
      <w:bookmarkEnd w:id="319"/>
      <w:bookmarkStart w:id="320" w:name="5.2.5.2 区域土壤环境质量现状"/>
      <w:bookmarkEnd w:id="320"/>
      <w:r>
        <w:t>区域土壤环境质量现状</w:t>
      </w:r>
    </w:p>
    <w:p>
      <w:pPr>
        <w:keepNext w:val="0"/>
        <w:keepLines w:val="0"/>
        <w:pageBreakBefore w:val="0"/>
        <w:widowControl w:val="0"/>
        <w:kinsoku/>
        <w:wordWrap/>
        <w:overflowPunct/>
        <w:topLinePunct w:val="0"/>
        <w:autoSpaceDE w:val="0"/>
        <w:autoSpaceDN w:val="0"/>
        <w:bidi w:val="0"/>
        <w:adjustRightInd/>
        <w:snapToGrid/>
        <w:spacing w:line="360" w:lineRule="auto"/>
        <w:ind w:left="165" w:leftChars="75" w:right="189" w:rightChars="86" w:firstLine="464" w:firstLineChars="200"/>
        <w:textAlignment w:val="auto"/>
        <w:rPr>
          <w:rFonts w:hint="default" w:ascii="Times New Roman" w:hAnsi="Times New Roman" w:eastAsia="宋体" w:cs="Times New Roman"/>
          <w:color w:val="0000FF"/>
          <w:sz w:val="24"/>
          <w:lang w:val="en-US" w:eastAsia="zh-CN"/>
        </w:rPr>
      </w:pPr>
      <w:r>
        <w:rPr>
          <w:spacing w:val="-4"/>
          <w:sz w:val="24"/>
          <w:szCs w:val="24"/>
        </w:rPr>
        <w:t>本次在项目占地范围内设</w:t>
      </w:r>
      <w:r>
        <w:rPr>
          <w:rFonts w:ascii="Times New Roman" w:eastAsia="Times New Roman"/>
          <w:sz w:val="24"/>
          <w:szCs w:val="24"/>
        </w:rPr>
        <w:t>3</w:t>
      </w:r>
      <w:r>
        <w:rPr>
          <w:spacing w:val="-3"/>
          <w:sz w:val="24"/>
          <w:szCs w:val="24"/>
        </w:rPr>
        <w:t>个表层样监测点。</w:t>
      </w:r>
      <w:r>
        <w:rPr>
          <w:rFonts w:hint="eastAsia" w:ascii="Times New Roman" w:hAnsi="Times New Roman" w:eastAsia="宋体" w:cs="Times New Roman"/>
          <w:color w:val="0000FF"/>
          <w:sz w:val="24"/>
        </w:rPr>
        <w:t>由检测结果表明，土壤中所监测的各类因子检测值均低于《土壤环境质量建设用地土壤污染风险管控标准（试行）》（GB36600-2018）中第二类用地标准筛选值，项目区土壤现状环境质量满足《土壤环境质量建设用地土壤污染风险管控标准（试行）》（GB36600-2018）标准的要求。</w:t>
      </w:r>
    </w:p>
    <w:p>
      <w:pPr>
        <w:pStyle w:val="5"/>
        <w:numPr>
          <w:ilvl w:val="3"/>
          <w:numId w:val="53"/>
        </w:numPr>
        <w:bidi w:val="0"/>
      </w:pPr>
      <w:bookmarkStart w:id="321" w:name="5.2.5.3 土壤环境影响分析"/>
      <w:bookmarkEnd w:id="321"/>
      <w:bookmarkStart w:id="322" w:name="5.2.5.3 土壤环境影响分析"/>
      <w:bookmarkEnd w:id="322"/>
      <w:r>
        <w:t>土壤环境影响分析</w:t>
      </w:r>
    </w:p>
    <w:p>
      <w:pPr>
        <w:pStyle w:val="7"/>
        <w:spacing w:before="143" w:line="364" w:lineRule="auto"/>
        <w:ind w:right="576" w:firstLine="480" w:firstLineChars="200"/>
        <w:rPr>
          <w:color w:val="0000FF"/>
        </w:rPr>
      </w:pPr>
      <w:r>
        <w:rPr>
          <w:color w:val="0000FF"/>
        </w:rPr>
        <w:t>项目区</w:t>
      </w:r>
      <w:r>
        <w:rPr>
          <w:rFonts w:hint="eastAsia"/>
          <w:color w:val="0000FF"/>
          <w:lang w:val="en-US" w:eastAsia="zh-CN"/>
        </w:rPr>
        <w:t>西侧为</w:t>
      </w:r>
      <w:r>
        <w:rPr>
          <w:color w:val="0000FF"/>
        </w:rPr>
        <w:t>耕地，种植作物主要为玉米和小麦。项目的建</w:t>
      </w:r>
      <w:r>
        <w:rPr>
          <w:color w:val="0000FF"/>
          <w:spacing w:val="-7"/>
        </w:rPr>
        <w:t>设对土壤的影响主要是主体、辅助、公用以及环保工程建设破坏地表表层，加剧</w:t>
      </w:r>
      <w:r>
        <w:rPr>
          <w:color w:val="0000FF"/>
          <w:spacing w:val="-2"/>
        </w:rPr>
        <w:t>区域部分土壤的水分流失，降低原有土壤的抗侵蚀力，本项目占地约</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亩），项目的建设对土壤产生的较大影响基本限于主要工程</w:t>
      </w:r>
      <w:r>
        <w:rPr>
          <w:rFonts w:hint="eastAsia" w:ascii="Times New Roman"/>
          <w:color w:val="0000FF"/>
          <w:lang w:val="en-US" w:eastAsia="zh-CN"/>
        </w:rPr>
        <w:t>31.095</w:t>
      </w:r>
      <w:r>
        <w:rPr>
          <w:color w:val="0000FF"/>
        </w:rPr>
        <w:t>亩占地范围内，对项目区西侧耕地基本无影响。另外项目建成后场内地面将做硬化处理，建成后绿地面积占整个场区的</w:t>
      </w:r>
      <w:r>
        <w:rPr>
          <w:rFonts w:hint="eastAsia" w:ascii="Times New Roman"/>
          <w:color w:val="0000FF"/>
          <w:lang w:val="en-US" w:eastAsia="zh-CN"/>
        </w:rPr>
        <w:t>15</w:t>
      </w:r>
      <w:r>
        <w:rPr>
          <w:rFonts w:ascii="Times New Roman" w:eastAsia="Times New Roman"/>
          <w:color w:val="0000FF"/>
        </w:rPr>
        <w:t>%</w:t>
      </w:r>
      <w:r>
        <w:rPr>
          <w:color w:val="0000FF"/>
        </w:rPr>
        <w:t>，区域原土壤的抗外界侵蚀力将有所改善。</w:t>
      </w:r>
    </w:p>
    <w:p>
      <w:pPr>
        <w:spacing w:after="0" w:line="364" w:lineRule="auto"/>
        <w:sectPr>
          <w:footerReference r:id="rId18"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spacing w:before="11"/>
        <w:ind w:left="0"/>
        <w:rPr>
          <w:sz w:val="27"/>
        </w:rPr>
      </w:pPr>
    </w:p>
    <w:p>
      <w:pPr>
        <w:pStyle w:val="7"/>
        <w:bidi w:val="0"/>
        <w:jc w:val="center"/>
      </w:pPr>
      <w:r>
        <w:t>表</w:t>
      </w:r>
      <w:r>
        <w:rPr>
          <w:rFonts w:ascii="Times New Roman" w:eastAsia="Times New Roman"/>
        </w:rPr>
        <w:t>5.2-9</w:t>
      </w:r>
      <w:r>
        <w:rPr>
          <w:rFonts w:ascii="Times New Roman" w:eastAsia="Times New Roman"/>
        </w:rPr>
        <w:tab/>
      </w:r>
      <w:r>
        <w:t>土壤环境影响评价自查表</w:t>
      </w:r>
    </w:p>
    <w:tbl>
      <w:tblPr>
        <w:tblStyle w:val="14"/>
        <w:tblW w:w="0" w:type="auto"/>
        <w:tblInd w:w="5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1626"/>
        <w:gridCol w:w="1373"/>
        <w:gridCol w:w="334"/>
        <w:gridCol w:w="577"/>
        <w:gridCol w:w="1131"/>
        <w:gridCol w:w="687"/>
        <w:gridCol w:w="1021"/>
        <w:gridCol w:w="1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40" w:type="dxa"/>
            <w:gridSpan w:val="2"/>
          </w:tcPr>
          <w:p>
            <w:pPr>
              <w:pStyle w:val="18"/>
              <w:spacing w:before="56"/>
              <w:ind w:left="658"/>
              <w:jc w:val="left"/>
              <w:rPr>
                <w:b/>
                <w:sz w:val="18"/>
              </w:rPr>
            </w:pPr>
            <w:r>
              <w:rPr>
                <w:b/>
                <w:sz w:val="18"/>
              </w:rPr>
              <w:t>工作内容</w:t>
            </w:r>
          </w:p>
        </w:tc>
        <w:tc>
          <w:tcPr>
            <w:tcW w:w="5123" w:type="dxa"/>
            <w:gridSpan w:val="6"/>
          </w:tcPr>
          <w:p>
            <w:pPr>
              <w:pStyle w:val="18"/>
              <w:spacing w:before="56"/>
              <w:ind w:left="2179" w:right="2171"/>
              <w:rPr>
                <w:b/>
                <w:sz w:val="18"/>
              </w:rPr>
            </w:pPr>
            <w:r>
              <w:rPr>
                <w:b/>
                <w:sz w:val="18"/>
              </w:rPr>
              <w:t>完成情况</w:t>
            </w:r>
          </w:p>
        </w:tc>
        <w:tc>
          <w:tcPr>
            <w:tcW w:w="1151" w:type="dxa"/>
          </w:tcPr>
          <w:p>
            <w:pPr>
              <w:pStyle w:val="18"/>
              <w:spacing w:before="56"/>
              <w:ind w:left="102" w:right="96"/>
              <w:rPr>
                <w:b/>
                <w:sz w:val="18"/>
              </w:rPr>
            </w:pPr>
            <w:r>
              <w:rPr>
                <w:b/>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restart"/>
          </w:tcPr>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jc w:val="left"/>
              <w:rPr>
                <w:b/>
                <w:sz w:val="18"/>
              </w:rPr>
            </w:pPr>
          </w:p>
          <w:p>
            <w:pPr>
              <w:pStyle w:val="18"/>
              <w:spacing w:before="6"/>
              <w:jc w:val="left"/>
              <w:rPr>
                <w:b/>
                <w:sz w:val="15"/>
              </w:rPr>
            </w:pPr>
          </w:p>
          <w:p>
            <w:pPr>
              <w:pStyle w:val="18"/>
              <w:spacing w:before="1" w:line="324" w:lineRule="auto"/>
              <w:ind w:left="27" w:right="14"/>
              <w:jc w:val="left"/>
              <w:rPr>
                <w:sz w:val="18"/>
              </w:rPr>
            </w:pPr>
            <w:r>
              <w:rPr>
                <w:sz w:val="18"/>
              </w:rPr>
              <w:t>影响识别</w:t>
            </w:r>
          </w:p>
        </w:tc>
        <w:tc>
          <w:tcPr>
            <w:tcW w:w="1626" w:type="dxa"/>
          </w:tcPr>
          <w:p>
            <w:pPr>
              <w:pStyle w:val="18"/>
              <w:spacing w:before="54"/>
              <w:ind w:left="73" w:right="62"/>
              <w:rPr>
                <w:sz w:val="18"/>
              </w:rPr>
            </w:pPr>
            <w:r>
              <w:rPr>
                <w:sz w:val="18"/>
              </w:rPr>
              <w:t>影响类型</w:t>
            </w:r>
          </w:p>
        </w:tc>
        <w:tc>
          <w:tcPr>
            <w:tcW w:w="5123" w:type="dxa"/>
            <w:gridSpan w:val="6"/>
          </w:tcPr>
          <w:p>
            <w:pPr>
              <w:pStyle w:val="18"/>
              <w:spacing w:before="36"/>
              <w:ind w:left="123"/>
              <w:jc w:val="left"/>
              <w:rPr>
                <w:rFonts w:ascii="Times New Roman" w:hAnsi="Times New Roman" w:eastAsia="Times New Roman"/>
                <w:sz w:val="21"/>
              </w:rPr>
            </w:pPr>
            <w:r>
              <w:rPr>
                <w:sz w:val="18"/>
              </w:rPr>
              <w:t>污染影响型</w:t>
            </w:r>
            <w:r>
              <w:rPr>
                <w:rFonts w:ascii="Wingdings 2" w:hAnsi="Wingdings 2" w:eastAsia="Wingdings 2"/>
                <w:sz w:val="18"/>
              </w:rPr>
              <w:t></w:t>
            </w:r>
            <w:r>
              <w:rPr>
                <w:sz w:val="18"/>
              </w:rPr>
              <w:t>；</w:t>
            </w:r>
            <w:r>
              <w:rPr>
                <w:sz w:val="21"/>
              </w:rPr>
              <w:t>生态影响型</w:t>
            </w:r>
            <w:r>
              <w:rPr>
                <w:rFonts w:ascii="Times New Roman" w:hAnsi="Times New Roman" w:eastAsia="Times New Roman"/>
                <w:sz w:val="21"/>
              </w:rPr>
              <w:t>□</w:t>
            </w:r>
            <w:r>
              <w:rPr>
                <w:sz w:val="21"/>
              </w:rPr>
              <w:t>；两种兼有</w:t>
            </w:r>
            <w:r>
              <w:rPr>
                <w:rFonts w:ascii="Times New Roman" w:hAnsi="Times New Roman" w:eastAsia="Times New Roman"/>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4" w:type="dxa"/>
            <w:vMerge w:val="continue"/>
            <w:tcBorders>
              <w:top w:val="nil"/>
            </w:tcBorders>
          </w:tcPr>
          <w:p>
            <w:pPr>
              <w:rPr>
                <w:sz w:val="2"/>
                <w:szCs w:val="2"/>
              </w:rPr>
            </w:pPr>
          </w:p>
        </w:tc>
        <w:tc>
          <w:tcPr>
            <w:tcW w:w="1626" w:type="dxa"/>
          </w:tcPr>
          <w:p>
            <w:pPr>
              <w:pStyle w:val="18"/>
              <w:spacing w:before="3"/>
              <w:jc w:val="left"/>
              <w:rPr>
                <w:b/>
                <w:sz w:val="15"/>
              </w:rPr>
            </w:pPr>
          </w:p>
          <w:p>
            <w:pPr>
              <w:pStyle w:val="18"/>
              <w:spacing w:before="1"/>
              <w:ind w:left="73" w:right="62"/>
              <w:rPr>
                <w:sz w:val="18"/>
              </w:rPr>
            </w:pPr>
            <w:r>
              <w:rPr>
                <w:sz w:val="18"/>
              </w:rPr>
              <w:t>土地利用类型</w:t>
            </w:r>
          </w:p>
        </w:tc>
        <w:tc>
          <w:tcPr>
            <w:tcW w:w="5123" w:type="dxa"/>
            <w:gridSpan w:val="6"/>
          </w:tcPr>
          <w:p>
            <w:pPr>
              <w:pStyle w:val="18"/>
              <w:spacing w:before="189"/>
              <w:ind w:left="123"/>
              <w:jc w:val="left"/>
              <w:rPr>
                <w:rFonts w:ascii="Times New Roman" w:hAnsi="Times New Roman" w:eastAsia="Times New Roman"/>
                <w:sz w:val="21"/>
              </w:rPr>
            </w:pPr>
            <w:r>
              <w:rPr>
                <w:sz w:val="18"/>
              </w:rPr>
              <w:t>建设用地</w:t>
            </w:r>
            <w:r>
              <w:rPr>
                <w:rFonts w:ascii="Times New Roman" w:hAnsi="Times New Roman" w:eastAsia="Times New Roman"/>
                <w:sz w:val="21"/>
              </w:rPr>
              <w:t>□</w:t>
            </w:r>
            <w:r>
              <w:rPr>
                <w:sz w:val="18"/>
              </w:rPr>
              <w:t>；农用地</w:t>
            </w:r>
            <w:r>
              <w:rPr>
                <w:rFonts w:ascii="Wingdings 2" w:hAnsi="Wingdings 2" w:eastAsia="Wingdings 2"/>
                <w:sz w:val="21"/>
              </w:rPr>
              <w:t></w:t>
            </w:r>
            <w:r>
              <w:rPr>
                <w:sz w:val="18"/>
              </w:rPr>
              <w:t>；未利用地</w:t>
            </w:r>
            <w:r>
              <w:rPr>
                <w:rFonts w:ascii="Times New Roman" w:hAnsi="Times New Roman" w:eastAsia="Times New Roman"/>
                <w:sz w:val="21"/>
              </w:rPr>
              <w:t>□</w:t>
            </w:r>
          </w:p>
        </w:tc>
        <w:tc>
          <w:tcPr>
            <w:tcW w:w="1151" w:type="dxa"/>
          </w:tcPr>
          <w:p>
            <w:pPr>
              <w:pStyle w:val="18"/>
              <w:spacing w:before="40"/>
              <w:ind w:left="104" w:right="96"/>
              <w:rPr>
                <w:sz w:val="18"/>
              </w:rPr>
            </w:pPr>
            <w:r>
              <w:rPr>
                <w:sz w:val="18"/>
              </w:rPr>
              <w:t>土地利用类</w:t>
            </w:r>
          </w:p>
          <w:p>
            <w:pPr>
              <w:pStyle w:val="18"/>
              <w:spacing w:before="81"/>
              <w:ind w:left="102" w:right="96"/>
              <w:rPr>
                <w:sz w:val="18"/>
              </w:rPr>
            </w:pPr>
            <w:r>
              <w:rPr>
                <w:sz w:val="18"/>
              </w:rPr>
              <w:t>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4"/>
              <w:ind w:left="73" w:right="62"/>
              <w:rPr>
                <w:sz w:val="18"/>
              </w:rPr>
            </w:pPr>
            <w:r>
              <w:rPr>
                <w:sz w:val="18"/>
              </w:rPr>
              <w:t>占地规模</w:t>
            </w:r>
          </w:p>
        </w:tc>
        <w:tc>
          <w:tcPr>
            <w:tcW w:w="5123" w:type="dxa"/>
            <w:gridSpan w:val="6"/>
          </w:tcPr>
          <w:p>
            <w:pPr>
              <w:pStyle w:val="18"/>
              <w:spacing w:before="54"/>
              <w:ind w:left="123"/>
              <w:jc w:val="left"/>
              <w:rPr>
                <w:rFonts w:ascii="Times New Roman" w:eastAsia="Times New Roman"/>
                <w:sz w:val="11"/>
              </w:rPr>
            </w:pPr>
            <w:r>
              <w:rPr>
                <w:sz w:val="18"/>
              </w:rPr>
              <w:t>（</w:t>
            </w:r>
            <w:r>
              <w:rPr>
                <w:rFonts w:ascii="Times New Roman" w:eastAsia="Times New Roman"/>
                <w:sz w:val="18"/>
              </w:rPr>
              <w:t>65.8</w:t>
            </w:r>
            <w:r>
              <w:rPr>
                <w:sz w:val="18"/>
              </w:rPr>
              <w:t>）</w:t>
            </w:r>
            <w:r>
              <w:rPr>
                <w:rFonts w:ascii="Times New Roman" w:eastAsia="Times New Roman"/>
                <w:sz w:val="18"/>
              </w:rPr>
              <w:t>hm</w:t>
            </w:r>
            <w:r>
              <w:rPr>
                <w:rFonts w:ascii="Times New Roman" w:eastAsia="Times New Roman"/>
                <w:position w:val="6"/>
                <w:sz w:val="11"/>
              </w:rPr>
              <w:t>2</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4"/>
              <w:ind w:left="73" w:right="62"/>
              <w:rPr>
                <w:sz w:val="18"/>
              </w:rPr>
            </w:pPr>
            <w:r>
              <w:rPr>
                <w:sz w:val="18"/>
              </w:rPr>
              <w:t>敏感目标信息</w:t>
            </w:r>
          </w:p>
        </w:tc>
        <w:tc>
          <w:tcPr>
            <w:tcW w:w="5123" w:type="dxa"/>
            <w:gridSpan w:val="6"/>
          </w:tcPr>
          <w:p>
            <w:pPr>
              <w:pStyle w:val="18"/>
              <w:spacing w:before="54"/>
              <w:ind w:left="123"/>
              <w:jc w:val="left"/>
              <w:rPr>
                <w:sz w:val="18"/>
              </w:rPr>
            </w:pPr>
            <w:r>
              <w:rPr>
                <w:sz w:val="18"/>
              </w:rPr>
              <w:t>敏感目标（耕地）、方位（</w:t>
            </w:r>
            <w:r>
              <w:rPr>
                <w:rFonts w:ascii="Times New Roman" w:eastAsia="Times New Roman"/>
                <w:sz w:val="18"/>
              </w:rPr>
              <w:t>W</w:t>
            </w:r>
            <w:r>
              <w:rPr>
                <w:sz w:val="18"/>
              </w:rPr>
              <w:t>）、距离（</w:t>
            </w:r>
            <w:r>
              <w:rPr>
                <w:rFonts w:ascii="Times New Roman" w:eastAsia="Times New Roman"/>
                <w:sz w:val="18"/>
              </w:rPr>
              <w:t>280m</w:t>
            </w:r>
            <w:r>
              <w:rPr>
                <w:sz w:val="18"/>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5"/>
              <w:ind w:left="73" w:right="62"/>
              <w:rPr>
                <w:sz w:val="18"/>
              </w:rPr>
            </w:pPr>
            <w:r>
              <w:rPr>
                <w:sz w:val="18"/>
              </w:rPr>
              <w:t>影响途径</w:t>
            </w:r>
          </w:p>
        </w:tc>
        <w:tc>
          <w:tcPr>
            <w:tcW w:w="5123" w:type="dxa"/>
            <w:gridSpan w:val="6"/>
          </w:tcPr>
          <w:p>
            <w:pPr>
              <w:pStyle w:val="18"/>
              <w:spacing w:before="46"/>
              <w:ind w:left="123"/>
              <w:jc w:val="left"/>
              <w:rPr>
                <w:sz w:val="18"/>
              </w:rPr>
            </w:pPr>
            <w:r>
              <w:rPr>
                <w:sz w:val="18"/>
              </w:rPr>
              <w:t>大气沉降</w:t>
            </w:r>
            <w:r>
              <w:rPr>
                <w:rFonts w:ascii="Wingdings 2" w:hAnsi="Wingdings 2" w:eastAsia="Wingdings 2"/>
                <w:sz w:val="21"/>
              </w:rPr>
              <w:t></w:t>
            </w:r>
            <w:r>
              <w:rPr>
                <w:sz w:val="18"/>
              </w:rPr>
              <w:t>；地面漫流</w:t>
            </w:r>
            <w:r>
              <w:rPr>
                <w:rFonts w:ascii="Times New Roman" w:hAnsi="Times New Roman" w:eastAsia="Times New Roman"/>
                <w:sz w:val="21"/>
              </w:rPr>
              <w:t>□</w:t>
            </w:r>
            <w:r>
              <w:rPr>
                <w:sz w:val="18"/>
              </w:rPr>
              <w:t>；垂直入渗</w:t>
            </w:r>
            <w:r>
              <w:rPr>
                <w:rFonts w:ascii="Times New Roman" w:hAnsi="Times New Roman" w:eastAsia="Times New Roman"/>
                <w:sz w:val="21"/>
              </w:rPr>
              <w:t>□</w:t>
            </w:r>
            <w:r>
              <w:rPr>
                <w:sz w:val="18"/>
              </w:rPr>
              <w:t>；地下水位</w:t>
            </w:r>
            <w:r>
              <w:rPr>
                <w:rFonts w:ascii="Wingdings 2" w:hAnsi="Wingdings 2" w:eastAsia="Wingdings 2"/>
                <w:sz w:val="21"/>
              </w:rPr>
              <w:t></w:t>
            </w:r>
            <w:r>
              <w:rPr>
                <w:sz w:val="18"/>
              </w:rPr>
              <w:t>；其他（）</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5"/>
              <w:ind w:left="71" w:right="62"/>
              <w:rPr>
                <w:sz w:val="18"/>
              </w:rPr>
            </w:pPr>
            <w:r>
              <w:rPr>
                <w:sz w:val="18"/>
              </w:rPr>
              <w:t>全部污染物</w:t>
            </w:r>
          </w:p>
        </w:tc>
        <w:tc>
          <w:tcPr>
            <w:tcW w:w="5123" w:type="dxa"/>
            <w:gridSpan w:val="6"/>
          </w:tcPr>
          <w:p>
            <w:pPr>
              <w:pStyle w:val="18"/>
              <w:spacing w:before="57"/>
              <w:ind w:left="123"/>
              <w:jc w:val="left"/>
              <w:rPr>
                <w:rFonts w:ascii="Times New Roman" w:eastAsia="Times New Roman"/>
                <w:sz w:val="18"/>
              </w:rPr>
            </w:pPr>
            <w:r>
              <w:rPr>
                <w:rFonts w:ascii="Times New Roman" w:eastAsia="Times New Roman"/>
                <w:position w:val="1"/>
                <w:sz w:val="18"/>
              </w:rPr>
              <w:t>COD</w:t>
            </w:r>
            <w:r>
              <w:rPr>
                <w:position w:val="1"/>
                <w:sz w:val="18"/>
              </w:rPr>
              <w:t>、</w:t>
            </w:r>
            <w:r>
              <w:rPr>
                <w:rFonts w:ascii="Times New Roman" w:eastAsia="Times New Roman"/>
                <w:position w:val="1"/>
                <w:sz w:val="18"/>
              </w:rPr>
              <w:t>BOD</w:t>
            </w:r>
            <w:r>
              <w:rPr>
                <w:rFonts w:ascii="Times New Roman" w:eastAsia="Times New Roman"/>
                <w:position w:val="1"/>
                <w:sz w:val="18"/>
                <w:vertAlign w:val="subscript"/>
              </w:rPr>
              <w:t>5</w:t>
            </w:r>
            <w:r>
              <w:rPr>
                <w:position w:val="1"/>
                <w:sz w:val="18"/>
                <w:vertAlign w:val="baseline"/>
              </w:rPr>
              <w:t>、</w:t>
            </w:r>
            <w:r>
              <w:rPr>
                <w:rFonts w:ascii="Times New Roman" w:eastAsia="Times New Roman"/>
                <w:position w:val="1"/>
                <w:sz w:val="18"/>
                <w:vertAlign w:val="baseline"/>
              </w:rPr>
              <w:t>SS</w:t>
            </w:r>
            <w:r>
              <w:rPr>
                <w:position w:val="1"/>
                <w:sz w:val="18"/>
                <w:vertAlign w:val="baseline"/>
              </w:rPr>
              <w:t>、</w:t>
            </w:r>
            <w:r>
              <w:rPr>
                <w:rFonts w:ascii="Times New Roman" w:eastAsia="Times New Roman"/>
                <w:position w:val="1"/>
                <w:sz w:val="18"/>
                <w:vertAlign w:val="baseline"/>
              </w:rPr>
              <w:t>NH</w:t>
            </w:r>
            <w:r>
              <w:rPr>
                <w:rFonts w:ascii="Times New Roman" w:eastAsia="Times New Roman"/>
                <w:position w:val="1"/>
                <w:sz w:val="18"/>
                <w:vertAlign w:val="subscript"/>
              </w:rPr>
              <w:t>3</w:t>
            </w:r>
            <w:r>
              <w:rPr>
                <w:rFonts w:ascii="Times New Roman" w:eastAsia="Times New Roman"/>
                <w:position w:val="1"/>
                <w:sz w:val="18"/>
                <w:vertAlign w:val="baseline"/>
              </w:rPr>
              <w:t>-N</w:t>
            </w:r>
            <w:r>
              <w:rPr>
                <w:position w:val="1"/>
                <w:sz w:val="18"/>
                <w:vertAlign w:val="baseline"/>
              </w:rPr>
              <w:t>、</w:t>
            </w:r>
            <w:r>
              <w:rPr>
                <w:rFonts w:ascii="Times New Roman" w:eastAsia="Times New Roman"/>
                <w:position w:val="1"/>
                <w:sz w:val="18"/>
                <w:vertAlign w:val="baseline"/>
              </w:rPr>
              <w:t>TP</w:t>
            </w:r>
            <w:r>
              <w:rPr>
                <w:position w:val="1"/>
                <w:sz w:val="18"/>
                <w:vertAlign w:val="baseline"/>
              </w:rPr>
              <w:t>、</w:t>
            </w:r>
            <w:r>
              <w:rPr>
                <w:rFonts w:ascii="Times New Roman" w:eastAsia="Times New Roman"/>
                <w:position w:val="1"/>
                <w:sz w:val="18"/>
                <w:vertAlign w:val="baseline"/>
              </w:rPr>
              <w:t>TN</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5"/>
              <w:ind w:left="73" w:right="62"/>
              <w:rPr>
                <w:sz w:val="18"/>
              </w:rPr>
            </w:pPr>
            <w:r>
              <w:rPr>
                <w:sz w:val="18"/>
              </w:rPr>
              <w:t>特征因子</w:t>
            </w:r>
          </w:p>
        </w:tc>
        <w:tc>
          <w:tcPr>
            <w:tcW w:w="5123" w:type="dxa"/>
            <w:gridSpan w:val="6"/>
          </w:tcPr>
          <w:p>
            <w:pPr>
              <w:pStyle w:val="18"/>
              <w:spacing w:before="55"/>
              <w:ind w:left="123"/>
              <w:jc w:val="left"/>
              <w:rPr>
                <w:sz w:val="18"/>
              </w:rPr>
            </w:pPr>
            <w:r>
              <w:rPr>
                <w:sz w:val="18"/>
              </w:rPr>
              <w:t>无</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4" w:type="dxa"/>
            <w:vMerge w:val="continue"/>
            <w:tcBorders>
              <w:top w:val="nil"/>
            </w:tcBorders>
          </w:tcPr>
          <w:p>
            <w:pPr>
              <w:rPr>
                <w:sz w:val="2"/>
                <w:szCs w:val="2"/>
              </w:rPr>
            </w:pPr>
          </w:p>
        </w:tc>
        <w:tc>
          <w:tcPr>
            <w:tcW w:w="1626" w:type="dxa"/>
          </w:tcPr>
          <w:p>
            <w:pPr>
              <w:pStyle w:val="18"/>
              <w:spacing w:before="41"/>
              <w:ind w:left="73" w:right="62"/>
              <w:rPr>
                <w:sz w:val="18"/>
              </w:rPr>
            </w:pPr>
            <w:r>
              <w:rPr>
                <w:sz w:val="18"/>
              </w:rPr>
              <w:t>所属土壤环境影响</w:t>
            </w:r>
          </w:p>
          <w:p>
            <w:pPr>
              <w:pStyle w:val="18"/>
              <w:spacing w:before="82"/>
              <w:ind w:left="73" w:right="62"/>
              <w:rPr>
                <w:sz w:val="18"/>
              </w:rPr>
            </w:pPr>
            <w:r>
              <w:rPr>
                <w:sz w:val="18"/>
              </w:rPr>
              <w:t>评价项目类别</w:t>
            </w:r>
          </w:p>
        </w:tc>
        <w:tc>
          <w:tcPr>
            <w:tcW w:w="5123" w:type="dxa"/>
            <w:gridSpan w:val="6"/>
          </w:tcPr>
          <w:p>
            <w:pPr>
              <w:pStyle w:val="18"/>
              <w:spacing w:before="188"/>
              <w:ind w:left="123"/>
              <w:jc w:val="left"/>
              <w:rPr>
                <w:rFonts w:ascii="Times New Roman" w:hAnsi="Times New Roman" w:eastAsia="Times New Roman"/>
                <w:sz w:val="21"/>
              </w:rPr>
            </w:pPr>
            <w:r>
              <w:rPr>
                <w:sz w:val="18"/>
              </w:rPr>
              <w:t>Ⅰ类</w:t>
            </w:r>
            <w:r>
              <w:rPr>
                <w:rFonts w:ascii="Times New Roman" w:hAnsi="Times New Roman" w:eastAsia="Times New Roman"/>
                <w:sz w:val="21"/>
              </w:rPr>
              <w:t>□</w:t>
            </w:r>
            <w:r>
              <w:rPr>
                <w:sz w:val="18"/>
              </w:rPr>
              <w:t>；Ⅱ类</w:t>
            </w:r>
            <w:r>
              <w:rPr>
                <w:rFonts w:ascii="Wingdings 2" w:hAnsi="Wingdings 2" w:eastAsia="Wingdings 2"/>
                <w:sz w:val="21"/>
              </w:rPr>
              <w:t></w:t>
            </w:r>
            <w:r>
              <w:rPr>
                <w:sz w:val="18"/>
              </w:rPr>
              <w:t>；Ⅲ类</w:t>
            </w:r>
            <w:r>
              <w:rPr>
                <w:rFonts w:ascii="Wingdings 2" w:hAnsi="Wingdings 2" w:eastAsia="Wingdings 2"/>
                <w:sz w:val="21"/>
              </w:rPr>
              <w:t></w:t>
            </w:r>
            <w:r>
              <w:rPr>
                <w:sz w:val="18"/>
              </w:rPr>
              <w:t>；Ⅳ类</w:t>
            </w:r>
            <w:r>
              <w:rPr>
                <w:rFonts w:ascii="Times New Roman" w:hAnsi="Times New Roman" w:eastAsia="Times New Roman"/>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5"/>
              <w:ind w:left="73" w:right="62"/>
              <w:rPr>
                <w:sz w:val="18"/>
              </w:rPr>
            </w:pPr>
            <w:r>
              <w:rPr>
                <w:sz w:val="18"/>
              </w:rPr>
              <w:t>敏感程度</w:t>
            </w:r>
          </w:p>
        </w:tc>
        <w:tc>
          <w:tcPr>
            <w:tcW w:w="5123" w:type="dxa"/>
            <w:gridSpan w:val="6"/>
          </w:tcPr>
          <w:p>
            <w:pPr>
              <w:pStyle w:val="18"/>
              <w:spacing w:before="46"/>
              <w:ind w:left="123"/>
              <w:jc w:val="left"/>
              <w:rPr>
                <w:rFonts w:ascii="Times New Roman" w:hAnsi="Times New Roman" w:eastAsia="Times New Roman"/>
                <w:sz w:val="21"/>
              </w:rPr>
            </w:pPr>
            <w:r>
              <w:rPr>
                <w:sz w:val="18"/>
              </w:rPr>
              <w:t>敏感</w:t>
            </w:r>
            <w:r>
              <w:rPr>
                <w:rFonts w:ascii="Wingdings 2" w:hAnsi="Wingdings 2" w:eastAsia="Wingdings 2"/>
                <w:sz w:val="21"/>
              </w:rPr>
              <w:t></w:t>
            </w:r>
            <w:r>
              <w:rPr>
                <w:sz w:val="18"/>
              </w:rPr>
              <w:t>；较敏感</w:t>
            </w:r>
            <w:r>
              <w:rPr>
                <w:rFonts w:ascii="Times New Roman" w:hAnsi="Times New Roman" w:eastAsia="Times New Roman"/>
                <w:sz w:val="21"/>
              </w:rPr>
              <w:t>□</w:t>
            </w:r>
            <w:r>
              <w:rPr>
                <w:sz w:val="18"/>
              </w:rPr>
              <w:t>；不敏感</w:t>
            </w:r>
            <w:r>
              <w:rPr>
                <w:rFonts w:ascii="Times New Roman" w:hAnsi="Times New Roman" w:eastAsia="Times New Roman"/>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40" w:type="dxa"/>
            <w:gridSpan w:val="2"/>
          </w:tcPr>
          <w:p>
            <w:pPr>
              <w:pStyle w:val="18"/>
              <w:spacing w:before="56"/>
              <w:ind w:left="478"/>
              <w:jc w:val="left"/>
              <w:rPr>
                <w:sz w:val="18"/>
              </w:rPr>
            </w:pPr>
            <w:r>
              <w:rPr>
                <w:sz w:val="18"/>
              </w:rPr>
              <w:t>评价工作等级</w:t>
            </w:r>
          </w:p>
        </w:tc>
        <w:tc>
          <w:tcPr>
            <w:tcW w:w="5123" w:type="dxa"/>
            <w:gridSpan w:val="6"/>
          </w:tcPr>
          <w:p>
            <w:pPr>
              <w:pStyle w:val="18"/>
              <w:spacing w:before="47"/>
              <w:ind w:left="123"/>
              <w:jc w:val="left"/>
              <w:rPr>
                <w:rFonts w:ascii="Wingdings 2" w:hAnsi="Wingdings 2"/>
                <w:sz w:val="21"/>
              </w:rPr>
            </w:pPr>
            <w:r>
              <w:rPr>
                <w:sz w:val="18"/>
              </w:rPr>
              <w:t>一级</w:t>
            </w:r>
            <w:r>
              <w:rPr>
                <w:rFonts w:ascii="Times New Roman" w:hAnsi="Times New Roman"/>
                <w:sz w:val="21"/>
              </w:rPr>
              <w:t>□</w:t>
            </w:r>
            <w:r>
              <w:rPr>
                <w:sz w:val="18"/>
              </w:rPr>
              <w:t>；二级</w:t>
            </w:r>
            <w:r>
              <w:rPr>
                <w:rFonts w:ascii="Times New Roman" w:hAnsi="Times New Roman"/>
                <w:sz w:val="21"/>
              </w:rPr>
              <w:t>□</w:t>
            </w:r>
            <w:r>
              <w:rPr>
                <w:sz w:val="18"/>
              </w:rPr>
              <w:t>；三级</w:t>
            </w:r>
            <w:r>
              <w:rPr>
                <w:rFonts w:ascii="Wingdings 2" w:hAnsi="Wingdings 2"/>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restart"/>
          </w:tcPr>
          <w:p>
            <w:pPr>
              <w:pStyle w:val="18"/>
              <w:jc w:val="left"/>
              <w:rPr>
                <w:b/>
                <w:sz w:val="18"/>
              </w:rPr>
            </w:pPr>
          </w:p>
          <w:p>
            <w:pPr>
              <w:pStyle w:val="18"/>
              <w:jc w:val="left"/>
              <w:rPr>
                <w:b/>
                <w:sz w:val="18"/>
              </w:rPr>
            </w:pPr>
          </w:p>
          <w:p>
            <w:pPr>
              <w:pStyle w:val="18"/>
              <w:spacing w:before="142" w:line="324" w:lineRule="auto"/>
              <w:ind w:left="27" w:right="14"/>
              <w:jc w:val="both"/>
              <w:rPr>
                <w:sz w:val="18"/>
              </w:rPr>
            </w:pPr>
            <w:r>
              <w:rPr>
                <w:sz w:val="18"/>
              </w:rPr>
              <w:t>现状调查内容</w:t>
            </w:r>
          </w:p>
        </w:tc>
        <w:tc>
          <w:tcPr>
            <w:tcW w:w="1626" w:type="dxa"/>
          </w:tcPr>
          <w:p>
            <w:pPr>
              <w:pStyle w:val="18"/>
              <w:spacing w:before="54"/>
              <w:ind w:left="73" w:right="62"/>
              <w:rPr>
                <w:sz w:val="18"/>
              </w:rPr>
            </w:pPr>
            <w:r>
              <w:rPr>
                <w:sz w:val="18"/>
              </w:rPr>
              <w:t>资料收集</w:t>
            </w:r>
          </w:p>
        </w:tc>
        <w:tc>
          <w:tcPr>
            <w:tcW w:w="5123" w:type="dxa"/>
            <w:gridSpan w:val="6"/>
          </w:tcPr>
          <w:p>
            <w:pPr>
              <w:pStyle w:val="18"/>
              <w:spacing w:before="47"/>
              <w:ind w:left="123"/>
              <w:jc w:val="left"/>
              <w:rPr>
                <w:rFonts w:ascii="Times New Roman" w:hAnsi="Times New Roman" w:eastAsia="Times New Roman"/>
                <w:sz w:val="21"/>
              </w:rPr>
            </w:pPr>
            <w:r>
              <w:rPr>
                <w:rFonts w:ascii="Times New Roman" w:hAnsi="Times New Roman" w:eastAsia="Times New Roman"/>
                <w:sz w:val="18"/>
              </w:rPr>
              <w:t>a</w:t>
            </w:r>
            <w:r>
              <w:rPr>
                <w:sz w:val="18"/>
              </w:rPr>
              <w:t>）</w:t>
            </w:r>
            <w:r>
              <w:rPr>
                <w:rFonts w:ascii="Wingdings 2" w:hAnsi="Wingdings 2" w:eastAsia="Wingdings 2"/>
                <w:sz w:val="21"/>
              </w:rPr>
              <w:t></w:t>
            </w:r>
            <w:r>
              <w:rPr>
                <w:sz w:val="18"/>
              </w:rPr>
              <w:t>；</w:t>
            </w:r>
            <w:r>
              <w:rPr>
                <w:rFonts w:ascii="Times New Roman" w:hAnsi="Times New Roman" w:eastAsia="Times New Roman"/>
                <w:sz w:val="18"/>
              </w:rPr>
              <w:t>b</w:t>
            </w:r>
            <w:r>
              <w:rPr>
                <w:sz w:val="18"/>
              </w:rPr>
              <w:t>）</w:t>
            </w:r>
            <w:r>
              <w:rPr>
                <w:rFonts w:ascii="Wingdings 2" w:hAnsi="Wingdings 2" w:eastAsia="Wingdings 2"/>
                <w:sz w:val="21"/>
              </w:rPr>
              <w:t></w:t>
            </w:r>
            <w:r>
              <w:rPr>
                <w:sz w:val="18"/>
              </w:rPr>
              <w:t>；</w:t>
            </w:r>
            <w:r>
              <w:rPr>
                <w:rFonts w:ascii="Times New Roman" w:hAnsi="Times New Roman" w:eastAsia="Times New Roman"/>
                <w:sz w:val="18"/>
              </w:rPr>
              <w:t>c</w:t>
            </w:r>
            <w:r>
              <w:rPr>
                <w:sz w:val="18"/>
              </w:rPr>
              <w:t>）</w:t>
            </w:r>
            <w:r>
              <w:rPr>
                <w:rFonts w:ascii="Wingdings 2" w:hAnsi="Wingdings 2" w:eastAsia="Wingdings 2"/>
                <w:sz w:val="21"/>
              </w:rPr>
              <w:t></w:t>
            </w:r>
            <w:r>
              <w:rPr>
                <w:sz w:val="18"/>
              </w:rPr>
              <w:t>；</w:t>
            </w:r>
            <w:r>
              <w:rPr>
                <w:rFonts w:ascii="Times New Roman" w:hAnsi="Times New Roman" w:eastAsia="Times New Roman"/>
                <w:sz w:val="18"/>
              </w:rPr>
              <w:t>d</w:t>
            </w:r>
            <w:r>
              <w:rPr>
                <w:sz w:val="18"/>
              </w:rPr>
              <w:t>）</w:t>
            </w:r>
            <w:r>
              <w:rPr>
                <w:rFonts w:ascii="Times New Roman" w:hAnsi="Times New Roman" w:eastAsia="Times New Roman"/>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4"/>
              <w:ind w:left="73" w:right="62"/>
              <w:rPr>
                <w:sz w:val="18"/>
              </w:rPr>
            </w:pPr>
            <w:r>
              <w:rPr>
                <w:sz w:val="18"/>
              </w:rPr>
              <w:t>理化特性</w:t>
            </w:r>
          </w:p>
        </w:tc>
        <w:tc>
          <w:tcPr>
            <w:tcW w:w="5123" w:type="dxa"/>
            <w:gridSpan w:val="6"/>
          </w:tcPr>
          <w:p>
            <w:pPr>
              <w:pStyle w:val="18"/>
              <w:spacing w:before="54"/>
              <w:ind w:left="2179" w:right="2171"/>
              <w:rPr>
                <w:sz w:val="18"/>
              </w:rPr>
            </w:pPr>
            <w:r>
              <w:rPr>
                <w:sz w:val="18"/>
              </w:rPr>
              <w:t>未调查</w:t>
            </w:r>
          </w:p>
        </w:tc>
        <w:tc>
          <w:tcPr>
            <w:tcW w:w="1151" w:type="dxa"/>
          </w:tcPr>
          <w:p>
            <w:pPr>
              <w:pStyle w:val="18"/>
              <w:spacing w:before="54"/>
              <w:ind w:left="199"/>
              <w:jc w:val="left"/>
              <w:rPr>
                <w:rFonts w:ascii="Times New Roman" w:eastAsia="Times New Roman"/>
                <w:sz w:val="18"/>
              </w:rPr>
            </w:pPr>
            <w:r>
              <w:rPr>
                <w:sz w:val="18"/>
              </w:rPr>
              <w:t>同附录</w:t>
            </w:r>
            <w:r>
              <w:rPr>
                <w:rFonts w:ascii="Times New Roman" w:eastAsia="Times New Roman"/>
                <w:sz w:val="18"/>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vMerge w:val="restart"/>
          </w:tcPr>
          <w:p>
            <w:pPr>
              <w:pStyle w:val="18"/>
              <w:jc w:val="left"/>
              <w:rPr>
                <w:b/>
                <w:sz w:val="18"/>
              </w:rPr>
            </w:pPr>
          </w:p>
          <w:p>
            <w:pPr>
              <w:pStyle w:val="18"/>
              <w:spacing w:before="8"/>
              <w:jc w:val="left"/>
              <w:rPr>
                <w:b/>
                <w:sz w:val="13"/>
              </w:rPr>
            </w:pPr>
          </w:p>
          <w:p>
            <w:pPr>
              <w:pStyle w:val="18"/>
              <w:ind w:left="273"/>
              <w:jc w:val="left"/>
              <w:rPr>
                <w:sz w:val="18"/>
              </w:rPr>
            </w:pPr>
            <w:r>
              <w:rPr>
                <w:sz w:val="18"/>
              </w:rPr>
              <w:t>现状监测点位</w:t>
            </w:r>
          </w:p>
        </w:tc>
        <w:tc>
          <w:tcPr>
            <w:tcW w:w="1373" w:type="dxa"/>
          </w:tcPr>
          <w:p>
            <w:pPr>
              <w:pStyle w:val="18"/>
              <w:jc w:val="left"/>
              <w:rPr>
                <w:rFonts w:ascii="Times New Roman"/>
                <w:sz w:val="18"/>
              </w:rPr>
            </w:pPr>
          </w:p>
        </w:tc>
        <w:tc>
          <w:tcPr>
            <w:tcW w:w="911" w:type="dxa"/>
            <w:gridSpan w:val="2"/>
          </w:tcPr>
          <w:p>
            <w:pPr>
              <w:pStyle w:val="18"/>
              <w:spacing w:before="54"/>
              <w:ind w:left="3" w:right="-15"/>
              <w:jc w:val="left"/>
              <w:rPr>
                <w:sz w:val="18"/>
              </w:rPr>
            </w:pPr>
            <w:r>
              <w:rPr>
                <w:sz w:val="18"/>
              </w:rPr>
              <w:t>占地范围内</w:t>
            </w:r>
          </w:p>
        </w:tc>
        <w:tc>
          <w:tcPr>
            <w:tcW w:w="1818" w:type="dxa"/>
            <w:gridSpan w:val="2"/>
          </w:tcPr>
          <w:p>
            <w:pPr>
              <w:pStyle w:val="18"/>
              <w:spacing w:before="54"/>
              <w:ind w:left="458"/>
              <w:jc w:val="left"/>
              <w:rPr>
                <w:sz w:val="18"/>
              </w:rPr>
            </w:pPr>
            <w:r>
              <w:rPr>
                <w:sz w:val="18"/>
              </w:rPr>
              <w:t>占地范围外</w:t>
            </w:r>
          </w:p>
        </w:tc>
        <w:tc>
          <w:tcPr>
            <w:tcW w:w="1021" w:type="dxa"/>
          </w:tcPr>
          <w:p>
            <w:pPr>
              <w:pStyle w:val="18"/>
              <w:spacing w:before="54"/>
              <w:ind w:left="53" w:right="45"/>
              <w:rPr>
                <w:sz w:val="18"/>
              </w:rPr>
            </w:pPr>
            <w:r>
              <w:rPr>
                <w:sz w:val="18"/>
              </w:rPr>
              <w:t>深度</w:t>
            </w:r>
          </w:p>
        </w:tc>
        <w:tc>
          <w:tcPr>
            <w:tcW w:w="1151" w:type="dxa"/>
            <w:vMerge w:val="restart"/>
          </w:tcPr>
          <w:p>
            <w:pPr>
              <w:pStyle w:val="18"/>
              <w:jc w:val="left"/>
              <w:rPr>
                <w:b/>
                <w:sz w:val="18"/>
              </w:rPr>
            </w:pPr>
          </w:p>
          <w:p>
            <w:pPr>
              <w:pStyle w:val="18"/>
              <w:spacing w:before="8"/>
              <w:jc w:val="left"/>
              <w:rPr>
                <w:b/>
                <w:sz w:val="13"/>
              </w:rPr>
            </w:pPr>
          </w:p>
          <w:p>
            <w:pPr>
              <w:pStyle w:val="18"/>
              <w:ind w:left="124"/>
              <w:jc w:val="left"/>
              <w:rPr>
                <w:sz w:val="18"/>
              </w:rPr>
            </w:pPr>
            <w:r>
              <w:rPr>
                <w:sz w:val="18"/>
              </w:rPr>
              <w:t>点位布置图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vMerge w:val="continue"/>
            <w:tcBorders>
              <w:top w:val="nil"/>
            </w:tcBorders>
          </w:tcPr>
          <w:p>
            <w:pPr>
              <w:rPr>
                <w:sz w:val="2"/>
                <w:szCs w:val="2"/>
              </w:rPr>
            </w:pPr>
          </w:p>
        </w:tc>
        <w:tc>
          <w:tcPr>
            <w:tcW w:w="1373" w:type="dxa"/>
          </w:tcPr>
          <w:p>
            <w:pPr>
              <w:pStyle w:val="18"/>
              <w:spacing w:before="55"/>
              <w:ind w:left="216" w:right="206"/>
              <w:rPr>
                <w:sz w:val="18"/>
              </w:rPr>
            </w:pPr>
            <w:r>
              <w:rPr>
                <w:sz w:val="18"/>
              </w:rPr>
              <w:t>表层样点数</w:t>
            </w:r>
          </w:p>
        </w:tc>
        <w:tc>
          <w:tcPr>
            <w:tcW w:w="911" w:type="dxa"/>
            <w:gridSpan w:val="2"/>
          </w:tcPr>
          <w:p>
            <w:pPr>
              <w:pStyle w:val="18"/>
              <w:spacing w:before="67"/>
              <w:ind w:left="7"/>
              <w:rPr>
                <w:rFonts w:ascii="Times New Roman"/>
                <w:sz w:val="18"/>
              </w:rPr>
            </w:pPr>
            <w:r>
              <w:rPr>
                <w:rFonts w:ascii="Times New Roman"/>
                <w:sz w:val="18"/>
              </w:rPr>
              <w:t>3</w:t>
            </w:r>
          </w:p>
        </w:tc>
        <w:tc>
          <w:tcPr>
            <w:tcW w:w="1818" w:type="dxa"/>
            <w:gridSpan w:val="2"/>
          </w:tcPr>
          <w:p>
            <w:pPr>
              <w:pStyle w:val="18"/>
              <w:spacing w:before="67"/>
              <w:ind w:left="9"/>
              <w:rPr>
                <w:rFonts w:ascii="Times New Roman"/>
                <w:sz w:val="18"/>
              </w:rPr>
            </w:pPr>
            <w:r>
              <w:rPr>
                <w:rFonts w:ascii="Times New Roman"/>
                <w:sz w:val="18"/>
              </w:rPr>
              <w:t>0</w:t>
            </w:r>
          </w:p>
        </w:tc>
        <w:tc>
          <w:tcPr>
            <w:tcW w:w="1021" w:type="dxa"/>
          </w:tcPr>
          <w:p>
            <w:pPr>
              <w:pStyle w:val="18"/>
              <w:spacing w:before="67"/>
              <w:ind w:left="53" w:right="42"/>
              <w:rPr>
                <w:rFonts w:ascii="Times New Roman"/>
                <w:sz w:val="18"/>
              </w:rPr>
            </w:pPr>
            <w:r>
              <w:rPr>
                <w:rFonts w:ascii="Times New Roman"/>
                <w:sz w:val="18"/>
              </w:rPr>
              <w:t>0-0.2m</w:t>
            </w:r>
          </w:p>
        </w:tc>
        <w:tc>
          <w:tcPr>
            <w:tcW w:w="11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vMerge w:val="continue"/>
            <w:tcBorders>
              <w:top w:val="nil"/>
            </w:tcBorders>
          </w:tcPr>
          <w:p>
            <w:pPr>
              <w:rPr>
                <w:sz w:val="2"/>
                <w:szCs w:val="2"/>
              </w:rPr>
            </w:pPr>
          </w:p>
        </w:tc>
        <w:tc>
          <w:tcPr>
            <w:tcW w:w="1373" w:type="dxa"/>
          </w:tcPr>
          <w:p>
            <w:pPr>
              <w:pStyle w:val="18"/>
              <w:spacing w:before="55"/>
              <w:ind w:left="216" w:right="206"/>
              <w:rPr>
                <w:sz w:val="18"/>
              </w:rPr>
            </w:pPr>
            <w:r>
              <w:rPr>
                <w:sz w:val="18"/>
              </w:rPr>
              <w:t>柱状样点数</w:t>
            </w:r>
          </w:p>
        </w:tc>
        <w:tc>
          <w:tcPr>
            <w:tcW w:w="911" w:type="dxa"/>
            <w:gridSpan w:val="2"/>
          </w:tcPr>
          <w:p>
            <w:pPr>
              <w:pStyle w:val="18"/>
              <w:spacing w:before="65"/>
              <w:ind w:left="7"/>
              <w:rPr>
                <w:rFonts w:ascii="Times New Roman"/>
                <w:sz w:val="18"/>
              </w:rPr>
            </w:pPr>
            <w:r>
              <w:rPr>
                <w:rFonts w:ascii="Times New Roman"/>
                <w:sz w:val="18"/>
              </w:rPr>
              <w:t>0</w:t>
            </w:r>
          </w:p>
        </w:tc>
        <w:tc>
          <w:tcPr>
            <w:tcW w:w="1818" w:type="dxa"/>
            <w:gridSpan w:val="2"/>
          </w:tcPr>
          <w:p>
            <w:pPr>
              <w:pStyle w:val="18"/>
              <w:spacing w:before="65"/>
              <w:ind w:left="9"/>
              <w:rPr>
                <w:rFonts w:ascii="Times New Roman"/>
                <w:sz w:val="18"/>
              </w:rPr>
            </w:pPr>
            <w:r>
              <w:rPr>
                <w:rFonts w:ascii="Times New Roman"/>
                <w:sz w:val="18"/>
              </w:rPr>
              <w:t>0</w:t>
            </w:r>
          </w:p>
        </w:tc>
        <w:tc>
          <w:tcPr>
            <w:tcW w:w="1021" w:type="dxa"/>
          </w:tcPr>
          <w:p>
            <w:pPr>
              <w:pStyle w:val="18"/>
              <w:jc w:val="left"/>
              <w:rPr>
                <w:rFonts w:ascii="Times New Roman"/>
                <w:sz w:val="18"/>
              </w:rPr>
            </w:pPr>
          </w:p>
        </w:tc>
        <w:tc>
          <w:tcPr>
            <w:tcW w:w="11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4" w:type="dxa"/>
            <w:vMerge w:val="continue"/>
            <w:tcBorders>
              <w:top w:val="nil"/>
            </w:tcBorders>
          </w:tcPr>
          <w:p>
            <w:pPr>
              <w:rPr>
                <w:sz w:val="2"/>
                <w:szCs w:val="2"/>
              </w:rPr>
            </w:pPr>
          </w:p>
        </w:tc>
        <w:tc>
          <w:tcPr>
            <w:tcW w:w="1626" w:type="dxa"/>
          </w:tcPr>
          <w:p>
            <w:pPr>
              <w:pStyle w:val="18"/>
              <w:spacing w:before="41"/>
              <w:ind w:left="73" w:right="62"/>
              <w:rPr>
                <w:sz w:val="18"/>
              </w:rPr>
            </w:pPr>
            <w:r>
              <w:rPr>
                <w:sz w:val="18"/>
              </w:rPr>
              <w:t>现状监测因子</w:t>
            </w:r>
          </w:p>
        </w:tc>
        <w:tc>
          <w:tcPr>
            <w:tcW w:w="5123" w:type="dxa"/>
            <w:gridSpan w:val="6"/>
          </w:tcPr>
          <w:p>
            <w:pPr>
              <w:pStyle w:val="18"/>
              <w:spacing w:before="41"/>
              <w:ind w:left="1210"/>
              <w:jc w:val="left"/>
              <w:rPr>
                <w:sz w:val="18"/>
              </w:rPr>
            </w:pPr>
            <w:r>
              <w:rPr>
                <w:sz w:val="18"/>
              </w:rPr>
              <w:t>镉、汞、砷、铅、铬、铜、镍、锌</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restart"/>
          </w:tcPr>
          <w:p>
            <w:pPr>
              <w:pStyle w:val="18"/>
              <w:jc w:val="left"/>
              <w:rPr>
                <w:b/>
                <w:sz w:val="18"/>
              </w:rPr>
            </w:pPr>
          </w:p>
          <w:p>
            <w:pPr>
              <w:pStyle w:val="18"/>
              <w:spacing w:before="161" w:line="324" w:lineRule="auto"/>
              <w:ind w:left="27" w:right="14"/>
              <w:jc w:val="left"/>
              <w:rPr>
                <w:sz w:val="18"/>
              </w:rPr>
            </w:pPr>
            <w:r>
              <w:rPr>
                <w:sz w:val="18"/>
              </w:rPr>
              <w:t>现状评价</w:t>
            </w:r>
          </w:p>
        </w:tc>
        <w:tc>
          <w:tcPr>
            <w:tcW w:w="1626" w:type="dxa"/>
          </w:tcPr>
          <w:p>
            <w:pPr>
              <w:pStyle w:val="18"/>
              <w:spacing w:before="55"/>
              <w:ind w:left="73" w:right="62"/>
              <w:rPr>
                <w:sz w:val="18"/>
              </w:rPr>
            </w:pPr>
            <w:r>
              <w:rPr>
                <w:sz w:val="18"/>
              </w:rPr>
              <w:t>评价因子</w:t>
            </w:r>
          </w:p>
        </w:tc>
        <w:tc>
          <w:tcPr>
            <w:tcW w:w="5123" w:type="dxa"/>
            <w:gridSpan w:val="6"/>
          </w:tcPr>
          <w:p>
            <w:pPr>
              <w:pStyle w:val="18"/>
              <w:spacing w:before="55"/>
              <w:ind w:left="1210"/>
              <w:jc w:val="left"/>
              <w:rPr>
                <w:sz w:val="18"/>
              </w:rPr>
            </w:pPr>
            <w:r>
              <w:rPr>
                <w:sz w:val="18"/>
              </w:rPr>
              <w:t>镉、汞、砷、铅、铬、铜、镍、锌</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6"/>
              <w:ind w:left="73" w:right="62"/>
              <w:rPr>
                <w:sz w:val="18"/>
              </w:rPr>
            </w:pPr>
            <w:r>
              <w:rPr>
                <w:sz w:val="18"/>
              </w:rPr>
              <w:t>评价标准</w:t>
            </w:r>
          </w:p>
        </w:tc>
        <w:tc>
          <w:tcPr>
            <w:tcW w:w="5123" w:type="dxa"/>
            <w:gridSpan w:val="6"/>
          </w:tcPr>
          <w:p>
            <w:pPr>
              <w:pStyle w:val="18"/>
              <w:spacing w:before="47"/>
              <w:ind w:left="8"/>
              <w:jc w:val="left"/>
              <w:rPr>
                <w:rFonts w:ascii="Times New Roman" w:hAnsi="Times New Roman" w:eastAsia="Times New Roman"/>
                <w:sz w:val="18"/>
              </w:rPr>
            </w:pPr>
            <w:r>
              <w:rPr>
                <w:rFonts w:ascii="Times New Roman" w:hAnsi="Times New Roman" w:eastAsia="Times New Roman"/>
                <w:sz w:val="18"/>
              </w:rPr>
              <w:t xml:space="preserve">GB </w:t>
            </w:r>
            <w:r>
              <w:rPr>
                <w:rFonts w:ascii="Times New Roman" w:hAnsi="Times New Roman" w:eastAsia="Times New Roman"/>
                <w:spacing w:val="-4"/>
                <w:sz w:val="18"/>
              </w:rPr>
              <w:t>15618</w:t>
            </w:r>
            <w:r>
              <w:rPr>
                <w:rFonts w:ascii="Times New Roman" w:hAnsi="Times New Roman" w:eastAsia="Times New Roman"/>
                <w:spacing w:val="-4"/>
                <w:sz w:val="21"/>
              </w:rPr>
              <w:t>□</w:t>
            </w:r>
            <w:r>
              <w:rPr>
                <w:spacing w:val="-4"/>
                <w:sz w:val="18"/>
              </w:rPr>
              <w:t>；</w:t>
            </w:r>
            <w:r>
              <w:rPr>
                <w:rFonts w:ascii="Times New Roman" w:hAnsi="Times New Roman" w:eastAsia="Times New Roman"/>
                <w:spacing w:val="-4"/>
                <w:sz w:val="18"/>
              </w:rPr>
              <w:t xml:space="preserve">GB </w:t>
            </w:r>
            <w:r>
              <w:rPr>
                <w:rFonts w:ascii="Times New Roman" w:hAnsi="Times New Roman" w:eastAsia="Times New Roman"/>
                <w:spacing w:val="-5"/>
                <w:sz w:val="18"/>
              </w:rPr>
              <w:t>36600</w:t>
            </w:r>
            <w:r>
              <w:rPr>
                <w:rFonts w:ascii="Times New Roman" w:hAnsi="Times New Roman" w:eastAsia="Times New Roman"/>
                <w:spacing w:val="-5"/>
                <w:sz w:val="21"/>
              </w:rPr>
              <w:t>□</w:t>
            </w:r>
            <w:r>
              <w:rPr>
                <w:spacing w:val="-17"/>
                <w:sz w:val="18"/>
              </w:rPr>
              <w:t>；表</w:t>
            </w:r>
            <w:r>
              <w:rPr>
                <w:rFonts w:ascii="Times New Roman" w:hAnsi="Times New Roman" w:eastAsia="Times New Roman"/>
                <w:spacing w:val="-7"/>
                <w:sz w:val="18"/>
              </w:rPr>
              <w:t>D.1</w:t>
            </w:r>
            <w:r>
              <w:rPr>
                <w:rFonts w:ascii="Times New Roman" w:hAnsi="Times New Roman" w:eastAsia="Times New Roman"/>
                <w:spacing w:val="-7"/>
                <w:sz w:val="21"/>
              </w:rPr>
              <w:t>□</w:t>
            </w:r>
            <w:r>
              <w:rPr>
                <w:spacing w:val="-3"/>
                <w:sz w:val="18"/>
              </w:rPr>
              <w:t>；表</w:t>
            </w:r>
            <w:r>
              <w:rPr>
                <w:rFonts w:ascii="Times New Roman" w:hAnsi="Times New Roman" w:eastAsia="Times New Roman"/>
                <w:spacing w:val="-7"/>
                <w:sz w:val="18"/>
              </w:rPr>
              <w:t>D.2</w:t>
            </w:r>
            <w:r>
              <w:rPr>
                <w:rFonts w:ascii="Times New Roman" w:hAnsi="Times New Roman" w:eastAsia="Times New Roman"/>
                <w:spacing w:val="-7"/>
                <w:sz w:val="21"/>
              </w:rPr>
              <w:t>□</w:t>
            </w:r>
            <w:r>
              <w:rPr>
                <w:spacing w:val="-13"/>
                <w:sz w:val="18"/>
              </w:rPr>
              <w:t>；其他</w:t>
            </w:r>
            <w:r>
              <w:rPr>
                <w:sz w:val="18"/>
              </w:rPr>
              <w:t>（</w:t>
            </w:r>
            <w:r>
              <w:rPr>
                <w:rFonts w:ascii="Times New Roman" w:hAnsi="Times New Roman" w:eastAsia="Times New Roman"/>
                <w:sz w:val="18"/>
              </w:rPr>
              <w:t>HJ568-2010</w:t>
            </w:r>
          </w:p>
        </w:tc>
        <w:tc>
          <w:tcPr>
            <w:tcW w:w="1151" w:type="dxa"/>
          </w:tcPr>
          <w:p>
            <w:pPr>
              <w:pStyle w:val="18"/>
              <w:spacing w:before="63"/>
              <w:ind w:left="-92"/>
              <w:jc w:val="lef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4" w:type="dxa"/>
            <w:vMerge w:val="continue"/>
            <w:tcBorders>
              <w:top w:val="nil"/>
            </w:tcBorders>
          </w:tcPr>
          <w:p>
            <w:pPr>
              <w:rPr>
                <w:sz w:val="2"/>
                <w:szCs w:val="2"/>
              </w:rPr>
            </w:pPr>
          </w:p>
        </w:tc>
        <w:tc>
          <w:tcPr>
            <w:tcW w:w="1626" w:type="dxa"/>
          </w:tcPr>
          <w:p>
            <w:pPr>
              <w:pStyle w:val="18"/>
              <w:spacing w:before="5"/>
              <w:jc w:val="left"/>
              <w:rPr>
                <w:b/>
                <w:sz w:val="15"/>
              </w:rPr>
            </w:pPr>
          </w:p>
          <w:p>
            <w:pPr>
              <w:pStyle w:val="18"/>
              <w:spacing w:before="1"/>
              <w:ind w:left="73" w:right="62"/>
              <w:rPr>
                <w:sz w:val="18"/>
              </w:rPr>
            </w:pPr>
            <w:r>
              <w:rPr>
                <w:sz w:val="18"/>
              </w:rPr>
              <w:t>现状评价结论</w:t>
            </w:r>
          </w:p>
        </w:tc>
        <w:tc>
          <w:tcPr>
            <w:tcW w:w="5123" w:type="dxa"/>
            <w:gridSpan w:val="6"/>
          </w:tcPr>
          <w:p>
            <w:pPr>
              <w:pStyle w:val="18"/>
              <w:spacing w:before="42"/>
              <w:ind w:left="3" w:right="-15"/>
              <w:jc w:val="left"/>
              <w:rPr>
                <w:sz w:val="18"/>
              </w:rPr>
            </w:pPr>
            <w:r>
              <w:rPr>
                <w:sz w:val="18"/>
              </w:rPr>
              <w:t>项目区土壤满足《畜禽养殖产地环境评价规范》（</w:t>
            </w:r>
            <w:r>
              <w:rPr>
                <w:rFonts w:ascii="Times New Roman" w:eastAsia="Times New Roman"/>
                <w:sz w:val="18"/>
              </w:rPr>
              <w:t>HJ568-2010</w:t>
            </w:r>
            <w:r>
              <w:rPr>
                <w:sz w:val="18"/>
              </w:rPr>
              <w:t>）</w:t>
            </w:r>
          </w:p>
          <w:p>
            <w:pPr>
              <w:pStyle w:val="18"/>
              <w:spacing w:before="81"/>
              <w:ind w:left="3"/>
              <w:jc w:val="left"/>
              <w:rPr>
                <w:sz w:val="18"/>
              </w:rPr>
            </w:pPr>
            <w:r>
              <w:rPr>
                <w:sz w:val="18"/>
              </w:rPr>
              <w:t>中表</w:t>
            </w:r>
            <w:r>
              <w:rPr>
                <w:rFonts w:ascii="Times New Roman" w:eastAsia="Times New Roman"/>
                <w:sz w:val="18"/>
              </w:rPr>
              <w:t>4</w:t>
            </w:r>
            <w:r>
              <w:rPr>
                <w:sz w:val="18"/>
              </w:rPr>
              <w:t>养殖场土壤环境质量评价指标限值</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restart"/>
          </w:tcPr>
          <w:p>
            <w:pPr>
              <w:pStyle w:val="18"/>
              <w:jc w:val="left"/>
              <w:rPr>
                <w:b/>
                <w:sz w:val="18"/>
              </w:rPr>
            </w:pPr>
          </w:p>
          <w:p>
            <w:pPr>
              <w:pStyle w:val="18"/>
              <w:jc w:val="left"/>
              <w:rPr>
                <w:b/>
                <w:sz w:val="18"/>
              </w:rPr>
            </w:pPr>
          </w:p>
          <w:p>
            <w:pPr>
              <w:pStyle w:val="18"/>
              <w:spacing w:before="4"/>
              <w:jc w:val="left"/>
              <w:rPr>
                <w:b/>
                <w:sz w:val="19"/>
              </w:rPr>
            </w:pPr>
          </w:p>
          <w:p>
            <w:pPr>
              <w:pStyle w:val="18"/>
              <w:spacing w:line="324" w:lineRule="auto"/>
              <w:ind w:left="27" w:right="14"/>
              <w:jc w:val="left"/>
              <w:rPr>
                <w:sz w:val="18"/>
              </w:rPr>
            </w:pPr>
            <w:r>
              <w:rPr>
                <w:sz w:val="18"/>
              </w:rPr>
              <w:t>影响预测</w:t>
            </w:r>
          </w:p>
        </w:tc>
        <w:tc>
          <w:tcPr>
            <w:tcW w:w="1626" w:type="dxa"/>
          </w:tcPr>
          <w:p>
            <w:pPr>
              <w:pStyle w:val="18"/>
              <w:spacing w:before="56"/>
              <w:ind w:left="73" w:right="62"/>
              <w:rPr>
                <w:sz w:val="18"/>
              </w:rPr>
            </w:pPr>
            <w:r>
              <w:rPr>
                <w:sz w:val="18"/>
              </w:rPr>
              <w:t>预测因子</w:t>
            </w:r>
          </w:p>
        </w:tc>
        <w:tc>
          <w:tcPr>
            <w:tcW w:w="5123" w:type="dxa"/>
            <w:gridSpan w:val="6"/>
          </w:tcPr>
          <w:p>
            <w:pPr>
              <w:pStyle w:val="18"/>
              <w:spacing w:before="56"/>
              <w:ind w:left="128"/>
              <w:rPr>
                <w:sz w:val="18"/>
              </w:rPr>
            </w:pPr>
            <w:r>
              <w:rPr>
                <w:sz w:val="18"/>
              </w:rPr>
              <w:t>无</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4"/>
              <w:ind w:left="73" w:right="62"/>
              <w:rPr>
                <w:sz w:val="18"/>
              </w:rPr>
            </w:pPr>
            <w:r>
              <w:rPr>
                <w:sz w:val="18"/>
              </w:rPr>
              <w:t>预测方法</w:t>
            </w:r>
          </w:p>
        </w:tc>
        <w:tc>
          <w:tcPr>
            <w:tcW w:w="5123" w:type="dxa"/>
            <w:gridSpan w:val="6"/>
          </w:tcPr>
          <w:p>
            <w:pPr>
              <w:pStyle w:val="18"/>
              <w:tabs>
                <w:tab w:val="left" w:pos="2934"/>
              </w:tabs>
              <w:spacing w:before="47"/>
              <w:ind w:left="123"/>
              <w:jc w:val="left"/>
              <w:rPr>
                <w:sz w:val="18"/>
              </w:rPr>
            </w:pPr>
            <w:r>
              <w:rPr>
                <w:sz w:val="18"/>
              </w:rPr>
              <w:t>附录</w:t>
            </w:r>
            <w:r>
              <w:rPr>
                <w:rFonts w:ascii="Times New Roman" w:hAnsi="Times New Roman" w:eastAsia="Times New Roman"/>
                <w:sz w:val="18"/>
              </w:rPr>
              <w:t>E</w:t>
            </w:r>
            <w:r>
              <w:rPr>
                <w:rFonts w:ascii="Times New Roman" w:hAnsi="Times New Roman" w:eastAsia="Times New Roman"/>
                <w:sz w:val="21"/>
              </w:rPr>
              <w:t>□</w:t>
            </w:r>
            <w:r>
              <w:rPr>
                <w:sz w:val="18"/>
              </w:rPr>
              <w:t>；附录</w:t>
            </w:r>
            <w:r>
              <w:rPr>
                <w:rFonts w:ascii="Times New Roman" w:hAnsi="Times New Roman" w:eastAsia="Times New Roman"/>
                <w:sz w:val="18"/>
              </w:rPr>
              <w:t>F</w:t>
            </w:r>
            <w:r>
              <w:rPr>
                <w:rFonts w:ascii="Times New Roman" w:hAnsi="Times New Roman" w:eastAsia="Times New Roman"/>
                <w:sz w:val="21"/>
              </w:rPr>
              <w:t>□</w:t>
            </w:r>
            <w:r>
              <w:rPr>
                <w:sz w:val="18"/>
              </w:rPr>
              <w:t>；其他（</w:t>
            </w:r>
            <w:r>
              <w:rPr>
                <w:sz w:val="18"/>
              </w:rPr>
              <w:tab/>
            </w:r>
            <w:r>
              <w:rPr>
                <w:sz w:val="18"/>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4" w:type="dxa"/>
            <w:vMerge w:val="continue"/>
            <w:tcBorders>
              <w:top w:val="nil"/>
            </w:tcBorders>
          </w:tcPr>
          <w:p>
            <w:pPr>
              <w:rPr>
                <w:sz w:val="2"/>
                <w:szCs w:val="2"/>
              </w:rPr>
            </w:pPr>
          </w:p>
        </w:tc>
        <w:tc>
          <w:tcPr>
            <w:tcW w:w="1626" w:type="dxa"/>
          </w:tcPr>
          <w:p>
            <w:pPr>
              <w:pStyle w:val="18"/>
              <w:spacing w:before="3"/>
              <w:jc w:val="left"/>
              <w:rPr>
                <w:b/>
                <w:sz w:val="15"/>
              </w:rPr>
            </w:pPr>
          </w:p>
          <w:p>
            <w:pPr>
              <w:pStyle w:val="18"/>
              <w:spacing w:before="1"/>
              <w:ind w:left="73" w:right="62"/>
              <w:rPr>
                <w:sz w:val="18"/>
              </w:rPr>
            </w:pPr>
            <w:r>
              <w:rPr>
                <w:sz w:val="18"/>
              </w:rPr>
              <w:t>预测分析内容</w:t>
            </w:r>
          </w:p>
        </w:tc>
        <w:tc>
          <w:tcPr>
            <w:tcW w:w="5123" w:type="dxa"/>
            <w:gridSpan w:val="6"/>
          </w:tcPr>
          <w:p>
            <w:pPr>
              <w:pStyle w:val="18"/>
              <w:tabs>
                <w:tab w:val="left" w:pos="1642"/>
              </w:tabs>
              <w:spacing w:before="40"/>
              <w:ind w:left="123"/>
              <w:jc w:val="left"/>
              <w:rPr>
                <w:sz w:val="18"/>
              </w:rPr>
            </w:pPr>
            <w:r>
              <w:rPr>
                <w:sz w:val="18"/>
              </w:rPr>
              <w:t>影响范围（</w:t>
            </w:r>
            <w:r>
              <w:rPr>
                <w:sz w:val="18"/>
              </w:rPr>
              <w:tab/>
            </w:r>
            <w:r>
              <w:rPr>
                <w:sz w:val="18"/>
              </w:rPr>
              <w:t>）</w:t>
            </w:r>
          </w:p>
          <w:p>
            <w:pPr>
              <w:pStyle w:val="18"/>
              <w:tabs>
                <w:tab w:val="left" w:pos="1642"/>
              </w:tabs>
              <w:spacing w:before="81"/>
              <w:ind w:left="123"/>
              <w:jc w:val="left"/>
              <w:rPr>
                <w:sz w:val="18"/>
              </w:rPr>
            </w:pPr>
            <w:r>
              <w:rPr>
                <w:sz w:val="18"/>
              </w:rPr>
              <w:t>影响程度（</w:t>
            </w:r>
            <w:r>
              <w:rPr>
                <w:sz w:val="18"/>
              </w:rPr>
              <w:tab/>
            </w:r>
            <w:r>
              <w:rPr>
                <w:sz w:val="18"/>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4" w:type="dxa"/>
            <w:vMerge w:val="continue"/>
            <w:tcBorders>
              <w:top w:val="nil"/>
            </w:tcBorders>
          </w:tcPr>
          <w:p>
            <w:pPr>
              <w:rPr>
                <w:sz w:val="2"/>
                <w:szCs w:val="2"/>
              </w:rPr>
            </w:pPr>
          </w:p>
        </w:tc>
        <w:tc>
          <w:tcPr>
            <w:tcW w:w="1626" w:type="dxa"/>
          </w:tcPr>
          <w:p>
            <w:pPr>
              <w:pStyle w:val="18"/>
              <w:spacing w:before="5"/>
              <w:jc w:val="left"/>
              <w:rPr>
                <w:b/>
                <w:sz w:val="15"/>
              </w:rPr>
            </w:pPr>
          </w:p>
          <w:p>
            <w:pPr>
              <w:pStyle w:val="18"/>
              <w:spacing w:before="1"/>
              <w:ind w:left="73" w:right="62"/>
              <w:rPr>
                <w:sz w:val="18"/>
              </w:rPr>
            </w:pPr>
            <w:r>
              <w:rPr>
                <w:sz w:val="18"/>
              </w:rPr>
              <w:t>预测结论</w:t>
            </w:r>
          </w:p>
        </w:tc>
        <w:tc>
          <w:tcPr>
            <w:tcW w:w="5123" w:type="dxa"/>
            <w:gridSpan w:val="6"/>
          </w:tcPr>
          <w:p>
            <w:pPr>
              <w:pStyle w:val="18"/>
              <w:spacing w:before="33"/>
              <w:ind w:left="123"/>
              <w:jc w:val="left"/>
              <w:rPr>
                <w:rFonts w:ascii="Times New Roman" w:hAnsi="Times New Roman" w:eastAsia="Times New Roman"/>
                <w:sz w:val="21"/>
              </w:rPr>
            </w:pPr>
            <w:r>
              <w:rPr>
                <w:sz w:val="18"/>
              </w:rPr>
              <w:t>达标结论：</w:t>
            </w:r>
            <w:r>
              <w:rPr>
                <w:rFonts w:ascii="Times New Roman" w:hAnsi="Times New Roman" w:eastAsia="Times New Roman"/>
                <w:sz w:val="18"/>
              </w:rPr>
              <w:t>a</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b</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c</w:t>
            </w:r>
            <w:r>
              <w:rPr>
                <w:sz w:val="18"/>
              </w:rPr>
              <w:t>）</w:t>
            </w:r>
            <w:r>
              <w:rPr>
                <w:rFonts w:ascii="Times New Roman" w:hAnsi="Times New Roman" w:eastAsia="Times New Roman"/>
                <w:sz w:val="21"/>
              </w:rPr>
              <w:t>□</w:t>
            </w:r>
          </w:p>
          <w:p>
            <w:pPr>
              <w:pStyle w:val="18"/>
              <w:spacing w:before="65"/>
              <w:ind w:left="123"/>
              <w:jc w:val="left"/>
              <w:rPr>
                <w:rFonts w:ascii="Times New Roman" w:hAnsi="Times New Roman" w:eastAsia="Times New Roman"/>
                <w:sz w:val="21"/>
              </w:rPr>
            </w:pPr>
            <w:r>
              <w:rPr>
                <w:sz w:val="18"/>
              </w:rPr>
              <w:t>不达标结论：</w:t>
            </w:r>
            <w:r>
              <w:rPr>
                <w:rFonts w:ascii="Times New Roman" w:hAnsi="Times New Roman" w:eastAsia="Times New Roman"/>
                <w:sz w:val="18"/>
              </w:rPr>
              <w:t>a</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b</w:t>
            </w:r>
            <w:r>
              <w:rPr>
                <w:sz w:val="18"/>
              </w:rPr>
              <w:t>）</w:t>
            </w:r>
            <w:r>
              <w:rPr>
                <w:rFonts w:ascii="Times New Roman" w:hAnsi="Times New Roman" w:eastAsia="Times New Roman"/>
                <w:sz w:val="21"/>
              </w:rPr>
              <w:t>□</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restart"/>
          </w:tcPr>
          <w:p>
            <w:pPr>
              <w:pStyle w:val="18"/>
              <w:jc w:val="left"/>
              <w:rPr>
                <w:b/>
                <w:sz w:val="18"/>
              </w:rPr>
            </w:pPr>
          </w:p>
          <w:p>
            <w:pPr>
              <w:pStyle w:val="18"/>
              <w:spacing w:before="3"/>
              <w:jc w:val="left"/>
              <w:rPr>
                <w:b/>
                <w:sz w:val="26"/>
              </w:rPr>
            </w:pPr>
          </w:p>
          <w:p>
            <w:pPr>
              <w:pStyle w:val="18"/>
              <w:spacing w:line="324" w:lineRule="auto"/>
              <w:ind w:left="27" w:right="14"/>
              <w:jc w:val="left"/>
              <w:rPr>
                <w:sz w:val="18"/>
              </w:rPr>
            </w:pPr>
            <w:r>
              <w:rPr>
                <w:sz w:val="18"/>
              </w:rPr>
              <w:t>防治措施</w:t>
            </w:r>
          </w:p>
        </w:tc>
        <w:tc>
          <w:tcPr>
            <w:tcW w:w="1626" w:type="dxa"/>
          </w:tcPr>
          <w:p>
            <w:pPr>
              <w:pStyle w:val="18"/>
              <w:spacing w:before="56"/>
              <w:ind w:left="73" w:right="62"/>
              <w:rPr>
                <w:sz w:val="18"/>
              </w:rPr>
            </w:pPr>
            <w:r>
              <w:rPr>
                <w:sz w:val="18"/>
              </w:rPr>
              <w:t>防控措施</w:t>
            </w:r>
          </w:p>
        </w:tc>
        <w:tc>
          <w:tcPr>
            <w:tcW w:w="5123" w:type="dxa"/>
            <w:gridSpan w:val="6"/>
          </w:tcPr>
          <w:p>
            <w:pPr>
              <w:pStyle w:val="18"/>
              <w:spacing w:before="47"/>
              <w:ind w:left="3"/>
              <w:jc w:val="left"/>
              <w:rPr>
                <w:sz w:val="18"/>
              </w:rPr>
            </w:pPr>
            <w:r>
              <w:rPr>
                <w:sz w:val="18"/>
              </w:rPr>
              <w:t>土壤环境质量现状保障</w:t>
            </w:r>
            <w:r>
              <w:rPr>
                <w:rFonts w:ascii="Times New Roman" w:hAnsi="Times New Roman" w:eastAsia="Times New Roman"/>
                <w:sz w:val="21"/>
              </w:rPr>
              <w:t>□</w:t>
            </w:r>
            <w:r>
              <w:rPr>
                <w:sz w:val="18"/>
              </w:rPr>
              <w:t>；源头控制</w:t>
            </w:r>
            <w:r>
              <w:rPr>
                <w:rFonts w:ascii="Wingdings 2" w:hAnsi="Wingdings 2" w:eastAsia="Wingdings 2"/>
                <w:sz w:val="21"/>
              </w:rPr>
              <w:t></w:t>
            </w:r>
            <w:r>
              <w:rPr>
                <w:sz w:val="18"/>
              </w:rPr>
              <w:t>；过程防控</w:t>
            </w:r>
            <w:r>
              <w:rPr>
                <w:rFonts w:ascii="Wingdings 2" w:hAnsi="Wingdings 2" w:eastAsia="Wingdings 2"/>
                <w:sz w:val="21"/>
              </w:rPr>
              <w:t></w:t>
            </w:r>
            <w:r>
              <w:rPr>
                <w:sz w:val="18"/>
              </w:rPr>
              <w:t>；其他（）</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vMerge w:val="restart"/>
          </w:tcPr>
          <w:p>
            <w:pPr>
              <w:pStyle w:val="18"/>
              <w:jc w:val="left"/>
              <w:rPr>
                <w:b/>
                <w:sz w:val="18"/>
              </w:rPr>
            </w:pPr>
          </w:p>
          <w:p>
            <w:pPr>
              <w:pStyle w:val="18"/>
              <w:spacing w:before="142"/>
              <w:ind w:left="453"/>
              <w:jc w:val="left"/>
              <w:rPr>
                <w:sz w:val="18"/>
              </w:rPr>
            </w:pPr>
            <w:r>
              <w:rPr>
                <w:sz w:val="18"/>
              </w:rPr>
              <w:t>跟踪监测</w:t>
            </w:r>
          </w:p>
        </w:tc>
        <w:tc>
          <w:tcPr>
            <w:tcW w:w="1707" w:type="dxa"/>
            <w:gridSpan w:val="2"/>
          </w:tcPr>
          <w:p>
            <w:pPr>
              <w:pStyle w:val="18"/>
              <w:spacing w:before="54"/>
              <w:ind w:left="493"/>
              <w:jc w:val="left"/>
              <w:rPr>
                <w:sz w:val="18"/>
              </w:rPr>
            </w:pPr>
            <w:r>
              <w:rPr>
                <w:sz w:val="18"/>
              </w:rPr>
              <w:t>监测点数</w:t>
            </w:r>
          </w:p>
        </w:tc>
        <w:tc>
          <w:tcPr>
            <w:tcW w:w="1708" w:type="dxa"/>
            <w:gridSpan w:val="2"/>
          </w:tcPr>
          <w:p>
            <w:pPr>
              <w:pStyle w:val="18"/>
              <w:spacing w:before="54"/>
              <w:ind w:left="492"/>
              <w:jc w:val="left"/>
              <w:rPr>
                <w:sz w:val="18"/>
              </w:rPr>
            </w:pPr>
            <w:r>
              <w:rPr>
                <w:sz w:val="18"/>
              </w:rPr>
              <w:t>监测指标</w:t>
            </w:r>
          </w:p>
        </w:tc>
        <w:tc>
          <w:tcPr>
            <w:tcW w:w="1708" w:type="dxa"/>
            <w:gridSpan w:val="2"/>
          </w:tcPr>
          <w:p>
            <w:pPr>
              <w:pStyle w:val="18"/>
              <w:spacing w:before="54"/>
              <w:ind w:left="493"/>
              <w:jc w:val="left"/>
              <w:rPr>
                <w:sz w:val="18"/>
              </w:rPr>
            </w:pPr>
            <w:r>
              <w:rPr>
                <w:sz w:val="18"/>
              </w:rPr>
              <w:t>监测频次</w:t>
            </w:r>
          </w:p>
        </w:tc>
        <w:tc>
          <w:tcPr>
            <w:tcW w:w="1151" w:type="dxa"/>
            <w:vMerge w:val="restart"/>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4" w:type="dxa"/>
            <w:vMerge w:val="continue"/>
            <w:tcBorders>
              <w:top w:val="nil"/>
            </w:tcBorders>
          </w:tcPr>
          <w:p>
            <w:pPr>
              <w:rPr>
                <w:sz w:val="2"/>
                <w:szCs w:val="2"/>
              </w:rPr>
            </w:pPr>
          </w:p>
        </w:tc>
        <w:tc>
          <w:tcPr>
            <w:tcW w:w="1626" w:type="dxa"/>
            <w:vMerge w:val="continue"/>
            <w:tcBorders>
              <w:top w:val="nil"/>
            </w:tcBorders>
          </w:tcPr>
          <w:p>
            <w:pPr>
              <w:rPr>
                <w:sz w:val="2"/>
                <w:szCs w:val="2"/>
              </w:rPr>
            </w:pPr>
          </w:p>
        </w:tc>
        <w:tc>
          <w:tcPr>
            <w:tcW w:w="1707" w:type="dxa"/>
            <w:gridSpan w:val="2"/>
          </w:tcPr>
          <w:p>
            <w:pPr>
              <w:pStyle w:val="18"/>
              <w:spacing w:before="2"/>
              <w:jc w:val="left"/>
              <w:rPr>
                <w:b/>
                <w:sz w:val="16"/>
              </w:rPr>
            </w:pPr>
          </w:p>
          <w:p>
            <w:pPr>
              <w:pStyle w:val="18"/>
              <w:spacing w:before="1"/>
              <w:ind w:left="8"/>
              <w:rPr>
                <w:rFonts w:ascii="Times New Roman"/>
                <w:sz w:val="18"/>
              </w:rPr>
            </w:pPr>
            <w:r>
              <w:rPr>
                <w:rFonts w:ascii="Times New Roman"/>
                <w:sz w:val="18"/>
              </w:rPr>
              <w:t>1</w:t>
            </w:r>
          </w:p>
        </w:tc>
        <w:tc>
          <w:tcPr>
            <w:tcW w:w="1708" w:type="dxa"/>
            <w:gridSpan w:val="2"/>
          </w:tcPr>
          <w:p>
            <w:pPr>
              <w:pStyle w:val="18"/>
              <w:spacing w:before="40"/>
              <w:ind w:right="76"/>
              <w:rPr>
                <w:sz w:val="18"/>
              </w:rPr>
            </w:pPr>
            <w:r>
              <w:rPr>
                <w:sz w:val="18"/>
              </w:rPr>
              <w:t>镉、汞、砷、铅、铬</w:t>
            </w:r>
          </w:p>
          <w:p>
            <w:pPr>
              <w:pStyle w:val="18"/>
              <w:spacing w:before="81"/>
              <w:ind w:left="85" w:right="76"/>
              <w:rPr>
                <w:sz w:val="18"/>
              </w:rPr>
            </w:pPr>
            <w:r>
              <w:rPr>
                <w:sz w:val="18"/>
              </w:rPr>
              <w:t>铜、镍、锌</w:t>
            </w:r>
          </w:p>
        </w:tc>
        <w:tc>
          <w:tcPr>
            <w:tcW w:w="1708" w:type="dxa"/>
            <w:gridSpan w:val="2"/>
          </w:tcPr>
          <w:p>
            <w:pPr>
              <w:pStyle w:val="18"/>
              <w:spacing w:before="40" w:line="193" w:lineRule="exact"/>
              <w:ind w:left="-95"/>
              <w:jc w:val="left"/>
              <w:rPr>
                <w:sz w:val="18"/>
              </w:rPr>
            </w:pPr>
            <w:r>
              <w:rPr>
                <w:sz w:val="18"/>
              </w:rPr>
              <w:t>、</w:t>
            </w:r>
          </w:p>
          <w:p>
            <w:pPr>
              <w:pStyle w:val="18"/>
              <w:spacing w:line="193" w:lineRule="exact"/>
              <w:ind w:left="82" w:right="76"/>
              <w:rPr>
                <w:sz w:val="18"/>
              </w:rPr>
            </w:pPr>
            <w:r>
              <w:rPr>
                <w:rFonts w:ascii="Times New Roman" w:eastAsia="Times New Roman"/>
                <w:sz w:val="18"/>
              </w:rPr>
              <w:t>1</w:t>
            </w:r>
            <w:r>
              <w:rPr>
                <w:sz w:val="18"/>
              </w:rPr>
              <w:t>次</w:t>
            </w:r>
            <w:r>
              <w:rPr>
                <w:rFonts w:ascii="Times New Roman" w:eastAsia="Times New Roman"/>
                <w:sz w:val="18"/>
              </w:rPr>
              <w:t>/</w:t>
            </w:r>
            <w:r>
              <w:rPr>
                <w:sz w:val="18"/>
              </w:rPr>
              <w:t>年</w:t>
            </w:r>
          </w:p>
        </w:tc>
        <w:tc>
          <w:tcPr>
            <w:tcW w:w="11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tcBorders>
          </w:tcPr>
          <w:p>
            <w:pPr>
              <w:rPr>
                <w:sz w:val="2"/>
                <w:szCs w:val="2"/>
              </w:rPr>
            </w:pPr>
          </w:p>
        </w:tc>
        <w:tc>
          <w:tcPr>
            <w:tcW w:w="1626" w:type="dxa"/>
          </w:tcPr>
          <w:p>
            <w:pPr>
              <w:pStyle w:val="18"/>
              <w:spacing w:before="54"/>
              <w:ind w:left="73" w:right="62"/>
              <w:rPr>
                <w:sz w:val="18"/>
              </w:rPr>
            </w:pPr>
            <w:r>
              <w:rPr>
                <w:sz w:val="18"/>
              </w:rPr>
              <w:t>信息公开指标</w:t>
            </w:r>
          </w:p>
        </w:tc>
        <w:tc>
          <w:tcPr>
            <w:tcW w:w="5123" w:type="dxa"/>
            <w:gridSpan w:val="6"/>
          </w:tcPr>
          <w:p>
            <w:pPr>
              <w:pStyle w:val="18"/>
              <w:spacing w:before="54"/>
              <w:ind w:left="1210"/>
              <w:jc w:val="left"/>
              <w:rPr>
                <w:sz w:val="18"/>
              </w:rPr>
            </w:pPr>
            <w:r>
              <w:rPr>
                <w:sz w:val="18"/>
              </w:rPr>
              <w:t>镉、汞、砷、铅、铬、铜、镍、锌</w:t>
            </w:r>
          </w:p>
        </w:tc>
        <w:tc>
          <w:tcPr>
            <w:tcW w:w="11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40" w:type="dxa"/>
            <w:gridSpan w:val="2"/>
          </w:tcPr>
          <w:p>
            <w:pPr>
              <w:pStyle w:val="18"/>
              <w:spacing w:before="3"/>
              <w:jc w:val="left"/>
              <w:rPr>
                <w:b/>
                <w:sz w:val="15"/>
              </w:rPr>
            </w:pPr>
          </w:p>
          <w:p>
            <w:pPr>
              <w:pStyle w:val="18"/>
              <w:spacing w:before="1"/>
              <w:ind w:left="658"/>
              <w:jc w:val="left"/>
              <w:rPr>
                <w:sz w:val="18"/>
              </w:rPr>
            </w:pPr>
            <w:r>
              <w:rPr>
                <w:sz w:val="18"/>
              </w:rPr>
              <w:t>评价结论</w:t>
            </w:r>
          </w:p>
        </w:tc>
        <w:tc>
          <w:tcPr>
            <w:tcW w:w="5123" w:type="dxa"/>
            <w:gridSpan w:val="6"/>
          </w:tcPr>
          <w:p>
            <w:pPr>
              <w:pStyle w:val="18"/>
              <w:spacing w:before="40"/>
              <w:ind w:left="3"/>
              <w:jc w:val="left"/>
              <w:rPr>
                <w:sz w:val="18"/>
              </w:rPr>
            </w:pPr>
            <w:r>
              <w:rPr>
                <w:sz w:val="18"/>
              </w:rPr>
              <w:t>土壤环境影响可以接受，区域土壤环境质量不因本项目的建设恶</w:t>
            </w:r>
          </w:p>
          <w:p>
            <w:pPr>
              <w:pStyle w:val="18"/>
              <w:spacing w:before="81"/>
              <w:ind w:left="3"/>
              <w:jc w:val="left"/>
              <w:rPr>
                <w:sz w:val="18"/>
              </w:rPr>
            </w:pPr>
            <w:r>
              <w:rPr>
                <w:sz w:val="18"/>
              </w:rPr>
              <w:t>产生恶化。</w:t>
            </w:r>
          </w:p>
        </w:tc>
        <w:tc>
          <w:tcPr>
            <w:tcW w:w="1151"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314" w:type="dxa"/>
            <w:gridSpan w:val="9"/>
          </w:tcPr>
          <w:p>
            <w:pPr>
              <w:pStyle w:val="18"/>
              <w:spacing w:before="33"/>
              <w:ind w:left="3"/>
              <w:jc w:val="left"/>
              <w:rPr>
                <w:sz w:val="18"/>
              </w:rPr>
            </w:pPr>
            <w:r>
              <w:rPr>
                <w:sz w:val="18"/>
              </w:rPr>
              <w:t>注</w:t>
            </w:r>
            <w:r>
              <w:rPr>
                <w:rFonts w:ascii="Times New Roman" w:hAnsi="Times New Roman" w:eastAsia="Times New Roman"/>
                <w:sz w:val="18"/>
              </w:rPr>
              <w:t>1</w:t>
            </w:r>
            <w:r>
              <w:rPr>
                <w:sz w:val="18"/>
              </w:rPr>
              <w:t>：“</w:t>
            </w:r>
            <w:r>
              <w:rPr>
                <w:rFonts w:ascii="Times New Roman" w:hAnsi="Times New Roman" w:eastAsia="Times New Roman"/>
                <w:sz w:val="21"/>
              </w:rPr>
              <w:t>□</w:t>
            </w:r>
            <w:r>
              <w:rPr>
                <w:rFonts w:hint="eastAsia" w:ascii="仿宋" w:hAnsi="仿宋" w:eastAsia="仿宋"/>
                <w:sz w:val="18"/>
              </w:rPr>
              <w:t>”</w:t>
            </w:r>
            <w:r>
              <w:rPr>
                <w:sz w:val="18"/>
              </w:rPr>
              <w:t>为勾选项，可</w:t>
            </w:r>
            <w:r>
              <w:rPr>
                <w:rFonts w:ascii="Times New Roman" w:hAnsi="Times New Roman" w:eastAsia="Times New Roman"/>
                <w:sz w:val="18"/>
              </w:rPr>
              <w:t>√</w:t>
            </w:r>
            <w:r>
              <w:rPr>
                <w:sz w:val="18"/>
              </w:rPr>
              <w:t>；“（）”为内容填写项；“备注”为其他补充内容。</w:t>
            </w:r>
          </w:p>
          <w:p>
            <w:pPr>
              <w:pStyle w:val="18"/>
              <w:spacing w:before="74"/>
              <w:ind w:left="3"/>
              <w:jc w:val="left"/>
              <w:rPr>
                <w:sz w:val="18"/>
              </w:rPr>
            </w:pPr>
            <w:r>
              <w:rPr>
                <w:sz w:val="18"/>
              </w:rPr>
              <w:t>注</w:t>
            </w:r>
            <w:r>
              <w:rPr>
                <w:rFonts w:ascii="Times New Roman" w:eastAsia="Times New Roman"/>
                <w:sz w:val="18"/>
              </w:rPr>
              <w:t>2</w:t>
            </w:r>
            <w:r>
              <w:rPr>
                <w:sz w:val="18"/>
              </w:rPr>
              <w:t>：需要分别开展土壤环境影响评级工作的，分别填写自查表。</w:t>
            </w:r>
          </w:p>
        </w:tc>
      </w:tr>
    </w:tbl>
    <w:p>
      <w:pPr>
        <w:spacing w:after="0"/>
        <w:jc w:val="left"/>
        <w:rPr>
          <w:sz w:val="18"/>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8"/>
        <w:ind w:left="0"/>
        <w:rPr>
          <w:b/>
          <w:sz w:val="9"/>
        </w:rPr>
      </w:pPr>
    </w:p>
    <w:p>
      <w:pPr>
        <w:pStyle w:val="17"/>
        <w:numPr>
          <w:ilvl w:val="2"/>
          <w:numId w:val="43"/>
        </w:numPr>
        <w:tabs>
          <w:tab w:val="left" w:pos="1241"/>
        </w:tabs>
        <w:spacing w:before="73" w:after="0" w:line="240" w:lineRule="auto"/>
        <w:ind w:left="1240" w:right="0" w:hanging="701"/>
        <w:jc w:val="both"/>
        <w:outlineLvl w:val="2"/>
        <w:rPr>
          <w:b/>
          <w:sz w:val="28"/>
        </w:rPr>
      </w:pPr>
      <w:bookmarkStart w:id="323" w:name="5.2.6 生态环境影响分析"/>
      <w:bookmarkEnd w:id="323"/>
      <w:bookmarkStart w:id="324" w:name="5.2.6 生态环境影响分析"/>
      <w:bookmarkEnd w:id="324"/>
      <w:bookmarkStart w:id="325" w:name="_Toc21063"/>
      <w:r>
        <w:rPr>
          <w:b/>
          <w:sz w:val="28"/>
        </w:rPr>
        <w:t>生态环境影响分析</w:t>
      </w:r>
      <w:bookmarkEnd w:id="325"/>
    </w:p>
    <w:p>
      <w:pPr>
        <w:pStyle w:val="7"/>
        <w:spacing w:before="5"/>
        <w:ind w:left="0"/>
        <w:rPr>
          <w:b/>
          <w:sz w:val="21"/>
        </w:rPr>
      </w:pPr>
    </w:p>
    <w:p>
      <w:pPr>
        <w:pStyle w:val="7"/>
        <w:spacing w:line="364" w:lineRule="auto"/>
        <w:ind w:right="577" w:firstLine="480"/>
        <w:jc w:val="both"/>
      </w:pPr>
      <w:r>
        <w:rPr>
          <w:spacing w:val="-6"/>
        </w:rPr>
        <w:t>项目所在地地表荒漠植被退化严重，植被覆盖率很低。本项目建成后，养殖</w:t>
      </w:r>
      <w:r>
        <w:rPr>
          <w:spacing w:val="-8"/>
        </w:rPr>
        <w:t>场将建成混凝土地面，并在空地和厂界四周进行绿化，项目所在区域将会因为项</w:t>
      </w:r>
      <w:r>
        <w:rPr>
          <w:spacing w:val="-9"/>
        </w:rPr>
        <w:t>目的建设而受益，植被覆盖率增大，多样性增加，使该地区的生态得到有效的改</w:t>
      </w:r>
      <w:r>
        <w:rPr>
          <w:spacing w:val="-10"/>
        </w:rPr>
        <w:t>善。因此本项目的实施可以提高土地利用率和生产力，且绿化种植一方面可以起</w:t>
      </w:r>
      <w:r>
        <w:rPr>
          <w:spacing w:val="-7"/>
        </w:rPr>
        <w:t>到降噪降恶臭的环境功能，另一方面更利于对地表径流水的吸收，有利于水土保</w:t>
      </w:r>
      <w:r>
        <w:t>持，减少土壤侵蚀。综合来说对当地生态的影响，利大于弊。</w:t>
      </w:r>
    </w:p>
    <w:p>
      <w:pPr>
        <w:pStyle w:val="7"/>
        <w:spacing w:before="4"/>
        <w:ind w:left="0"/>
        <w:rPr>
          <w:sz w:val="21"/>
        </w:rPr>
      </w:pPr>
    </w:p>
    <w:p>
      <w:pPr>
        <w:pStyle w:val="5"/>
        <w:numPr>
          <w:ilvl w:val="2"/>
          <w:numId w:val="43"/>
        </w:numPr>
        <w:tabs>
          <w:tab w:val="left" w:pos="1241"/>
        </w:tabs>
        <w:spacing w:before="0" w:after="0" w:line="240" w:lineRule="auto"/>
        <w:ind w:left="1240" w:right="0" w:hanging="701"/>
        <w:jc w:val="both"/>
        <w:outlineLvl w:val="2"/>
      </w:pPr>
      <w:bookmarkStart w:id="326" w:name="5.2.7 环境风险分析"/>
      <w:bookmarkEnd w:id="326"/>
      <w:bookmarkStart w:id="327" w:name="5.2.7 环境风险分析"/>
      <w:bookmarkEnd w:id="327"/>
      <w:bookmarkStart w:id="328" w:name="_Toc5715"/>
      <w:r>
        <w:t>环境风险分析</w:t>
      </w:r>
      <w:bookmarkEnd w:id="328"/>
    </w:p>
    <w:p>
      <w:pPr>
        <w:pStyle w:val="7"/>
        <w:spacing w:before="7"/>
        <w:ind w:left="0"/>
        <w:rPr>
          <w:b/>
          <w:sz w:val="21"/>
        </w:rPr>
      </w:pPr>
    </w:p>
    <w:p>
      <w:pPr>
        <w:pStyle w:val="7"/>
        <w:spacing w:before="1" w:line="364" w:lineRule="auto"/>
        <w:ind w:right="455" w:firstLine="480"/>
      </w:pPr>
      <w:r>
        <w:rPr>
          <w:spacing w:val="-7"/>
        </w:rPr>
        <w:t>根据《建设项目环境风险评价技术导则》</w:t>
      </w:r>
      <w:r>
        <w:t>（</w:t>
      </w:r>
      <w:r>
        <w:rPr>
          <w:rFonts w:ascii="Times New Roman" w:eastAsia="Times New Roman"/>
        </w:rPr>
        <w:t>HJ169-2018</w:t>
      </w:r>
      <w:r>
        <w:t>）和国家环境保护总</w:t>
      </w:r>
      <w:r>
        <w:rPr>
          <w:spacing w:val="-9"/>
        </w:rPr>
        <w:t>局《关于防范环境风险加强环境影响评价管理的通知》，项目实施后环境风险评</w:t>
      </w:r>
      <w:r>
        <w:rPr>
          <w:spacing w:val="-19"/>
        </w:rPr>
        <w:t>价的基本内容包括风险调查、环境风险潜势初判、风险识别、风险事故情形分析、</w:t>
      </w:r>
      <w:r>
        <w:t>风险预测与评价、环境风险管理等，具体如下：</w:t>
      </w:r>
    </w:p>
    <w:p>
      <w:pPr>
        <w:pStyle w:val="17"/>
        <w:numPr>
          <w:ilvl w:val="0"/>
          <w:numId w:val="54"/>
        </w:numPr>
        <w:tabs>
          <w:tab w:val="left" w:pos="1621"/>
        </w:tabs>
        <w:spacing w:before="2" w:after="0" w:line="364" w:lineRule="auto"/>
        <w:ind w:left="540" w:right="580" w:firstLine="480"/>
        <w:jc w:val="left"/>
        <w:rPr>
          <w:sz w:val="24"/>
        </w:rPr>
      </w:pPr>
      <w:r>
        <w:rPr>
          <w:spacing w:val="-1"/>
          <w:sz w:val="24"/>
        </w:rPr>
        <w:t>项目风险调查。在分析建设项目物质及工艺系统危险性和环境敏感性</w:t>
      </w:r>
      <w:r>
        <w:rPr>
          <w:sz w:val="24"/>
        </w:rPr>
        <w:t>的基础下，进行风险潜势的判断，确定风险评价等级。</w:t>
      </w:r>
    </w:p>
    <w:p>
      <w:pPr>
        <w:pStyle w:val="17"/>
        <w:numPr>
          <w:ilvl w:val="0"/>
          <w:numId w:val="54"/>
        </w:numPr>
        <w:tabs>
          <w:tab w:val="left" w:pos="1621"/>
        </w:tabs>
        <w:spacing w:before="1" w:after="0" w:line="364" w:lineRule="auto"/>
        <w:ind w:left="540" w:right="580" w:firstLine="480"/>
        <w:jc w:val="left"/>
        <w:rPr>
          <w:sz w:val="24"/>
        </w:rPr>
      </w:pPr>
      <w:r>
        <w:rPr>
          <w:spacing w:val="-1"/>
          <w:sz w:val="24"/>
        </w:rPr>
        <w:t>项目风险识别及风险事故情形分析。明确危险物质在生产系统中的主</w:t>
      </w:r>
      <w:r>
        <w:rPr>
          <w:sz w:val="24"/>
        </w:rPr>
        <w:t>要分布，筛选具有代表性的风险事故情形，合理设定事故源项。</w:t>
      </w:r>
    </w:p>
    <w:p>
      <w:pPr>
        <w:pStyle w:val="17"/>
        <w:numPr>
          <w:ilvl w:val="0"/>
          <w:numId w:val="54"/>
        </w:numPr>
        <w:tabs>
          <w:tab w:val="left" w:pos="1621"/>
        </w:tabs>
        <w:spacing w:before="1" w:after="0" w:line="364" w:lineRule="auto"/>
        <w:ind w:left="540" w:right="580" w:firstLine="480"/>
        <w:jc w:val="left"/>
        <w:rPr>
          <w:sz w:val="24"/>
        </w:rPr>
      </w:pPr>
      <w:r>
        <w:rPr>
          <w:spacing w:val="-1"/>
          <w:sz w:val="24"/>
        </w:rPr>
        <w:t>开展预测评价。各环境要素按确定的评价工作等级分别预测评价，并</w:t>
      </w:r>
      <w:r>
        <w:rPr>
          <w:sz w:val="24"/>
        </w:rPr>
        <w:t>分析说明环境风险危害范围与程度，提出环境风险防范的基本要求。</w:t>
      </w:r>
    </w:p>
    <w:p>
      <w:pPr>
        <w:pStyle w:val="17"/>
        <w:numPr>
          <w:ilvl w:val="0"/>
          <w:numId w:val="54"/>
        </w:numPr>
        <w:tabs>
          <w:tab w:val="left" w:pos="1621"/>
        </w:tabs>
        <w:spacing w:before="2" w:after="0" w:line="364" w:lineRule="auto"/>
        <w:ind w:left="540" w:right="580" w:firstLine="480"/>
        <w:jc w:val="left"/>
        <w:rPr>
          <w:sz w:val="24"/>
        </w:rPr>
      </w:pPr>
      <w:r>
        <w:rPr>
          <w:spacing w:val="-1"/>
          <w:sz w:val="24"/>
        </w:rPr>
        <w:t>提出环境风险管理对策，明确环境风险防范措施及突发环境事件应急</w:t>
      </w:r>
      <w:r>
        <w:rPr>
          <w:sz w:val="24"/>
        </w:rPr>
        <w:t>预案编制要求。</w:t>
      </w:r>
    </w:p>
    <w:p>
      <w:pPr>
        <w:pStyle w:val="17"/>
        <w:numPr>
          <w:ilvl w:val="0"/>
          <w:numId w:val="54"/>
        </w:numPr>
        <w:tabs>
          <w:tab w:val="left" w:pos="1621"/>
        </w:tabs>
        <w:spacing w:before="1" w:after="0" w:line="240" w:lineRule="auto"/>
        <w:ind w:left="1621" w:right="0" w:hanging="601"/>
        <w:jc w:val="left"/>
        <w:rPr>
          <w:sz w:val="24"/>
        </w:rPr>
      </w:pPr>
      <w:r>
        <w:rPr>
          <w:sz w:val="24"/>
        </w:rPr>
        <w:t>综合环境风险评价过程，给出评价结论与建议。</w:t>
      </w:r>
    </w:p>
    <w:p>
      <w:pPr>
        <w:pStyle w:val="5"/>
        <w:numPr>
          <w:ilvl w:val="3"/>
          <w:numId w:val="55"/>
        </w:numPr>
        <w:bidi w:val="0"/>
      </w:pPr>
      <w:bookmarkStart w:id="329" w:name="5.2.7.1 环境风险评价原则"/>
      <w:bookmarkEnd w:id="329"/>
      <w:bookmarkStart w:id="330" w:name="5.2.7.1 环境风险评价原则"/>
      <w:bookmarkEnd w:id="330"/>
      <w:r>
        <w:t>环境风险评价原则</w:t>
      </w:r>
    </w:p>
    <w:p>
      <w:pPr>
        <w:pStyle w:val="7"/>
        <w:spacing w:before="168" w:line="364" w:lineRule="auto"/>
        <w:ind w:right="457" w:firstLine="480"/>
        <w:jc w:val="both"/>
      </w:pPr>
      <w:r>
        <w:rPr>
          <w:spacing w:val="-3"/>
        </w:rPr>
        <w:t>环境风险评价应以突发性事故导致的危险物质环境急性损害防控为目标，对</w:t>
      </w:r>
      <w:r>
        <w:rPr>
          <w:spacing w:val="-8"/>
        </w:rPr>
        <w:t>建设项目的环境风险进行分析、预测和评估，提出环境风险预防、控制、减缓措</w:t>
      </w:r>
      <w:r>
        <w:rPr>
          <w:spacing w:val="-18"/>
        </w:rPr>
        <w:t>施，明确环境风险监控及应急建议要求，为建设项目环境风险防控提供科学依据。</w:t>
      </w:r>
    </w:p>
    <w:p>
      <w:pPr>
        <w:pStyle w:val="5"/>
        <w:numPr>
          <w:ilvl w:val="3"/>
          <w:numId w:val="55"/>
        </w:numPr>
        <w:bidi w:val="0"/>
      </w:pPr>
      <w:bookmarkStart w:id="331" w:name="5.2.7.2 评价程序"/>
      <w:bookmarkEnd w:id="331"/>
      <w:bookmarkStart w:id="332" w:name="5.2.7.2 评价程序"/>
      <w:bookmarkEnd w:id="332"/>
      <w:r>
        <w:t>评价程序</w:t>
      </w:r>
    </w:p>
    <w:p>
      <w:pPr>
        <w:pStyle w:val="7"/>
        <w:spacing w:before="170"/>
        <w:ind w:left="1020"/>
      </w:pPr>
      <w:r>
        <w:t>环境风险评价程序见图</w:t>
      </w:r>
      <w:r>
        <w:rPr>
          <w:rFonts w:ascii="Times New Roman" w:eastAsia="Times New Roman"/>
        </w:rPr>
        <w:t>5.2-1</w:t>
      </w:r>
      <w:r>
        <w:t>。</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6"/>
        <w:ind w:left="0"/>
        <w:rPr>
          <w:sz w:val="5"/>
        </w:rPr>
      </w:pPr>
    </w:p>
    <w:p>
      <w:pPr>
        <w:pStyle w:val="7"/>
        <w:ind w:left="1265"/>
        <w:rPr>
          <w:sz w:val="20"/>
        </w:rPr>
      </w:pPr>
      <w:r>
        <w:rPr>
          <w:sz w:val="20"/>
        </w:rPr>
        <w:drawing>
          <wp:inline distT="0" distB="0" distL="0" distR="0">
            <wp:extent cx="4439285" cy="456882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48" cstate="print"/>
                    <a:stretch>
                      <a:fillRect/>
                    </a:stretch>
                  </pic:blipFill>
                  <pic:spPr>
                    <a:xfrm>
                      <a:off x="0" y="0"/>
                      <a:ext cx="4439351" cy="4569333"/>
                    </a:xfrm>
                    <a:prstGeom prst="rect">
                      <a:avLst/>
                    </a:prstGeom>
                  </pic:spPr>
                </pic:pic>
              </a:graphicData>
            </a:graphic>
          </wp:inline>
        </w:drawing>
      </w:r>
    </w:p>
    <w:p>
      <w:pPr>
        <w:pStyle w:val="7"/>
        <w:bidi w:val="0"/>
        <w:jc w:val="center"/>
      </w:pPr>
      <w:r>
        <w:t>图</w:t>
      </w:r>
      <w:r>
        <w:rPr>
          <w:rFonts w:ascii="Times New Roman" w:eastAsia="Times New Roman"/>
        </w:rPr>
        <w:t>5.2-1</w:t>
      </w:r>
      <w:r>
        <w:rPr>
          <w:rFonts w:ascii="Times New Roman" w:eastAsia="Times New Roman"/>
        </w:rPr>
        <w:tab/>
      </w:r>
      <w:r>
        <w:t>环境风险评价流程框图</w:t>
      </w:r>
    </w:p>
    <w:p>
      <w:pPr>
        <w:pStyle w:val="7"/>
        <w:spacing w:before="3"/>
        <w:ind w:left="0"/>
        <w:rPr>
          <w:b/>
          <w:sz w:val="19"/>
        </w:rPr>
      </w:pPr>
    </w:p>
    <w:p>
      <w:pPr>
        <w:pStyle w:val="5"/>
        <w:numPr>
          <w:ilvl w:val="3"/>
          <w:numId w:val="55"/>
        </w:numPr>
        <w:bidi w:val="0"/>
      </w:pPr>
      <w:bookmarkStart w:id="333" w:name="5.2.7.3 环境风险源调查"/>
      <w:bookmarkEnd w:id="333"/>
      <w:bookmarkStart w:id="334" w:name="5.2.7.3 环境风险源调查"/>
      <w:bookmarkEnd w:id="334"/>
      <w:r>
        <w:t>环境风险源调查</w:t>
      </w:r>
    </w:p>
    <w:p>
      <w:pPr>
        <w:pStyle w:val="7"/>
        <w:spacing w:before="168" w:line="364" w:lineRule="auto"/>
        <w:ind w:right="485" w:firstLine="480"/>
      </w:pPr>
      <w:r>
        <w:rPr>
          <w:spacing w:val="-1"/>
        </w:rPr>
        <w:t>本项目畜禽规模化养殖项目，根据项目养殖场和有机肥厂的生产工艺特点，</w:t>
      </w:r>
      <w:r>
        <w:rPr>
          <w:spacing w:val="-10"/>
        </w:rPr>
        <w:t>使用物料特性，污染物的产生及储存方式，确定本项目涉及的有毒有害物质主要</w:t>
      </w:r>
      <w:r>
        <w:rPr>
          <w:spacing w:val="-11"/>
        </w:rPr>
        <w:t>为废气中的污染物氨和硫化氢，其主要来源于养羊棚舍、羊粪堆场排放的废气，</w:t>
      </w:r>
      <w:r>
        <w:rPr>
          <w:spacing w:val="-6"/>
        </w:rPr>
        <w:t>本项目氨和硫化氢产生后，随即经处理设施处理排放，不对其进行储存。项目区</w:t>
      </w:r>
      <w:r>
        <w:rPr>
          <w:spacing w:val="-12"/>
        </w:rPr>
        <w:t>暂未通入天然气管道，冬季采暖方式采用电采暖。本项目主要物料危险源辨识结</w:t>
      </w:r>
      <w:r>
        <w:rPr>
          <w:spacing w:val="-24"/>
        </w:rPr>
        <w:t>果见表</w:t>
      </w:r>
      <w:r>
        <w:rPr>
          <w:rFonts w:ascii="Times New Roman" w:eastAsia="Times New Roman"/>
        </w:rPr>
        <w:t>5.2-10</w:t>
      </w:r>
      <w:r>
        <w:t>。</w:t>
      </w:r>
    </w:p>
    <w:p>
      <w:pPr>
        <w:pStyle w:val="7"/>
        <w:bidi w:val="0"/>
        <w:jc w:val="center"/>
      </w:pPr>
      <w:r>
        <w:t>表</w:t>
      </w:r>
      <w:r>
        <w:rPr>
          <w:rFonts w:ascii="Times New Roman" w:eastAsia="Times New Roman"/>
        </w:rPr>
        <w:t>5.2-10</w:t>
      </w:r>
      <w:r>
        <w:rPr>
          <w:rFonts w:ascii="Times New Roman" w:eastAsia="Times New Roman"/>
        </w:rPr>
        <w:tab/>
      </w:r>
      <w:r>
        <w:t>重大危险源辨识表</w:t>
      </w:r>
    </w:p>
    <w:tbl>
      <w:tblPr>
        <w:tblStyle w:val="14"/>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4"/>
        <w:gridCol w:w="1519"/>
        <w:gridCol w:w="1553"/>
        <w:gridCol w:w="1516"/>
        <w:gridCol w:w="2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8"/>
              <w:spacing w:before="29"/>
              <w:ind w:left="330" w:right="319"/>
              <w:rPr>
                <w:b/>
                <w:sz w:val="21"/>
              </w:rPr>
            </w:pPr>
            <w:r>
              <w:rPr>
                <w:b/>
                <w:sz w:val="21"/>
              </w:rPr>
              <w:t>分类</w:t>
            </w:r>
          </w:p>
        </w:tc>
        <w:tc>
          <w:tcPr>
            <w:tcW w:w="1519" w:type="dxa"/>
          </w:tcPr>
          <w:p>
            <w:pPr>
              <w:pStyle w:val="18"/>
              <w:spacing w:before="29"/>
              <w:ind w:left="318" w:right="307"/>
              <w:rPr>
                <w:b/>
                <w:sz w:val="21"/>
              </w:rPr>
            </w:pPr>
            <w:r>
              <w:rPr>
                <w:b/>
                <w:sz w:val="21"/>
              </w:rPr>
              <w:t>物质名称</w:t>
            </w:r>
          </w:p>
        </w:tc>
        <w:tc>
          <w:tcPr>
            <w:tcW w:w="1553" w:type="dxa"/>
          </w:tcPr>
          <w:p>
            <w:pPr>
              <w:pStyle w:val="18"/>
              <w:spacing w:before="29"/>
              <w:ind w:left="194" w:right="183"/>
              <w:rPr>
                <w:b/>
                <w:sz w:val="21"/>
              </w:rPr>
            </w:pPr>
            <w:r>
              <w:rPr>
                <w:b/>
                <w:sz w:val="21"/>
              </w:rPr>
              <w:t>临界量（</w:t>
            </w:r>
            <w:r>
              <w:rPr>
                <w:rFonts w:ascii="Times New Roman" w:eastAsia="Times New Roman"/>
                <w:b/>
                <w:sz w:val="21"/>
              </w:rPr>
              <w:t>t</w:t>
            </w:r>
            <w:r>
              <w:rPr>
                <w:b/>
                <w:sz w:val="21"/>
              </w:rPr>
              <w:t>）</w:t>
            </w:r>
          </w:p>
        </w:tc>
        <w:tc>
          <w:tcPr>
            <w:tcW w:w="1516" w:type="dxa"/>
          </w:tcPr>
          <w:p>
            <w:pPr>
              <w:pStyle w:val="18"/>
              <w:spacing w:before="29"/>
              <w:ind w:left="89" w:right="42"/>
              <w:rPr>
                <w:b/>
                <w:sz w:val="21"/>
              </w:rPr>
            </w:pPr>
            <w:r>
              <w:rPr>
                <w:b/>
                <w:sz w:val="21"/>
              </w:rPr>
              <w:t>在线贮量（</w:t>
            </w:r>
            <w:r>
              <w:rPr>
                <w:rFonts w:ascii="Times New Roman" w:eastAsia="Times New Roman"/>
                <w:b/>
                <w:sz w:val="21"/>
              </w:rPr>
              <w:t>t</w:t>
            </w:r>
            <w:r>
              <w:rPr>
                <w:b/>
                <w:sz w:val="21"/>
              </w:rPr>
              <w:t>）</w:t>
            </w:r>
          </w:p>
        </w:tc>
        <w:tc>
          <w:tcPr>
            <w:tcW w:w="2339" w:type="dxa"/>
          </w:tcPr>
          <w:p>
            <w:pPr>
              <w:pStyle w:val="18"/>
              <w:spacing w:before="29"/>
              <w:ind w:left="203" w:right="188"/>
              <w:rPr>
                <w:b/>
                <w:sz w:val="21"/>
              </w:rPr>
            </w:pPr>
            <w:r>
              <w:rPr>
                <w:b/>
                <w:sz w:val="21"/>
              </w:rPr>
              <w:t>是否构成重大危险源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8"/>
              <w:spacing w:before="30"/>
              <w:ind w:left="330" w:right="324"/>
              <w:rPr>
                <w:sz w:val="21"/>
              </w:rPr>
            </w:pPr>
            <w:r>
              <w:rPr>
                <w:sz w:val="21"/>
              </w:rPr>
              <w:t>有毒气体</w:t>
            </w:r>
          </w:p>
        </w:tc>
        <w:tc>
          <w:tcPr>
            <w:tcW w:w="1519" w:type="dxa"/>
          </w:tcPr>
          <w:p>
            <w:pPr>
              <w:pStyle w:val="18"/>
              <w:spacing w:before="30"/>
              <w:ind w:left="310" w:right="307"/>
              <w:rPr>
                <w:sz w:val="21"/>
              </w:rPr>
            </w:pPr>
            <w:r>
              <w:rPr>
                <w:sz w:val="21"/>
              </w:rPr>
              <w:t>氨气</w:t>
            </w:r>
          </w:p>
        </w:tc>
        <w:tc>
          <w:tcPr>
            <w:tcW w:w="1553" w:type="dxa"/>
          </w:tcPr>
          <w:p>
            <w:pPr>
              <w:pStyle w:val="18"/>
              <w:spacing w:before="44"/>
              <w:ind w:left="7"/>
              <w:rPr>
                <w:rFonts w:ascii="Times New Roman"/>
                <w:sz w:val="21"/>
              </w:rPr>
            </w:pPr>
            <w:r>
              <w:rPr>
                <w:rFonts w:ascii="Times New Roman"/>
                <w:w w:val="99"/>
                <w:sz w:val="21"/>
              </w:rPr>
              <w:t>5</w:t>
            </w:r>
          </w:p>
        </w:tc>
        <w:tc>
          <w:tcPr>
            <w:tcW w:w="1516" w:type="dxa"/>
          </w:tcPr>
          <w:p>
            <w:pPr>
              <w:pStyle w:val="18"/>
              <w:spacing w:before="44"/>
              <w:ind w:left="5"/>
              <w:rPr>
                <w:rFonts w:ascii="Times New Roman"/>
                <w:sz w:val="21"/>
              </w:rPr>
            </w:pPr>
            <w:r>
              <w:rPr>
                <w:rFonts w:ascii="Times New Roman"/>
                <w:w w:val="99"/>
                <w:sz w:val="21"/>
              </w:rPr>
              <w:t>0</w:t>
            </w:r>
          </w:p>
        </w:tc>
        <w:tc>
          <w:tcPr>
            <w:tcW w:w="2339" w:type="dxa"/>
          </w:tcPr>
          <w:p>
            <w:pPr>
              <w:pStyle w:val="18"/>
              <w:spacing w:before="30"/>
              <w:ind w:left="194" w:right="188"/>
              <w:rPr>
                <w:sz w:val="21"/>
              </w:rPr>
            </w:pPr>
            <w:r>
              <w:rPr>
                <w:sz w:val="21"/>
              </w:rPr>
              <w:t>不是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8"/>
              <w:spacing w:before="30"/>
              <w:ind w:left="330" w:right="324"/>
              <w:rPr>
                <w:sz w:val="21"/>
              </w:rPr>
            </w:pPr>
            <w:r>
              <w:rPr>
                <w:sz w:val="21"/>
              </w:rPr>
              <w:t>易燃气体</w:t>
            </w:r>
          </w:p>
        </w:tc>
        <w:tc>
          <w:tcPr>
            <w:tcW w:w="1519" w:type="dxa"/>
          </w:tcPr>
          <w:p>
            <w:pPr>
              <w:pStyle w:val="18"/>
              <w:spacing w:before="30"/>
              <w:ind w:left="315" w:right="307"/>
              <w:rPr>
                <w:sz w:val="21"/>
              </w:rPr>
            </w:pPr>
            <w:r>
              <w:rPr>
                <w:sz w:val="21"/>
              </w:rPr>
              <w:t>硫化氢</w:t>
            </w:r>
          </w:p>
        </w:tc>
        <w:tc>
          <w:tcPr>
            <w:tcW w:w="1553" w:type="dxa"/>
          </w:tcPr>
          <w:p>
            <w:pPr>
              <w:pStyle w:val="18"/>
              <w:spacing w:before="44"/>
              <w:ind w:left="190" w:right="183"/>
              <w:rPr>
                <w:rFonts w:ascii="Times New Roman"/>
                <w:sz w:val="21"/>
              </w:rPr>
            </w:pPr>
            <w:r>
              <w:rPr>
                <w:rFonts w:ascii="Times New Roman"/>
                <w:sz w:val="21"/>
              </w:rPr>
              <w:t>2.5</w:t>
            </w:r>
          </w:p>
        </w:tc>
        <w:tc>
          <w:tcPr>
            <w:tcW w:w="1516" w:type="dxa"/>
          </w:tcPr>
          <w:p>
            <w:pPr>
              <w:pStyle w:val="18"/>
              <w:spacing w:before="44"/>
              <w:ind w:left="5"/>
              <w:rPr>
                <w:rFonts w:ascii="Times New Roman"/>
                <w:sz w:val="21"/>
              </w:rPr>
            </w:pPr>
            <w:r>
              <w:rPr>
                <w:rFonts w:ascii="Times New Roman"/>
                <w:w w:val="99"/>
                <w:sz w:val="21"/>
              </w:rPr>
              <w:t>0</w:t>
            </w:r>
          </w:p>
        </w:tc>
        <w:tc>
          <w:tcPr>
            <w:tcW w:w="2339" w:type="dxa"/>
          </w:tcPr>
          <w:p>
            <w:pPr>
              <w:pStyle w:val="18"/>
              <w:spacing w:before="30"/>
              <w:ind w:left="194" w:right="188"/>
              <w:rPr>
                <w:sz w:val="21"/>
              </w:rPr>
            </w:pPr>
            <w:r>
              <w:rPr>
                <w:sz w:val="21"/>
              </w:rPr>
              <w:t>不是</w:t>
            </w:r>
          </w:p>
        </w:tc>
      </w:tr>
    </w:tbl>
    <w:p>
      <w:pPr>
        <w:pStyle w:val="7"/>
        <w:spacing w:before="6"/>
        <w:ind w:left="0"/>
        <w:rPr>
          <w:b/>
          <w:sz w:val="18"/>
        </w:rPr>
      </w:pPr>
    </w:p>
    <w:p>
      <w:pPr>
        <w:pStyle w:val="7"/>
        <w:spacing w:line="364" w:lineRule="auto"/>
        <w:ind w:right="575" w:firstLine="482"/>
        <w:jc w:val="both"/>
      </w:pPr>
      <w:r>
        <w:t>由上表可知，项目涉及《建设项目环境风险评价技术导则》（</w:t>
      </w:r>
      <w:r>
        <w:rPr>
          <w:rFonts w:ascii="Times New Roman" w:hAnsi="Times New Roman" w:eastAsia="Times New Roman"/>
        </w:rPr>
        <w:t>HJ69-2018</w:t>
      </w:r>
      <w:r>
        <w:t>）</w:t>
      </w:r>
      <w:r>
        <w:rPr>
          <w:spacing w:val="-21"/>
        </w:rPr>
        <w:t>附录</w:t>
      </w:r>
      <w:r>
        <w:rPr>
          <w:rFonts w:ascii="Times New Roman" w:hAnsi="Times New Roman" w:eastAsia="Times New Roman"/>
          <w:spacing w:val="-10"/>
        </w:rPr>
        <w:t>B</w:t>
      </w:r>
      <w:r>
        <w:rPr>
          <w:spacing w:val="-24"/>
        </w:rPr>
        <w:t>“表</w:t>
      </w:r>
      <w:r>
        <w:rPr>
          <w:rFonts w:ascii="Times New Roman" w:hAnsi="Times New Roman" w:eastAsia="Times New Roman"/>
        </w:rPr>
        <w:t>B.1</w:t>
      </w:r>
      <w:r>
        <w:rPr>
          <w:spacing w:val="-4"/>
        </w:rPr>
        <w:t>重点关注的危险物质及临界量”中氨气和硫化氢，项目不对其进行储存，因此，在生产场所的在线量为</w:t>
      </w:r>
      <w:r>
        <w:rPr>
          <w:rFonts w:ascii="Times New Roman" w:hAnsi="Times New Roman" w:eastAsia="Times New Roman"/>
        </w:rPr>
        <w:t>0</w:t>
      </w:r>
      <w:r>
        <w:t>，远小于临界量。</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因此，项目整体未构成危险源。</w:t>
      </w:r>
    </w:p>
    <w:p>
      <w:pPr>
        <w:pStyle w:val="5"/>
        <w:numPr>
          <w:ilvl w:val="3"/>
          <w:numId w:val="55"/>
        </w:numPr>
        <w:bidi w:val="0"/>
      </w:pPr>
      <w:bookmarkStart w:id="335" w:name="5.2.7.4 环境敏感目标调查"/>
      <w:bookmarkEnd w:id="335"/>
      <w:bookmarkStart w:id="336" w:name="5.2.7.4 环境敏感目标调查"/>
      <w:bookmarkEnd w:id="336"/>
      <w:r>
        <w:t>环境敏感目标调查</w:t>
      </w:r>
    </w:p>
    <w:p>
      <w:pPr>
        <w:pStyle w:val="7"/>
        <w:spacing w:before="168" w:line="364" w:lineRule="auto"/>
        <w:ind w:right="577" w:firstLine="480"/>
        <w:jc w:val="both"/>
      </w:pPr>
      <w:r>
        <w:rPr>
          <w:spacing w:val="-7"/>
        </w:rPr>
        <w:t>根据现场踏勘及相关资料查阅，项目所属区域内无自然保护区、文物古迹等</w:t>
      </w:r>
      <w:r>
        <w:rPr>
          <w:spacing w:val="-10"/>
        </w:rPr>
        <w:t>特殊敏感目标。项目区地处</w:t>
      </w:r>
      <w:r>
        <w:rPr>
          <w:rFonts w:hint="eastAsia"/>
          <w:spacing w:val="-10"/>
          <w:lang w:val="en-US" w:eastAsia="zh-CN"/>
        </w:rPr>
        <w:t>莎车县</w:t>
      </w:r>
      <w:r>
        <w:rPr>
          <w:rFonts w:hint="eastAsia"/>
          <w:color w:val="0000FF"/>
          <w:sz w:val="24"/>
          <w:szCs w:val="24"/>
          <w:lang w:val="en-US" w:eastAsia="zh-CN"/>
        </w:rPr>
        <w:t>托万巴格托格克拉村</w:t>
      </w:r>
      <w:r>
        <w:rPr>
          <w:rFonts w:hint="eastAsia"/>
          <w:spacing w:val="-10"/>
          <w:lang w:val="en-US" w:eastAsia="zh-CN"/>
        </w:rPr>
        <w:t>北</w:t>
      </w:r>
      <w:r>
        <w:rPr>
          <w:spacing w:val="-10"/>
        </w:rPr>
        <w:t>侧约</w:t>
      </w:r>
      <w:r>
        <w:rPr>
          <w:rFonts w:hint="eastAsia" w:ascii="Times New Roman"/>
          <w:lang w:val="en-US" w:eastAsia="zh-CN"/>
        </w:rPr>
        <w:t>2</w:t>
      </w:r>
      <w:r>
        <w:rPr>
          <w:rFonts w:ascii="Times New Roman" w:eastAsia="Times New Roman"/>
        </w:rPr>
        <w:t>km</w:t>
      </w:r>
      <w:r>
        <w:rPr>
          <w:spacing w:val="-11"/>
        </w:rPr>
        <w:t>处，项目周边环</w:t>
      </w:r>
      <w:r>
        <w:rPr>
          <w:spacing w:val="-8"/>
        </w:rPr>
        <w:t>境保护目标见表</w:t>
      </w:r>
      <w:r>
        <w:rPr>
          <w:rFonts w:ascii="Times New Roman" w:eastAsia="Times New Roman"/>
        </w:rPr>
        <w:t>5.2-11</w:t>
      </w:r>
      <w:r>
        <w:t>。</w:t>
      </w:r>
    </w:p>
    <w:p>
      <w:pPr>
        <w:pStyle w:val="7"/>
        <w:bidi w:val="0"/>
        <w:jc w:val="center"/>
      </w:pPr>
      <w:r>
        <w:t>表</w:t>
      </w:r>
      <w:r>
        <w:rPr>
          <w:rFonts w:ascii="Times New Roman" w:eastAsia="Times New Roman"/>
          <w:spacing w:val="-3"/>
        </w:rPr>
        <w:t>5.2-11</w:t>
      </w:r>
      <w:r>
        <w:rPr>
          <w:rFonts w:ascii="Times New Roman" w:eastAsia="Times New Roman"/>
          <w:spacing w:val="-3"/>
        </w:rPr>
        <w:tab/>
      </w:r>
      <w:r>
        <w:t>环境保护目标一览表</w:t>
      </w:r>
    </w:p>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774"/>
        <w:gridCol w:w="1110"/>
        <w:gridCol w:w="960"/>
        <w:gridCol w:w="990"/>
        <w:gridCol w:w="765"/>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709" w:type="dxa"/>
          </w:tcPr>
          <w:p>
            <w:pPr>
              <w:pStyle w:val="18"/>
              <w:spacing w:before="109" w:line="213" w:lineRule="auto"/>
              <w:ind w:left="142" w:right="134"/>
              <w:jc w:val="left"/>
              <w:rPr>
                <w:b/>
                <w:sz w:val="21"/>
              </w:rPr>
            </w:pPr>
            <w:r>
              <w:rPr>
                <w:b/>
                <w:sz w:val="21"/>
              </w:rPr>
              <w:t>环境要素</w:t>
            </w:r>
          </w:p>
        </w:tc>
        <w:tc>
          <w:tcPr>
            <w:tcW w:w="1774" w:type="dxa"/>
          </w:tcPr>
          <w:p>
            <w:pPr>
              <w:pStyle w:val="18"/>
              <w:spacing w:before="1"/>
              <w:jc w:val="left"/>
              <w:rPr>
                <w:sz w:val="16"/>
              </w:rPr>
            </w:pPr>
          </w:p>
          <w:p>
            <w:pPr>
              <w:pStyle w:val="18"/>
              <w:ind w:left="24" w:right="12"/>
              <w:rPr>
                <w:b/>
                <w:sz w:val="21"/>
              </w:rPr>
            </w:pPr>
            <w:r>
              <w:rPr>
                <w:b/>
                <w:sz w:val="21"/>
              </w:rPr>
              <w:t>敏感目标名称</w:t>
            </w:r>
          </w:p>
        </w:tc>
        <w:tc>
          <w:tcPr>
            <w:tcW w:w="1110" w:type="dxa"/>
          </w:tcPr>
          <w:p>
            <w:pPr>
              <w:pStyle w:val="18"/>
              <w:spacing w:before="109" w:line="213" w:lineRule="auto"/>
              <w:ind w:left="345" w:right="121" w:hanging="212"/>
              <w:jc w:val="left"/>
              <w:rPr>
                <w:b/>
                <w:sz w:val="21"/>
              </w:rPr>
            </w:pPr>
            <w:r>
              <w:rPr>
                <w:b/>
                <w:sz w:val="21"/>
              </w:rPr>
              <w:t>相对场址方位</w:t>
            </w:r>
          </w:p>
        </w:tc>
        <w:tc>
          <w:tcPr>
            <w:tcW w:w="960" w:type="dxa"/>
          </w:tcPr>
          <w:p>
            <w:pPr>
              <w:pStyle w:val="18"/>
              <w:spacing w:before="109" w:line="213" w:lineRule="auto"/>
              <w:ind w:left="36" w:right="46" w:firstLine="21"/>
              <w:jc w:val="left"/>
              <w:rPr>
                <w:rFonts w:ascii="Times New Roman" w:eastAsia="Times New Roman"/>
                <w:b/>
                <w:sz w:val="21"/>
              </w:rPr>
            </w:pPr>
            <w:r>
              <w:rPr>
                <w:b/>
                <w:sz w:val="21"/>
              </w:rPr>
              <w:t>相对场址距离（</w:t>
            </w:r>
            <w:r>
              <w:rPr>
                <w:rFonts w:ascii="Times New Roman" w:eastAsia="Times New Roman"/>
                <w:b/>
                <w:sz w:val="21"/>
              </w:rPr>
              <w:t>m</w:t>
            </w:r>
          </w:p>
        </w:tc>
        <w:tc>
          <w:tcPr>
            <w:tcW w:w="990" w:type="dxa"/>
          </w:tcPr>
          <w:p>
            <w:pPr>
              <w:pStyle w:val="18"/>
              <w:spacing w:before="206"/>
              <w:ind w:left="-141"/>
              <w:jc w:val="left"/>
              <w:rPr>
                <w:b/>
                <w:sz w:val="21"/>
              </w:rPr>
            </w:pPr>
            <w:r>
              <w:rPr>
                <w:b/>
                <w:position w:val="-11"/>
                <w:sz w:val="21"/>
              </w:rPr>
              <w:t>）</w:t>
            </w:r>
            <w:r>
              <w:rPr>
                <w:b/>
                <w:sz w:val="21"/>
              </w:rPr>
              <w:t>保护对象</w:t>
            </w:r>
          </w:p>
        </w:tc>
        <w:tc>
          <w:tcPr>
            <w:tcW w:w="765" w:type="dxa"/>
          </w:tcPr>
          <w:p>
            <w:pPr>
              <w:pStyle w:val="18"/>
              <w:spacing w:before="1"/>
              <w:jc w:val="left"/>
              <w:rPr>
                <w:sz w:val="16"/>
              </w:rPr>
            </w:pPr>
          </w:p>
          <w:p>
            <w:pPr>
              <w:pStyle w:val="18"/>
              <w:ind w:left="151" w:right="141"/>
              <w:rPr>
                <w:b/>
                <w:sz w:val="21"/>
              </w:rPr>
            </w:pPr>
            <w:r>
              <w:rPr>
                <w:b/>
                <w:sz w:val="21"/>
              </w:rPr>
              <w:t>人数</w:t>
            </w:r>
          </w:p>
        </w:tc>
        <w:tc>
          <w:tcPr>
            <w:tcW w:w="2140" w:type="dxa"/>
          </w:tcPr>
          <w:p>
            <w:pPr>
              <w:pStyle w:val="18"/>
              <w:spacing w:before="1"/>
              <w:jc w:val="left"/>
              <w:rPr>
                <w:sz w:val="16"/>
              </w:rPr>
            </w:pPr>
          </w:p>
          <w:p>
            <w:pPr>
              <w:pStyle w:val="18"/>
              <w:ind w:left="33" w:right="19"/>
              <w:rPr>
                <w:b/>
                <w:sz w:val="21"/>
              </w:rPr>
            </w:pPr>
            <w:r>
              <w:rPr>
                <w:b/>
                <w:sz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709" w:type="dxa"/>
            <w:vMerge w:val="restart"/>
          </w:tcPr>
          <w:p>
            <w:pPr>
              <w:pStyle w:val="18"/>
              <w:jc w:val="left"/>
              <w:rPr>
                <w:color w:val="0000FF"/>
                <w:sz w:val="20"/>
              </w:rPr>
            </w:pPr>
          </w:p>
          <w:p>
            <w:pPr>
              <w:pStyle w:val="18"/>
              <w:jc w:val="left"/>
              <w:rPr>
                <w:color w:val="0000FF"/>
                <w:sz w:val="20"/>
              </w:rPr>
            </w:pPr>
          </w:p>
          <w:p>
            <w:pPr>
              <w:pStyle w:val="18"/>
              <w:spacing w:before="3"/>
              <w:jc w:val="left"/>
              <w:rPr>
                <w:color w:val="0000FF"/>
                <w:sz w:val="23"/>
              </w:rPr>
            </w:pPr>
          </w:p>
          <w:p>
            <w:pPr>
              <w:pStyle w:val="18"/>
              <w:spacing w:line="213" w:lineRule="auto"/>
              <w:ind w:left="142" w:right="136"/>
              <w:jc w:val="left"/>
              <w:rPr>
                <w:color w:val="0000FF"/>
                <w:sz w:val="21"/>
              </w:rPr>
            </w:pPr>
            <w:r>
              <w:rPr>
                <w:color w:val="0000FF"/>
                <w:sz w:val="21"/>
              </w:rPr>
              <w:t>大气环境</w:t>
            </w:r>
          </w:p>
        </w:tc>
        <w:tc>
          <w:tcPr>
            <w:tcW w:w="1774" w:type="dxa"/>
          </w:tcPr>
          <w:p>
            <w:pPr>
              <w:pStyle w:val="18"/>
              <w:spacing w:before="31"/>
              <w:ind w:left="24" w:right="17"/>
              <w:rPr>
                <w:color w:val="0000FF"/>
                <w:sz w:val="21"/>
              </w:rPr>
            </w:pPr>
            <w:r>
              <w:rPr>
                <w:rFonts w:hint="eastAsia"/>
                <w:color w:val="0000FF"/>
                <w:sz w:val="21"/>
                <w:lang w:val="en-US" w:eastAsia="zh-CN"/>
              </w:rPr>
              <w:t>托万巴格托格克拉村</w:t>
            </w:r>
          </w:p>
        </w:tc>
        <w:tc>
          <w:tcPr>
            <w:tcW w:w="1110" w:type="dxa"/>
          </w:tcPr>
          <w:p>
            <w:pPr>
              <w:pStyle w:val="18"/>
              <w:spacing w:before="31"/>
              <w:ind w:left="111" w:right="103"/>
              <w:rPr>
                <w:color w:val="0000FF"/>
                <w:sz w:val="21"/>
              </w:rPr>
            </w:pPr>
            <w:r>
              <w:rPr>
                <w:rFonts w:hint="eastAsia"/>
                <w:color w:val="0000FF"/>
                <w:sz w:val="21"/>
                <w:lang w:val="en-US" w:eastAsia="zh-CN"/>
              </w:rPr>
              <w:t>南</w:t>
            </w:r>
            <w:r>
              <w:rPr>
                <w:color w:val="0000FF"/>
                <w:sz w:val="21"/>
              </w:rPr>
              <w:t>侧</w:t>
            </w:r>
          </w:p>
        </w:tc>
        <w:tc>
          <w:tcPr>
            <w:tcW w:w="960" w:type="dxa"/>
          </w:tcPr>
          <w:p>
            <w:pPr>
              <w:pStyle w:val="18"/>
              <w:spacing w:before="45"/>
              <w:ind w:left="37" w:right="27"/>
              <w:rPr>
                <w:rFonts w:hint="default" w:ascii="Times New Roman" w:eastAsia="宋体"/>
                <w:color w:val="0000FF"/>
                <w:sz w:val="21"/>
                <w:lang w:val="en-US" w:eastAsia="zh-CN"/>
              </w:rPr>
            </w:pPr>
            <w:r>
              <w:rPr>
                <w:rFonts w:hint="eastAsia" w:ascii="Times New Roman"/>
                <w:color w:val="0000FF"/>
                <w:sz w:val="21"/>
                <w:lang w:val="en-US" w:eastAsia="zh-CN"/>
              </w:rPr>
              <w:t>2000</w:t>
            </w:r>
          </w:p>
        </w:tc>
        <w:tc>
          <w:tcPr>
            <w:tcW w:w="990" w:type="dxa"/>
          </w:tcPr>
          <w:p>
            <w:pPr>
              <w:pStyle w:val="18"/>
              <w:spacing w:before="31"/>
              <w:ind w:left="284"/>
              <w:jc w:val="left"/>
              <w:rPr>
                <w:color w:val="0000FF"/>
                <w:sz w:val="21"/>
              </w:rPr>
            </w:pPr>
            <w:r>
              <w:rPr>
                <w:color w:val="0000FF"/>
                <w:sz w:val="21"/>
              </w:rPr>
              <w:t>村庄</w:t>
            </w:r>
          </w:p>
        </w:tc>
        <w:tc>
          <w:tcPr>
            <w:tcW w:w="765" w:type="dxa"/>
          </w:tcPr>
          <w:p>
            <w:pPr>
              <w:pStyle w:val="18"/>
              <w:spacing w:before="45"/>
              <w:ind w:left="150" w:right="141"/>
              <w:rPr>
                <w:rFonts w:ascii="Times New Roman"/>
                <w:color w:val="0000FF"/>
                <w:sz w:val="21"/>
              </w:rPr>
            </w:pPr>
            <w:r>
              <w:rPr>
                <w:rFonts w:ascii="Times New Roman"/>
                <w:color w:val="0000FF"/>
                <w:sz w:val="21"/>
              </w:rPr>
              <w:t>1500</w:t>
            </w:r>
          </w:p>
        </w:tc>
        <w:tc>
          <w:tcPr>
            <w:tcW w:w="2140" w:type="dxa"/>
            <w:vMerge w:val="restart"/>
          </w:tcPr>
          <w:p>
            <w:pPr>
              <w:pStyle w:val="18"/>
              <w:jc w:val="left"/>
              <w:rPr>
                <w:color w:val="0000FF"/>
                <w:sz w:val="20"/>
              </w:rPr>
            </w:pPr>
          </w:p>
          <w:p>
            <w:pPr>
              <w:pStyle w:val="18"/>
              <w:jc w:val="left"/>
              <w:rPr>
                <w:color w:val="0000FF"/>
                <w:sz w:val="20"/>
              </w:rPr>
            </w:pPr>
          </w:p>
          <w:p>
            <w:pPr>
              <w:pStyle w:val="18"/>
              <w:spacing w:before="155" w:line="255" w:lineRule="exact"/>
              <w:ind w:left="70" w:right="19"/>
              <w:rPr>
                <w:color w:val="0000FF"/>
                <w:sz w:val="21"/>
              </w:rPr>
            </w:pPr>
            <w:r>
              <w:rPr>
                <w:color w:val="0000FF"/>
                <w:w w:val="95"/>
                <w:sz w:val="21"/>
              </w:rPr>
              <w:t>《环境空气质量标准》</w:t>
            </w:r>
          </w:p>
          <w:p>
            <w:pPr>
              <w:pStyle w:val="18"/>
              <w:spacing w:line="240" w:lineRule="exact"/>
              <w:ind w:left="28" w:right="19"/>
              <w:rPr>
                <w:color w:val="0000FF"/>
                <w:sz w:val="21"/>
              </w:rPr>
            </w:pPr>
            <w:r>
              <w:rPr>
                <w:color w:val="0000FF"/>
                <w:sz w:val="21"/>
              </w:rPr>
              <w:t>（</w:t>
            </w:r>
            <w:r>
              <w:rPr>
                <w:rFonts w:ascii="Times New Roman" w:eastAsia="Times New Roman"/>
                <w:color w:val="0000FF"/>
                <w:sz w:val="21"/>
              </w:rPr>
              <w:t>GB3095-2012</w:t>
            </w:r>
            <w:r>
              <w:rPr>
                <w:color w:val="0000FF"/>
                <w:sz w:val="21"/>
              </w:rPr>
              <w:t>）二级</w:t>
            </w:r>
          </w:p>
          <w:p>
            <w:pPr>
              <w:pStyle w:val="18"/>
              <w:spacing w:line="255" w:lineRule="exact"/>
              <w:ind w:left="25" w:right="19"/>
              <w:rPr>
                <w:color w:val="0000FF"/>
                <w:sz w:val="21"/>
              </w:rPr>
            </w:pP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jc w:val="center"/>
              <w:rPr>
                <w:rFonts w:hint="default" w:eastAsia="宋体"/>
                <w:color w:val="0000FF"/>
                <w:sz w:val="21"/>
                <w:lang w:val="en-US" w:eastAsia="zh-CN"/>
              </w:rPr>
            </w:pPr>
            <w:r>
              <w:rPr>
                <w:rFonts w:hint="eastAsia"/>
                <w:color w:val="0000FF"/>
                <w:sz w:val="21"/>
                <w:lang w:val="en-US" w:eastAsia="zh-CN"/>
              </w:rPr>
              <w:t>阿拉买特</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1800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1200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7"/>
              <w:rPr>
                <w:rFonts w:hint="default" w:eastAsia="宋体"/>
                <w:color w:val="0000FF"/>
                <w:sz w:val="21"/>
                <w:lang w:val="en-US" w:eastAsia="zh-CN"/>
              </w:rPr>
            </w:pPr>
            <w:r>
              <w:rPr>
                <w:rFonts w:hint="eastAsia"/>
                <w:color w:val="0000FF"/>
                <w:sz w:val="21"/>
                <w:lang w:val="en-US" w:eastAsia="zh-CN"/>
              </w:rPr>
              <w:t>英阿勒买提苏盖提勒克村</w:t>
            </w:r>
          </w:p>
        </w:tc>
        <w:tc>
          <w:tcPr>
            <w:tcW w:w="1110" w:type="dxa"/>
          </w:tcPr>
          <w:p>
            <w:pPr>
              <w:pStyle w:val="18"/>
              <w:spacing w:before="32"/>
              <w:ind w:left="111" w:right="103"/>
              <w:rPr>
                <w:color w:val="0000FF"/>
                <w:sz w:val="21"/>
              </w:rPr>
            </w:pPr>
            <w:r>
              <w:rPr>
                <w:color w:val="0000FF"/>
                <w:sz w:val="21"/>
              </w:rPr>
              <w:t>西北侧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9" w:type="dxa"/>
            <w:vMerge w:val="continue"/>
            <w:tcBorders>
              <w:top w:val="nil"/>
            </w:tcBorders>
          </w:tcPr>
          <w:p>
            <w:pPr>
              <w:rPr>
                <w:color w:val="0000FF"/>
                <w:sz w:val="2"/>
                <w:szCs w:val="2"/>
              </w:rPr>
            </w:pPr>
          </w:p>
        </w:tc>
        <w:tc>
          <w:tcPr>
            <w:tcW w:w="1774" w:type="dxa"/>
          </w:tcPr>
          <w:p>
            <w:pPr>
              <w:pStyle w:val="18"/>
              <w:spacing w:before="32"/>
              <w:ind w:left="24" w:right="14"/>
              <w:rPr>
                <w:rFonts w:hint="default" w:eastAsia="宋体"/>
                <w:color w:val="0000FF"/>
                <w:sz w:val="21"/>
                <w:lang w:val="en-US" w:eastAsia="zh-CN"/>
              </w:rPr>
            </w:pPr>
            <w:r>
              <w:rPr>
                <w:rFonts w:hint="eastAsia"/>
                <w:color w:val="0000FF"/>
                <w:sz w:val="21"/>
                <w:lang w:val="en-US" w:eastAsia="zh-CN"/>
              </w:rPr>
              <w:t>阔纳阿拉买提村</w:t>
            </w:r>
          </w:p>
        </w:tc>
        <w:tc>
          <w:tcPr>
            <w:tcW w:w="1110" w:type="dxa"/>
          </w:tcPr>
          <w:p>
            <w:pPr>
              <w:pStyle w:val="18"/>
              <w:spacing w:before="32"/>
              <w:ind w:left="111" w:right="103"/>
              <w:rPr>
                <w:color w:val="0000FF"/>
                <w:sz w:val="21"/>
              </w:rPr>
            </w:pPr>
            <w:r>
              <w:rPr>
                <w:rFonts w:hint="eastAsia"/>
                <w:color w:val="0000FF"/>
                <w:sz w:val="21"/>
                <w:lang w:val="en-US" w:eastAsia="zh-CN"/>
              </w:rPr>
              <w:t>东北</w:t>
            </w:r>
            <w:r>
              <w:rPr>
                <w:color w:val="0000FF"/>
                <w:sz w:val="21"/>
              </w:rPr>
              <w:t>侧</w:t>
            </w:r>
          </w:p>
        </w:tc>
        <w:tc>
          <w:tcPr>
            <w:tcW w:w="960" w:type="dxa"/>
          </w:tcPr>
          <w:p>
            <w:pPr>
              <w:pStyle w:val="18"/>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2600</w:t>
            </w:r>
          </w:p>
        </w:tc>
        <w:tc>
          <w:tcPr>
            <w:tcW w:w="990" w:type="dxa"/>
          </w:tcPr>
          <w:p>
            <w:pPr>
              <w:pStyle w:val="18"/>
              <w:spacing w:before="32"/>
              <w:ind w:left="284"/>
              <w:jc w:val="left"/>
              <w:rPr>
                <w:color w:val="0000FF"/>
                <w:sz w:val="21"/>
              </w:rPr>
            </w:pPr>
            <w:r>
              <w:rPr>
                <w:color w:val="0000FF"/>
                <w:sz w:val="21"/>
              </w:rPr>
              <w:t>村庄</w:t>
            </w:r>
          </w:p>
        </w:tc>
        <w:tc>
          <w:tcPr>
            <w:tcW w:w="765" w:type="dxa"/>
          </w:tcPr>
          <w:p>
            <w:pPr>
              <w:pStyle w:val="18"/>
              <w:spacing w:before="46"/>
              <w:ind w:left="150" w:right="141"/>
              <w:rPr>
                <w:rFonts w:ascii="Times New Roman"/>
                <w:color w:val="0000FF"/>
                <w:sz w:val="21"/>
              </w:rPr>
            </w:pPr>
            <w:r>
              <w:rPr>
                <w:rFonts w:ascii="Times New Roman"/>
                <w:color w:val="0000FF"/>
                <w:sz w:val="21"/>
              </w:rPr>
              <w:t>1500</w:t>
            </w:r>
          </w:p>
        </w:tc>
        <w:tc>
          <w:tcPr>
            <w:tcW w:w="2140"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09" w:type="dxa"/>
          </w:tcPr>
          <w:p>
            <w:pPr>
              <w:pStyle w:val="18"/>
              <w:spacing w:before="3"/>
              <w:jc w:val="left"/>
              <w:rPr>
                <w:color w:val="0000FF"/>
                <w:sz w:val="17"/>
              </w:rPr>
            </w:pPr>
          </w:p>
          <w:p>
            <w:pPr>
              <w:pStyle w:val="18"/>
              <w:ind w:left="39"/>
              <w:jc w:val="left"/>
              <w:rPr>
                <w:color w:val="0000FF"/>
                <w:sz w:val="21"/>
              </w:rPr>
            </w:pPr>
            <w:r>
              <w:rPr>
                <w:color w:val="0000FF"/>
                <w:sz w:val="21"/>
              </w:rPr>
              <w:t>水环境</w:t>
            </w:r>
          </w:p>
        </w:tc>
        <w:tc>
          <w:tcPr>
            <w:tcW w:w="1774" w:type="dxa"/>
          </w:tcPr>
          <w:p>
            <w:pPr>
              <w:pStyle w:val="18"/>
              <w:spacing w:before="3"/>
              <w:jc w:val="left"/>
              <w:rPr>
                <w:color w:val="0000FF"/>
                <w:sz w:val="17"/>
              </w:rPr>
            </w:pPr>
          </w:p>
          <w:p>
            <w:pPr>
              <w:pStyle w:val="18"/>
              <w:ind w:left="24" w:right="17"/>
              <w:rPr>
                <w:color w:val="0000FF"/>
                <w:sz w:val="21"/>
              </w:rPr>
            </w:pPr>
            <w:r>
              <w:rPr>
                <w:color w:val="0000FF"/>
                <w:sz w:val="21"/>
              </w:rPr>
              <w:t>地下水</w:t>
            </w:r>
          </w:p>
        </w:tc>
        <w:tc>
          <w:tcPr>
            <w:tcW w:w="1110" w:type="dxa"/>
          </w:tcPr>
          <w:p>
            <w:pPr>
              <w:pStyle w:val="18"/>
              <w:spacing w:before="3"/>
              <w:jc w:val="left"/>
              <w:rPr>
                <w:color w:val="0000FF"/>
                <w:sz w:val="17"/>
              </w:rPr>
            </w:pPr>
          </w:p>
          <w:p>
            <w:pPr>
              <w:pStyle w:val="18"/>
              <w:ind w:left="109" w:right="103"/>
              <w:rPr>
                <w:color w:val="0000FF"/>
                <w:sz w:val="21"/>
              </w:rPr>
            </w:pPr>
            <w:r>
              <w:rPr>
                <w:color w:val="0000FF"/>
                <w:sz w:val="21"/>
              </w:rPr>
              <w:t>厂址区域</w:t>
            </w:r>
          </w:p>
        </w:tc>
        <w:tc>
          <w:tcPr>
            <w:tcW w:w="960" w:type="dxa"/>
          </w:tcPr>
          <w:p>
            <w:pPr>
              <w:pStyle w:val="18"/>
              <w:spacing w:before="3"/>
              <w:jc w:val="left"/>
              <w:rPr>
                <w:color w:val="0000FF"/>
                <w:sz w:val="17"/>
              </w:rPr>
            </w:pPr>
          </w:p>
          <w:p>
            <w:pPr>
              <w:pStyle w:val="18"/>
              <w:ind w:left="37" w:right="33"/>
              <w:rPr>
                <w:color w:val="0000FF"/>
                <w:sz w:val="21"/>
              </w:rPr>
            </w:pPr>
            <w:r>
              <w:rPr>
                <w:color w:val="0000FF"/>
                <w:sz w:val="21"/>
              </w:rPr>
              <w:t>厂址区域</w:t>
            </w:r>
          </w:p>
        </w:tc>
        <w:tc>
          <w:tcPr>
            <w:tcW w:w="990" w:type="dxa"/>
          </w:tcPr>
          <w:p>
            <w:pPr>
              <w:pStyle w:val="18"/>
              <w:spacing w:before="3"/>
              <w:jc w:val="left"/>
              <w:rPr>
                <w:color w:val="0000FF"/>
                <w:sz w:val="17"/>
              </w:rPr>
            </w:pPr>
          </w:p>
          <w:p>
            <w:pPr>
              <w:pStyle w:val="18"/>
              <w:ind w:left="284"/>
              <w:jc w:val="left"/>
              <w:rPr>
                <w:color w:val="0000FF"/>
                <w:sz w:val="21"/>
              </w:rPr>
            </w:pPr>
            <w:r>
              <w:rPr>
                <w:color w:val="0000FF"/>
                <w:sz w:val="21"/>
              </w:rPr>
              <w:t>水质</w:t>
            </w:r>
          </w:p>
        </w:tc>
        <w:tc>
          <w:tcPr>
            <w:tcW w:w="765" w:type="dxa"/>
          </w:tcPr>
          <w:p>
            <w:pPr>
              <w:pStyle w:val="18"/>
              <w:spacing w:before="3"/>
              <w:jc w:val="left"/>
              <w:rPr>
                <w:color w:val="0000FF"/>
                <w:sz w:val="17"/>
              </w:rPr>
            </w:pPr>
          </w:p>
          <w:p>
            <w:pPr>
              <w:pStyle w:val="18"/>
              <w:ind w:left="5"/>
              <w:rPr>
                <w:color w:val="0000FF"/>
                <w:sz w:val="21"/>
              </w:rPr>
            </w:pPr>
            <w:r>
              <w:rPr>
                <w:color w:val="0000FF"/>
                <w:w w:val="99"/>
                <w:sz w:val="21"/>
              </w:rPr>
              <w:t>—</w:t>
            </w:r>
          </w:p>
        </w:tc>
        <w:tc>
          <w:tcPr>
            <w:tcW w:w="2140" w:type="dxa"/>
          </w:tcPr>
          <w:p>
            <w:pPr>
              <w:pStyle w:val="18"/>
              <w:spacing w:before="4" w:line="213" w:lineRule="auto"/>
              <w:ind w:left="36" w:right="129"/>
              <w:jc w:val="left"/>
              <w:rPr>
                <w:rFonts w:ascii="Times New Roman" w:eastAsia="Times New Roman"/>
                <w:color w:val="0000FF"/>
                <w:sz w:val="21"/>
              </w:rPr>
            </w:pPr>
            <w:r>
              <w:rPr>
                <w:color w:val="0000FF"/>
                <w:sz w:val="21"/>
              </w:rPr>
              <w:t>《地下水环境质量标</w:t>
            </w:r>
            <w:r>
              <w:rPr>
                <w:color w:val="0000FF"/>
                <w:spacing w:val="-80"/>
                <w:w w:val="95"/>
                <w:sz w:val="21"/>
              </w:rPr>
              <w:t>准》</w:t>
            </w:r>
            <w:r>
              <w:rPr>
                <w:color w:val="0000FF"/>
                <w:w w:val="95"/>
                <w:sz w:val="21"/>
              </w:rPr>
              <w:t>（</w:t>
            </w:r>
            <w:r>
              <w:rPr>
                <w:rFonts w:ascii="Times New Roman" w:eastAsia="Times New Roman"/>
                <w:color w:val="0000FF"/>
                <w:w w:val="95"/>
                <w:sz w:val="21"/>
              </w:rPr>
              <w:t>GB/T14848-2017</w:t>
            </w:r>
          </w:p>
          <w:p>
            <w:pPr>
              <w:pStyle w:val="18"/>
              <w:spacing w:line="217" w:lineRule="exact"/>
              <w:ind w:left="36"/>
              <w:jc w:val="left"/>
              <w:rPr>
                <w:color w:val="0000FF"/>
                <w:sz w:val="21"/>
              </w:rPr>
            </w:pPr>
            <w:r>
              <w:rPr>
                <w:color w:val="0000FF"/>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9" w:type="dxa"/>
          </w:tcPr>
          <w:p>
            <w:pPr>
              <w:pStyle w:val="18"/>
              <w:spacing w:before="1" w:line="240" w:lineRule="exact"/>
              <w:ind w:left="142" w:right="136"/>
              <w:jc w:val="left"/>
              <w:rPr>
                <w:color w:val="0000FF"/>
                <w:sz w:val="21"/>
              </w:rPr>
            </w:pPr>
            <w:r>
              <w:rPr>
                <w:color w:val="0000FF"/>
                <w:sz w:val="21"/>
              </w:rPr>
              <w:t>土壤环境</w:t>
            </w:r>
          </w:p>
        </w:tc>
        <w:tc>
          <w:tcPr>
            <w:tcW w:w="1774" w:type="dxa"/>
          </w:tcPr>
          <w:p>
            <w:pPr>
              <w:pStyle w:val="18"/>
              <w:spacing w:before="103"/>
              <w:ind w:left="24" w:right="17"/>
              <w:rPr>
                <w:color w:val="0000FF"/>
                <w:sz w:val="21"/>
              </w:rPr>
            </w:pPr>
            <w:r>
              <w:rPr>
                <w:color w:val="0000FF"/>
                <w:sz w:val="21"/>
              </w:rPr>
              <w:t>耕地</w:t>
            </w:r>
          </w:p>
        </w:tc>
        <w:tc>
          <w:tcPr>
            <w:tcW w:w="1110" w:type="dxa"/>
          </w:tcPr>
          <w:p>
            <w:pPr>
              <w:pStyle w:val="18"/>
              <w:spacing w:before="103"/>
              <w:ind w:left="111" w:right="103"/>
              <w:rPr>
                <w:color w:val="0000FF"/>
                <w:sz w:val="21"/>
              </w:rPr>
            </w:pPr>
            <w:r>
              <w:rPr>
                <w:color w:val="0000FF"/>
                <w:sz w:val="21"/>
              </w:rPr>
              <w:t>四周</w:t>
            </w:r>
          </w:p>
        </w:tc>
        <w:tc>
          <w:tcPr>
            <w:tcW w:w="960" w:type="dxa"/>
          </w:tcPr>
          <w:p>
            <w:pPr>
              <w:pStyle w:val="18"/>
              <w:spacing w:before="103"/>
              <w:ind w:left="37" w:right="30"/>
              <w:rPr>
                <w:color w:val="0000FF"/>
                <w:sz w:val="21"/>
              </w:rPr>
            </w:pPr>
            <w:r>
              <w:rPr>
                <w:color w:val="0000FF"/>
                <w:sz w:val="21"/>
              </w:rPr>
              <w:t>四周</w:t>
            </w:r>
          </w:p>
        </w:tc>
        <w:tc>
          <w:tcPr>
            <w:tcW w:w="990" w:type="dxa"/>
          </w:tcPr>
          <w:p>
            <w:pPr>
              <w:pStyle w:val="18"/>
              <w:spacing w:before="103"/>
              <w:ind w:left="284"/>
              <w:jc w:val="left"/>
              <w:rPr>
                <w:color w:val="0000FF"/>
                <w:sz w:val="21"/>
              </w:rPr>
            </w:pPr>
            <w:r>
              <w:rPr>
                <w:color w:val="0000FF"/>
                <w:sz w:val="21"/>
              </w:rPr>
              <w:t>耕地</w:t>
            </w:r>
          </w:p>
        </w:tc>
        <w:tc>
          <w:tcPr>
            <w:tcW w:w="765" w:type="dxa"/>
          </w:tcPr>
          <w:p>
            <w:pPr>
              <w:pStyle w:val="18"/>
              <w:spacing w:before="103"/>
              <w:ind w:left="5"/>
              <w:rPr>
                <w:color w:val="0000FF"/>
                <w:sz w:val="21"/>
              </w:rPr>
            </w:pPr>
            <w:r>
              <w:rPr>
                <w:color w:val="0000FF"/>
                <w:w w:val="99"/>
                <w:sz w:val="21"/>
              </w:rPr>
              <w:t>—</w:t>
            </w:r>
          </w:p>
        </w:tc>
        <w:tc>
          <w:tcPr>
            <w:tcW w:w="2140" w:type="dxa"/>
          </w:tcPr>
          <w:p>
            <w:pPr>
              <w:pStyle w:val="18"/>
              <w:spacing w:before="103"/>
              <w:ind w:left="28" w:right="19"/>
              <w:rPr>
                <w:color w:val="0000FF"/>
                <w:sz w:val="21"/>
              </w:rPr>
            </w:pPr>
            <w:r>
              <w:rPr>
                <w:color w:val="0000FF"/>
                <w:sz w:val="21"/>
              </w:rPr>
              <w:t>不受影响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9" w:type="dxa"/>
          </w:tcPr>
          <w:p>
            <w:pPr>
              <w:pStyle w:val="18"/>
              <w:spacing w:line="236" w:lineRule="exact"/>
              <w:ind w:left="142"/>
              <w:jc w:val="left"/>
              <w:rPr>
                <w:color w:val="0000FF"/>
                <w:sz w:val="21"/>
              </w:rPr>
            </w:pPr>
            <w:r>
              <w:rPr>
                <w:color w:val="0000FF"/>
                <w:spacing w:val="-1"/>
                <w:w w:val="95"/>
                <w:sz w:val="21"/>
              </w:rPr>
              <w:t>环境</w:t>
            </w:r>
          </w:p>
          <w:p>
            <w:pPr>
              <w:pStyle w:val="18"/>
              <w:spacing w:line="223" w:lineRule="exact"/>
              <w:ind w:left="142"/>
              <w:jc w:val="left"/>
              <w:rPr>
                <w:color w:val="0000FF"/>
                <w:sz w:val="21"/>
              </w:rPr>
            </w:pPr>
            <w:r>
              <w:rPr>
                <w:color w:val="0000FF"/>
                <w:spacing w:val="-1"/>
                <w:w w:val="95"/>
                <w:sz w:val="21"/>
              </w:rPr>
              <w:t>风险</w:t>
            </w:r>
          </w:p>
        </w:tc>
        <w:tc>
          <w:tcPr>
            <w:tcW w:w="1774" w:type="dxa"/>
          </w:tcPr>
          <w:p>
            <w:pPr>
              <w:pStyle w:val="18"/>
              <w:spacing w:line="236" w:lineRule="exact"/>
              <w:ind w:left="36"/>
              <w:jc w:val="left"/>
              <w:rPr>
                <w:color w:val="0000FF"/>
                <w:sz w:val="21"/>
              </w:rPr>
            </w:pPr>
            <w:r>
              <w:rPr>
                <w:color w:val="0000FF"/>
                <w:sz w:val="21"/>
              </w:rPr>
              <w:t>村庄、地下水、大</w:t>
            </w:r>
          </w:p>
          <w:p>
            <w:pPr>
              <w:pStyle w:val="18"/>
              <w:spacing w:line="223" w:lineRule="exact"/>
              <w:ind w:left="36"/>
              <w:jc w:val="left"/>
              <w:rPr>
                <w:color w:val="0000FF"/>
                <w:sz w:val="21"/>
              </w:rPr>
            </w:pPr>
            <w:r>
              <w:rPr>
                <w:color w:val="0000FF"/>
                <w:sz w:val="21"/>
              </w:rPr>
              <w:t>气环境</w:t>
            </w:r>
          </w:p>
        </w:tc>
        <w:tc>
          <w:tcPr>
            <w:tcW w:w="1110" w:type="dxa"/>
          </w:tcPr>
          <w:p>
            <w:pPr>
              <w:pStyle w:val="18"/>
              <w:spacing w:line="236" w:lineRule="exact"/>
              <w:ind w:left="35"/>
              <w:jc w:val="left"/>
              <w:rPr>
                <w:color w:val="0000FF"/>
                <w:sz w:val="21"/>
              </w:rPr>
            </w:pPr>
            <w:r>
              <w:rPr>
                <w:color w:val="0000FF"/>
                <w:sz w:val="21"/>
              </w:rPr>
              <w:t>村庄、地下</w:t>
            </w:r>
          </w:p>
          <w:p>
            <w:pPr>
              <w:pStyle w:val="18"/>
              <w:spacing w:line="223" w:lineRule="exact"/>
              <w:ind w:left="35"/>
              <w:jc w:val="left"/>
              <w:rPr>
                <w:color w:val="0000FF"/>
                <w:sz w:val="21"/>
              </w:rPr>
            </w:pPr>
            <w:r>
              <w:rPr>
                <w:color w:val="0000FF"/>
                <w:sz w:val="21"/>
              </w:rPr>
              <w:t>水、大气</w:t>
            </w:r>
          </w:p>
        </w:tc>
        <w:tc>
          <w:tcPr>
            <w:tcW w:w="960" w:type="dxa"/>
          </w:tcPr>
          <w:p>
            <w:pPr>
              <w:pStyle w:val="18"/>
              <w:spacing w:before="115"/>
              <w:ind w:left="37" w:right="27"/>
              <w:rPr>
                <w:rFonts w:ascii="Times New Roman"/>
                <w:color w:val="0000FF"/>
                <w:sz w:val="21"/>
              </w:rPr>
            </w:pPr>
            <w:r>
              <w:rPr>
                <w:rFonts w:ascii="Times New Roman"/>
                <w:color w:val="0000FF"/>
                <w:sz w:val="21"/>
              </w:rPr>
              <w:t>500</w:t>
            </w:r>
          </w:p>
        </w:tc>
        <w:tc>
          <w:tcPr>
            <w:tcW w:w="990" w:type="dxa"/>
          </w:tcPr>
          <w:p>
            <w:pPr>
              <w:pStyle w:val="18"/>
              <w:spacing w:before="101"/>
              <w:ind w:left="8"/>
              <w:rPr>
                <w:color w:val="0000FF"/>
                <w:sz w:val="21"/>
              </w:rPr>
            </w:pPr>
            <w:r>
              <w:rPr>
                <w:color w:val="0000FF"/>
                <w:w w:val="99"/>
                <w:sz w:val="21"/>
              </w:rPr>
              <w:t>—</w:t>
            </w:r>
          </w:p>
        </w:tc>
        <w:tc>
          <w:tcPr>
            <w:tcW w:w="765" w:type="dxa"/>
          </w:tcPr>
          <w:p>
            <w:pPr>
              <w:pStyle w:val="18"/>
              <w:spacing w:before="101"/>
              <w:ind w:left="5"/>
              <w:rPr>
                <w:color w:val="0000FF"/>
                <w:sz w:val="21"/>
              </w:rPr>
            </w:pPr>
            <w:r>
              <w:rPr>
                <w:color w:val="0000FF"/>
                <w:w w:val="99"/>
                <w:sz w:val="21"/>
              </w:rPr>
              <w:t>—</w:t>
            </w:r>
          </w:p>
        </w:tc>
        <w:tc>
          <w:tcPr>
            <w:tcW w:w="2140" w:type="dxa"/>
          </w:tcPr>
          <w:p>
            <w:pPr>
              <w:pStyle w:val="18"/>
              <w:spacing w:before="101"/>
              <w:ind w:left="28" w:right="19"/>
              <w:rPr>
                <w:color w:val="0000FF"/>
                <w:sz w:val="21"/>
              </w:rPr>
            </w:pPr>
            <w:r>
              <w:rPr>
                <w:color w:val="0000FF"/>
                <w:sz w:val="21"/>
              </w:rPr>
              <w:t>不受风险事故影响</w:t>
            </w:r>
          </w:p>
        </w:tc>
      </w:tr>
    </w:tbl>
    <w:p>
      <w:pPr>
        <w:pStyle w:val="7"/>
        <w:spacing w:before="1"/>
        <w:ind w:left="0"/>
        <w:rPr>
          <w:b/>
          <w:sz w:val="19"/>
        </w:rPr>
      </w:pPr>
    </w:p>
    <w:p>
      <w:pPr>
        <w:pStyle w:val="5"/>
        <w:numPr>
          <w:ilvl w:val="3"/>
          <w:numId w:val="55"/>
        </w:numPr>
        <w:bidi w:val="0"/>
      </w:pPr>
      <w:bookmarkStart w:id="337" w:name="5.2.7.5 环境风险潜势初判"/>
      <w:bookmarkEnd w:id="337"/>
      <w:bookmarkStart w:id="338" w:name="5.2.7.5 环境风险潜势初判"/>
      <w:bookmarkEnd w:id="338"/>
      <w:r>
        <w:t>环境风险潜势初判</w:t>
      </w:r>
    </w:p>
    <w:p>
      <w:pPr>
        <w:pStyle w:val="7"/>
        <w:spacing w:before="167"/>
      </w:pPr>
      <w:r>
        <w:t>（</w:t>
      </w:r>
      <w:r>
        <w:rPr>
          <w:rFonts w:ascii="Calibri" w:eastAsia="Calibri"/>
        </w:rPr>
        <w:t>1</w:t>
      </w:r>
      <w:r>
        <w:t>）环境风险潜势划分</w:t>
      </w:r>
    </w:p>
    <w:p>
      <w:pPr>
        <w:pStyle w:val="7"/>
        <w:spacing w:before="161" w:line="364" w:lineRule="auto"/>
        <w:ind w:right="575" w:firstLine="480"/>
        <w:jc w:val="both"/>
      </w:pPr>
      <w:r>
        <w:rPr>
          <w:spacing w:val="-8"/>
        </w:rPr>
        <w:t>分析建设项目生产、使用、储存过程中涉及的有毒有害、易燃易爆物质，依</w:t>
      </w:r>
      <w:r>
        <w:rPr>
          <w:spacing w:val="-15"/>
        </w:rPr>
        <w:t>据附录</w:t>
      </w:r>
      <w:r>
        <w:rPr>
          <w:rFonts w:ascii="Times New Roman" w:eastAsia="Times New Roman"/>
        </w:rPr>
        <w:t>B</w:t>
      </w:r>
      <w:r>
        <w:rPr>
          <w:spacing w:val="-4"/>
        </w:rPr>
        <w:t>确定危险物质临界量。定量分析危险物质数量与临界量的比值</w:t>
      </w:r>
      <w:r>
        <w:rPr>
          <w:spacing w:val="-9"/>
        </w:rPr>
        <w:t>（</w:t>
      </w:r>
      <w:r>
        <w:rPr>
          <w:rFonts w:ascii="Times New Roman" w:eastAsia="Times New Roman"/>
          <w:spacing w:val="-9"/>
        </w:rPr>
        <w:t>Q</w:t>
      </w:r>
      <w:r>
        <w:rPr>
          <w:spacing w:val="-9"/>
        </w:rPr>
        <w:t>）</w:t>
      </w:r>
      <w:r>
        <w:rPr>
          <w:spacing w:val="-13"/>
        </w:rPr>
        <w:t>和</w:t>
      </w:r>
      <w:r>
        <w:t>所属行业及生产工艺特点（</w:t>
      </w:r>
      <w:r>
        <w:rPr>
          <w:rFonts w:ascii="Times New Roman" w:eastAsia="Times New Roman"/>
        </w:rPr>
        <w:t>M</w:t>
      </w:r>
      <w:r>
        <w:t>），</w:t>
      </w:r>
      <w:r>
        <w:rPr>
          <w:spacing w:val="-15"/>
        </w:rPr>
        <w:t>按附录</w:t>
      </w:r>
      <w:r>
        <w:rPr>
          <w:rFonts w:ascii="Times New Roman" w:eastAsia="Times New Roman"/>
        </w:rPr>
        <w:t>C</w:t>
      </w:r>
      <w:r>
        <w:t>对危险物质及工艺系统危险性</w:t>
      </w:r>
      <w:r>
        <w:rPr>
          <w:spacing w:val="-6"/>
        </w:rPr>
        <w:t>（</w:t>
      </w:r>
      <w:r>
        <w:rPr>
          <w:rFonts w:ascii="Times New Roman" w:eastAsia="Times New Roman"/>
          <w:spacing w:val="-6"/>
        </w:rPr>
        <w:t>P</w:t>
      </w:r>
      <w:r>
        <w:rPr>
          <w:spacing w:val="-6"/>
        </w:rPr>
        <w:t>）</w:t>
      </w:r>
      <w:r>
        <w:t>等级进行判断。</w:t>
      </w:r>
    </w:p>
    <w:p>
      <w:pPr>
        <w:pStyle w:val="7"/>
        <w:spacing w:before="2"/>
        <w:ind w:left="1020"/>
        <w:jc w:val="both"/>
        <w:rPr>
          <w:rFonts w:ascii="Times New Roman" w:eastAsia="Times New Roman"/>
        </w:rPr>
      </w:pPr>
      <w:r>
        <w:t>根据危险物质数量与临界量比值（</w:t>
      </w:r>
      <w:r>
        <w:rPr>
          <w:rFonts w:ascii="Times New Roman" w:eastAsia="Times New Roman"/>
        </w:rPr>
        <w:t>Q</w:t>
      </w:r>
      <w:r>
        <w:t>）和行业及生产工艺（</w:t>
      </w:r>
      <w:r>
        <w:rPr>
          <w:rFonts w:ascii="Times New Roman" w:eastAsia="Times New Roman"/>
        </w:rPr>
        <w:t>M</w:t>
      </w:r>
      <w:r>
        <w:t>），按照表</w:t>
      </w:r>
      <w:r>
        <w:rPr>
          <w:rFonts w:ascii="Times New Roman" w:eastAsia="Times New Roman"/>
        </w:rPr>
        <w:t>5.2-12</w:t>
      </w:r>
    </w:p>
    <w:p>
      <w:pPr>
        <w:tabs>
          <w:tab w:val="left" w:pos="3280"/>
        </w:tabs>
        <w:spacing w:before="161" w:line="424" w:lineRule="auto"/>
        <w:ind w:left="1639" w:right="1136" w:hanging="1100"/>
        <w:jc w:val="both"/>
        <w:rPr>
          <w:b/>
          <w:sz w:val="24"/>
        </w:rPr>
      </w:pPr>
      <w:r>
        <mc:AlternateContent>
          <mc:Choice Requires="wps">
            <w:drawing>
              <wp:anchor distT="0" distB="0" distL="114300" distR="114300" simplePos="0" relativeHeight="232333312" behindDoc="1" locked="0" layoutInCell="1" allowOverlap="1">
                <wp:simplePos x="0" y="0"/>
                <wp:positionH relativeFrom="page">
                  <wp:posOffset>1098550</wp:posOffset>
                </wp:positionH>
                <wp:positionV relativeFrom="paragraph">
                  <wp:posOffset>649605</wp:posOffset>
                </wp:positionV>
                <wp:extent cx="1794510" cy="428625"/>
                <wp:effectExtent l="1270" t="4445" r="13970" b="5080"/>
                <wp:wrapNone/>
                <wp:docPr id="43" name="直线 143"/>
                <wp:cNvGraphicFramePr/>
                <a:graphic xmlns:a="http://schemas.openxmlformats.org/drawingml/2006/main">
                  <a:graphicData uri="http://schemas.microsoft.com/office/word/2010/wordprocessingShape">
                    <wps:wsp>
                      <wps:cNvCnPr/>
                      <wps:spPr>
                        <a:xfrm>
                          <a:off x="0" y="0"/>
                          <a:ext cx="1794510" cy="42862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3" o:spid="_x0000_s1026" o:spt="20" style="position:absolute;left:0pt;margin-left:86.5pt;margin-top:51.15pt;height:33.75pt;width:141.3pt;mso-position-horizontal-relative:page;z-index:-270983168;mso-width-relative:page;mso-height-relative:page;" filled="f" stroked="t" coordsize="21600,21600" o:gfxdata="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kkkTtgAAAALAQAADwAAAAAAAAABACAA&#10;AAAiAAAAZHJzL2Rvd25yZXYueG1sUEsBAhQAFAAAAAgAh07iQAU3xWXUAQAAlQMAAA4AAAAAAAAA&#10;AQAgAAAAJwEAAGRycy9lMm9Eb2MueG1sUEsFBgAAAAAGAAYAWQEAAG0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56544" behindDoc="0" locked="0" layoutInCell="1" allowOverlap="1">
                <wp:simplePos x="0" y="0"/>
                <wp:positionH relativeFrom="page">
                  <wp:posOffset>1093470</wp:posOffset>
                </wp:positionH>
                <wp:positionV relativeFrom="paragraph">
                  <wp:posOffset>644525</wp:posOffset>
                </wp:positionV>
                <wp:extent cx="5494020" cy="1122045"/>
                <wp:effectExtent l="0" t="0" r="0" b="0"/>
                <wp:wrapNone/>
                <wp:docPr id="156" name="文本框 144"/>
                <wp:cNvGraphicFramePr/>
                <a:graphic xmlns:a="http://schemas.openxmlformats.org/drawingml/2006/main">
                  <a:graphicData uri="http://schemas.microsoft.com/office/word/2010/wordprocessingShape">
                    <wps:wsp>
                      <wps:cNvSpPr txBox="1"/>
                      <wps:spPr>
                        <a:xfrm>
                          <a:off x="0" y="0"/>
                          <a:ext cx="5494020" cy="1122045"/>
                        </a:xfrm>
                        <a:prstGeom prst="rect">
                          <a:avLst/>
                        </a:prstGeom>
                        <a:noFill/>
                        <a:ln>
                          <a:noFill/>
                        </a:ln>
                      </wps:spPr>
                      <wps:txbx>
                        <w:txbxContent>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1"/>
                              <w:gridCol w:w="1375"/>
                              <w:gridCol w:w="1395"/>
                              <w:gridCol w:w="1440"/>
                              <w:gridCol w:w="1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831" w:type="dxa"/>
                                  <w:vMerge w:val="restart"/>
                                </w:tcPr>
                                <w:p>
                                  <w:pPr>
                                    <w:pStyle w:val="18"/>
                                    <w:spacing w:before="3" w:line="310" w:lineRule="atLeast"/>
                                    <w:ind w:left="108" w:right="199" w:firstLine="1252"/>
                                    <w:jc w:val="left"/>
                                    <w:rPr>
                                      <w:sz w:val="21"/>
                                    </w:rPr>
                                  </w:pPr>
                                  <w:r>
                                    <w:rPr>
                                      <w:sz w:val="21"/>
                                    </w:rPr>
                                    <w:t>危险物质数量与临界量比值（</w:t>
                                  </w:r>
                                  <w:r>
                                    <w:rPr>
                                      <w:rFonts w:ascii="Times New Roman" w:eastAsia="Times New Roman"/>
                                      <w:sz w:val="21"/>
                                    </w:rPr>
                                    <w:t>Q</w:t>
                                  </w:r>
                                  <w:r>
                                    <w:rPr>
                                      <w:sz w:val="21"/>
                                    </w:rPr>
                                    <w:t>）</w:t>
                                  </w:r>
                                </w:p>
                              </w:tc>
                              <w:tc>
                                <w:tcPr>
                                  <w:tcW w:w="5620" w:type="dxa"/>
                                  <w:gridSpan w:val="4"/>
                                </w:tcPr>
                                <w:p>
                                  <w:pPr>
                                    <w:pStyle w:val="18"/>
                                    <w:spacing w:before="29"/>
                                    <w:ind w:left="1770"/>
                                    <w:jc w:val="left"/>
                                    <w:rPr>
                                      <w:sz w:val="21"/>
                                    </w:rPr>
                                  </w:pPr>
                                  <w:r>
                                    <w:rPr>
                                      <w:sz w:val="21"/>
                                    </w:rPr>
                                    <w:t>行业及生产工艺（</w:t>
                                  </w:r>
                                  <w:r>
                                    <w:rPr>
                                      <w:rFonts w:ascii="Times New Roman" w:eastAsia="Times New Roman"/>
                                      <w:sz w:val="21"/>
                                    </w:rPr>
                                    <w:t>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831" w:type="dxa"/>
                                  <w:vMerge w:val="continue"/>
                                  <w:tcBorders>
                                    <w:top w:val="nil"/>
                                  </w:tcBorders>
                                </w:tcPr>
                                <w:p>
                                  <w:pPr>
                                    <w:rPr>
                                      <w:sz w:val="2"/>
                                      <w:szCs w:val="2"/>
                                    </w:rPr>
                                  </w:pPr>
                                </w:p>
                              </w:tc>
                              <w:tc>
                                <w:tcPr>
                                  <w:tcW w:w="1375" w:type="dxa"/>
                                </w:tcPr>
                                <w:p>
                                  <w:pPr>
                                    <w:pStyle w:val="18"/>
                                    <w:spacing w:before="44"/>
                                    <w:ind w:left="520" w:right="513"/>
                                    <w:rPr>
                                      <w:rFonts w:ascii="Times New Roman"/>
                                      <w:sz w:val="21"/>
                                    </w:rPr>
                                  </w:pPr>
                                  <w:r>
                                    <w:rPr>
                                      <w:rFonts w:ascii="Times New Roman"/>
                                      <w:sz w:val="21"/>
                                    </w:rPr>
                                    <w:t>M1</w:t>
                                  </w:r>
                                </w:p>
                              </w:tc>
                              <w:tc>
                                <w:tcPr>
                                  <w:tcW w:w="1395" w:type="dxa"/>
                                </w:tcPr>
                                <w:p>
                                  <w:pPr>
                                    <w:pStyle w:val="18"/>
                                    <w:spacing w:before="44"/>
                                    <w:ind w:left="551"/>
                                    <w:jc w:val="left"/>
                                    <w:rPr>
                                      <w:rFonts w:ascii="Times New Roman"/>
                                      <w:sz w:val="21"/>
                                    </w:rPr>
                                  </w:pPr>
                                  <w:r>
                                    <w:rPr>
                                      <w:rFonts w:ascii="Times New Roman"/>
                                      <w:sz w:val="21"/>
                                    </w:rPr>
                                    <w:t>M2</w:t>
                                  </w:r>
                                </w:p>
                              </w:tc>
                              <w:tc>
                                <w:tcPr>
                                  <w:tcW w:w="1440" w:type="dxa"/>
                                </w:tcPr>
                                <w:p>
                                  <w:pPr>
                                    <w:pStyle w:val="18"/>
                                    <w:spacing w:before="44"/>
                                    <w:ind w:left="572"/>
                                    <w:jc w:val="left"/>
                                    <w:rPr>
                                      <w:rFonts w:ascii="Times New Roman"/>
                                      <w:sz w:val="21"/>
                                    </w:rPr>
                                  </w:pPr>
                                  <w:r>
                                    <w:rPr>
                                      <w:rFonts w:ascii="Times New Roman"/>
                                      <w:sz w:val="21"/>
                                    </w:rPr>
                                    <w:t>M3</w:t>
                                  </w:r>
                                </w:p>
                              </w:tc>
                              <w:tc>
                                <w:tcPr>
                                  <w:tcW w:w="1410" w:type="dxa"/>
                                </w:tcPr>
                                <w:p>
                                  <w:pPr>
                                    <w:pStyle w:val="18"/>
                                    <w:spacing w:before="44"/>
                                    <w:ind w:left="536" w:right="531"/>
                                    <w:rPr>
                                      <w:rFonts w:ascii="Times New Roman"/>
                                      <w:sz w:val="21"/>
                                    </w:rPr>
                                  </w:pPr>
                                  <w:r>
                                    <w:rPr>
                                      <w:rFonts w:ascii="Times New Roman"/>
                                      <w:sz w:val="21"/>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31"/>
                                    <w:ind w:left="846" w:right="837"/>
                                    <w:rPr>
                                      <w:rFonts w:ascii="Times New Roman" w:hAnsi="Times New Roman"/>
                                      <w:sz w:val="21"/>
                                    </w:rPr>
                                  </w:pPr>
                                  <w:r>
                                    <w:rPr>
                                      <w:rFonts w:ascii="Times New Roman" w:hAnsi="Times New Roman"/>
                                      <w:sz w:val="21"/>
                                    </w:rPr>
                                    <w:t>Q</w:t>
                                  </w:r>
                                  <w:r>
                                    <w:rPr>
                                      <w:sz w:val="21"/>
                                    </w:rPr>
                                    <w:t>≥</w:t>
                                  </w:r>
                                  <w:r>
                                    <w:rPr>
                                      <w:rFonts w:ascii="Times New Roman" w:hAnsi="Times New Roman"/>
                                      <w:sz w:val="21"/>
                                    </w:rPr>
                                    <w:t>100</w:t>
                                  </w:r>
                                </w:p>
                              </w:tc>
                              <w:tc>
                                <w:tcPr>
                                  <w:tcW w:w="1375" w:type="dxa"/>
                                </w:tcPr>
                                <w:p>
                                  <w:pPr>
                                    <w:pStyle w:val="18"/>
                                    <w:spacing w:before="45"/>
                                    <w:ind w:left="520" w:right="510"/>
                                    <w:rPr>
                                      <w:rFonts w:ascii="Times New Roman"/>
                                      <w:sz w:val="21"/>
                                    </w:rPr>
                                  </w:pPr>
                                  <w:r>
                                    <w:rPr>
                                      <w:rFonts w:ascii="Times New Roman"/>
                                      <w:sz w:val="21"/>
                                    </w:rPr>
                                    <w:t>P1</w:t>
                                  </w:r>
                                </w:p>
                              </w:tc>
                              <w:tc>
                                <w:tcPr>
                                  <w:tcW w:w="1395" w:type="dxa"/>
                                </w:tcPr>
                                <w:p>
                                  <w:pPr>
                                    <w:pStyle w:val="18"/>
                                    <w:spacing w:before="45"/>
                                    <w:ind w:left="587"/>
                                    <w:jc w:val="left"/>
                                    <w:rPr>
                                      <w:rFonts w:ascii="Times New Roman"/>
                                      <w:sz w:val="21"/>
                                    </w:rPr>
                                  </w:pPr>
                                  <w:r>
                                    <w:rPr>
                                      <w:rFonts w:ascii="Times New Roman"/>
                                      <w:sz w:val="21"/>
                                    </w:rPr>
                                    <w:t>P1</w:t>
                                  </w:r>
                                </w:p>
                              </w:tc>
                              <w:tc>
                                <w:tcPr>
                                  <w:tcW w:w="1440" w:type="dxa"/>
                                </w:tcPr>
                                <w:p>
                                  <w:pPr>
                                    <w:pStyle w:val="18"/>
                                    <w:spacing w:before="45"/>
                                    <w:ind w:left="608"/>
                                    <w:jc w:val="left"/>
                                    <w:rPr>
                                      <w:rFonts w:ascii="Times New Roman"/>
                                      <w:sz w:val="21"/>
                                    </w:rPr>
                                  </w:pPr>
                                  <w:r>
                                    <w:rPr>
                                      <w:rFonts w:ascii="Times New Roman"/>
                                      <w:sz w:val="21"/>
                                    </w:rPr>
                                    <w:t>P2</w:t>
                                  </w:r>
                                </w:p>
                              </w:tc>
                              <w:tc>
                                <w:tcPr>
                                  <w:tcW w:w="1410" w:type="dxa"/>
                                </w:tcPr>
                                <w:p>
                                  <w:pPr>
                                    <w:pStyle w:val="18"/>
                                    <w:spacing w:before="45"/>
                                    <w:ind w:left="536" w:right="528"/>
                                    <w:rPr>
                                      <w:rFonts w:ascii="Times New Roman"/>
                                      <w:sz w:val="21"/>
                                    </w:rPr>
                                  </w:pPr>
                                  <w:r>
                                    <w:rPr>
                                      <w:rFonts w:ascii="Times New Roman"/>
                                      <w:sz w:val="21"/>
                                    </w:rPr>
                                    <w:t>P3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29"/>
                                    <w:ind w:left="846" w:right="837"/>
                                    <w:rPr>
                                      <w:rFonts w:ascii="Times New Roman" w:hAnsi="Times New Roman" w:eastAsia="Times New Roman"/>
                                      <w:sz w:val="21"/>
                                    </w:rPr>
                                  </w:pPr>
                                  <w:r>
                                    <w:rPr>
                                      <w:rFonts w:ascii="Times New Roman" w:hAnsi="Times New Roman" w:eastAsia="Times New Roman"/>
                                      <w:sz w:val="21"/>
                                    </w:rPr>
                                    <w:t>10</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100</w:t>
                                  </w:r>
                                </w:p>
                              </w:tc>
                              <w:tc>
                                <w:tcPr>
                                  <w:tcW w:w="1375" w:type="dxa"/>
                                </w:tcPr>
                                <w:p>
                                  <w:pPr>
                                    <w:pStyle w:val="18"/>
                                    <w:spacing w:before="43"/>
                                    <w:ind w:left="520" w:right="510"/>
                                    <w:rPr>
                                      <w:rFonts w:ascii="Times New Roman"/>
                                      <w:sz w:val="21"/>
                                    </w:rPr>
                                  </w:pPr>
                                  <w:r>
                                    <w:rPr>
                                      <w:rFonts w:ascii="Times New Roman"/>
                                      <w:sz w:val="21"/>
                                    </w:rPr>
                                    <w:t>P1</w:t>
                                  </w:r>
                                </w:p>
                              </w:tc>
                              <w:tc>
                                <w:tcPr>
                                  <w:tcW w:w="1395" w:type="dxa"/>
                                </w:tcPr>
                                <w:p>
                                  <w:pPr>
                                    <w:pStyle w:val="18"/>
                                    <w:spacing w:before="43"/>
                                    <w:ind w:left="587"/>
                                    <w:jc w:val="left"/>
                                    <w:rPr>
                                      <w:rFonts w:ascii="Times New Roman"/>
                                      <w:sz w:val="21"/>
                                    </w:rPr>
                                  </w:pPr>
                                  <w:r>
                                    <w:rPr>
                                      <w:rFonts w:ascii="Times New Roman"/>
                                      <w:sz w:val="21"/>
                                    </w:rPr>
                                    <w:t>P2</w:t>
                                  </w:r>
                                </w:p>
                              </w:tc>
                              <w:tc>
                                <w:tcPr>
                                  <w:tcW w:w="1440" w:type="dxa"/>
                                </w:tcPr>
                                <w:p>
                                  <w:pPr>
                                    <w:pStyle w:val="18"/>
                                    <w:spacing w:before="43"/>
                                    <w:ind w:left="608"/>
                                    <w:jc w:val="left"/>
                                    <w:rPr>
                                      <w:rFonts w:ascii="Times New Roman"/>
                                      <w:sz w:val="21"/>
                                    </w:rPr>
                                  </w:pPr>
                                  <w:r>
                                    <w:rPr>
                                      <w:rFonts w:ascii="Times New Roman"/>
                                      <w:sz w:val="21"/>
                                    </w:rPr>
                                    <w:t>P3</w:t>
                                  </w:r>
                                </w:p>
                              </w:tc>
                              <w:tc>
                                <w:tcPr>
                                  <w:tcW w:w="1410" w:type="dxa"/>
                                </w:tcPr>
                                <w:p>
                                  <w:pPr>
                                    <w:pStyle w:val="18"/>
                                    <w:spacing w:before="43"/>
                                    <w:ind w:left="536" w:right="528"/>
                                    <w:rPr>
                                      <w:rFonts w:ascii="Times New Roman"/>
                                      <w:sz w:val="21"/>
                                    </w:rPr>
                                  </w:pPr>
                                  <w:r>
                                    <w:rPr>
                                      <w:rFonts w:ascii="Times New Roman"/>
                                      <w:sz w:val="21"/>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30"/>
                                    <w:ind w:left="846" w:right="837"/>
                                    <w:rPr>
                                      <w:rFonts w:ascii="Times New Roman" w:hAnsi="Times New Roman" w:eastAsia="Times New Roman"/>
                                      <w:sz w:val="21"/>
                                    </w:rPr>
                                  </w:pPr>
                                  <w:r>
                                    <w:rPr>
                                      <w:rFonts w:ascii="Times New Roman" w:hAnsi="Times New Roman" w:eastAsia="Times New Roman"/>
                                      <w:sz w:val="21"/>
                                    </w:rPr>
                                    <w:t>1</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w:t>
                                  </w:r>
                                </w:p>
                              </w:tc>
                              <w:tc>
                                <w:tcPr>
                                  <w:tcW w:w="1375" w:type="dxa"/>
                                </w:tcPr>
                                <w:p>
                                  <w:pPr>
                                    <w:pStyle w:val="18"/>
                                    <w:spacing w:before="44"/>
                                    <w:ind w:left="520" w:right="510"/>
                                    <w:rPr>
                                      <w:rFonts w:ascii="Times New Roman"/>
                                      <w:sz w:val="21"/>
                                    </w:rPr>
                                  </w:pPr>
                                  <w:r>
                                    <w:rPr>
                                      <w:rFonts w:ascii="Times New Roman"/>
                                      <w:sz w:val="21"/>
                                    </w:rPr>
                                    <w:t>P2</w:t>
                                  </w:r>
                                </w:p>
                              </w:tc>
                              <w:tc>
                                <w:tcPr>
                                  <w:tcW w:w="1395" w:type="dxa"/>
                                </w:tcPr>
                                <w:p>
                                  <w:pPr>
                                    <w:pStyle w:val="18"/>
                                    <w:spacing w:before="44"/>
                                    <w:ind w:left="587"/>
                                    <w:jc w:val="left"/>
                                    <w:rPr>
                                      <w:rFonts w:ascii="Times New Roman"/>
                                      <w:sz w:val="21"/>
                                    </w:rPr>
                                  </w:pPr>
                                  <w:r>
                                    <w:rPr>
                                      <w:rFonts w:ascii="Times New Roman"/>
                                      <w:sz w:val="21"/>
                                    </w:rPr>
                                    <w:t>P3</w:t>
                                  </w:r>
                                </w:p>
                              </w:tc>
                              <w:tc>
                                <w:tcPr>
                                  <w:tcW w:w="1440" w:type="dxa"/>
                                </w:tcPr>
                                <w:p>
                                  <w:pPr>
                                    <w:pStyle w:val="18"/>
                                    <w:spacing w:before="44"/>
                                    <w:ind w:left="608"/>
                                    <w:jc w:val="left"/>
                                    <w:rPr>
                                      <w:rFonts w:ascii="Times New Roman"/>
                                      <w:sz w:val="21"/>
                                    </w:rPr>
                                  </w:pPr>
                                  <w:r>
                                    <w:rPr>
                                      <w:rFonts w:ascii="Times New Roman"/>
                                      <w:sz w:val="21"/>
                                    </w:rPr>
                                    <w:t>P4</w:t>
                                  </w:r>
                                </w:p>
                              </w:tc>
                              <w:tc>
                                <w:tcPr>
                                  <w:tcW w:w="1410" w:type="dxa"/>
                                </w:tcPr>
                                <w:p>
                                  <w:pPr>
                                    <w:pStyle w:val="18"/>
                                    <w:spacing w:before="44"/>
                                    <w:ind w:left="536" w:right="528"/>
                                    <w:rPr>
                                      <w:rFonts w:ascii="Times New Roman"/>
                                      <w:sz w:val="21"/>
                                    </w:rPr>
                                  </w:pPr>
                                  <w:r>
                                    <w:rPr>
                                      <w:rFonts w:ascii="Times New Roman"/>
                                      <w:sz w:val="21"/>
                                    </w:rPr>
                                    <w:t>P4</w:t>
                                  </w:r>
                                </w:p>
                              </w:tc>
                            </w:tr>
                          </w:tbl>
                          <w:p>
                            <w:pPr>
                              <w:pStyle w:val="7"/>
                              <w:ind w:left="0"/>
                            </w:pPr>
                          </w:p>
                        </w:txbxContent>
                      </wps:txbx>
                      <wps:bodyPr vert="horz" lIns="0" tIns="0" rIns="0" bIns="0" anchor="t" upright="1"/>
                    </wps:wsp>
                  </a:graphicData>
                </a:graphic>
              </wp:anchor>
            </w:drawing>
          </mc:Choice>
          <mc:Fallback>
            <w:pict>
              <v:shape id="文本框 144" o:spid="_x0000_s1026" o:spt="202" type="#_x0000_t202" style="position:absolute;left:0pt;margin-left:86.1pt;margin-top:50.75pt;height:88.35pt;width:432.6pt;mso-position-horizontal-relative:page;z-index:251756544;mso-width-relative:page;mso-height-relative:page;" filled="f" stroked="f" coordsize="21600,21600" o:gfxdata="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MQw7DaAAAADAEAAA8AAAAAAAAAAQAgAAAAIgAAAGRycy9kb3ducmV2LnhtbFBLAQIUABQAAAAI&#10;AIdO4kBfcpQNsgEAAEADAAAOAAAAAAAAAAEAIAAAACkBAABkcnMvZTJvRG9jLnhtbFBLBQYAAAAA&#10;BgAGAFkBAABNBQAAAAA=&#10;">
                <v:fill on="f" focussize="0,0"/>
                <v:stroke on="f"/>
                <v:imagedata o:title=""/>
                <o:lock v:ext="edit" aspectratio="f"/>
                <v:textbox inset="0mm,0mm,0mm,0mm">
                  <w:txbxContent>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1"/>
                        <w:gridCol w:w="1375"/>
                        <w:gridCol w:w="1395"/>
                        <w:gridCol w:w="1440"/>
                        <w:gridCol w:w="1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831" w:type="dxa"/>
                            <w:vMerge w:val="restart"/>
                          </w:tcPr>
                          <w:p>
                            <w:pPr>
                              <w:pStyle w:val="18"/>
                              <w:spacing w:before="3" w:line="310" w:lineRule="atLeast"/>
                              <w:ind w:left="108" w:right="199" w:firstLine="1252"/>
                              <w:jc w:val="left"/>
                              <w:rPr>
                                <w:sz w:val="21"/>
                              </w:rPr>
                            </w:pPr>
                            <w:r>
                              <w:rPr>
                                <w:sz w:val="21"/>
                              </w:rPr>
                              <w:t>危险物质数量与临界量比值（</w:t>
                            </w:r>
                            <w:r>
                              <w:rPr>
                                <w:rFonts w:ascii="Times New Roman" w:eastAsia="Times New Roman"/>
                                <w:sz w:val="21"/>
                              </w:rPr>
                              <w:t>Q</w:t>
                            </w:r>
                            <w:r>
                              <w:rPr>
                                <w:sz w:val="21"/>
                              </w:rPr>
                              <w:t>）</w:t>
                            </w:r>
                          </w:p>
                        </w:tc>
                        <w:tc>
                          <w:tcPr>
                            <w:tcW w:w="5620" w:type="dxa"/>
                            <w:gridSpan w:val="4"/>
                          </w:tcPr>
                          <w:p>
                            <w:pPr>
                              <w:pStyle w:val="18"/>
                              <w:spacing w:before="29"/>
                              <w:ind w:left="1770"/>
                              <w:jc w:val="left"/>
                              <w:rPr>
                                <w:sz w:val="21"/>
                              </w:rPr>
                            </w:pPr>
                            <w:r>
                              <w:rPr>
                                <w:sz w:val="21"/>
                              </w:rPr>
                              <w:t>行业及生产工艺（</w:t>
                            </w:r>
                            <w:r>
                              <w:rPr>
                                <w:rFonts w:ascii="Times New Roman" w:eastAsia="Times New Roman"/>
                                <w:sz w:val="21"/>
                              </w:rPr>
                              <w:t>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831" w:type="dxa"/>
                            <w:vMerge w:val="continue"/>
                            <w:tcBorders>
                              <w:top w:val="nil"/>
                            </w:tcBorders>
                          </w:tcPr>
                          <w:p>
                            <w:pPr>
                              <w:rPr>
                                <w:sz w:val="2"/>
                                <w:szCs w:val="2"/>
                              </w:rPr>
                            </w:pPr>
                          </w:p>
                        </w:tc>
                        <w:tc>
                          <w:tcPr>
                            <w:tcW w:w="1375" w:type="dxa"/>
                          </w:tcPr>
                          <w:p>
                            <w:pPr>
                              <w:pStyle w:val="18"/>
                              <w:spacing w:before="44"/>
                              <w:ind w:left="520" w:right="513"/>
                              <w:rPr>
                                <w:rFonts w:ascii="Times New Roman"/>
                                <w:sz w:val="21"/>
                              </w:rPr>
                            </w:pPr>
                            <w:r>
                              <w:rPr>
                                <w:rFonts w:ascii="Times New Roman"/>
                                <w:sz w:val="21"/>
                              </w:rPr>
                              <w:t>M1</w:t>
                            </w:r>
                          </w:p>
                        </w:tc>
                        <w:tc>
                          <w:tcPr>
                            <w:tcW w:w="1395" w:type="dxa"/>
                          </w:tcPr>
                          <w:p>
                            <w:pPr>
                              <w:pStyle w:val="18"/>
                              <w:spacing w:before="44"/>
                              <w:ind w:left="551"/>
                              <w:jc w:val="left"/>
                              <w:rPr>
                                <w:rFonts w:ascii="Times New Roman"/>
                                <w:sz w:val="21"/>
                              </w:rPr>
                            </w:pPr>
                            <w:r>
                              <w:rPr>
                                <w:rFonts w:ascii="Times New Roman"/>
                                <w:sz w:val="21"/>
                              </w:rPr>
                              <w:t>M2</w:t>
                            </w:r>
                          </w:p>
                        </w:tc>
                        <w:tc>
                          <w:tcPr>
                            <w:tcW w:w="1440" w:type="dxa"/>
                          </w:tcPr>
                          <w:p>
                            <w:pPr>
                              <w:pStyle w:val="18"/>
                              <w:spacing w:before="44"/>
                              <w:ind w:left="572"/>
                              <w:jc w:val="left"/>
                              <w:rPr>
                                <w:rFonts w:ascii="Times New Roman"/>
                                <w:sz w:val="21"/>
                              </w:rPr>
                            </w:pPr>
                            <w:r>
                              <w:rPr>
                                <w:rFonts w:ascii="Times New Roman"/>
                                <w:sz w:val="21"/>
                              </w:rPr>
                              <w:t>M3</w:t>
                            </w:r>
                          </w:p>
                        </w:tc>
                        <w:tc>
                          <w:tcPr>
                            <w:tcW w:w="1410" w:type="dxa"/>
                          </w:tcPr>
                          <w:p>
                            <w:pPr>
                              <w:pStyle w:val="18"/>
                              <w:spacing w:before="44"/>
                              <w:ind w:left="536" w:right="531"/>
                              <w:rPr>
                                <w:rFonts w:ascii="Times New Roman"/>
                                <w:sz w:val="21"/>
                              </w:rPr>
                            </w:pPr>
                            <w:r>
                              <w:rPr>
                                <w:rFonts w:ascii="Times New Roman"/>
                                <w:sz w:val="21"/>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31"/>
                              <w:ind w:left="846" w:right="837"/>
                              <w:rPr>
                                <w:rFonts w:ascii="Times New Roman" w:hAnsi="Times New Roman"/>
                                <w:sz w:val="21"/>
                              </w:rPr>
                            </w:pPr>
                            <w:r>
                              <w:rPr>
                                <w:rFonts w:ascii="Times New Roman" w:hAnsi="Times New Roman"/>
                                <w:sz w:val="21"/>
                              </w:rPr>
                              <w:t>Q</w:t>
                            </w:r>
                            <w:r>
                              <w:rPr>
                                <w:sz w:val="21"/>
                              </w:rPr>
                              <w:t>≥</w:t>
                            </w:r>
                            <w:r>
                              <w:rPr>
                                <w:rFonts w:ascii="Times New Roman" w:hAnsi="Times New Roman"/>
                                <w:sz w:val="21"/>
                              </w:rPr>
                              <w:t>100</w:t>
                            </w:r>
                          </w:p>
                        </w:tc>
                        <w:tc>
                          <w:tcPr>
                            <w:tcW w:w="1375" w:type="dxa"/>
                          </w:tcPr>
                          <w:p>
                            <w:pPr>
                              <w:pStyle w:val="18"/>
                              <w:spacing w:before="45"/>
                              <w:ind w:left="520" w:right="510"/>
                              <w:rPr>
                                <w:rFonts w:ascii="Times New Roman"/>
                                <w:sz w:val="21"/>
                              </w:rPr>
                            </w:pPr>
                            <w:r>
                              <w:rPr>
                                <w:rFonts w:ascii="Times New Roman"/>
                                <w:sz w:val="21"/>
                              </w:rPr>
                              <w:t>P1</w:t>
                            </w:r>
                          </w:p>
                        </w:tc>
                        <w:tc>
                          <w:tcPr>
                            <w:tcW w:w="1395" w:type="dxa"/>
                          </w:tcPr>
                          <w:p>
                            <w:pPr>
                              <w:pStyle w:val="18"/>
                              <w:spacing w:before="45"/>
                              <w:ind w:left="587"/>
                              <w:jc w:val="left"/>
                              <w:rPr>
                                <w:rFonts w:ascii="Times New Roman"/>
                                <w:sz w:val="21"/>
                              </w:rPr>
                            </w:pPr>
                            <w:r>
                              <w:rPr>
                                <w:rFonts w:ascii="Times New Roman"/>
                                <w:sz w:val="21"/>
                              </w:rPr>
                              <w:t>P1</w:t>
                            </w:r>
                          </w:p>
                        </w:tc>
                        <w:tc>
                          <w:tcPr>
                            <w:tcW w:w="1440" w:type="dxa"/>
                          </w:tcPr>
                          <w:p>
                            <w:pPr>
                              <w:pStyle w:val="18"/>
                              <w:spacing w:before="45"/>
                              <w:ind w:left="608"/>
                              <w:jc w:val="left"/>
                              <w:rPr>
                                <w:rFonts w:ascii="Times New Roman"/>
                                <w:sz w:val="21"/>
                              </w:rPr>
                            </w:pPr>
                            <w:r>
                              <w:rPr>
                                <w:rFonts w:ascii="Times New Roman"/>
                                <w:sz w:val="21"/>
                              </w:rPr>
                              <w:t>P2</w:t>
                            </w:r>
                          </w:p>
                        </w:tc>
                        <w:tc>
                          <w:tcPr>
                            <w:tcW w:w="1410" w:type="dxa"/>
                          </w:tcPr>
                          <w:p>
                            <w:pPr>
                              <w:pStyle w:val="18"/>
                              <w:spacing w:before="45"/>
                              <w:ind w:left="536" w:right="528"/>
                              <w:rPr>
                                <w:rFonts w:ascii="Times New Roman"/>
                                <w:sz w:val="21"/>
                              </w:rPr>
                            </w:pPr>
                            <w:r>
                              <w:rPr>
                                <w:rFonts w:ascii="Times New Roman"/>
                                <w:sz w:val="21"/>
                              </w:rPr>
                              <w:t>P3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29"/>
                              <w:ind w:left="846" w:right="837"/>
                              <w:rPr>
                                <w:rFonts w:ascii="Times New Roman" w:hAnsi="Times New Roman" w:eastAsia="Times New Roman"/>
                                <w:sz w:val="21"/>
                              </w:rPr>
                            </w:pPr>
                            <w:r>
                              <w:rPr>
                                <w:rFonts w:ascii="Times New Roman" w:hAnsi="Times New Roman" w:eastAsia="Times New Roman"/>
                                <w:sz w:val="21"/>
                              </w:rPr>
                              <w:t>10</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100</w:t>
                            </w:r>
                          </w:p>
                        </w:tc>
                        <w:tc>
                          <w:tcPr>
                            <w:tcW w:w="1375" w:type="dxa"/>
                          </w:tcPr>
                          <w:p>
                            <w:pPr>
                              <w:pStyle w:val="18"/>
                              <w:spacing w:before="43"/>
                              <w:ind w:left="520" w:right="510"/>
                              <w:rPr>
                                <w:rFonts w:ascii="Times New Roman"/>
                                <w:sz w:val="21"/>
                              </w:rPr>
                            </w:pPr>
                            <w:r>
                              <w:rPr>
                                <w:rFonts w:ascii="Times New Roman"/>
                                <w:sz w:val="21"/>
                              </w:rPr>
                              <w:t>P1</w:t>
                            </w:r>
                          </w:p>
                        </w:tc>
                        <w:tc>
                          <w:tcPr>
                            <w:tcW w:w="1395" w:type="dxa"/>
                          </w:tcPr>
                          <w:p>
                            <w:pPr>
                              <w:pStyle w:val="18"/>
                              <w:spacing w:before="43"/>
                              <w:ind w:left="587"/>
                              <w:jc w:val="left"/>
                              <w:rPr>
                                <w:rFonts w:ascii="Times New Roman"/>
                                <w:sz w:val="21"/>
                              </w:rPr>
                            </w:pPr>
                            <w:r>
                              <w:rPr>
                                <w:rFonts w:ascii="Times New Roman"/>
                                <w:sz w:val="21"/>
                              </w:rPr>
                              <w:t>P2</w:t>
                            </w:r>
                          </w:p>
                        </w:tc>
                        <w:tc>
                          <w:tcPr>
                            <w:tcW w:w="1440" w:type="dxa"/>
                          </w:tcPr>
                          <w:p>
                            <w:pPr>
                              <w:pStyle w:val="18"/>
                              <w:spacing w:before="43"/>
                              <w:ind w:left="608"/>
                              <w:jc w:val="left"/>
                              <w:rPr>
                                <w:rFonts w:ascii="Times New Roman"/>
                                <w:sz w:val="21"/>
                              </w:rPr>
                            </w:pPr>
                            <w:r>
                              <w:rPr>
                                <w:rFonts w:ascii="Times New Roman"/>
                                <w:sz w:val="21"/>
                              </w:rPr>
                              <w:t>P3</w:t>
                            </w:r>
                          </w:p>
                        </w:tc>
                        <w:tc>
                          <w:tcPr>
                            <w:tcW w:w="1410" w:type="dxa"/>
                          </w:tcPr>
                          <w:p>
                            <w:pPr>
                              <w:pStyle w:val="18"/>
                              <w:spacing w:before="43"/>
                              <w:ind w:left="536" w:right="528"/>
                              <w:rPr>
                                <w:rFonts w:ascii="Times New Roman"/>
                                <w:sz w:val="21"/>
                              </w:rPr>
                            </w:pPr>
                            <w:r>
                              <w:rPr>
                                <w:rFonts w:ascii="Times New Roman"/>
                                <w:sz w:val="21"/>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8"/>
                              <w:spacing w:before="30"/>
                              <w:ind w:left="846" w:right="837"/>
                              <w:rPr>
                                <w:rFonts w:ascii="Times New Roman" w:hAnsi="Times New Roman" w:eastAsia="Times New Roman"/>
                                <w:sz w:val="21"/>
                              </w:rPr>
                            </w:pPr>
                            <w:r>
                              <w:rPr>
                                <w:rFonts w:ascii="Times New Roman" w:hAnsi="Times New Roman" w:eastAsia="Times New Roman"/>
                                <w:sz w:val="21"/>
                              </w:rPr>
                              <w:t>1</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w:t>
                            </w:r>
                          </w:p>
                        </w:tc>
                        <w:tc>
                          <w:tcPr>
                            <w:tcW w:w="1375" w:type="dxa"/>
                          </w:tcPr>
                          <w:p>
                            <w:pPr>
                              <w:pStyle w:val="18"/>
                              <w:spacing w:before="44"/>
                              <w:ind w:left="520" w:right="510"/>
                              <w:rPr>
                                <w:rFonts w:ascii="Times New Roman"/>
                                <w:sz w:val="21"/>
                              </w:rPr>
                            </w:pPr>
                            <w:r>
                              <w:rPr>
                                <w:rFonts w:ascii="Times New Roman"/>
                                <w:sz w:val="21"/>
                              </w:rPr>
                              <w:t>P2</w:t>
                            </w:r>
                          </w:p>
                        </w:tc>
                        <w:tc>
                          <w:tcPr>
                            <w:tcW w:w="1395" w:type="dxa"/>
                          </w:tcPr>
                          <w:p>
                            <w:pPr>
                              <w:pStyle w:val="18"/>
                              <w:spacing w:before="44"/>
                              <w:ind w:left="587"/>
                              <w:jc w:val="left"/>
                              <w:rPr>
                                <w:rFonts w:ascii="Times New Roman"/>
                                <w:sz w:val="21"/>
                              </w:rPr>
                            </w:pPr>
                            <w:r>
                              <w:rPr>
                                <w:rFonts w:ascii="Times New Roman"/>
                                <w:sz w:val="21"/>
                              </w:rPr>
                              <w:t>P3</w:t>
                            </w:r>
                          </w:p>
                        </w:tc>
                        <w:tc>
                          <w:tcPr>
                            <w:tcW w:w="1440" w:type="dxa"/>
                          </w:tcPr>
                          <w:p>
                            <w:pPr>
                              <w:pStyle w:val="18"/>
                              <w:spacing w:before="44"/>
                              <w:ind w:left="608"/>
                              <w:jc w:val="left"/>
                              <w:rPr>
                                <w:rFonts w:ascii="Times New Roman"/>
                                <w:sz w:val="21"/>
                              </w:rPr>
                            </w:pPr>
                            <w:r>
                              <w:rPr>
                                <w:rFonts w:ascii="Times New Roman"/>
                                <w:sz w:val="21"/>
                              </w:rPr>
                              <w:t>P4</w:t>
                            </w:r>
                          </w:p>
                        </w:tc>
                        <w:tc>
                          <w:tcPr>
                            <w:tcW w:w="1410" w:type="dxa"/>
                          </w:tcPr>
                          <w:p>
                            <w:pPr>
                              <w:pStyle w:val="18"/>
                              <w:spacing w:before="44"/>
                              <w:ind w:left="536" w:right="528"/>
                              <w:rPr>
                                <w:rFonts w:ascii="Times New Roman"/>
                                <w:sz w:val="21"/>
                              </w:rPr>
                            </w:pPr>
                            <w:r>
                              <w:rPr>
                                <w:rFonts w:ascii="Times New Roman"/>
                                <w:sz w:val="21"/>
                              </w:rPr>
                              <w:t>P4</w:t>
                            </w:r>
                          </w:p>
                        </w:tc>
                      </w:tr>
                    </w:tbl>
                    <w:p>
                      <w:pPr>
                        <w:pStyle w:val="7"/>
                        <w:ind w:left="0"/>
                      </w:pPr>
                    </w:p>
                  </w:txbxContent>
                </v:textbox>
              </v:shape>
            </w:pict>
          </mc:Fallback>
        </mc:AlternateContent>
      </w:r>
      <w:r>
        <w:rPr>
          <w:sz w:val="24"/>
        </w:rPr>
        <w:t>确定危险物质及工艺系统危险性等级（</w:t>
      </w:r>
      <w:r>
        <w:rPr>
          <w:rFonts w:ascii="Times New Roman" w:eastAsia="Times New Roman"/>
          <w:sz w:val="24"/>
        </w:rPr>
        <w:t>P</w:t>
      </w:r>
      <w:r>
        <w:rPr>
          <w:sz w:val="24"/>
        </w:rPr>
        <w:t>），分别</w:t>
      </w:r>
      <w:r>
        <w:rPr>
          <w:rFonts w:ascii="Times New Roman" w:eastAsia="Times New Roman"/>
          <w:sz w:val="24"/>
        </w:rPr>
        <w:t>P1</w:t>
      </w:r>
      <w:r>
        <w:rPr>
          <w:sz w:val="24"/>
        </w:rPr>
        <w:t>、</w:t>
      </w:r>
      <w:r>
        <w:rPr>
          <w:rFonts w:ascii="Times New Roman" w:eastAsia="Times New Roman"/>
          <w:sz w:val="24"/>
        </w:rPr>
        <w:t>P2</w:t>
      </w:r>
      <w:r>
        <w:rPr>
          <w:sz w:val="24"/>
        </w:rPr>
        <w:t>、</w:t>
      </w:r>
      <w:r>
        <w:rPr>
          <w:rFonts w:ascii="Times New Roman" w:eastAsia="Times New Roman"/>
          <w:sz w:val="24"/>
        </w:rPr>
        <w:t>P3</w:t>
      </w:r>
      <w:r>
        <w:rPr>
          <w:sz w:val="24"/>
        </w:rPr>
        <w:t>、</w:t>
      </w:r>
      <w:r>
        <w:rPr>
          <w:rFonts w:ascii="Times New Roman" w:eastAsia="Times New Roman"/>
          <w:sz w:val="24"/>
        </w:rPr>
        <w:t>P4</w:t>
      </w:r>
      <w:r>
        <w:rPr>
          <w:sz w:val="24"/>
        </w:rPr>
        <w:t>表示</w:t>
      </w:r>
      <w:r>
        <w:rPr>
          <w:spacing w:val="-11"/>
          <w:sz w:val="24"/>
        </w:rPr>
        <w:t>。</w:t>
      </w:r>
      <w:r>
        <w:rPr>
          <w:b/>
          <w:sz w:val="24"/>
        </w:rPr>
        <w:t>表</w:t>
      </w:r>
      <w:r>
        <w:rPr>
          <w:rFonts w:ascii="Times New Roman" w:eastAsia="Times New Roman"/>
          <w:b/>
          <w:sz w:val="24"/>
        </w:rPr>
        <w:t>5.2-12</w:t>
      </w:r>
      <w:r>
        <w:rPr>
          <w:rFonts w:ascii="Times New Roman" w:eastAsia="Times New Roman"/>
          <w:b/>
          <w:sz w:val="24"/>
        </w:rPr>
        <w:tab/>
      </w:r>
      <w:r>
        <w:rPr>
          <w:b/>
          <w:sz w:val="24"/>
        </w:rPr>
        <w:t>危险物质及工艺系统危险性等级判断（</w:t>
      </w:r>
      <w:r>
        <w:rPr>
          <w:rFonts w:ascii="Times New Roman" w:eastAsia="Times New Roman"/>
          <w:b/>
          <w:sz w:val="24"/>
        </w:rPr>
        <w:t>P</w:t>
      </w:r>
      <w:r>
        <w:rPr>
          <w:b/>
          <w:sz w:val="24"/>
        </w:rPr>
        <w:t>）</w:t>
      </w: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spacing w:before="5"/>
        <w:ind w:left="0"/>
        <w:rPr>
          <w:b/>
          <w:sz w:val="23"/>
        </w:rPr>
      </w:pPr>
    </w:p>
    <w:p>
      <w:pPr>
        <w:pStyle w:val="7"/>
        <w:spacing w:before="1"/>
        <w:ind w:left="1020"/>
        <w:jc w:val="both"/>
      </w:pPr>
      <w:r>
        <w:t>①危险物质数量与临界量比值（</w:t>
      </w:r>
      <w:r>
        <w:rPr>
          <w:rFonts w:ascii="Times New Roman" w:hAnsi="Times New Roman" w:eastAsia="Times New Roman"/>
        </w:rPr>
        <w:t>Q</w:t>
      </w:r>
      <w:r>
        <w:t>）</w:t>
      </w:r>
    </w:p>
    <w:p>
      <w:pPr>
        <w:pStyle w:val="7"/>
        <w:spacing w:before="64" w:line="364" w:lineRule="auto"/>
        <w:ind w:right="577"/>
      </w:pPr>
      <w:r>
        <w:t>根据《建设项目环境风险评价技术导则》（</w:t>
      </w:r>
      <w:r>
        <w:rPr>
          <w:rFonts w:ascii="Times New Roman" w:eastAsia="Times New Roman"/>
        </w:rPr>
        <w:t>HJ168-2018</w:t>
      </w:r>
      <w:r>
        <w:t>）附录</w:t>
      </w:r>
      <w:r>
        <w:rPr>
          <w:rFonts w:ascii="Times New Roman" w:eastAsia="Times New Roman"/>
        </w:rPr>
        <w:t>C</w:t>
      </w:r>
      <w:r>
        <w:t>中的计算</w:t>
      </w:r>
      <w:r>
        <w:rPr>
          <w:spacing w:val="-2"/>
        </w:rPr>
        <w:t>公式，计算所涉及的每种危险物质在厂界内的最大存在总量与其在附录</w:t>
      </w:r>
      <w:r>
        <w:rPr>
          <w:rFonts w:ascii="Times New Roman" w:eastAsia="Times New Roman"/>
        </w:rPr>
        <w:t>B</w:t>
      </w:r>
      <w:r>
        <w:t>中对</w:t>
      </w:r>
      <w:r>
        <w:rPr>
          <w:spacing w:val="-8"/>
        </w:rPr>
        <w:t>应临界量的比值</w:t>
      </w:r>
      <w:r>
        <w:rPr>
          <w:rFonts w:ascii="Times New Roman" w:eastAsia="Times New Roman"/>
        </w:rPr>
        <w:t>Q</w:t>
      </w:r>
      <w:r>
        <w:rPr>
          <w:spacing w:val="-11"/>
        </w:rPr>
        <w:t>。在不同场区的同一种物质，按其在厂界内的最大存在总量计</w:t>
      </w:r>
      <w:r>
        <w:t>算。</w:t>
      </w:r>
    </w:p>
    <w:p>
      <w:pPr>
        <w:spacing w:before="131" w:line="349" w:lineRule="exact"/>
        <w:ind w:left="0" w:right="113" w:firstLine="0"/>
        <w:jc w:val="center"/>
        <w:rPr>
          <w:rFonts w:ascii="Times New Roman" w:hAnsi="Times New Roman"/>
          <w:sz w:val="14"/>
        </w:rPr>
      </w:pPr>
      <w:r>
        <mc:AlternateContent>
          <mc:Choice Requires="wps">
            <w:drawing>
              <wp:anchor distT="0" distB="0" distL="114300" distR="114300" simplePos="0" relativeHeight="251757568" behindDoc="0" locked="0" layoutInCell="1" allowOverlap="1">
                <wp:simplePos x="0" y="0"/>
                <wp:positionH relativeFrom="page">
                  <wp:posOffset>3368675</wp:posOffset>
                </wp:positionH>
                <wp:positionV relativeFrom="paragraph">
                  <wp:posOffset>281940</wp:posOffset>
                </wp:positionV>
                <wp:extent cx="162560" cy="0"/>
                <wp:effectExtent l="0" t="0" r="0" b="0"/>
                <wp:wrapNone/>
                <wp:docPr id="157" name="直线 145"/>
                <wp:cNvGraphicFramePr/>
                <a:graphic xmlns:a="http://schemas.openxmlformats.org/drawingml/2006/main">
                  <a:graphicData uri="http://schemas.microsoft.com/office/word/2010/wordprocessingShape">
                    <wps:wsp>
                      <wps:cNvCnPr/>
                      <wps:spPr>
                        <a:xfrm>
                          <a:off x="0" y="0"/>
                          <a:ext cx="16256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5" o:spid="_x0000_s1026" o:spt="20" style="position:absolute;left:0pt;margin-left:265.25pt;margin-top:22.2pt;height:0pt;width:12.8pt;mso-position-horizontal-relative:page;z-index:251757568;mso-width-relative:page;mso-height-relative:page;" filled="f" stroked="t" coordsize="21600,21600" o:gfxdata="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GX/NNQAAAAJAQAADwAAAAAAAAABACAAAAAiAAAAZHJz&#10;L2Rvd25yZXYueG1sUEsBAhQAFAAAAAgAh07iQFkh3e7PAQAAkAMAAA4AAAAAAAAAAQAgAAAAIwEA&#10;AGRycy9lMm9Eb2MueG1sUEsFBgAAAAAGAAYAWQEAAGQ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page">
                  <wp:posOffset>3677285</wp:posOffset>
                </wp:positionH>
                <wp:positionV relativeFrom="paragraph">
                  <wp:posOffset>281940</wp:posOffset>
                </wp:positionV>
                <wp:extent cx="179705" cy="0"/>
                <wp:effectExtent l="0" t="0" r="0" b="0"/>
                <wp:wrapNone/>
                <wp:docPr id="158" name="直线 146"/>
                <wp:cNvGraphicFramePr/>
                <a:graphic xmlns:a="http://schemas.openxmlformats.org/drawingml/2006/main">
                  <a:graphicData uri="http://schemas.microsoft.com/office/word/2010/wordprocessingShape">
                    <wps:wsp>
                      <wps:cNvCnPr/>
                      <wps:spPr>
                        <a:xfrm>
                          <a:off x="0" y="0"/>
                          <a:ext cx="17970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6" o:spid="_x0000_s1026" o:spt="20" style="position:absolute;left:0pt;margin-left:289.55pt;margin-top:22.2pt;height:0pt;width:14.15pt;mso-position-horizontal-relative:page;z-index:251758592;mso-width-relative:page;mso-height-relative:page;" filled="f" stroked="t" coordsize="21600,21600" o:gfxdata="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obIedUAAAAJAQAADwAAAAAAAAABACAAAAAiAAAA&#10;ZHJzL2Rvd25yZXYueG1sUEsBAhQAFAAAAAgAh07iQJNQy57RAQAAkAMAAA4AAAAAAAAAAQAgAAAA&#10;JAEAAGRycy9lMm9Eb2MueG1sUEsFBgAAAAAGAAYAWQEAAGc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page">
                  <wp:posOffset>4267200</wp:posOffset>
                </wp:positionH>
                <wp:positionV relativeFrom="paragraph">
                  <wp:posOffset>281940</wp:posOffset>
                </wp:positionV>
                <wp:extent cx="184150" cy="0"/>
                <wp:effectExtent l="0" t="0" r="0" b="0"/>
                <wp:wrapNone/>
                <wp:docPr id="159" name="直线 147"/>
                <wp:cNvGraphicFramePr/>
                <a:graphic xmlns:a="http://schemas.openxmlformats.org/drawingml/2006/main">
                  <a:graphicData uri="http://schemas.microsoft.com/office/word/2010/wordprocessingShape">
                    <wps:wsp>
                      <wps:cNvCnPr/>
                      <wps:spPr>
                        <a:xfrm>
                          <a:off x="0" y="0"/>
                          <a:ext cx="18415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7" o:spid="_x0000_s1026" o:spt="20" style="position:absolute;left:0pt;margin-left:336pt;margin-top:22.2pt;height:0pt;width:14.5pt;mso-position-horizontal-relative:page;z-index:251759616;mso-width-relative:page;mso-height-relative:page;" filled="f" stroked="t" coordsize="21600,21600" o:gfxdata="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oK25PVAAAACQEAAA8AAAAAAAAAAQAgAAAAIgAAAGRy&#10;cy9kb3ducmV2LnhtbFBLAQIUABQAAAAIAIdO4kADdSW2zwEAAJADAAAOAAAAAAAAAAEAIAAAACQB&#10;AABkcnMvZTJvRG9jLnhtbFBLBQYAAAAABgAGAFkBAABlBQAAAAA=&#10;">
                <v:fill on="f" focussize="0,0"/>
                <v:stroke weight="0.5pt" color="#000000" joinstyle="round"/>
                <v:imagedata o:title=""/>
                <o:lock v:ext="edit" aspectratio="f"/>
              </v:line>
            </w:pict>
          </mc:Fallback>
        </mc:AlternateContent>
      </w:r>
      <w:r>
        <w:rPr>
          <w:rFonts w:ascii="Times New Roman" w:hAnsi="Times New Roman"/>
          <w:i/>
          <w:sz w:val="24"/>
        </w:rPr>
        <w:t>Q</w:t>
      </w:r>
      <w:r>
        <w:rPr>
          <w:rFonts w:ascii="Symbol" w:hAnsi="Symbol"/>
          <w:sz w:val="24"/>
        </w:rPr>
        <w:t></w:t>
      </w:r>
      <w:r>
        <w:rPr>
          <w:rFonts w:ascii="Times New Roman" w:hAnsi="Times New Roman"/>
          <w:i/>
          <w:spacing w:val="-6"/>
          <w:position w:val="15"/>
          <w:sz w:val="24"/>
        </w:rPr>
        <w:t>q</w:t>
      </w:r>
      <w:r>
        <w:rPr>
          <w:rFonts w:ascii="Times New Roman" w:hAnsi="Times New Roman"/>
          <w:spacing w:val="-6"/>
          <w:position w:val="9"/>
          <w:sz w:val="14"/>
        </w:rPr>
        <w:t>1</w:t>
      </w:r>
      <w:r>
        <w:rPr>
          <w:rFonts w:ascii="Symbol" w:hAnsi="Symbol"/>
          <w:sz w:val="24"/>
        </w:rPr>
        <w:t></w:t>
      </w:r>
      <w:r>
        <w:rPr>
          <w:rFonts w:ascii="Times New Roman" w:hAnsi="Times New Roman"/>
          <w:i/>
          <w:position w:val="15"/>
          <w:sz w:val="24"/>
        </w:rPr>
        <w:t>q</w:t>
      </w:r>
      <w:r>
        <w:rPr>
          <w:rFonts w:ascii="Times New Roman" w:hAnsi="Times New Roman"/>
          <w:position w:val="9"/>
          <w:sz w:val="14"/>
        </w:rPr>
        <w:t>2</w:t>
      </w:r>
      <w:r>
        <w:rPr>
          <w:rFonts w:ascii="Symbol" w:hAnsi="Symbol"/>
          <w:spacing w:val="15"/>
          <w:sz w:val="24"/>
        </w:rPr>
        <w:t></w:t>
      </w:r>
      <w:r>
        <w:rPr>
          <w:rFonts w:ascii="MT Extra" w:hAnsi="MT Extra"/>
          <w:spacing w:val="15"/>
          <w:sz w:val="24"/>
        </w:rPr>
        <w:t></w:t>
      </w:r>
      <w:r>
        <w:rPr>
          <w:rFonts w:ascii="Symbol" w:hAnsi="Symbol"/>
          <w:spacing w:val="15"/>
          <w:sz w:val="24"/>
        </w:rPr>
        <w:t></w:t>
      </w:r>
      <w:r>
        <w:rPr>
          <w:rFonts w:ascii="Times New Roman" w:hAnsi="Times New Roman"/>
          <w:i/>
          <w:position w:val="15"/>
          <w:sz w:val="24"/>
        </w:rPr>
        <w:t>q</w:t>
      </w:r>
      <w:r>
        <w:rPr>
          <w:rFonts w:ascii="Times New Roman" w:hAnsi="Times New Roman"/>
          <w:position w:val="9"/>
          <w:sz w:val="14"/>
        </w:rPr>
        <w:t>n</w:t>
      </w:r>
    </w:p>
    <w:p>
      <w:pPr>
        <w:tabs>
          <w:tab w:val="left" w:pos="821"/>
          <w:tab w:val="left" w:pos="1749"/>
        </w:tabs>
        <w:spacing w:before="0" w:line="303" w:lineRule="exact"/>
        <w:ind w:left="335" w:right="0" w:firstLine="0"/>
        <w:jc w:val="center"/>
        <w:rPr>
          <w:rFonts w:ascii="Times New Roman"/>
          <w:sz w:val="14"/>
        </w:rPr>
      </w:pPr>
      <w:r>
        <w:rPr>
          <w:rFonts w:ascii="Times New Roman"/>
          <w:i/>
          <w:spacing w:val="-10"/>
          <w:sz w:val="24"/>
        </w:rPr>
        <w:t>Q</w:t>
      </w:r>
      <w:r>
        <w:rPr>
          <w:rFonts w:ascii="Times New Roman"/>
          <w:spacing w:val="-10"/>
          <w:position w:val="-5"/>
          <w:sz w:val="14"/>
        </w:rPr>
        <w:t>1</w:t>
      </w:r>
      <w:r>
        <w:rPr>
          <w:rFonts w:ascii="Times New Roman"/>
          <w:spacing w:val="-10"/>
          <w:position w:val="-5"/>
          <w:sz w:val="14"/>
        </w:rPr>
        <w:tab/>
      </w:r>
      <w:r>
        <w:rPr>
          <w:rFonts w:ascii="Times New Roman"/>
          <w:i/>
          <w:sz w:val="24"/>
        </w:rPr>
        <w:t>Q</w:t>
      </w:r>
      <w:r>
        <w:rPr>
          <w:rFonts w:ascii="Times New Roman"/>
          <w:position w:val="-5"/>
          <w:sz w:val="14"/>
        </w:rPr>
        <w:t>2</w:t>
      </w:r>
      <w:r>
        <w:rPr>
          <w:rFonts w:ascii="Times New Roman"/>
          <w:position w:val="-5"/>
          <w:sz w:val="14"/>
        </w:rPr>
        <w:tab/>
      </w:r>
      <w:r>
        <w:rPr>
          <w:rFonts w:ascii="Times New Roman"/>
          <w:i/>
          <w:sz w:val="24"/>
        </w:rPr>
        <w:t>Q</w:t>
      </w:r>
      <w:r>
        <w:rPr>
          <w:rFonts w:ascii="Times New Roman"/>
          <w:position w:val="-5"/>
          <w:sz w:val="14"/>
        </w:rPr>
        <w:t>n</w:t>
      </w:r>
    </w:p>
    <w:p>
      <w:pPr>
        <w:pStyle w:val="7"/>
        <w:spacing w:before="5"/>
        <w:ind w:left="0"/>
        <w:rPr>
          <w:rFonts w:ascii="Times New Roman"/>
          <w:sz w:val="13"/>
        </w:rPr>
      </w:pPr>
    </w:p>
    <w:p>
      <w:pPr>
        <w:pStyle w:val="7"/>
        <w:spacing w:before="73"/>
        <w:ind w:left="1044"/>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7"/>
        <w:spacing w:before="156" w:line="364" w:lineRule="auto"/>
        <w:ind w:left="1044" w:right="2261" w:firstLine="732"/>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1</w:t>
      </w:r>
      <w:r>
        <w:rPr>
          <w:vertAlign w:val="baseline"/>
        </w:rPr>
        <w:t>时，该项目环境风险潜势为Ⅰ；</w:t>
      </w:r>
    </w:p>
    <w:p>
      <w:pPr>
        <w:pStyle w:val="7"/>
        <w:ind w:left="1044"/>
      </w:pPr>
      <w:r>
        <w:t>当</w:t>
      </w:r>
      <w:r>
        <w:rPr>
          <w:rFonts w:ascii="Times New Roman" w:hAnsi="Times New Roman" w:eastAsia="Times New Roman"/>
        </w:rPr>
        <w:t>Q</w:t>
      </w:r>
      <w:r>
        <w:t>≥</w:t>
      </w:r>
      <w:r>
        <w:rPr>
          <w:rFonts w:ascii="Times New Roman" w:hAnsi="Times New Roman" w:eastAsia="Times New Roman"/>
        </w:rPr>
        <w:t>1</w:t>
      </w:r>
      <w:r>
        <w:t>时，将</w:t>
      </w:r>
      <w:r>
        <w:rPr>
          <w:rFonts w:ascii="Times New Roman" w:hAnsi="Times New Roman" w:eastAsia="Times New Roman"/>
        </w:rPr>
        <w:t>Q</w:t>
      </w:r>
      <w:r>
        <w:t>值划分为：（</w:t>
      </w:r>
      <w:r>
        <w:rPr>
          <w:rFonts w:ascii="Times New Roman" w:hAnsi="Times New Roman" w:eastAsia="Times New Roman"/>
        </w:rPr>
        <w:t>1</w:t>
      </w:r>
      <w:r>
        <w:t>）</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t>；（</w:t>
      </w:r>
      <w:r>
        <w:rPr>
          <w:rFonts w:ascii="Times New Roman" w:hAnsi="Times New Roman" w:eastAsia="Times New Roman"/>
        </w:rPr>
        <w:t>2</w:t>
      </w:r>
      <w:r>
        <w:t>）</w:t>
      </w:r>
      <w:r>
        <w:rPr>
          <w:rFonts w:ascii="Times New Roman" w:hAnsi="Times New Roman" w:eastAsia="Times New Roman"/>
        </w:rPr>
        <w:t>10</w:t>
      </w:r>
      <w:r>
        <w:t>≤</w:t>
      </w:r>
      <w:r>
        <w:rPr>
          <w:rFonts w:ascii="Times New Roman" w:hAnsi="Times New Roman" w:eastAsia="Times New Roman"/>
        </w:rPr>
        <w:t>Q</w:t>
      </w:r>
      <w:r>
        <w:t>＜</w:t>
      </w:r>
      <w:r>
        <w:rPr>
          <w:rFonts w:ascii="Times New Roman" w:hAnsi="Times New Roman" w:eastAsia="Times New Roman"/>
        </w:rPr>
        <w:t>100</w:t>
      </w:r>
      <w:r>
        <w:t>；（</w:t>
      </w:r>
      <w:r>
        <w:rPr>
          <w:rFonts w:ascii="Times New Roman" w:hAnsi="Times New Roman" w:eastAsia="Times New Roman"/>
        </w:rPr>
        <w:t>3</w:t>
      </w:r>
      <w:r>
        <w:t>）</w:t>
      </w:r>
    </w:p>
    <w:p>
      <w:pPr>
        <w:pStyle w:val="7"/>
        <w:spacing w:before="161"/>
      </w:pPr>
      <w:r>
        <w:rPr>
          <w:rFonts w:ascii="Times New Roman" w:hAnsi="Times New Roman" w:eastAsia="Times New Roman"/>
        </w:rPr>
        <w:t>Q</w:t>
      </w:r>
      <w:r>
        <w:t>≥</w:t>
      </w:r>
      <w:r>
        <w:rPr>
          <w:rFonts w:ascii="Times New Roman" w:hAnsi="Times New Roman" w:eastAsia="Times New Roman"/>
        </w:rPr>
        <w:t>100</w:t>
      </w:r>
      <w:r>
        <w:t>。</w:t>
      </w:r>
    </w:p>
    <w:p>
      <w:pPr>
        <w:pStyle w:val="7"/>
        <w:spacing w:before="160"/>
        <w:ind w:left="1020"/>
      </w:pPr>
      <w:r>
        <w:t>本项目主要风险物质为氨和硫化氢，对照《建设项目环境风险评价技术导则》</w:t>
      </w:r>
    </w:p>
    <w:p>
      <w:pPr>
        <w:pStyle w:val="7"/>
        <w:spacing w:before="161" w:line="364" w:lineRule="auto"/>
        <w:ind w:right="457"/>
      </w:pPr>
      <w:r>
        <w:rPr>
          <w:spacing w:val="-7"/>
        </w:rPr>
        <w:t>（</w:t>
      </w:r>
      <w:r>
        <w:rPr>
          <w:rFonts w:ascii="Times New Roman" w:eastAsia="Times New Roman"/>
          <w:spacing w:val="-7"/>
        </w:rPr>
        <w:t>HJ169-2018</w:t>
      </w:r>
      <w:r>
        <w:rPr>
          <w:spacing w:val="-7"/>
        </w:rPr>
        <w:t>）</w:t>
      </w:r>
      <w:r>
        <w:rPr>
          <w:spacing w:val="-20"/>
        </w:rPr>
        <w:t>附录</w:t>
      </w:r>
      <w:r>
        <w:rPr>
          <w:rFonts w:ascii="Times New Roman" w:eastAsia="Times New Roman"/>
          <w:spacing w:val="-41"/>
        </w:rPr>
        <w:t>B</w:t>
      </w:r>
      <w:r>
        <w:rPr>
          <w:spacing w:val="-15"/>
        </w:rPr>
        <w:t>，氨气和硫化氢属于环境风险物质，临界量分别为</w:t>
      </w:r>
      <w:r>
        <w:rPr>
          <w:rFonts w:ascii="Times New Roman" w:eastAsia="Times New Roman"/>
        </w:rPr>
        <w:t>5t</w:t>
      </w:r>
      <w:r>
        <w:rPr>
          <w:spacing w:val="-77"/>
        </w:rPr>
        <w:t>、</w:t>
      </w:r>
      <w:r>
        <w:rPr>
          <w:rFonts w:ascii="Times New Roman" w:eastAsia="Times New Roman"/>
        </w:rPr>
        <w:t>2.5t</w:t>
      </w:r>
      <w:r>
        <w:rPr>
          <w:spacing w:val="-14"/>
        </w:rPr>
        <w:t>。</w:t>
      </w:r>
      <w:r>
        <w:rPr>
          <w:spacing w:val="-4"/>
        </w:rPr>
        <w:t>环境风险评价工作级别判定结果见表</w:t>
      </w:r>
      <w:r>
        <w:rPr>
          <w:rFonts w:ascii="Times New Roman" w:eastAsia="Times New Roman"/>
        </w:rPr>
        <w:t>5.2-13</w:t>
      </w:r>
      <w:r>
        <w:t>。</w:t>
      </w:r>
    </w:p>
    <w:p>
      <w:pPr>
        <w:pStyle w:val="7"/>
        <w:bidi w:val="0"/>
        <w:jc w:val="center"/>
      </w:pPr>
      <w:r>
        <w:t>表</w:t>
      </w:r>
      <w:r>
        <w:rPr>
          <w:rFonts w:ascii="Times New Roman" w:eastAsia="Times New Roman"/>
        </w:rPr>
        <w:t>5.2-13</w:t>
      </w:r>
      <w:r>
        <w:rPr>
          <w:rFonts w:ascii="Times New Roman" w:eastAsia="Times New Roman"/>
        </w:rPr>
        <w:tab/>
      </w:r>
      <w:r>
        <w:t>环境风险物质识别</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303"/>
        <w:gridCol w:w="2105"/>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8"/>
              <w:spacing w:before="29"/>
              <w:ind w:left="199" w:right="190"/>
              <w:rPr>
                <w:b/>
                <w:sz w:val="21"/>
              </w:rPr>
            </w:pPr>
            <w:r>
              <w:rPr>
                <w:b/>
                <w:sz w:val="21"/>
              </w:rPr>
              <w:t>危险物质名称</w:t>
            </w:r>
          </w:p>
        </w:tc>
        <w:tc>
          <w:tcPr>
            <w:tcW w:w="1303" w:type="dxa"/>
          </w:tcPr>
          <w:p>
            <w:pPr>
              <w:pStyle w:val="18"/>
              <w:spacing w:before="29"/>
              <w:ind w:left="193" w:right="183"/>
              <w:rPr>
                <w:b/>
                <w:sz w:val="21"/>
              </w:rPr>
            </w:pPr>
            <w:r>
              <w:rPr>
                <w:rFonts w:ascii="Times New Roman" w:eastAsia="Times New Roman"/>
                <w:b/>
                <w:sz w:val="21"/>
              </w:rPr>
              <w:t>CAS</w:t>
            </w:r>
            <w:r>
              <w:rPr>
                <w:b/>
                <w:sz w:val="21"/>
              </w:rPr>
              <w:t>号</w:t>
            </w:r>
          </w:p>
        </w:tc>
        <w:tc>
          <w:tcPr>
            <w:tcW w:w="2105" w:type="dxa"/>
          </w:tcPr>
          <w:p>
            <w:pPr>
              <w:pStyle w:val="18"/>
              <w:spacing w:before="25"/>
              <w:ind w:left="115" w:right="98"/>
              <w:rPr>
                <w:b/>
                <w:sz w:val="21"/>
              </w:rPr>
            </w:pPr>
            <w:r>
              <w:rPr>
                <w:b/>
                <w:position w:val="2"/>
                <w:sz w:val="21"/>
              </w:rPr>
              <w:t>最大存在总量（</w:t>
            </w:r>
            <w:r>
              <w:rPr>
                <w:rFonts w:ascii="Times New Roman" w:eastAsia="Times New Roman"/>
                <w:b/>
                <w:position w:val="2"/>
                <w:sz w:val="21"/>
              </w:rPr>
              <w:t>q</w:t>
            </w:r>
            <w:r>
              <w:rPr>
                <w:rFonts w:ascii="Times New Roman" w:eastAsia="Times New Roman"/>
                <w:b/>
                <w:position w:val="2"/>
                <w:sz w:val="21"/>
                <w:vertAlign w:val="subscript"/>
              </w:rPr>
              <w:t>l</w:t>
            </w:r>
            <w:r>
              <w:rPr>
                <w:b/>
                <w:position w:val="2"/>
                <w:sz w:val="21"/>
                <w:vertAlign w:val="baseline"/>
              </w:rPr>
              <w:t>）</w:t>
            </w:r>
          </w:p>
        </w:tc>
        <w:tc>
          <w:tcPr>
            <w:tcW w:w="1705" w:type="dxa"/>
          </w:tcPr>
          <w:p>
            <w:pPr>
              <w:pStyle w:val="18"/>
              <w:spacing w:before="25"/>
              <w:ind w:left="206" w:right="193"/>
              <w:rPr>
                <w:b/>
                <w:sz w:val="21"/>
              </w:rPr>
            </w:pPr>
            <w:r>
              <w:rPr>
                <w:b/>
                <w:position w:val="2"/>
                <w:sz w:val="21"/>
              </w:rPr>
              <w:t>临界量（</w:t>
            </w:r>
            <w:r>
              <w:rPr>
                <w:rFonts w:ascii="Times New Roman" w:eastAsia="Times New Roman"/>
                <w:b/>
                <w:position w:val="2"/>
                <w:sz w:val="21"/>
              </w:rPr>
              <w:t>Q</w:t>
            </w:r>
            <w:r>
              <w:rPr>
                <w:rFonts w:ascii="Times New Roman" w:eastAsia="Times New Roman"/>
                <w:b/>
                <w:position w:val="2"/>
                <w:sz w:val="21"/>
                <w:vertAlign w:val="subscript"/>
              </w:rPr>
              <w:t>l</w:t>
            </w:r>
            <w:r>
              <w:rPr>
                <w:b/>
                <w:position w:val="2"/>
                <w:sz w:val="21"/>
                <w:vertAlign w:val="baseline"/>
              </w:rPr>
              <w:t>）</w:t>
            </w:r>
          </w:p>
        </w:tc>
        <w:tc>
          <w:tcPr>
            <w:tcW w:w="1705" w:type="dxa"/>
          </w:tcPr>
          <w:p>
            <w:pPr>
              <w:pStyle w:val="18"/>
              <w:spacing w:before="25"/>
              <w:ind w:left="204" w:right="193"/>
              <w:rPr>
                <w:b/>
                <w:sz w:val="21"/>
              </w:rPr>
            </w:pPr>
            <w:r>
              <w:rPr>
                <w:rFonts w:ascii="Times New Roman" w:eastAsia="Times New Roman"/>
                <w:b/>
                <w:position w:val="2"/>
                <w:sz w:val="21"/>
              </w:rPr>
              <w:t>Q</w:t>
            </w:r>
            <w:r>
              <w:rPr>
                <w:b/>
                <w:position w:val="2"/>
                <w:sz w:val="21"/>
              </w:rPr>
              <w:t>（</w:t>
            </w:r>
            <w:r>
              <w:rPr>
                <w:rFonts w:ascii="Times New Roman" w:eastAsia="Times New Roman"/>
                <w:b/>
                <w:position w:val="2"/>
                <w:sz w:val="21"/>
              </w:rPr>
              <w:t>q</w:t>
            </w:r>
            <w:r>
              <w:rPr>
                <w:rFonts w:ascii="Times New Roman" w:eastAsia="Times New Roman"/>
                <w:b/>
                <w:position w:val="2"/>
                <w:sz w:val="21"/>
                <w:vertAlign w:val="subscript"/>
              </w:rPr>
              <w:t>l</w:t>
            </w:r>
            <w:r>
              <w:rPr>
                <w:rFonts w:ascii="Times New Roman" w:eastAsia="Times New Roman"/>
                <w:b/>
                <w:position w:val="2"/>
                <w:sz w:val="21"/>
                <w:vertAlign w:val="baseline"/>
              </w:rPr>
              <w:t>/Q</w:t>
            </w:r>
            <w:r>
              <w:rPr>
                <w:rFonts w:ascii="Times New Roman" w:eastAsia="Times New Roman"/>
                <w:b/>
                <w:position w:val="2"/>
                <w:sz w:val="21"/>
                <w:vertAlign w:val="subscript"/>
              </w:rPr>
              <w:t>l</w:t>
            </w:r>
            <w:r>
              <w:rPr>
                <w:b/>
                <w:position w:val="2"/>
                <w:sz w:val="21"/>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8"/>
              <w:spacing w:before="29"/>
              <w:ind w:left="194" w:right="190"/>
              <w:rPr>
                <w:sz w:val="21"/>
              </w:rPr>
            </w:pPr>
            <w:r>
              <w:rPr>
                <w:sz w:val="21"/>
              </w:rPr>
              <w:t>氨气</w:t>
            </w:r>
          </w:p>
        </w:tc>
        <w:tc>
          <w:tcPr>
            <w:tcW w:w="1303" w:type="dxa"/>
          </w:tcPr>
          <w:p>
            <w:pPr>
              <w:pStyle w:val="18"/>
              <w:spacing w:before="43"/>
              <w:ind w:left="194" w:right="183"/>
              <w:rPr>
                <w:rFonts w:ascii="Times New Roman"/>
                <w:sz w:val="21"/>
              </w:rPr>
            </w:pPr>
            <w:r>
              <w:rPr>
                <w:rFonts w:ascii="Times New Roman"/>
                <w:sz w:val="21"/>
              </w:rPr>
              <w:t>7664-41-7</w:t>
            </w:r>
          </w:p>
        </w:tc>
        <w:tc>
          <w:tcPr>
            <w:tcW w:w="2105" w:type="dxa"/>
          </w:tcPr>
          <w:p>
            <w:pPr>
              <w:pStyle w:val="18"/>
              <w:spacing w:before="43"/>
              <w:ind w:left="11"/>
              <w:rPr>
                <w:rFonts w:ascii="Times New Roman"/>
                <w:sz w:val="21"/>
              </w:rPr>
            </w:pPr>
            <w:r>
              <w:rPr>
                <w:rFonts w:ascii="Times New Roman"/>
                <w:w w:val="99"/>
                <w:sz w:val="21"/>
              </w:rPr>
              <w:t>0</w:t>
            </w:r>
          </w:p>
        </w:tc>
        <w:tc>
          <w:tcPr>
            <w:tcW w:w="1705" w:type="dxa"/>
          </w:tcPr>
          <w:p>
            <w:pPr>
              <w:pStyle w:val="18"/>
              <w:spacing w:before="43"/>
              <w:ind w:left="7"/>
              <w:rPr>
                <w:rFonts w:ascii="Times New Roman"/>
                <w:sz w:val="21"/>
              </w:rPr>
            </w:pPr>
            <w:r>
              <w:rPr>
                <w:rFonts w:ascii="Times New Roman"/>
                <w:w w:val="99"/>
                <w:sz w:val="21"/>
              </w:rPr>
              <w:t>5</w:t>
            </w:r>
          </w:p>
        </w:tc>
        <w:tc>
          <w:tcPr>
            <w:tcW w:w="1705" w:type="dxa"/>
          </w:tcPr>
          <w:p>
            <w:pPr>
              <w:pStyle w:val="18"/>
              <w:spacing w:before="43"/>
              <w:ind w:left="10"/>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8"/>
              <w:spacing w:before="28"/>
              <w:ind w:left="199" w:right="190"/>
              <w:rPr>
                <w:sz w:val="21"/>
              </w:rPr>
            </w:pPr>
            <w:r>
              <w:rPr>
                <w:sz w:val="21"/>
              </w:rPr>
              <w:t>硫化氢</w:t>
            </w:r>
          </w:p>
        </w:tc>
        <w:tc>
          <w:tcPr>
            <w:tcW w:w="1303" w:type="dxa"/>
          </w:tcPr>
          <w:p>
            <w:pPr>
              <w:pStyle w:val="18"/>
              <w:spacing w:before="42"/>
              <w:ind w:left="194" w:right="183"/>
              <w:rPr>
                <w:rFonts w:ascii="Times New Roman"/>
                <w:sz w:val="21"/>
              </w:rPr>
            </w:pPr>
            <w:r>
              <w:rPr>
                <w:rFonts w:ascii="Times New Roman"/>
                <w:sz w:val="21"/>
              </w:rPr>
              <w:t>7783-06-4</w:t>
            </w:r>
          </w:p>
        </w:tc>
        <w:tc>
          <w:tcPr>
            <w:tcW w:w="2105" w:type="dxa"/>
          </w:tcPr>
          <w:p>
            <w:pPr>
              <w:pStyle w:val="18"/>
              <w:spacing w:before="42"/>
              <w:ind w:left="11"/>
              <w:rPr>
                <w:rFonts w:ascii="Times New Roman"/>
                <w:sz w:val="21"/>
              </w:rPr>
            </w:pPr>
            <w:r>
              <w:rPr>
                <w:rFonts w:ascii="Times New Roman"/>
                <w:w w:val="99"/>
                <w:sz w:val="21"/>
              </w:rPr>
              <w:t>0</w:t>
            </w:r>
          </w:p>
        </w:tc>
        <w:tc>
          <w:tcPr>
            <w:tcW w:w="1705" w:type="dxa"/>
          </w:tcPr>
          <w:p>
            <w:pPr>
              <w:pStyle w:val="18"/>
              <w:spacing w:before="42"/>
              <w:ind w:left="200" w:right="193"/>
              <w:rPr>
                <w:rFonts w:ascii="Times New Roman"/>
                <w:sz w:val="21"/>
              </w:rPr>
            </w:pPr>
            <w:r>
              <w:rPr>
                <w:rFonts w:ascii="Times New Roman"/>
                <w:sz w:val="21"/>
              </w:rPr>
              <w:t>2.5</w:t>
            </w:r>
          </w:p>
        </w:tc>
        <w:tc>
          <w:tcPr>
            <w:tcW w:w="1705" w:type="dxa"/>
          </w:tcPr>
          <w:p>
            <w:pPr>
              <w:pStyle w:val="18"/>
              <w:spacing w:before="42"/>
              <w:ind w:left="10"/>
              <w:rPr>
                <w:rFonts w:ascii="Times New Roman"/>
                <w:sz w:val="21"/>
              </w:rPr>
            </w:pPr>
            <w:r>
              <w:rPr>
                <w:rFonts w:ascii="Times New Roman"/>
                <w:w w:val="99"/>
                <w:sz w:val="21"/>
              </w:rPr>
              <w:t>0</w:t>
            </w:r>
          </w:p>
        </w:tc>
      </w:tr>
    </w:tbl>
    <w:p>
      <w:pPr>
        <w:pStyle w:val="7"/>
        <w:spacing w:before="6"/>
        <w:ind w:left="0"/>
        <w:rPr>
          <w:b/>
          <w:sz w:val="18"/>
        </w:rPr>
      </w:pPr>
    </w:p>
    <w:p>
      <w:pPr>
        <w:pStyle w:val="7"/>
        <w:spacing w:line="364" w:lineRule="auto"/>
        <w:ind w:right="575" w:firstLine="480"/>
      </w:pPr>
      <w:r>
        <w:rPr>
          <w:spacing w:val="-8"/>
        </w:rPr>
        <w:t>根据上表可以看出，本项目危险物质氨和硫化氢数量与临界量比值</w:t>
      </w:r>
      <w:r>
        <w:rPr>
          <w:rFonts w:ascii="Times New Roman" w:eastAsia="Times New Roman"/>
        </w:rPr>
        <w:t>Q&lt;1</w:t>
      </w:r>
      <w:r>
        <w:rPr>
          <w:spacing w:val="-33"/>
        </w:rPr>
        <w:t>。当</w:t>
      </w:r>
      <w:r>
        <w:rPr>
          <w:rFonts w:ascii="Times New Roman" w:eastAsia="Times New Roman"/>
        </w:rPr>
        <w:t>Q&lt;1</w:t>
      </w:r>
      <w:r>
        <w:rPr>
          <w:spacing w:val="-5"/>
        </w:rPr>
        <w:t>时，该项目的环境风险潜势为</w:t>
      </w:r>
      <w:r>
        <w:rPr>
          <w:rFonts w:ascii="Times New Roman" w:eastAsia="Times New Roman"/>
        </w:rPr>
        <w:t>I</w:t>
      </w:r>
      <w:r>
        <w:rPr>
          <w:spacing w:val="-1"/>
        </w:rPr>
        <w:t>，据此判定风险评价工作等级为简单分析。</w:t>
      </w:r>
    </w:p>
    <w:p>
      <w:pPr>
        <w:pStyle w:val="7"/>
        <w:spacing w:before="1"/>
        <w:ind w:left="1020"/>
      </w:pPr>
      <w:r>
        <w:t>②行业及生产工艺（</w:t>
      </w:r>
      <w:r>
        <w:rPr>
          <w:rFonts w:ascii="Times New Roman" w:hAnsi="Times New Roman" w:eastAsia="Times New Roman"/>
        </w:rPr>
        <w:t>M</w:t>
      </w:r>
      <w:r>
        <w:t>）</w:t>
      </w:r>
    </w:p>
    <w:p>
      <w:pPr>
        <w:pStyle w:val="7"/>
        <w:spacing w:before="161" w:line="364" w:lineRule="auto"/>
        <w:ind w:right="455" w:firstLine="480"/>
      </w:pPr>
      <w:r>
        <w:rPr>
          <w:spacing w:val="-7"/>
        </w:rPr>
        <w:t>分析项目所属行业及生产工艺特点，按表</w:t>
      </w:r>
      <w:r>
        <w:rPr>
          <w:rFonts w:ascii="Times New Roman" w:hAnsi="Times New Roman" w:eastAsia="Times New Roman"/>
        </w:rPr>
        <w:t>5.2-14</w:t>
      </w:r>
      <w:r>
        <w:rPr>
          <w:spacing w:val="-7"/>
        </w:rPr>
        <w:t>评估生产工艺情况。具有多</w:t>
      </w:r>
      <w:r>
        <w:rPr>
          <w:spacing w:val="-12"/>
        </w:rPr>
        <w:t>套工艺单元的项目，对每套生产工艺分别评分并求和。</w:t>
      </w:r>
      <w:r>
        <w:rPr>
          <w:rFonts w:ascii="Times New Roman" w:hAnsi="Times New Roman" w:eastAsia="Times New Roman"/>
        </w:rPr>
        <w:t>M</w:t>
      </w:r>
      <w:r>
        <w:rPr>
          <w:spacing w:val="-18"/>
        </w:rPr>
        <w:t>分为</w:t>
      </w:r>
      <w:r>
        <w:rPr>
          <w:spacing w:val="-13"/>
        </w:rPr>
        <w:t>（</w:t>
      </w:r>
      <w:r>
        <w:rPr>
          <w:rFonts w:ascii="Times New Roman" w:hAnsi="Times New Roman" w:eastAsia="Times New Roman"/>
          <w:spacing w:val="-13"/>
        </w:rPr>
        <w:t>1</w:t>
      </w:r>
      <w:r>
        <w:rPr>
          <w:spacing w:val="-13"/>
        </w:rPr>
        <w:t>）</w:t>
      </w:r>
      <w:r>
        <w:rPr>
          <w:rFonts w:ascii="Times New Roman" w:hAnsi="Times New Roman" w:eastAsia="Times New Roman"/>
          <w:spacing w:val="-13"/>
        </w:rPr>
        <w:t>M</w:t>
      </w:r>
      <w:r>
        <w:rPr>
          <w:spacing w:val="-13"/>
        </w:rPr>
        <w:t>＞</w:t>
      </w:r>
      <w:r>
        <w:rPr>
          <w:rFonts w:ascii="Times New Roman" w:hAnsi="Times New Roman" w:eastAsia="Times New Roman"/>
          <w:spacing w:val="-13"/>
        </w:rPr>
        <w:t>20</w:t>
      </w:r>
      <w:r>
        <w:rPr>
          <w:spacing w:val="-13"/>
        </w:rPr>
        <w:t>；（</w:t>
      </w:r>
      <w:r>
        <w:rPr>
          <w:rFonts w:ascii="Times New Roman" w:hAnsi="Times New Roman" w:eastAsia="Times New Roman"/>
          <w:spacing w:val="-13"/>
        </w:rPr>
        <w:t>2</w:t>
      </w:r>
      <w:r>
        <w:rPr>
          <w:spacing w:val="-13"/>
        </w:rPr>
        <w:t>）</w:t>
      </w:r>
      <w:r>
        <w:rPr>
          <w:rFonts w:ascii="Times New Roman" w:hAnsi="Times New Roman" w:eastAsia="Times New Roman"/>
        </w:rPr>
        <w:t>10</w:t>
      </w:r>
      <w:r>
        <w:t>≤</w:t>
      </w:r>
      <w:r>
        <w:rPr>
          <w:rFonts w:ascii="Times New Roman" w:hAnsi="Times New Roman" w:eastAsia="Times New Roman"/>
        </w:rPr>
        <w:t>M</w:t>
      </w:r>
      <w:r>
        <w:t>＜</w:t>
      </w:r>
      <w:r>
        <w:rPr>
          <w:rFonts w:ascii="Times New Roman" w:hAnsi="Times New Roman" w:eastAsia="Times New Roman"/>
        </w:rPr>
        <w:t>20</w:t>
      </w:r>
      <w:r>
        <w:t>；（</w:t>
      </w:r>
      <w:r>
        <w:rPr>
          <w:rFonts w:ascii="Times New Roman" w:hAnsi="Times New Roman" w:eastAsia="Times New Roman"/>
        </w:rPr>
        <w:t>3</w:t>
      </w:r>
      <w:r>
        <w:t>）</w:t>
      </w:r>
      <w:r>
        <w:rPr>
          <w:rFonts w:ascii="Times New Roman" w:hAnsi="Times New Roman" w:eastAsia="Times New Roman"/>
        </w:rPr>
        <w:t>5</w:t>
      </w:r>
      <w:r>
        <w:t>≤</w:t>
      </w:r>
      <w:r>
        <w:rPr>
          <w:rFonts w:ascii="Times New Roman" w:hAnsi="Times New Roman" w:eastAsia="Times New Roman"/>
        </w:rPr>
        <w:t>M</w:t>
      </w:r>
      <w:r>
        <w:t>＜</w:t>
      </w:r>
      <w:r>
        <w:rPr>
          <w:rFonts w:ascii="Times New Roman" w:hAnsi="Times New Roman" w:eastAsia="Times New Roman"/>
        </w:rPr>
        <w:t>10</w:t>
      </w:r>
      <w:r>
        <w:t>；（</w:t>
      </w:r>
      <w:r>
        <w:rPr>
          <w:rFonts w:ascii="Times New Roman" w:hAnsi="Times New Roman" w:eastAsia="Times New Roman"/>
        </w:rPr>
        <w:t>4</w:t>
      </w:r>
      <w:r>
        <w:t>）</w:t>
      </w:r>
      <w:r>
        <w:rPr>
          <w:rFonts w:ascii="Times New Roman" w:hAnsi="Times New Roman" w:eastAsia="Times New Roman"/>
        </w:rPr>
        <w:t>M=5</w:t>
      </w:r>
      <w:r>
        <w:rPr>
          <w:spacing w:val="-13"/>
        </w:rPr>
        <w:t>，分别以</w:t>
      </w:r>
      <w:r>
        <w:rPr>
          <w:rFonts w:ascii="Times New Roman" w:hAnsi="Times New Roman" w:eastAsia="Times New Roman"/>
        </w:rPr>
        <w:t>M1</w:t>
      </w:r>
      <w:r>
        <w:t>、</w:t>
      </w:r>
      <w:r>
        <w:rPr>
          <w:rFonts w:ascii="Times New Roman" w:hAnsi="Times New Roman" w:eastAsia="Times New Roman"/>
        </w:rPr>
        <w:t>M2</w:t>
      </w:r>
      <w:r>
        <w:t>、</w:t>
      </w:r>
      <w:r>
        <w:rPr>
          <w:rFonts w:ascii="Times New Roman" w:hAnsi="Times New Roman" w:eastAsia="Times New Roman"/>
        </w:rPr>
        <w:t>M3</w:t>
      </w:r>
      <w:r>
        <w:t>、</w:t>
      </w:r>
      <w:r>
        <w:rPr>
          <w:rFonts w:ascii="Times New Roman" w:hAnsi="Times New Roman" w:eastAsia="Times New Roman"/>
        </w:rPr>
        <w:t>M4</w:t>
      </w:r>
      <w:r>
        <w:t>表示。</w:t>
      </w:r>
    </w:p>
    <w:p>
      <w:pPr>
        <w:pStyle w:val="7"/>
        <w:bidi w:val="0"/>
        <w:jc w:val="center"/>
      </w:pPr>
      <w:r>
        <w:t>表</w:t>
      </w:r>
      <w:r>
        <w:rPr>
          <w:rFonts w:ascii="Times New Roman" w:eastAsia="Times New Roman"/>
        </w:rPr>
        <w:t>5.2-14</w:t>
      </w:r>
      <w:r>
        <w:rPr>
          <w:rFonts w:ascii="Times New Roman" w:eastAsia="Times New Roman"/>
        </w:rPr>
        <w:tab/>
      </w:r>
      <w:r>
        <w:t>行业及生产工艺（</w:t>
      </w:r>
      <w:r>
        <w:rPr>
          <w:rFonts w:ascii="Times New Roman" w:eastAsia="Times New Roman"/>
        </w:rPr>
        <w:t>M</w:t>
      </w:r>
      <w:r>
        <w:t>）</w:t>
      </w:r>
    </w:p>
    <w:tbl>
      <w:tblPr>
        <w:tblStyle w:val="14"/>
        <w:tblW w:w="0" w:type="auto"/>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4964"/>
        <w:gridCol w:w="943"/>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8"/>
              <w:spacing w:before="33"/>
              <w:ind w:left="37" w:right="30"/>
              <w:rPr>
                <w:b/>
                <w:sz w:val="21"/>
              </w:rPr>
            </w:pPr>
            <w:r>
              <w:rPr>
                <w:b/>
                <w:sz w:val="21"/>
              </w:rPr>
              <w:t>行业</w:t>
            </w:r>
          </w:p>
        </w:tc>
        <w:tc>
          <w:tcPr>
            <w:tcW w:w="4964" w:type="dxa"/>
          </w:tcPr>
          <w:p>
            <w:pPr>
              <w:pStyle w:val="18"/>
              <w:spacing w:before="33"/>
              <w:ind w:left="2040" w:right="2029"/>
              <w:rPr>
                <w:b/>
                <w:sz w:val="21"/>
              </w:rPr>
            </w:pPr>
            <w:r>
              <w:rPr>
                <w:b/>
                <w:sz w:val="21"/>
              </w:rPr>
              <w:t>评估依据</w:t>
            </w:r>
          </w:p>
        </w:tc>
        <w:tc>
          <w:tcPr>
            <w:tcW w:w="943" w:type="dxa"/>
          </w:tcPr>
          <w:p>
            <w:pPr>
              <w:pStyle w:val="18"/>
              <w:spacing w:before="33"/>
              <w:ind w:left="86" w:right="78"/>
              <w:rPr>
                <w:b/>
                <w:sz w:val="21"/>
              </w:rPr>
            </w:pPr>
            <w:r>
              <w:rPr>
                <w:b/>
                <w:sz w:val="21"/>
              </w:rPr>
              <w:t>分值</w:t>
            </w:r>
          </w:p>
        </w:tc>
        <w:tc>
          <w:tcPr>
            <w:tcW w:w="689" w:type="dxa"/>
          </w:tcPr>
          <w:p>
            <w:pPr>
              <w:pStyle w:val="18"/>
              <w:spacing w:before="33"/>
              <w:ind w:left="112" w:right="104"/>
              <w:rPr>
                <w:b/>
                <w:sz w:val="21"/>
              </w:rPr>
            </w:pPr>
            <w:r>
              <w:rPr>
                <w:b/>
                <w:sz w:val="21"/>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857" w:type="dxa"/>
            <w:vMerge w:val="restart"/>
          </w:tcPr>
          <w:p>
            <w:pPr>
              <w:pStyle w:val="18"/>
              <w:jc w:val="left"/>
              <w:rPr>
                <w:b/>
                <w:sz w:val="20"/>
              </w:rPr>
            </w:pPr>
          </w:p>
          <w:p>
            <w:pPr>
              <w:pStyle w:val="18"/>
              <w:jc w:val="left"/>
              <w:rPr>
                <w:b/>
                <w:sz w:val="20"/>
              </w:rPr>
            </w:pPr>
          </w:p>
          <w:p>
            <w:pPr>
              <w:pStyle w:val="18"/>
              <w:spacing w:before="151" w:line="213" w:lineRule="auto"/>
              <w:ind w:left="107" w:right="-15"/>
              <w:jc w:val="left"/>
              <w:rPr>
                <w:sz w:val="21"/>
              </w:rPr>
            </w:pPr>
            <w:r>
              <w:rPr>
                <w:spacing w:val="-18"/>
                <w:sz w:val="21"/>
              </w:rPr>
              <w:t>石化、化工、医药、</w:t>
            </w:r>
            <w:r>
              <w:rPr>
                <w:spacing w:val="-11"/>
                <w:sz w:val="21"/>
              </w:rPr>
              <w:t>轻工、化纤、有色冶炼等</w:t>
            </w:r>
          </w:p>
        </w:tc>
        <w:tc>
          <w:tcPr>
            <w:tcW w:w="4964" w:type="dxa"/>
          </w:tcPr>
          <w:p>
            <w:pPr>
              <w:pStyle w:val="18"/>
              <w:spacing w:before="4" w:line="213" w:lineRule="auto"/>
              <w:ind w:left="107" w:right="96"/>
              <w:jc w:val="both"/>
              <w:rPr>
                <w:sz w:val="21"/>
              </w:rPr>
            </w:pPr>
            <w:r>
              <w:rPr>
                <w:spacing w:val="-4"/>
                <w:w w:val="95"/>
                <w:sz w:val="21"/>
              </w:rPr>
              <w:t>涉及光气及光气化工艺、电解工艺</w:t>
            </w:r>
            <w:r>
              <w:rPr>
                <w:w w:val="95"/>
                <w:sz w:val="21"/>
              </w:rPr>
              <w:t>（氯碱</w:t>
            </w:r>
            <w:r>
              <w:rPr>
                <w:spacing w:val="-20"/>
                <w:w w:val="95"/>
                <w:sz w:val="21"/>
              </w:rPr>
              <w:t>）</w:t>
            </w:r>
            <w:r>
              <w:rPr>
                <w:spacing w:val="-6"/>
                <w:w w:val="95"/>
                <w:sz w:val="21"/>
              </w:rPr>
              <w:t>、氯化工</w:t>
            </w:r>
            <w:r>
              <w:rPr>
                <w:spacing w:val="-9"/>
                <w:w w:val="95"/>
                <w:sz w:val="21"/>
              </w:rPr>
              <w:t>艺、硝化工艺、合成氨工艺、裂解</w:t>
            </w:r>
            <w:r>
              <w:rPr>
                <w:w w:val="95"/>
                <w:sz w:val="21"/>
              </w:rPr>
              <w:t>（裂化</w:t>
            </w:r>
            <w:r>
              <w:rPr>
                <w:spacing w:val="-13"/>
                <w:w w:val="95"/>
                <w:sz w:val="21"/>
              </w:rPr>
              <w:t>）</w:t>
            </w:r>
            <w:r>
              <w:rPr>
                <w:spacing w:val="-4"/>
                <w:w w:val="95"/>
                <w:sz w:val="21"/>
              </w:rPr>
              <w:t>工艺、氟</w:t>
            </w:r>
            <w:r>
              <w:rPr>
                <w:spacing w:val="-10"/>
                <w:w w:val="95"/>
                <w:sz w:val="21"/>
              </w:rPr>
              <w:t>化工艺、加氢工艺、重氮化工艺、氧化工艺、过氧化</w:t>
            </w:r>
            <w:r>
              <w:rPr>
                <w:spacing w:val="-11"/>
                <w:w w:val="95"/>
                <w:sz w:val="21"/>
              </w:rPr>
              <w:t>工艺、胺基化工艺、磺化工艺、聚合工艺、烷基化工</w:t>
            </w:r>
          </w:p>
          <w:p>
            <w:pPr>
              <w:pStyle w:val="18"/>
              <w:spacing w:line="218" w:lineRule="exact"/>
              <w:ind w:left="107"/>
              <w:jc w:val="left"/>
              <w:rPr>
                <w:sz w:val="21"/>
              </w:rPr>
            </w:pPr>
            <w:r>
              <w:rPr>
                <w:sz w:val="21"/>
              </w:rPr>
              <w:t>艺、新型煤化工工艺、电石生产工艺、偶氮化工艺</w:t>
            </w:r>
          </w:p>
        </w:tc>
        <w:tc>
          <w:tcPr>
            <w:tcW w:w="943" w:type="dxa"/>
          </w:tcPr>
          <w:p>
            <w:pPr>
              <w:pStyle w:val="18"/>
              <w:jc w:val="left"/>
              <w:rPr>
                <w:b/>
                <w:sz w:val="22"/>
              </w:rPr>
            </w:pPr>
          </w:p>
          <w:p>
            <w:pPr>
              <w:pStyle w:val="18"/>
              <w:spacing w:before="181"/>
              <w:ind w:left="86" w:right="78"/>
              <w:rPr>
                <w:sz w:val="21"/>
              </w:rPr>
            </w:pPr>
            <w:r>
              <w:rPr>
                <w:rFonts w:ascii="Times New Roman" w:eastAsia="Times New Roman"/>
                <w:sz w:val="21"/>
              </w:rPr>
              <w:t>10/</w:t>
            </w:r>
            <w:r>
              <w:rPr>
                <w:sz w:val="21"/>
              </w:rPr>
              <w:t>套</w:t>
            </w:r>
          </w:p>
        </w:tc>
        <w:tc>
          <w:tcPr>
            <w:tcW w:w="689" w:type="dxa"/>
          </w:tcPr>
          <w:p>
            <w:pPr>
              <w:pStyle w:val="18"/>
              <w:jc w:val="left"/>
              <w:rPr>
                <w:b/>
                <w:sz w:val="22"/>
              </w:rPr>
            </w:pPr>
          </w:p>
          <w:p>
            <w:pPr>
              <w:pStyle w:val="18"/>
              <w:spacing w:before="195"/>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vMerge w:val="continue"/>
            <w:tcBorders>
              <w:top w:val="nil"/>
            </w:tcBorders>
          </w:tcPr>
          <w:p>
            <w:pPr>
              <w:rPr>
                <w:sz w:val="2"/>
                <w:szCs w:val="2"/>
              </w:rPr>
            </w:pPr>
          </w:p>
        </w:tc>
        <w:tc>
          <w:tcPr>
            <w:tcW w:w="4964" w:type="dxa"/>
          </w:tcPr>
          <w:p>
            <w:pPr>
              <w:pStyle w:val="18"/>
              <w:spacing w:before="33"/>
              <w:ind w:left="107"/>
              <w:jc w:val="left"/>
              <w:rPr>
                <w:sz w:val="21"/>
              </w:rPr>
            </w:pPr>
            <w:r>
              <w:rPr>
                <w:sz w:val="21"/>
              </w:rPr>
              <w:t>无机酸制酸工艺、焦化工艺</w:t>
            </w:r>
          </w:p>
        </w:tc>
        <w:tc>
          <w:tcPr>
            <w:tcW w:w="943" w:type="dxa"/>
          </w:tcPr>
          <w:p>
            <w:pPr>
              <w:pStyle w:val="18"/>
              <w:spacing w:before="33"/>
              <w:ind w:left="86" w:right="78"/>
              <w:rPr>
                <w:sz w:val="21"/>
              </w:rPr>
            </w:pPr>
            <w:r>
              <w:rPr>
                <w:rFonts w:ascii="Times New Roman" w:eastAsia="Times New Roman"/>
                <w:sz w:val="21"/>
              </w:rPr>
              <w:t>5/</w:t>
            </w:r>
            <w:r>
              <w:rPr>
                <w:sz w:val="21"/>
              </w:rPr>
              <w:t>套</w:t>
            </w:r>
          </w:p>
        </w:tc>
        <w:tc>
          <w:tcPr>
            <w:tcW w:w="689" w:type="dxa"/>
          </w:tcPr>
          <w:p>
            <w:pPr>
              <w:pStyle w:val="18"/>
              <w:spacing w:before="47"/>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57" w:type="dxa"/>
            <w:vMerge w:val="continue"/>
            <w:tcBorders>
              <w:top w:val="nil"/>
            </w:tcBorders>
          </w:tcPr>
          <w:p>
            <w:pPr>
              <w:rPr>
                <w:sz w:val="2"/>
                <w:szCs w:val="2"/>
              </w:rPr>
            </w:pPr>
          </w:p>
        </w:tc>
        <w:tc>
          <w:tcPr>
            <w:tcW w:w="4964" w:type="dxa"/>
          </w:tcPr>
          <w:p>
            <w:pPr>
              <w:pStyle w:val="18"/>
              <w:spacing w:line="236" w:lineRule="exact"/>
              <w:ind w:left="107"/>
              <w:jc w:val="left"/>
              <w:rPr>
                <w:sz w:val="21"/>
              </w:rPr>
            </w:pPr>
            <w:r>
              <w:rPr>
                <w:sz w:val="21"/>
              </w:rPr>
              <w:t>其他高温或高压、且涉及危险物质的工艺过程</w:t>
            </w:r>
            <w:r>
              <w:rPr>
                <w:rFonts w:ascii="Times New Roman" w:eastAsia="Times New Roman"/>
                <w:position w:val="7"/>
                <w:sz w:val="13"/>
              </w:rPr>
              <w:t>a</w:t>
            </w:r>
            <w:r>
              <w:rPr>
                <w:sz w:val="21"/>
              </w:rPr>
              <w:t>、危</w:t>
            </w:r>
          </w:p>
          <w:p>
            <w:pPr>
              <w:pStyle w:val="18"/>
              <w:spacing w:line="224" w:lineRule="exact"/>
              <w:ind w:left="107"/>
              <w:jc w:val="left"/>
              <w:rPr>
                <w:sz w:val="21"/>
              </w:rPr>
            </w:pPr>
            <w:r>
              <w:rPr>
                <w:sz w:val="21"/>
              </w:rPr>
              <w:t>险物质储存罐区</w:t>
            </w:r>
          </w:p>
        </w:tc>
        <w:tc>
          <w:tcPr>
            <w:tcW w:w="943" w:type="dxa"/>
          </w:tcPr>
          <w:p>
            <w:pPr>
              <w:pStyle w:val="18"/>
              <w:spacing w:line="236" w:lineRule="exact"/>
              <w:ind w:left="86" w:right="78"/>
              <w:rPr>
                <w:sz w:val="21"/>
              </w:rPr>
            </w:pPr>
            <w:r>
              <w:rPr>
                <w:rFonts w:ascii="Times New Roman" w:eastAsia="Times New Roman"/>
                <w:sz w:val="21"/>
              </w:rPr>
              <w:t>5/</w:t>
            </w:r>
            <w:r>
              <w:rPr>
                <w:spacing w:val="-65"/>
                <w:sz w:val="21"/>
              </w:rPr>
              <w:t>套</w:t>
            </w:r>
            <w:r>
              <w:rPr>
                <w:sz w:val="21"/>
              </w:rPr>
              <w:t>（罐</w:t>
            </w:r>
          </w:p>
          <w:p>
            <w:pPr>
              <w:pStyle w:val="18"/>
              <w:spacing w:line="224" w:lineRule="exact"/>
              <w:ind w:left="84" w:right="78"/>
              <w:rPr>
                <w:sz w:val="21"/>
              </w:rPr>
            </w:pPr>
            <w:r>
              <w:rPr>
                <w:sz w:val="21"/>
              </w:rPr>
              <w:t>区）</w:t>
            </w:r>
          </w:p>
        </w:tc>
        <w:tc>
          <w:tcPr>
            <w:tcW w:w="689" w:type="dxa"/>
          </w:tcPr>
          <w:p>
            <w:pPr>
              <w:pStyle w:val="18"/>
              <w:spacing w:before="117"/>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857" w:type="dxa"/>
          </w:tcPr>
          <w:p>
            <w:pPr>
              <w:pStyle w:val="18"/>
              <w:spacing w:before="33"/>
              <w:ind w:left="37" w:right="30"/>
              <w:rPr>
                <w:sz w:val="21"/>
              </w:rPr>
            </w:pPr>
            <w:r>
              <w:rPr>
                <w:sz w:val="21"/>
              </w:rPr>
              <w:t>管道、港口</w:t>
            </w:r>
            <w:r>
              <w:rPr>
                <w:rFonts w:ascii="Times New Roman" w:eastAsia="Times New Roman"/>
                <w:sz w:val="21"/>
              </w:rPr>
              <w:t>/</w:t>
            </w:r>
            <w:r>
              <w:rPr>
                <w:sz w:val="21"/>
              </w:rPr>
              <w:t>码头等</w:t>
            </w:r>
          </w:p>
        </w:tc>
        <w:tc>
          <w:tcPr>
            <w:tcW w:w="4964" w:type="dxa"/>
          </w:tcPr>
          <w:p>
            <w:pPr>
              <w:pStyle w:val="18"/>
              <w:spacing w:before="33"/>
              <w:ind w:left="107"/>
              <w:jc w:val="left"/>
              <w:rPr>
                <w:sz w:val="21"/>
              </w:rPr>
            </w:pPr>
            <w:r>
              <w:rPr>
                <w:sz w:val="21"/>
              </w:rPr>
              <w:t>涉及危险物质管道运输项目、港口</w:t>
            </w:r>
            <w:r>
              <w:rPr>
                <w:rFonts w:ascii="Times New Roman" w:eastAsia="Times New Roman"/>
                <w:sz w:val="21"/>
              </w:rPr>
              <w:t>/</w:t>
            </w:r>
            <w:r>
              <w:rPr>
                <w:sz w:val="21"/>
              </w:rPr>
              <w:t>码头等</w:t>
            </w:r>
          </w:p>
        </w:tc>
        <w:tc>
          <w:tcPr>
            <w:tcW w:w="943" w:type="dxa"/>
          </w:tcPr>
          <w:p>
            <w:pPr>
              <w:pStyle w:val="18"/>
              <w:spacing w:before="47"/>
              <w:ind w:left="86" w:right="77"/>
              <w:rPr>
                <w:rFonts w:ascii="Times New Roman"/>
                <w:sz w:val="21"/>
              </w:rPr>
            </w:pPr>
            <w:r>
              <w:rPr>
                <w:rFonts w:ascii="Times New Roman"/>
                <w:sz w:val="21"/>
              </w:rPr>
              <w:t>10</w:t>
            </w:r>
          </w:p>
        </w:tc>
        <w:tc>
          <w:tcPr>
            <w:tcW w:w="689" w:type="dxa"/>
          </w:tcPr>
          <w:p>
            <w:pPr>
              <w:pStyle w:val="18"/>
              <w:spacing w:before="47"/>
              <w:ind w:left="9"/>
              <w:rPr>
                <w:rFonts w:ascii="Times New Roman"/>
                <w:sz w:val="21"/>
              </w:rPr>
            </w:pPr>
            <w:r>
              <w:rPr>
                <w:rFonts w:ascii="Times New Roman"/>
                <w:w w:val="99"/>
                <w:sz w:val="21"/>
              </w:rPr>
              <w:t>0</w:t>
            </w:r>
          </w:p>
        </w:tc>
      </w:tr>
    </w:tbl>
    <w:p>
      <w:pPr>
        <w:spacing w:after="0"/>
        <w:rPr>
          <w:rFonts w:ascii="Times New Roman"/>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4"/>
        <w:tblW w:w="0" w:type="auto"/>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4964"/>
        <w:gridCol w:w="943"/>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857" w:type="dxa"/>
          </w:tcPr>
          <w:p>
            <w:pPr>
              <w:pStyle w:val="18"/>
              <w:spacing w:before="4"/>
              <w:jc w:val="left"/>
              <w:rPr>
                <w:b/>
                <w:sz w:val="17"/>
              </w:rPr>
            </w:pPr>
          </w:p>
          <w:p>
            <w:pPr>
              <w:pStyle w:val="18"/>
              <w:spacing w:before="1"/>
              <w:ind w:left="402"/>
              <w:jc w:val="left"/>
              <w:rPr>
                <w:sz w:val="21"/>
              </w:rPr>
            </w:pPr>
            <w:r>
              <w:rPr>
                <w:sz w:val="21"/>
              </w:rPr>
              <w:t>石油天然气</w:t>
            </w:r>
          </w:p>
        </w:tc>
        <w:tc>
          <w:tcPr>
            <w:tcW w:w="4964" w:type="dxa"/>
          </w:tcPr>
          <w:p>
            <w:pPr>
              <w:pStyle w:val="18"/>
              <w:spacing w:line="240" w:lineRule="exact"/>
              <w:ind w:left="107" w:right="99"/>
              <w:jc w:val="both"/>
              <w:rPr>
                <w:sz w:val="21"/>
              </w:rPr>
            </w:pPr>
            <w:r>
              <w:rPr>
                <w:spacing w:val="-7"/>
                <w:w w:val="95"/>
                <w:sz w:val="21"/>
              </w:rPr>
              <w:t>石油、天然气、页岩气开采</w:t>
            </w:r>
            <w:r>
              <w:rPr>
                <w:w w:val="95"/>
                <w:sz w:val="21"/>
              </w:rPr>
              <w:t>（含净化</w:t>
            </w:r>
            <w:r>
              <w:rPr>
                <w:spacing w:val="-14"/>
                <w:w w:val="95"/>
                <w:sz w:val="21"/>
              </w:rPr>
              <w:t>）</w:t>
            </w:r>
            <w:r>
              <w:rPr>
                <w:spacing w:val="-8"/>
                <w:w w:val="95"/>
                <w:sz w:val="21"/>
              </w:rPr>
              <w:t>，气库</w:t>
            </w:r>
            <w:r>
              <w:rPr>
                <w:w w:val="95"/>
                <w:sz w:val="21"/>
              </w:rPr>
              <w:t>（不含加气站的气库</w:t>
            </w:r>
            <w:r>
              <w:rPr>
                <w:spacing w:val="-16"/>
                <w:w w:val="95"/>
                <w:sz w:val="21"/>
              </w:rPr>
              <w:t>）</w:t>
            </w:r>
            <w:r>
              <w:rPr>
                <w:spacing w:val="-11"/>
                <w:w w:val="95"/>
                <w:sz w:val="21"/>
              </w:rPr>
              <w:t>，油库</w:t>
            </w:r>
            <w:r>
              <w:rPr>
                <w:w w:val="95"/>
                <w:sz w:val="21"/>
              </w:rPr>
              <w:t>（不含加气站的油库</w:t>
            </w:r>
            <w:r>
              <w:rPr>
                <w:spacing w:val="-17"/>
                <w:w w:val="95"/>
                <w:sz w:val="21"/>
              </w:rPr>
              <w:t>）</w:t>
            </w:r>
            <w:r>
              <w:rPr>
                <w:spacing w:val="-6"/>
                <w:w w:val="95"/>
                <w:sz w:val="21"/>
              </w:rPr>
              <w:t>、油气</w:t>
            </w:r>
            <w:r>
              <w:rPr>
                <w:spacing w:val="-21"/>
                <w:sz w:val="21"/>
              </w:rPr>
              <w:t>管线</w:t>
            </w:r>
            <w:r>
              <w:rPr>
                <w:rFonts w:ascii="Times New Roman" w:eastAsia="Times New Roman"/>
                <w:position w:val="7"/>
                <w:sz w:val="13"/>
              </w:rPr>
              <w:t>b</w:t>
            </w:r>
            <w:r>
              <w:rPr>
                <w:sz w:val="21"/>
              </w:rPr>
              <w:t>（不含城镇燃气管线）</w:t>
            </w:r>
          </w:p>
        </w:tc>
        <w:tc>
          <w:tcPr>
            <w:tcW w:w="943" w:type="dxa"/>
          </w:tcPr>
          <w:p>
            <w:pPr>
              <w:pStyle w:val="18"/>
              <w:spacing w:before="8"/>
              <w:jc w:val="left"/>
              <w:rPr>
                <w:b/>
                <w:sz w:val="18"/>
              </w:rPr>
            </w:pPr>
          </w:p>
          <w:p>
            <w:pPr>
              <w:pStyle w:val="18"/>
              <w:ind w:left="86" w:right="77"/>
              <w:rPr>
                <w:rFonts w:ascii="Times New Roman"/>
                <w:sz w:val="21"/>
              </w:rPr>
            </w:pPr>
            <w:r>
              <w:rPr>
                <w:rFonts w:ascii="Times New Roman"/>
                <w:sz w:val="21"/>
              </w:rPr>
              <w:t>10</w:t>
            </w:r>
          </w:p>
        </w:tc>
        <w:tc>
          <w:tcPr>
            <w:tcW w:w="689" w:type="dxa"/>
          </w:tcPr>
          <w:p>
            <w:pPr>
              <w:pStyle w:val="18"/>
              <w:spacing w:before="8"/>
              <w:jc w:val="left"/>
              <w:rPr>
                <w:b/>
                <w:sz w:val="18"/>
              </w:rPr>
            </w:pPr>
          </w:p>
          <w:p>
            <w:pPr>
              <w:pStyle w:val="18"/>
              <w:ind w:left="292"/>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8"/>
              <w:spacing w:before="35"/>
              <w:ind w:left="34" w:right="30"/>
              <w:rPr>
                <w:sz w:val="21"/>
              </w:rPr>
            </w:pPr>
            <w:r>
              <w:rPr>
                <w:sz w:val="21"/>
              </w:rPr>
              <w:t>其他</w:t>
            </w:r>
          </w:p>
        </w:tc>
        <w:tc>
          <w:tcPr>
            <w:tcW w:w="4964" w:type="dxa"/>
          </w:tcPr>
          <w:p>
            <w:pPr>
              <w:pStyle w:val="18"/>
              <w:spacing w:before="35"/>
              <w:ind w:left="107"/>
              <w:jc w:val="left"/>
              <w:rPr>
                <w:sz w:val="21"/>
              </w:rPr>
            </w:pPr>
            <w:r>
              <w:rPr>
                <w:sz w:val="21"/>
              </w:rPr>
              <w:t>涉及危险物质使用、贮存的项目</w:t>
            </w:r>
          </w:p>
        </w:tc>
        <w:tc>
          <w:tcPr>
            <w:tcW w:w="943" w:type="dxa"/>
          </w:tcPr>
          <w:p>
            <w:pPr>
              <w:pStyle w:val="18"/>
              <w:spacing w:before="49"/>
              <w:ind w:left="9"/>
              <w:rPr>
                <w:rFonts w:ascii="Times New Roman"/>
                <w:sz w:val="21"/>
              </w:rPr>
            </w:pPr>
            <w:r>
              <w:rPr>
                <w:rFonts w:ascii="Times New Roman"/>
                <w:w w:val="99"/>
                <w:sz w:val="21"/>
              </w:rPr>
              <w:t>5</w:t>
            </w:r>
          </w:p>
        </w:tc>
        <w:tc>
          <w:tcPr>
            <w:tcW w:w="689" w:type="dxa"/>
          </w:tcPr>
          <w:p>
            <w:pPr>
              <w:pStyle w:val="18"/>
              <w:spacing w:before="49"/>
              <w:ind w:left="292"/>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821" w:type="dxa"/>
            <w:gridSpan w:val="2"/>
          </w:tcPr>
          <w:p>
            <w:pPr>
              <w:pStyle w:val="18"/>
              <w:spacing w:line="237" w:lineRule="exact"/>
              <w:ind w:left="107" w:right="-15"/>
              <w:jc w:val="left"/>
              <w:rPr>
                <w:sz w:val="21"/>
              </w:rPr>
            </w:pPr>
            <w:r>
              <w:rPr>
                <w:rFonts w:ascii="Times New Roman" w:hAnsi="Times New Roman" w:eastAsia="Times New Roman"/>
                <w:w w:val="95"/>
                <w:position w:val="7"/>
                <w:sz w:val="13"/>
              </w:rPr>
              <w:t>a</w:t>
            </w:r>
            <w:r>
              <w:rPr>
                <w:w w:val="95"/>
                <w:sz w:val="21"/>
              </w:rPr>
              <w:t>高温指工艺温度≥</w:t>
            </w:r>
            <w:r>
              <w:rPr>
                <w:rFonts w:ascii="Times New Roman" w:hAnsi="Times New Roman" w:eastAsia="Times New Roman"/>
                <w:w w:val="95"/>
                <w:sz w:val="21"/>
              </w:rPr>
              <w:t>300</w:t>
            </w:r>
            <w:r>
              <w:rPr>
                <w:spacing w:val="-1"/>
                <w:w w:val="95"/>
                <w:sz w:val="21"/>
              </w:rPr>
              <w:t>℃，高压指压力容器的设计压力</w:t>
            </w:r>
            <w:r>
              <w:rPr>
                <w:w w:val="95"/>
                <w:sz w:val="21"/>
              </w:rPr>
              <w:t>（</w:t>
            </w:r>
            <w:r>
              <w:rPr>
                <w:rFonts w:ascii="Times New Roman" w:hAnsi="Times New Roman" w:eastAsia="Times New Roman"/>
                <w:w w:val="95"/>
                <w:sz w:val="21"/>
              </w:rPr>
              <w:t>P</w:t>
            </w:r>
            <w:r>
              <w:rPr>
                <w:w w:val="95"/>
                <w:sz w:val="21"/>
              </w:rPr>
              <w:t>）≥</w:t>
            </w:r>
            <w:r>
              <w:rPr>
                <w:rFonts w:ascii="Times New Roman" w:hAnsi="Times New Roman" w:eastAsia="Times New Roman"/>
                <w:w w:val="95"/>
                <w:sz w:val="21"/>
              </w:rPr>
              <w:t>10.0MPa</w:t>
            </w:r>
            <w:r>
              <w:rPr>
                <w:w w:val="95"/>
                <w:sz w:val="21"/>
              </w:rPr>
              <w:t>；</w:t>
            </w:r>
          </w:p>
          <w:p>
            <w:pPr>
              <w:pStyle w:val="18"/>
              <w:spacing w:line="223" w:lineRule="exact"/>
              <w:ind w:left="107"/>
              <w:jc w:val="left"/>
              <w:rPr>
                <w:sz w:val="21"/>
              </w:rPr>
            </w:pPr>
            <w:r>
              <w:rPr>
                <w:rFonts w:ascii="Times New Roman" w:eastAsia="Times New Roman"/>
                <w:position w:val="7"/>
                <w:sz w:val="13"/>
              </w:rPr>
              <w:t>b</w:t>
            </w:r>
            <w:r>
              <w:rPr>
                <w:sz w:val="21"/>
              </w:rPr>
              <w:t>长输管道运输项目应按站场、管线分段进行评价。</w:t>
            </w:r>
          </w:p>
        </w:tc>
        <w:tc>
          <w:tcPr>
            <w:tcW w:w="943" w:type="dxa"/>
          </w:tcPr>
          <w:p>
            <w:pPr>
              <w:pStyle w:val="18"/>
              <w:spacing w:before="119"/>
              <w:ind w:left="6"/>
              <w:rPr>
                <w:rFonts w:ascii="Times New Roman"/>
                <w:sz w:val="21"/>
              </w:rPr>
            </w:pPr>
            <w:r>
              <w:rPr>
                <w:rFonts w:ascii="Times New Roman"/>
                <w:w w:val="99"/>
                <w:sz w:val="21"/>
              </w:rPr>
              <w:t>/</w:t>
            </w:r>
          </w:p>
        </w:tc>
        <w:tc>
          <w:tcPr>
            <w:tcW w:w="689" w:type="dxa"/>
          </w:tcPr>
          <w:p>
            <w:pPr>
              <w:pStyle w:val="18"/>
              <w:spacing w:before="119"/>
              <w:ind w:left="313"/>
              <w:jc w:val="lef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8"/>
              <w:spacing w:before="35"/>
              <w:ind w:left="107"/>
              <w:jc w:val="left"/>
              <w:rPr>
                <w:sz w:val="21"/>
              </w:rPr>
            </w:pPr>
            <w:r>
              <w:rPr>
                <w:sz w:val="21"/>
              </w:rPr>
              <w:t>合计分值确定</w:t>
            </w:r>
          </w:p>
        </w:tc>
        <w:tc>
          <w:tcPr>
            <w:tcW w:w="4964" w:type="dxa"/>
          </w:tcPr>
          <w:p>
            <w:pPr>
              <w:pStyle w:val="18"/>
              <w:jc w:val="left"/>
              <w:rPr>
                <w:rFonts w:ascii="Times New Roman"/>
                <w:sz w:val="22"/>
              </w:rPr>
            </w:pPr>
          </w:p>
        </w:tc>
        <w:tc>
          <w:tcPr>
            <w:tcW w:w="943" w:type="dxa"/>
          </w:tcPr>
          <w:p>
            <w:pPr>
              <w:pStyle w:val="18"/>
              <w:spacing w:before="49"/>
              <w:ind w:left="86" w:right="78"/>
              <w:rPr>
                <w:rFonts w:ascii="Times New Roman"/>
                <w:sz w:val="21"/>
              </w:rPr>
            </w:pPr>
            <w:r>
              <w:rPr>
                <w:rFonts w:ascii="Times New Roman"/>
                <w:sz w:val="21"/>
              </w:rPr>
              <w:t>--</w:t>
            </w:r>
          </w:p>
        </w:tc>
        <w:tc>
          <w:tcPr>
            <w:tcW w:w="689" w:type="dxa"/>
          </w:tcPr>
          <w:p>
            <w:pPr>
              <w:pStyle w:val="18"/>
              <w:spacing w:before="49"/>
              <w:ind w:left="292"/>
              <w:jc w:val="left"/>
              <w:rPr>
                <w:rFonts w:ascii="Times New Roman"/>
                <w:sz w:val="21"/>
              </w:rPr>
            </w:pPr>
            <w:r>
              <w:rPr>
                <w:rFonts w:ascii="Times New Roman"/>
                <w:w w:val="99"/>
                <w:sz w:val="21"/>
              </w:rPr>
              <w:t>0</w:t>
            </w:r>
          </w:p>
        </w:tc>
      </w:tr>
    </w:tbl>
    <w:p>
      <w:pPr>
        <w:pStyle w:val="7"/>
        <w:spacing w:before="9"/>
        <w:ind w:left="0"/>
        <w:rPr>
          <w:b/>
          <w:sz w:val="12"/>
        </w:rPr>
      </w:pPr>
    </w:p>
    <w:p>
      <w:pPr>
        <w:pStyle w:val="7"/>
        <w:spacing w:before="74" w:line="364" w:lineRule="auto"/>
        <w:ind w:right="464" w:firstLine="480"/>
      </w:pPr>
      <w:r>
        <w:rPr>
          <w:spacing w:val="-16"/>
        </w:rPr>
        <w:t>根据表</w:t>
      </w:r>
      <w:r>
        <w:rPr>
          <w:rFonts w:ascii="Times New Roman" w:hAnsi="Times New Roman" w:eastAsia="Times New Roman"/>
        </w:rPr>
        <w:t>5.2-14</w:t>
      </w:r>
      <w:r>
        <w:rPr>
          <w:spacing w:val="-1"/>
        </w:rPr>
        <w:t>判定，本项目为畜禽养殖项目，不属于“石化、化工、医药、</w:t>
      </w:r>
      <w:r>
        <w:t>轻工、化纤、有色冶炼等”、“管道、港口</w:t>
      </w:r>
      <w:r>
        <w:rPr>
          <w:rFonts w:ascii="Times New Roman" w:hAnsi="Times New Roman" w:eastAsia="Times New Roman"/>
        </w:rPr>
        <w:t>/</w:t>
      </w:r>
      <w:r>
        <w:t>码头等”和“石油天然气”行业，</w:t>
      </w:r>
      <w:r>
        <w:rPr>
          <w:spacing w:val="-3"/>
        </w:rPr>
        <w:t>同时，本想不涉及危险物质的使用和储存，综合判定为</w:t>
      </w:r>
      <w:r>
        <w:rPr>
          <w:rFonts w:ascii="Times New Roman" w:hAnsi="Times New Roman" w:eastAsia="Times New Roman"/>
        </w:rPr>
        <w:t>M=0</w:t>
      </w:r>
      <w:r>
        <w:t>。</w:t>
      </w:r>
    </w:p>
    <w:p>
      <w:pPr>
        <w:pStyle w:val="7"/>
        <w:spacing w:before="2"/>
        <w:ind w:left="1020"/>
      </w:pPr>
      <w:r>
        <w:t>③危险物质及工艺系统危险性（</w:t>
      </w:r>
      <w:r>
        <w:rPr>
          <w:rFonts w:ascii="Times New Roman" w:hAnsi="Times New Roman" w:eastAsia="Times New Roman"/>
        </w:rPr>
        <w:t>P</w:t>
      </w:r>
      <w:r>
        <w:t>）分级</w:t>
      </w:r>
    </w:p>
    <w:p>
      <w:pPr>
        <w:pStyle w:val="7"/>
        <w:spacing w:before="160" w:line="364" w:lineRule="auto"/>
        <w:ind w:right="455" w:firstLine="480"/>
      </w:pPr>
      <w:r>
        <w:rPr>
          <w:spacing w:val="-31"/>
        </w:rPr>
        <w:t>表</w:t>
      </w:r>
      <w:r>
        <w:rPr>
          <w:rFonts w:ascii="Times New Roman" w:hAnsi="Times New Roman" w:eastAsia="Times New Roman"/>
        </w:rPr>
        <w:t>5.2-12</w:t>
      </w:r>
      <w:r>
        <w:rPr>
          <w:spacing w:val="-15"/>
        </w:rPr>
        <w:t>适用于</w:t>
      </w:r>
      <w:r>
        <w:rPr>
          <w:rFonts w:ascii="Times New Roman" w:hAnsi="Times New Roman" w:eastAsia="Times New Roman"/>
        </w:rPr>
        <w:t>Q</w:t>
      </w:r>
      <w:r>
        <w:rPr>
          <w:spacing w:val="-10"/>
        </w:rPr>
        <w:t>值至少满足</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rPr>
          <w:spacing w:val="-22"/>
        </w:rPr>
        <w:t>情况下，结合</w:t>
      </w:r>
      <w:r>
        <w:rPr>
          <w:rFonts w:ascii="Times New Roman" w:hAnsi="Times New Roman" w:eastAsia="Times New Roman"/>
        </w:rPr>
        <w:t>M</w:t>
      </w:r>
      <w:r>
        <w:rPr>
          <w:spacing w:val="-15"/>
        </w:rPr>
        <w:t>值进行</w:t>
      </w:r>
      <w:r>
        <w:rPr>
          <w:rFonts w:ascii="Times New Roman" w:hAnsi="Times New Roman" w:eastAsia="Times New Roman"/>
        </w:rPr>
        <w:t>P</w:t>
      </w:r>
      <w:r>
        <w:rPr>
          <w:spacing w:val="-4"/>
        </w:rPr>
        <w:t>值判定。</w:t>
      </w:r>
      <w:r>
        <w:rPr>
          <w:spacing w:val="-2"/>
        </w:rPr>
        <w:t>本项目不对氨和硫化氢进行储存，</w:t>
      </w:r>
      <w:r>
        <w:rPr>
          <w:rFonts w:ascii="Times New Roman" w:hAnsi="Times New Roman" w:eastAsia="Times New Roman"/>
          <w:spacing w:val="-6"/>
        </w:rPr>
        <w:t>Q</w:t>
      </w:r>
      <w:r>
        <w:rPr>
          <w:spacing w:val="-6"/>
        </w:rPr>
        <w:t>＜</w:t>
      </w:r>
      <w:r>
        <w:rPr>
          <w:rFonts w:ascii="Times New Roman" w:hAnsi="Times New Roman" w:eastAsia="Times New Roman"/>
          <w:spacing w:val="-6"/>
        </w:rPr>
        <w:t>1</w:t>
      </w:r>
      <w:r>
        <w:rPr>
          <w:spacing w:val="-6"/>
        </w:rPr>
        <w:t>；</w:t>
      </w:r>
      <w:r>
        <w:rPr>
          <w:rFonts w:ascii="Times New Roman" w:hAnsi="Times New Roman" w:eastAsia="Times New Roman"/>
          <w:spacing w:val="-6"/>
        </w:rPr>
        <w:t>M=0</w:t>
      </w:r>
      <w:r>
        <w:rPr>
          <w:spacing w:val="-14"/>
        </w:rPr>
        <w:t>，不满足</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rPr>
          <w:spacing w:val="-4"/>
        </w:rPr>
        <w:t>情况，无法根</w:t>
      </w:r>
      <w:r>
        <w:rPr>
          <w:spacing w:val="-23"/>
        </w:rPr>
        <w:t>据表</w:t>
      </w:r>
      <w:r>
        <w:rPr>
          <w:rFonts w:ascii="Times New Roman" w:hAnsi="Times New Roman" w:eastAsia="Times New Roman"/>
        </w:rPr>
        <w:t>5.2-12</w:t>
      </w:r>
      <w:r>
        <w:rPr>
          <w:spacing w:val="-20"/>
        </w:rPr>
        <w:t>判定</w:t>
      </w:r>
      <w:r>
        <w:rPr>
          <w:rFonts w:ascii="Times New Roman" w:hAnsi="Times New Roman" w:eastAsia="Times New Roman"/>
        </w:rPr>
        <w:t>P</w:t>
      </w:r>
      <w:r>
        <w:t>值。</w:t>
      </w:r>
    </w:p>
    <w:p>
      <w:pPr>
        <w:pStyle w:val="7"/>
        <w:spacing w:before="2" w:line="364" w:lineRule="auto"/>
        <w:ind w:right="457" w:firstLine="480"/>
      </w:pPr>
      <w:r>
        <w:rPr>
          <w:spacing w:val="-30"/>
        </w:rPr>
        <w:t>当</w:t>
      </w:r>
      <w:r>
        <w:rPr>
          <w:rFonts w:ascii="Times New Roman" w:hAnsi="Times New Roman" w:eastAsia="Times New Roman"/>
        </w:rPr>
        <w:t>Q</w:t>
      </w:r>
      <w:r>
        <w:t>＜</w:t>
      </w:r>
      <w:r>
        <w:rPr>
          <w:rFonts w:ascii="Times New Roman" w:hAnsi="Times New Roman" w:eastAsia="Times New Roman"/>
        </w:rPr>
        <w:t>1</w:t>
      </w:r>
      <w:r>
        <w:rPr>
          <w:spacing w:val="-5"/>
        </w:rPr>
        <w:t>时，该项目环境风险潜势为Ⅰ。因此，可直接判定本项目环境风险</w:t>
      </w:r>
      <w:r>
        <w:rPr>
          <w:spacing w:val="-10"/>
        </w:rPr>
        <w:t>潜势为Ⅰ。无需再根据环境风险受体敏感程度</w:t>
      </w:r>
      <w:r>
        <w:rPr>
          <w:spacing w:val="-14"/>
        </w:rPr>
        <w:t>（</w:t>
      </w:r>
      <w:r>
        <w:rPr>
          <w:rFonts w:ascii="Times New Roman" w:hAnsi="Times New Roman" w:eastAsia="Times New Roman"/>
          <w:spacing w:val="-14"/>
        </w:rPr>
        <w:t>E</w:t>
      </w:r>
      <w:r>
        <w:rPr>
          <w:spacing w:val="-14"/>
        </w:rPr>
        <w:t>）</w:t>
      </w:r>
      <w:r>
        <w:rPr>
          <w:spacing w:val="-2"/>
        </w:rPr>
        <w:t>评估结果判定环境风险潜势。</w:t>
      </w:r>
    </w:p>
    <w:p>
      <w:pPr>
        <w:pStyle w:val="5"/>
        <w:numPr>
          <w:ilvl w:val="3"/>
          <w:numId w:val="55"/>
        </w:numPr>
        <w:bidi w:val="0"/>
      </w:pPr>
      <w:bookmarkStart w:id="339" w:name="5.2.7.6 评价等级和评价范围"/>
      <w:bookmarkEnd w:id="339"/>
      <w:bookmarkStart w:id="340" w:name="5.2.7.6 评价等级和评价范围"/>
      <w:bookmarkEnd w:id="340"/>
      <w:r>
        <w:t>评价等级和评价范围</w:t>
      </w:r>
    </w:p>
    <w:p>
      <w:pPr>
        <w:pStyle w:val="17"/>
        <w:numPr>
          <w:ilvl w:val="4"/>
          <w:numId w:val="55"/>
        </w:numPr>
        <w:tabs>
          <w:tab w:val="left" w:pos="1621"/>
        </w:tabs>
        <w:spacing w:before="167" w:after="0" w:line="240" w:lineRule="auto"/>
        <w:ind w:left="1621" w:right="0" w:hanging="601"/>
        <w:jc w:val="left"/>
        <w:rPr>
          <w:sz w:val="24"/>
        </w:rPr>
      </w:pPr>
      <w:r>
        <w:rPr>
          <w:sz w:val="24"/>
        </w:rPr>
        <w:t>环境风险评价等级</w:t>
      </w:r>
    </w:p>
    <w:p>
      <w:pPr>
        <w:pStyle w:val="7"/>
        <w:spacing w:before="161" w:line="364" w:lineRule="auto"/>
        <w:ind w:right="575" w:firstLine="480"/>
        <w:jc w:val="both"/>
      </w:pPr>
      <w:r>
        <w:t>根据《建设项目环境风险评价技术导则》（</w:t>
      </w:r>
      <w:r>
        <w:rPr>
          <w:rFonts w:ascii="Times New Roman" w:eastAsia="Times New Roman"/>
        </w:rPr>
        <w:t>HJ</w:t>
      </w:r>
      <w:r>
        <w:rPr>
          <w:rFonts w:ascii="Times New Roman" w:eastAsia="Times New Roman"/>
          <w:spacing w:val="28"/>
        </w:rPr>
        <w:t xml:space="preserve"> </w:t>
      </w:r>
      <w:r>
        <w:rPr>
          <w:rFonts w:ascii="Times New Roman" w:eastAsia="Times New Roman"/>
        </w:rPr>
        <w:t>169-2018</w:t>
      </w:r>
      <w:r>
        <w:t>），按风险潜势及</w:t>
      </w:r>
      <w:r>
        <w:rPr>
          <w:spacing w:val="-6"/>
        </w:rPr>
        <w:t>环境敏感地区条件进行各物质评价工作等级划分，环境风险评价工作等级划分为</w:t>
      </w:r>
      <w:r>
        <w:rPr>
          <w:spacing w:val="-12"/>
        </w:rPr>
        <w:t>一级、二级、三级。根据建设项目涉及的物质及工艺系统危险性和所在地的环境</w:t>
      </w:r>
      <w:r>
        <w:rPr>
          <w:spacing w:val="-4"/>
        </w:rPr>
        <w:t>敏感性确定环境风险潜势，按照表</w:t>
      </w:r>
      <w:r>
        <w:rPr>
          <w:rFonts w:ascii="Times New Roman" w:eastAsia="Times New Roman"/>
        </w:rPr>
        <w:t>5.2-15</w:t>
      </w:r>
      <w:r>
        <w:t>确定评价工作等级。</w:t>
      </w:r>
    </w:p>
    <w:p>
      <w:pPr>
        <w:pStyle w:val="7"/>
        <w:spacing w:before="2" w:line="364" w:lineRule="auto"/>
        <w:ind w:right="577" w:firstLine="480"/>
      </w:pPr>
      <w:r>
        <w:rPr>
          <w:spacing w:val="-9"/>
        </w:rPr>
        <w:t>风险潜势为Ⅳ及以上，进行一级评价；风险潜势为Ⅲ，进行二级评价；风险</w:t>
      </w:r>
      <w:r>
        <w:t>潜势为Ⅱ，进行三级评价；风险潜势为Ⅰ，可开展简单分析。</w:t>
      </w:r>
    </w:p>
    <w:p>
      <w:pPr>
        <w:pStyle w:val="7"/>
        <w:bidi w:val="0"/>
        <w:jc w:val="center"/>
      </w:pPr>
      <w:r>
        <w:t>表</w:t>
      </w:r>
      <w:r>
        <w:rPr>
          <w:rFonts w:ascii="Times New Roman" w:eastAsia="Times New Roman"/>
        </w:rPr>
        <w:t>5.2-15</w:t>
      </w:r>
      <w:r>
        <w:rPr>
          <w:rFonts w:ascii="Times New Roman" w:eastAsia="Times New Roman"/>
        </w:rPr>
        <w:tab/>
      </w:r>
      <w:r>
        <w:rPr>
          <w:w w:val="95"/>
        </w:rPr>
        <w:t>环境风险评价工作等级划分</w:t>
      </w:r>
    </w:p>
    <w:tbl>
      <w:tblPr>
        <w:tblStyle w:val="14"/>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1712"/>
        <w:gridCol w:w="1712"/>
        <w:gridCol w:w="17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8"/>
              <w:spacing w:before="33"/>
              <w:ind w:left="95" w:right="89"/>
              <w:rPr>
                <w:sz w:val="21"/>
              </w:rPr>
            </w:pPr>
            <w:r>
              <w:rPr>
                <w:sz w:val="21"/>
              </w:rPr>
              <w:t>环境风险潜势</w:t>
            </w:r>
          </w:p>
        </w:tc>
        <w:tc>
          <w:tcPr>
            <w:tcW w:w="1712" w:type="dxa"/>
          </w:tcPr>
          <w:p>
            <w:pPr>
              <w:pStyle w:val="18"/>
              <w:spacing w:before="33"/>
              <w:ind w:left="334" w:right="323"/>
              <w:rPr>
                <w:rFonts w:ascii="Times New Roman" w:eastAsia="Times New Roman"/>
                <w:sz w:val="21"/>
              </w:rPr>
            </w:pPr>
            <w:r>
              <w:rPr>
                <w:rFonts w:ascii="Times New Roman" w:eastAsia="Times New Roman"/>
                <w:sz w:val="21"/>
              </w:rPr>
              <w:t>IV</w:t>
            </w:r>
            <w:r>
              <w:rPr>
                <w:sz w:val="21"/>
              </w:rPr>
              <w:t>、</w:t>
            </w:r>
            <w:r>
              <w:rPr>
                <w:rFonts w:ascii="Times New Roman" w:eastAsia="Times New Roman"/>
                <w:sz w:val="21"/>
              </w:rPr>
              <w:t>IV+</w:t>
            </w:r>
          </w:p>
        </w:tc>
        <w:tc>
          <w:tcPr>
            <w:tcW w:w="1712" w:type="dxa"/>
          </w:tcPr>
          <w:p>
            <w:pPr>
              <w:pStyle w:val="18"/>
              <w:spacing w:before="33"/>
              <w:ind w:left="9"/>
              <w:rPr>
                <w:sz w:val="21"/>
              </w:rPr>
            </w:pPr>
            <w:r>
              <w:rPr>
                <w:w w:val="99"/>
                <w:sz w:val="21"/>
              </w:rPr>
              <w:t>Ⅲ</w:t>
            </w:r>
          </w:p>
        </w:tc>
        <w:tc>
          <w:tcPr>
            <w:tcW w:w="1712" w:type="dxa"/>
          </w:tcPr>
          <w:p>
            <w:pPr>
              <w:pStyle w:val="18"/>
              <w:spacing w:before="33"/>
              <w:ind w:left="8"/>
              <w:rPr>
                <w:sz w:val="21"/>
              </w:rPr>
            </w:pPr>
            <w:r>
              <w:rPr>
                <w:w w:val="99"/>
                <w:sz w:val="21"/>
              </w:rPr>
              <w:t>Ⅱ</w:t>
            </w:r>
          </w:p>
        </w:tc>
        <w:tc>
          <w:tcPr>
            <w:tcW w:w="1712" w:type="dxa"/>
          </w:tcPr>
          <w:p>
            <w:pPr>
              <w:pStyle w:val="18"/>
              <w:spacing w:before="33"/>
              <w:ind w:left="6"/>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8"/>
              <w:spacing w:before="34"/>
              <w:ind w:left="95" w:right="89"/>
              <w:rPr>
                <w:sz w:val="21"/>
              </w:rPr>
            </w:pPr>
            <w:r>
              <w:rPr>
                <w:sz w:val="21"/>
              </w:rPr>
              <w:t>评价工作等级</w:t>
            </w:r>
          </w:p>
        </w:tc>
        <w:tc>
          <w:tcPr>
            <w:tcW w:w="1712" w:type="dxa"/>
          </w:tcPr>
          <w:p>
            <w:pPr>
              <w:pStyle w:val="18"/>
              <w:spacing w:before="34"/>
              <w:ind w:left="6"/>
              <w:rPr>
                <w:sz w:val="21"/>
              </w:rPr>
            </w:pPr>
            <w:r>
              <w:rPr>
                <w:w w:val="99"/>
                <w:sz w:val="21"/>
              </w:rPr>
              <w:t>一</w:t>
            </w:r>
          </w:p>
        </w:tc>
        <w:tc>
          <w:tcPr>
            <w:tcW w:w="1712" w:type="dxa"/>
          </w:tcPr>
          <w:p>
            <w:pPr>
              <w:pStyle w:val="18"/>
              <w:spacing w:before="34"/>
              <w:ind w:left="9"/>
              <w:rPr>
                <w:sz w:val="21"/>
              </w:rPr>
            </w:pPr>
            <w:r>
              <w:rPr>
                <w:w w:val="99"/>
                <w:sz w:val="21"/>
              </w:rPr>
              <w:t>二</w:t>
            </w:r>
          </w:p>
        </w:tc>
        <w:tc>
          <w:tcPr>
            <w:tcW w:w="1712" w:type="dxa"/>
          </w:tcPr>
          <w:p>
            <w:pPr>
              <w:pStyle w:val="18"/>
              <w:spacing w:before="34"/>
              <w:ind w:left="8"/>
              <w:rPr>
                <w:sz w:val="21"/>
              </w:rPr>
            </w:pPr>
            <w:r>
              <w:rPr>
                <w:w w:val="99"/>
                <w:sz w:val="21"/>
              </w:rPr>
              <w:t>三</w:t>
            </w:r>
          </w:p>
        </w:tc>
        <w:tc>
          <w:tcPr>
            <w:tcW w:w="1712" w:type="dxa"/>
          </w:tcPr>
          <w:p>
            <w:pPr>
              <w:pStyle w:val="18"/>
              <w:spacing w:before="34"/>
              <w:ind w:left="334" w:right="325"/>
              <w:rPr>
                <w:rFonts w:ascii="Times New Roman" w:eastAsia="Times New Roman"/>
                <w:sz w:val="13"/>
              </w:rPr>
            </w:pPr>
            <w:r>
              <w:rPr>
                <w:sz w:val="21"/>
              </w:rPr>
              <w:t>简单分析</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98" w:type="dxa"/>
            <w:gridSpan w:val="5"/>
          </w:tcPr>
          <w:p>
            <w:pPr>
              <w:pStyle w:val="18"/>
              <w:spacing w:line="236" w:lineRule="exact"/>
              <w:ind w:left="107"/>
              <w:jc w:val="left"/>
              <w:rPr>
                <w:sz w:val="21"/>
              </w:rPr>
            </w:pPr>
            <w:r>
              <w:rPr>
                <w:rFonts w:ascii="Times New Roman" w:eastAsia="Times New Roman"/>
                <w:sz w:val="21"/>
              </w:rPr>
              <w:t>a</w:t>
            </w:r>
            <w:r>
              <w:rPr>
                <w:sz w:val="21"/>
              </w:rPr>
              <w:t>是相对于详细评价工作内容而言，在描述危险物质、环境影响途径、环境危险后果、风险</w:t>
            </w:r>
          </w:p>
          <w:p>
            <w:pPr>
              <w:pStyle w:val="18"/>
              <w:spacing w:line="224" w:lineRule="exact"/>
              <w:ind w:left="107"/>
              <w:jc w:val="left"/>
              <w:rPr>
                <w:sz w:val="21"/>
              </w:rPr>
            </w:pPr>
            <w:r>
              <w:rPr>
                <w:sz w:val="21"/>
              </w:rPr>
              <w:t>防范措施等方面给出定性的说明。</w:t>
            </w:r>
          </w:p>
        </w:tc>
      </w:tr>
    </w:tbl>
    <w:p>
      <w:pPr>
        <w:pStyle w:val="7"/>
        <w:spacing w:before="6"/>
        <w:ind w:left="0"/>
        <w:rPr>
          <w:b/>
          <w:sz w:val="18"/>
        </w:rPr>
      </w:pPr>
    </w:p>
    <w:p>
      <w:pPr>
        <w:pStyle w:val="7"/>
        <w:ind w:left="1020"/>
      </w:pPr>
      <w:r>
        <w:t>由上述分析可知，本项目环境风险潜势为Ⅰ，对环境风险做简单分析即可。</w:t>
      </w:r>
    </w:p>
    <w:p>
      <w:pPr>
        <w:pStyle w:val="17"/>
        <w:numPr>
          <w:ilvl w:val="4"/>
          <w:numId w:val="55"/>
        </w:numPr>
        <w:tabs>
          <w:tab w:val="left" w:pos="1621"/>
        </w:tabs>
        <w:spacing w:before="161" w:after="0" w:line="240" w:lineRule="auto"/>
        <w:ind w:left="1621" w:right="0" w:hanging="601"/>
        <w:jc w:val="left"/>
        <w:rPr>
          <w:sz w:val="24"/>
        </w:rPr>
      </w:pPr>
      <w:r>
        <w:rPr>
          <w:sz w:val="24"/>
        </w:rPr>
        <w:t>环境风险评价范围</w:t>
      </w:r>
    </w:p>
    <w:p>
      <w:pPr>
        <w:pStyle w:val="7"/>
        <w:spacing w:before="160" w:line="364" w:lineRule="auto"/>
        <w:ind w:right="577" w:firstLine="480"/>
      </w:pPr>
      <w:r>
        <w:rPr>
          <w:spacing w:val="-10"/>
        </w:rPr>
        <w:t>根据导则要求，大气环境风险评价范围：一级、二级评价距建设项目边界一</w:t>
      </w:r>
      <w:r>
        <w:rPr>
          <w:spacing w:val="-13"/>
        </w:rPr>
        <w:t>般不低于</w:t>
      </w:r>
      <w:r>
        <w:rPr>
          <w:rFonts w:ascii="Times New Roman" w:eastAsia="Times New Roman"/>
        </w:rPr>
        <w:t>5km</w:t>
      </w:r>
      <w:r>
        <w:rPr>
          <w:spacing w:val="-4"/>
        </w:rPr>
        <w:t>；三级评价距建设项目边界一般不低于</w:t>
      </w:r>
      <w:r>
        <w:rPr>
          <w:rFonts w:ascii="Times New Roman" w:eastAsia="Times New Roman"/>
        </w:rPr>
        <w:t>3km</w:t>
      </w:r>
      <w:r>
        <w:t>。</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因此，本项目环境风险评价范围：</w:t>
      </w:r>
    </w:p>
    <w:p>
      <w:pPr>
        <w:pStyle w:val="7"/>
        <w:spacing w:before="160"/>
        <w:ind w:left="1020"/>
      </w:pPr>
      <w:r>
        <w:t>①大气：距离项目边界</w:t>
      </w:r>
      <w:r>
        <w:rPr>
          <w:rFonts w:ascii="Times New Roman" w:hAnsi="Times New Roman" w:eastAsia="Times New Roman"/>
        </w:rPr>
        <w:t>3km</w:t>
      </w:r>
      <w:r>
        <w:t>的矩形范围。</w:t>
      </w:r>
    </w:p>
    <w:p>
      <w:pPr>
        <w:pStyle w:val="7"/>
        <w:spacing w:before="161"/>
        <w:ind w:left="1020"/>
      </w:pPr>
      <w:r>
        <w:t>②地下水环境：厂址所属范围内的地下水以及下游区域内的地下水。</w:t>
      </w:r>
    </w:p>
    <w:p>
      <w:pPr>
        <w:pStyle w:val="5"/>
        <w:numPr>
          <w:ilvl w:val="3"/>
          <w:numId w:val="55"/>
        </w:numPr>
        <w:bidi w:val="0"/>
      </w:pPr>
      <w:bookmarkStart w:id="341" w:name="5.2.7.7 环境风险识别"/>
      <w:bookmarkEnd w:id="341"/>
      <w:bookmarkStart w:id="342" w:name="5.2.7.7 环境风险识别"/>
      <w:bookmarkEnd w:id="342"/>
      <w:r>
        <w:t>环境风险识别</w:t>
      </w:r>
    </w:p>
    <w:p>
      <w:pPr>
        <w:pStyle w:val="7"/>
        <w:spacing w:before="168" w:line="364" w:lineRule="auto"/>
        <w:ind w:right="457" w:firstLine="480"/>
      </w:pPr>
      <w:r>
        <w:rPr>
          <w:spacing w:val="-6"/>
        </w:rPr>
        <w:t>根据《建设项目环境风险评价技术导则》</w:t>
      </w:r>
      <w:r>
        <w:rPr>
          <w:spacing w:val="-3"/>
        </w:rPr>
        <w:t>（</w:t>
      </w:r>
      <w:r>
        <w:rPr>
          <w:rFonts w:ascii="Times New Roman" w:eastAsia="Times New Roman"/>
          <w:spacing w:val="-3"/>
        </w:rPr>
        <w:t>HJ169-2018</w:t>
      </w:r>
      <w:r>
        <w:rPr>
          <w:spacing w:val="-3"/>
        </w:rPr>
        <w:t>），</w:t>
      </w:r>
      <w:r>
        <w:t>确定项目环境风</w:t>
      </w:r>
      <w:r>
        <w:rPr>
          <w:spacing w:val="-8"/>
        </w:rPr>
        <w:t>险识别的原则为：可能发生的突发性事件或事故</w:t>
      </w:r>
      <w:r>
        <w:t>（一般不包括人为破坏及自然灾害</w:t>
      </w:r>
      <w:r>
        <w:rPr>
          <w:spacing w:val="-44"/>
        </w:rPr>
        <w:t>），</w:t>
      </w:r>
      <w:r>
        <w:rPr>
          <w:spacing w:val="-12"/>
        </w:rPr>
        <w:t>引起有毒有害、易燃易爆等物质泄漏对环境造成的影响；选择生产、加工、</w:t>
      </w:r>
      <w:r>
        <w:rPr>
          <w:spacing w:val="-3"/>
        </w:rPr>
        <w:t>运输、使用或贮存中涉及到的主要危险物质，按附录</w:t>
      </w:r>
      <w:r>
        <w:rPr>
          <w:rFonts w:ascii="Times New Roman" w:eastAsia="Times New Roman"/>
        </w:rPr>
        <w:t>B</w:t>
      </w:r>
      <w:r>
        <w:t>，进行物质危险性判断。</w:t>
      </w:r>
    </w:p>
    <w:p>
      <w:pPr>
        <w:pStyle w:val="17"/>
        <w:numPr>
          <w:ilvl w:val="0"/>
          <w:numId w:val="56"/>
        </w:numPr>
        <w:tabs>
          <w:tab w:val="left" w:pos="1621"/>
        </w:tabs>
        <w:spacing w:before="2" w:after="0" w:line="240" w:lineRule="auto"/>
        <w:ind w:left="1621" w:right="0" w:hanging="601"/>
        <w:jc w:val="left"/>
        <w:rPr>
          <w:sz w:val="24"/>
        </w:rPr>
      </w:pPr>
      <w:r>
        <w:rPr>
          <w:sz w:val="24"/>
        </w:rPr>
        <w:t>物质风险识别</w:t>
      </w:r>
    </w:p>
    <w:p>
      <w:pPr>
        <w:pStyle w:val="7"/>
        <w:spacing w:before="160" w:line="364" w:lineRule="auto"/>
        <w:ind w:right="452" w:firstLine="480"/>
      </w:pPr>
      <w:r>
        <w:rPr>
          <w:spacing w:val="-12"/>
        </w:rPr>
        <w:t>根据《建设项目环境风险评价技术导则》</w:t>
      </w:r>
      <w:r>
        <w:rPr>
          <w:spacing w:val="-7"/>
        </w:rPr>
        <w:t>（</w:t>
      </w:r>
      <w:r>
        <w:rPr>
          <w:rFonts w:ascii="Times New Roman" w:eastAsia="Times New Roman"/>
          <w:spacing w:val="-7"/>
        </w:rPr>
        <w:t>HJ169-2018</w:t>
      </w:r>
      <w:r>
        <w:rPr>
          <w:spacing w:val="-7"/>
        </w:rPr>
        <w:t>），</w:t>
      </w:r>
      <w:r>
        <w:rPr>
          <w:spacing w:val="-2"/>
        </w:rPr>
        <w:t>物质危险性识别，</w:t>
      </w:r>
      <w:r>
        <w:rPr>
          <w:spacing w:val="-8"/>
        </w:rPr>
        <w:t>包括主要原辅材料、燃料、中间产品、副产品、最终产品、污染物、火灾和爆炸伴生</w:t>
      </w:r>
      <w:r>
        <w:rPr>
          <w:rFonts w:ascii="Times New Roman" w:eastAsia="Times New Roman"/>
          <w:spacing w:val="-8"/>
        </w:rPr>
        <w:t>/</w:t>
      </w:r>
      <w:r>
        <w:rPr>
          <w:spacing w:val="-10"/>
        </w:rPr>
        <w:t>次生物等。经分析，本项目生产过程中涉及的危险物质主要为氨和硫化氢，</w:t>
      </w:r>
      <w:r>
        <w:rPr>
          <w:spacing w:val="-5"/>
        </w:rPr>
        <w:t>其物化性质和危险特性见表</w:t>
      </w:r>
      <w:r>
        <w:rPr>
          <w:rFonts w:ascii="Times New Roman" w:eastAsia="Times New Roman"/>
        </w:rPr>
        <w:t>5.2-16</w:t>
      </w:r>
      <w:r>
        <w:rPr>
          <w:spacing w:val="-8"/>
        </w:rPr>
        <w:t>。项目生产过程中涉及的危险化学品危险性识</w:t>
      </w:r>
      <w:r>
        <w:rPr>
          <w:spacing w:val="-17"/>
        </w:rPr>
        <w:t>别结果见表</w:t>
      </w:r>
      <w:r>
        <w:rPr>
          <w:rFonts w:ascii="Times New Roman" w:eastAsia="Times New Roman"/>
        </w:rPr>
        <w:t>5.2-17</w:t>
      </w:r>
      <w:r>
        <w:t>。</w:t>
      </w:r>
    </w:p>
    <w:p>
      <w:pPr>
        <w:pStyle w:val="7"/>
        <w:bidi w:val="0"/>
        <w:jc w:val="center"/>
      </w:pPr>
      <w:r>
        <w:t>表</w:t>
      </w:r>
      <w:r>
        <w:rPr>
          <w:rFonts w:ascii="Times New Roman" w:eastAsia="Times New Roman"/>
        </w:rPr>
        <w:t>5.2-16</w:t>
      </w:r>
      <w:r>
        <w:rPr>
          <w:rFonts w:ascii="Times New Roman" w:eastAsia="Times New Roman"/>
        </w:rPr>
        <w:tab/>
      </w:r>
      <w:r>
        <w:rPr>
          <w:w w:val="95"/>
        </w:rPr>
        <w:t>物化性质和危害特性一览表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2218"/>
        <w:gridCol w:w="5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dxa"/>
          </w:tcPr>
          <w:p>
            <w:pPr>
              <w:pStyle w:val="18"/>
              <w:spacing w:before="16" w:line="304" w:lineRule="exact"/>
              <w:ind w:left="171" w:right="163"/>
              <w:rPr>
                <w:b/>
                <w:sz w:val="24"/>
              </w:rPr>
            </w:pPr>
            <w:r>
              <w:rPr>
                <w:b/>
                <w:sz w:val="24"/>
              </w:rPr>
              <w:t>名称</w:t>
            </w:r>
          </w:p>
        </w:tc>
        <w:tc>
          <w:tcPr>
            <w:tcW w:w="2218" w:type="dxa"/>
          </w:tcPr>
          <w:p>
            <w:pPr>
              <w:pStyle w:val="18"/>
              <w:spacing w:before="16" w:line="304" w:lineRule="exact"/>
              <w:ind w:left="629"/>
              <w:jc w:val="left"/>
              <w:rPr>
                <w:b/>
                <w:sz w:val="24"/>
              </w:rPr>
            </w:pPr>
            <w:r>
              <w:rPr>
                <w:b/>
                <w:sz w:val="24"/>
              </w:rPr>
              <w:t>物化性质</w:t>
            </w:r>
          </w:p>
        </w:tc>
        <w:tc>
          <w:tcPr>
            <w:tcW w:w="5290" w:type="dxa"/>
          </w:tcPr>
          <w:p>
            <w:pPr>
              <w:pStyle w:val="18"/>
              <w:spacing w:before="16" w:line="304" w:lineRule="exact"/>
              <w:ind w:left="2144" w:right="2131"/>
              <w:rPr>
                <w:b/>
                <w:sz w:val="24"/>
              </w:rPr>
            </w:pPr>
            <w:r>
              <w:rPr>
                <w:b/>
                <w:sz w:val="24"/>
              </w:rPr>
              <w:t>危险特性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14" w:type="dxa"/>
          </w:tcPr>
          <w:p>
            <w:pPr>
              <w:pStyle w:val="18"/>
              <w:jc w:val="left"/>
              <w:rPr>
                <w:b/>
                <w:sz w:val="20"/>
              </w:rPr>
            </w:pPr>
          </w:p>
          <w:p>
            <w:pPr>
              <w:pStyle w:val="18"/>
              <w:spacing w:before="5"/>
              <w:jc w:val="left"/>
              <w:rPr>
                <w:b/>
                <w:sz w:val="25"/>
              </w:rPr>
            </w:pPr>
          </w:p>
          <w:p>
            <w:pPr>
              <w:pStyle w:val="18"/>
              <w:ind w:left="6"/>
              <w:rPr>
                <w:sz w:val="21"/>
              </w:rPr>
            </w:pPr>
            <w:r>
              <w:rPr>
                <w:w w:val="99"/>
                <w:sz w:val="21"/>
              </w:rPr>
              <w:t>氨</w:t>
            </w:r>
          </w:p>
        </w:tc>
        <w:tc>
          <w:tcPr>
            <w:tcW w:w="2218" w:type="dxa"/>
          </w:tcPr>
          <w:p>
            <w:pPr>
              <w:pStyle w:val="18"/>
              <w:spacing w:before="124" w:line="213" w:lineRule="auto"/>
              <w:ind w:left="106" w:right="-15"/>
              <w:jc w:val="left"/>
              <w:rPr>
                <w:sz w:val="21"/>
              </w:rPr>
            </w:pPr>
            <w:r>
              <w:rPr>
                <w:sz w:val="21"/>
              </w:rPr>
              <w:t>无色有刺激性恶臭的气体；熔点</w:t>
            </w:r>
            <w:r>
              <w:rPr>
                <w:rFonts w:ascii="Times New Roman" w:hAnsi="Times New Roman" w:eastAsia="Times New Roman"/>
                <w:sz w:val="21"/>
              </w:rPr>
              <w:t>-77.7</w:t>
            </w:r>
            <w:r>
              <w:rPr>
                <w:sz w:val="21"/>
              </w:rPr>
              <w:t>℃，沸点</w:t>
            </w:r>
            <w:r>
              <w:rPr>
                <w:rFonts w:ascii="Times New Roman" w:hAnsi="Times New Roman" w:eastAsia="Times New Roman"/>
                <w:sz w:val="21"/>
              </w:rPr>
              <w:t>-33.5</w:t>
            </w:r>
            <w:r>
              <w:rPr>
                <w:spacing w:val="-3"/>
                <w:sz w:val="21"/>
              </w:rPr>
              <w:t>℃。溶解性：</w:t>
            </w:r>
            <w:r>
              <w:rPr>
                <w:spacing w:val="-12"/>
                <w:sz w:val="21"/>
              </w:rPr>
              <w:t>易溶于水，溶乙醇、乙醚。</w:t>
            </w:r>
          </w:p>
        </w:tc>
        <w:tc>
          <w:tcPr>
            <w:tcW w:w="5290" w:type="dxa"/>
          </w:tcPr>
          <w:p>
            <w:pPr>
              <w:pStyle w:val="18"/>
              <w:spacing w:before="4" w:line="213" w:lineRule="auto"/>
              <w:ind w:left="108" w:right="98"/>
              <w:jc w:val="left"/>
              <w:rPr>
                <w:sz w:val="21"/>
              </w:rPr>
            </w:pPr>
            <w:r>
              <w:rPr>
                <w:sz w:val="21"/>
              </w:rPr>
              <w:t>健康危害：低浓度氨对粘膜有刺激作用，高浓度可造成组织溶解坏死。危险特性：与空气混合</w:t>
            </w:r>
            <w:r>
              <w:rPr>
                <w:rFonts w:ascii="Times New Roman" w:eastAsia="Times New Roman"/>
                <w:sz w:val="21"/>
              </w:rPr>
              <w:t>,</w:t>
            </w:r>
            <w:r>
              <w:rPr>
                <w:sz w:val="21"/>
              </w:rPr>
              <w:t>含氨量为</w:t>
            </w:r>
            <w:r>
              <w:rPr>
                <w:rFonts w:ascii="Times New Roman" w:eastAsia="Times New Roman"/>
                <w:w w:val="95"/>
                <w:sz w:val="21"/>
              </w:rPr>
              <w:t>15.7%-27.4%</w:t>
            </w:r>
            <w:r>
              <w:rPr>
                <w:spacing w:val="-9"/>
                <w:w w:val="95"/>
                <w:sz w:val="21"/>
              </w:rPr>
              <w:t>时，遇到电焊、气割、气焊、电器线路短路</w:t>
            </w:r>
            <w:r>
              <w:rPr>
                <w:spacing w:val="-9"/>
                <w:sz w:val="21"/>
              </w:rPr>
              <w:t>等产生的明火，高热能，在密闭空间内有爆炸、开裂的危险。与氟、氯等接触会发生剧烈化学反应。遇高热，</w:t>
            </w:r>
          </w:p>
          <w:p>
            <w:pPr>
              <w:pStyle w:val="18"/>
              <w:spacing w:line="218" w:lineRule="exact"/>
              <w:ind w:left="108"/>
              <w:jc w:val="left"/>
              <w:rPr>
                <w:sz w:val="21"/>
              </w:rPr>
            </w:pPr>
            <w:r>
              <w:rPr>
                <w:sz w:val="21"/>
              </w:rPr>
              <w:t>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014" w:type="dxa"/>
          </w:tcPr>
          <w:p>
            <w:pPr>
              <w:pStyle w:val="18"/>
              <w:jc w:val="left"/>
              <w:rPr>
                <w:b/>
                <w:sz w:val="20"/>
              </w:rPr>
            </w:pPr>
          </w:p>
          <w:p>
            <w:pPr>
              <w:pStyle w:val="18"/>
              <w:spacing w:before="12"/>
              <w:jc w:val="left"/>
              <w:rPr>
                <w:b/>
                <w:sz w:val="15"/>
              </w:rPr>
            </w:pPr>
          </w:p>
          <w:p>
            <w:pPr>
              <w:pStyle w:val="18"/>
              <w:ind w:left="171" w:right="163"/>
              <w:rPr>
                <w:sz w:val="21"/>
              </w:rPr>
            </w:pPr>
            <w:r>
              <w:rPr>
                <w:sz w:val="21"/>
              </w:rPr>
              <w:t>硫化氢</w:t>
            </w:r>
          </w:p>
        </w:tc>
        <w:tc>
          <w:tcPr>
            <w:tcW w:w="2218" w:type="dxa"/>
          </w:tcPr>
          <w:p>
            <w:pPr>
              <w:pStyle w:val="18"/>
              <w:spacing w:before="124" w:line="213" w:lineRule="auto"/>
              <w:ind w:left="106" w:right="1"/>
              <w:jc w:val="left"/>
              <w:rPr>
                <w:sz w:val="21"/>
              </w:rPr>
            </w:pPr>
            <w:r>
              <w:rPr>
                <w:sz w:val="21"/>
              </w:rPr>
              <w:t>无色、有恶臭的气体。沸点</w:t>
            </w:r>
            <w:r>
              <w:rPr>
                <w:rFonts w:ascii="Times New Roman" w:hAnsi="Times New Roman" w:eastAsia="Times New Roman"/>
                <w:sz w:val="21"/>
              </w:rPr>
              <w:t>-60.4</w:t>
            </w:r>
            <w:r>
              <w:rPr>
                <w:sz w:val="21"/>
              </w:rPr>
              <w:t>℃，熔点</w:t>
            </w:r>
          </w:p>
          <w:p>
            <w:pPr>
              <w:pStyle w:val="18"/>
              <w:spacing w:before="1" w:line="213" w:lineRule="auto"/>
              <w:ind w:left="106" w:right="193"/>
              <w:jc w:val="left"/>
              <w:rPr>
                <w:sz w:val="21"/>
              </w:rPr>
            </w:pPr>
            <w:r>
              <w:rPr>
                <w:rFonts w:ascii="Times New Roman" w:hAnsi="Times New Roman" w:eastAsia="Times New Roman"/>
                <w:sz w:val="21"/>
              </w:rPr>
              <w:t>-85.5</w:t>
            </w:r>
            <w:r>
              <w:rPr>
                <w:sz w:val="21"/>
              </w:rPr>
              <w:t>℃。溶解性：溶于水、乙醇。</w:t>
            </w:r>
          </w:p>
        </w:tc>
        <w:tc>
          <w:tcPr>
            <w:tcW w:w="5290" w:type="dxa"/>
          </w:tcPr>
          <w:p>
            <w:pPr>
              <w:pStyle w:val="18"/>
              <w:spacing w:before="4" w:line="213" w:lineRule="auto"/>
              <w:ind w:left="108" w:right="-15"/>
              <w:jc w:val="left"/>
              <w:rPr>
                <w:sz w:val="21"/>
              </w:rPr>
            </w:pPr>
            <w:r>
              <w:rPr>
                <w:spacing w:val="-8"/>
                <w:sz w:val="21"/>
              </w:rPr>
              <w:t>健康危害：是强烈的神经毒物，对粘膜有强烈刺激作用。</w:t>
            </w:r>
            <w:r>
              <w:rPr>
                <w:spacing w:val="-11"/>
                <w:sz w:val="21"/>
              </w:rPr>
              <w:t>急性中毒：短期内吸入高浓度硫化氢后出现流泪、眼痛、眼内异物感、畏光、视物模糊、流涕、咽喉部灼烧感、咳嗽、胸闷、头疼、头晕、乏力、意识模糊等。部分患</w:t>
            </w:r>
          </w:p>
          <w:p>
            <w:pPr>
              <w:pStyle w:val="18"/>
              <w:spacing w:line="218" w:lineRule="exact"/>
              <w:ind w:left="108"/>
              <w:jc w:val="left"/>
              <w:rPr>
                <w:sz w:val="21"/>
              </w:rPr>
            </w:pPr>
            <w:r>
              <w:rPr>
                <w:sz w:val="21"/>
              </w:rPr>
              <w:t>者可有心肌损害。重者可出现脑水肿、肺水肿。</w:t>
            </w:r>
          </w:p>
        </w:tc>
      </w:tr>
    </w:tbl>
    <w:p>
      <w:pPr>
        <w:tabs>
          <w:tab w:val="left" w:pos="4072"/>
        </w:tabs>
        <w:spacing w:before="157" w:after="4"/>
        <w:ind w:left="2433" w:right="0" w:firstLine="0"/>
        <w:jc w:val="left"/>
        <w:rPr>
          <w:b/>
          <w:sz w:val="24"/>
        </w:rPr>
      </w:pPr>
      <w:r>
        <w:rPr>
          <w:b/>
          <w:sz w:val="24"/>
        </w:rPr>
        <w:t>表</w:t>
      </w:r>
      <w:r>
        <w:rPr>
          <w:rFonts w:ascii="Times New Roman" w:eastAsia="Times New Roman"/>
          <w:b/>
          <w:sz w:val="24"/>
        </w:rPr>
        <w:t>5.2-17</w:t>
      </w:r>
      <w:r>
        <w:rPr>
          <w:rFonts w:ascii="Times New Roman" w:eastAsia="Times New Roman"/>
          <w:b/>
          <w:sz w:val="24"/>
        </w:rPr>
        <w:tab/>
      </w:r>
      <w:r>
        <w:rPr>
          <w:b/>
          <w:w w:val="95"/>
          <w:sz w:val="24"/>
        </w:rPr>
        <w:t>物质危险性识别结果一览表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8"/>
        <w:gridCol w:w="1086"/>
        <w:gridCol w:w="1339"/>
        <w:gridCol w:w="1168"/>
        <w:gridCol w:w="2325"/>
        <w:gridCol w:w="1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8" w:type="dxa"/>
          </w:tcPr>
          <w:p>
            <w:pPr>
              <w:pStyle w:val="18"/>
              <w:spacing w:before="21"/>
              <w:ind w:left="103" w:right="92"/>
              <w:rPr>
                <w:b/>
                <w:sz w:val="21"/>
              </w:rPr>
            </w:pPr>
            <w:r>
              <w:rPr>
                <w:b/>
                <w:sz w:val="21"/>
              </w:rPr>
              <w:t>序号</w:t>
            </w:r>
          </w:p>
        </w:tc>
        <w:tc>
          <w:tcPr>
            <w:tcW w:w="1086" w:type="dxa"/>
          </w:tcPr>
          <w:p>
            <w:pPr>
              <w:pStyle w:val="18"/>
              <w:spacing w:before="21"/>
              <w:ind w:left="103" w:right="89"/>
              <w:rPr>
                <w:b/>
                <w:sz w:val="21"/>
              </w:rPr>
            </w:pPr>
            <w:r>
              <w:rPr>
                <w:b/>
                <w:sz w:val="21"/>
              </w:rPr>
              <w:t>物质名称</w:t>
            </w:r>
          </w:p>
        </w:tc>
        <w:tc>
          <w:tcPr>
            <w:tcW w:w="1339" w:type="dxa"/>
          </w:tcPr>
          <w:p>
            <w:pPr>
              <w:pStyle w:val="18"/>
              <w:spacing w:before="21"/>
              <w:ind w:left="249"/>
              <w:jc w:val="left"/>
              <w:rPr>
                <w:b/>
                <w:sz w:val="21"/>
              </w:rPr>
            </w:pPr>
            <w:r>
              <w:rPr>
                <w:b/>
                <w:sz w:val="21"/>
              </w:rPr>
              <w:t>危险类别</w:t>
            </w:r>
          </w:p>
        </w:tc>
        <w:tc>
          <w:tcPr>
            <w:tcW w:w="1168" w:type="dxa"/>
          </w:tcPr>
          <w:p>
            <w:pPr>
              <w:pStyle w:val="18"/>
              <w:spacing w:before="21"/>
              <w:ind w:left="142" w:right="131"/>
              <w:rPr>
                <w:b/>
                <w:sz w:val="21"/>
              </w:rPr>
            </w:pPr>
            <w:r>
              <w:rPr>
                <w:b/>
                <w:sz w:val="21"/>
              </w:rPr>
              <w:t>危险特性</w:t>
            </w:r>
          </w:p>
        </w:tc>
        <w:tc>
          <w:tcPr>
            <w:tcW w:w="2325" w:type="dxa"/>
          </w:tcPr>
          <w:p>
            <w:pPr>
              <w:pStyle w:val="18"/>
              <w:spacing w:before="21"/>
              <w:ind w:left="742"/>
              <w:jc w:val="left"/>
              <w:rPr>
                <w:b/>
                <w:sz w:val="21"/>
              </w:rPr>
            </w:pPr>
            <w:r>
              <w:rPr>
                <w:b/>
                <w:sz w:val="21"/>
              </w:rPr>
              <w:t>毒性数据</w:t>
            </w:r>
          </w:p>
        </w:tc>
        <w:tc>
          <w:tcPr>
            <w:tcW w:w="1928" w:type="dxa"/>
          </w:tcPr>
          <w:p>
            <w:pPr>
              <w:pStyle w:val="18"/>
              <w:spacing w:before="21"/>
              <w:ind w:left="229"/>
              <w:jc w:val="left"/>
              <w:rPr>
                <w:b/>
                <w:sz w:val="21"/>
              </w:rPr>
            </w:pPr>
            <w:r>
              <w:rPr>
                <w:b/>
                <w:sz w:val="21"/>
              </w:rPr>
              <w:t>危险性辨识结果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68" w:type="dxa"/>
          </w:tcPr>
          <w:p>
            <w:pPr>
              <w:pStyle w:val="18"/>
              <w:spacing w:before="12"/>
              <w:jc w:val="left"/>
              <w:rPr>
                <w:b/>
                <w:sz w:val="27"/>
              </w:rPr>
            </w:pPr>
          </w:p>
          <w:p>
            <w:pPr>
              <w:pStyle w:val="18"/>
              <w:spacing w:before="1"/>
              <w:ind w:left="7"/>
              <w:rPr>
                <w:rFonts w:ascii="Times New Roman"/>
                <w:sz w:val="21"/>
              </w:rPr>
            </w:pPr>
            <w:r>
              <w:rPr>
                <w:rFonts w:ascii="Times New Roman"/>
                <w:w w:val="99"/>
                <w:sz w:val="21"/>
              </w:rPr>
              <w:t>1</w:t>
            </w:r>
          </w:p>
        </w:tc>
        <w:tc>
          <w:tcPr>
            <w:tcW w:w="1086" w:type="dxa"/>
          </w:tcPr>
          <w:p>
            <w:pPr>
              <w:pStyle w:val="18"/>
              <w:spacing w:before="11"/>
              <w:jc w:val="left"/>
              <w:rPr>
                <w:b/>
                <w:sz w:val="26"/>
              </w:rPr>
            </w:pPr>
          </w:p>
          <w:p>
            <w:pPr>
              <w:pStyle w:val="18"/>
              <w:ind w:left="9"/>
              <w:rPr>
                <w:sz w:val="21"/>
              </w:rPr>
            </w:pPr>
            <w:r>
              <w:rPr>
                <w:w w:val="99"/>
                <w:sz w:val="21"/>
              </w:rPr>
              <w:t>氨</w:t>
            </w:r>
          </w:p>
        </w:tc>
        <w:tc>
          <w:tcPr>
            <w:tcW w:w="1339" w:type="dxa"/>
          </w:tcPr>
          <w:p>
            <w:pPr>
              <w:pStyle w:val="18"/>
              <w:spacing w:before="12"/>
              <w:jc w:val="left"/>
              <w:rPr>
                <w:b/>
                <w:sz w:val="18"/>
              </w:rPr>
            </w:pPr>
          </w:p>
          <w:p>
            <w:pPr>
              <w:pStyle w:val="18"/>
              <w:spacing w:line="213" w:lineRule="auto"/>
              <w:ind w:left="352" w:right="96" w:hanging="183"/>
              <w:jc w:val="left"/>
              <w:rPr>
                <w:sz w:val="21"/>
              </w:rPr>
            </w:pPr>
            <w:r>
              <w:rPr>
                <w:sz w:val="21"/>
              </w:rPr>
              <w:t>第</w:t>
            </w:r>
            <w:r>
              <w:rPr>
                <w:rFonts w:ascii="Times New Roman" w:eastAsia="Times New Roman"/>
                <w:sz w:val="21"/>
              </w:rPr>
              <w:t>2.3</w:t>
            </w:r>
            <w:r>
              <w:rPr>
                <w:sz w:val="21"/>
              </w:rPr>
              <w:t>类有毒气体</w:t>
            </w:r>
          </w:p>
        </w:tc>
        <w:tc>
          <w:tcPr>
            <w:tcW w:w="1168" w:type="dxa"/>
          </w:tcPr>
          <w:p>
            <w:pPr>
              <w:pStyle w:val="18"/>
              <w:spacing w:before="12"/>
              <w:jc w:val="left"/>
              <w:rPr>
                <w:b/>
                <w:sz w:val="18"/>
              </w:rPr>
            </w:pPr>
          </w:p>
          <w:p>
            <w:pPr>
              <w:pStyle w:val="18"/>
              <w:spacing w:line="213" w:lineRule="auto"/>
              <w:ind w:left="374" w:right="99" w:hanging="267"/>
              <w:jc w:val="left"/>
              <w:rPr>
                <w:sz w:val="21"/>
              </w:rPr>
            </w:pPr>
            <w:r>
              <w:rPr>
                <w:spacing w:val="-24"/>
                <w:sz w:val="21"/>
              </w:rPr>
              <w:t>有毒，具窒</w:t>
            </w:r>
            <w:r>
              <w:rPr>
                <w:sz w:val="21"/>
              </w:rPr>
              <w:t>息性</w:t>
            </w:r>
          </w:p>
        </w:tc>
        <w:tc>
          <w:tcPr>
            <w:tcW w:w="2325" w:type="dxa"/>
          </w:tcPr>
          <w:p>
            <w:pPr>
              <w:pStyle w:val="18"/>
              <w:spacing w:before="6" w:line="211" w:lineRule="auto"/>
              <w:ind w:left="106" w:right="35"/>
              <w:jc w:val="left"/>
              <w:rPr>
                <w:sz w:val="21"/>
              </w:rPr>
            </w:pPr>
            <w:r>
              <w:rPr>
                <w:rFonts w:ascii="Times New Roman" w:eastAsia="Times New Roman"/>
                <w:position w:val="2"/>
                <w:sz w:val="21"/>
              </w:rPr>
              <w:t>LC</w:t>
            </w:r>
            <w:r>
              <w:rPr>
                <w:rFonts w:ascii="Times New Roman" w:eastAsia="Times New Roman"/>
                <w:position w:val="2"/>
                <w:sz w:val="21"/>
                <w:vertAlign w:val="subscript"/>
              </w:rPr>
              <w:t>50</w:t>
            </w:r>
            <w:r>
              <w:rPr>
                <w:spacing w:val="-39"/>
                <w:position w:val="2"/>
                <w:sz w:val="21"/>
                <w:vertAlign w:val="baseline"/>
              </w:rPr>
              <w:t>：</w:t>
            </w:r>
            <w:r>
              <w:rPr>
                <w:rFonts w:ascii="Times New Roman" w:eastAsia="Times New Roman"/>
                <w:position w:val="2"/>
                <w:sz w:val="21"/>
                <w:vertAlign w:val="baseline"/>
              </w:rPr>
              <w:t>1390mg/m</w:t>
            </w:r>
            <w:r>
              <w:rPr>
                <w:rFonts w:ascii="Times New Roman" w:eastAsia="Times New Roman"/>
                <w:position w:val="2"/>
                <w:sz w:val="21"/>
                <w:vertAlign w:val="superscript"/>
              </w:rPr>
              <w:t>3</w:t>
            </w:r>
            <w:r>
              <w:rPr>
                <w:position w:val="2"/>
                <w:sz w:val="21"/>
                <w:vertAlign w:val="baseline"/>
              </w:rPr>
              <w:t>（</w:t>
            </w:r>
            <w:r>
              <w:rPr>
                <w:spacing w:val="-49"/>
                <w:position w:val="2"/>
                <w:sz w:val="21"/>
                <w:vertAlign w:val="baseline"/>
              </w:rPr>
              <w:t>大</w:t>
            </w:r>
            <w:r>
              <w:rPr>
                <w:sz w:val="21"/>
                <w:vertAlign w:val="baseline"/>
              </w:rPr>
              <w:t>鼠吸入，</w:t>
            </w:r>
            <w:r>
              <w:rPr>
                <w:rFonts w:ascii="Times New Roman" w:eastAsia="Times New Roman"/>
                <w:sz w:val="21"/>
                <w:vertAlign w:val="baseline"/>
              </w:rPr>
              <w:t>4</w:t>
            </w:r>
            <w:r>
              <w:rPr>
                <w:sz w:val="21"/>
                <w:vertAlign w:val="baseline"/>
              </w:rPr>
              <w:t>小时）；</w:t>
            </w:r>
            <w:r>
              <w:rPr>
                <w:rFonts w:ascii="Times New Roman" w:eastAsia="Times New Roman"/>
                <w:spacing w:val="-1"/>
                <w:position w:val="2"/>
                <w:sz w:val="21"/>
                <w:vertAlign w:val="baseline"/>
              </w:rPr>
              <w:t>LD</w:t>
            </w:r>
            <w:r>
              <w:rPr>
                <w:rFonts w:ascii="Times New Roman" w:eastAsia="Times New Roman"/>
                <w:spacing w:val="-1"/>
                <w:position w:val="2"/>
                <w:sz w:val="21"/>
                <w:vertAlign w:val="subscript"/>
              </w:rPr>
              <w:t>50</w:t>
            </w:r>
            <w:r>
              <w:rPr>
                <w:spacing w:val="-1"/>
                <w:position w:val="2"/>
                <w:sz w:val="21"/>
                <w:vertAlign w:val="baseline"/>
              </w:rPr>
              <w:t>：</w:t>
            </w:r>
            <w:r>
              <w:rPr>
                <w:rFonts w:ascii="Times New Roman" w:eastAsia="Times New Roman"/>
                <w:spacing w:val="-1"/>
                <w:position w:val="2"/>
                <w:sz w:val="21"/>
                <w:vertAlign w:val="baseline"/>
              </w:rPr>
              <w:t>350mg/m</w:t>
            </w:r>
            <w:r>
              <w:rPr>
                <w:rFonts w:ascii="Times New Roman" w:eastAsia="Times New Roman"/>
                <w:spacing w:val="-1"/>
                <w:position w:val="2"/>
                <w:sz w:val="21"/>
                <w:vertAlign w:val="superscript"/>
              </w:rPr>
              <w:t>3</w:t>
            </w:r>
            <w:r>
              <w:rPr>
                <w:spacing w:val="-1"/>
                <w:position w:val="2"/>
                <w:sz w:val="21"/>
                <w:vertAlign w:val="baseline"/>
              </w:rPr>
              <w:t>（</w:t>
            </w:r>
            <w:r>
              <w:rPr>
                <w:spacing w:val="-11"/>
                <w:position w:val="2"/>
                <w:sz w:val="21"/>
                <w:vertAlign w:val="baseline"/>
              </w:rPr>
              <w:t>大鼠</w:t>
            </w:r>
          </w:p>
          <w:p>
            <w:pPr>
              <w:pStyle w:val="18"/>
              <w:spacing w:line="211" w:lineRule="exact"/>
              <w:ind w:left="106"/>
              <w:jc w:val="left"/>
              <w:rPr>
                <w:sz w:val="21"/>
              </w:rPr>
            </w:pPr>
            <w:r>
              <w:rPr>
                <w:sz w:val="21"/>
              </w:rPr>
              <w:t>经口）；</w:t>
            </w:r>
          </w:p>
        </w:tc>
        <w:tc>
          <w:tcPr>
            <w:tcW w:w="1928" w:type="dxa"/>
          </w:tcPr>
          <w:p>
            <w:pPr>
              <w:pStyle w:val="18"/>
              <w:spacing w:before="123" w:line="213" w:lineRule="auto"/>
              <w:ind w:left="107" w:right="97"/>
              <w:jc w:val="left"/>
              <w:rPr>
                <w:sz w:val="21"/>
              </w:rPr>
            </w:pPr>
            <w:r>
              <w:rPr>
                <w:spacing w:val="1"/>
                <w:sz w:val="21"/>
              </w:rPr>
              <w:t>预热易爆炸性物质</w:t>
            </w:r>
            <w:r>
              <w:rPr>
                <w:sz w:val="21"/>
              </w:rPr>
              <w:t>毒性物质</w:t>
            </w:r>
          </w:p>
          <w:p>
            <w:pPr>
              <w:pStyle w:val="18"/>
              <w:spacing w:line="247" w:lineRule="exact"/>
              <w:ind w:left="107"/>
              <w:jc w:val="left"/>
              <w:rPr>
                <w:sz w:val="21"/>
              </w:rPr>
            </w:pPr>
            <w:r>
              <w:rPr>
                <w:w w:val="95"/>
                <w:sz w:val="21"/>
              </w:rPr>
              <w:t>有腐蚀性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68" w:type="dxa"/>
          </w:tcPr>
          <w:p>
            <w:pPr>
              <w:pStyle w:val="18"/>
              <w:spacing w:before="118"/>
              <w:ind w:left="7"/>
              <w:rPr>
                <w:rFonts w:ascii="Times New Roman"/>
                <w:sz w:val="21"/>
              </w:rPr>
            </w:pPr>
            <w:r>
              <w:rPr>
                <w:rFonts w:ascii="Times New Roman"/>
                <w:w w:val="99"/>
                <w:sz w:val="21"/>
              </w:rPr>
              <w:t>2</w:t>
            </w:r>
          </w:p>
        </w:tc>
        <w:tc>
          <w:tcPr>
            <w:tcW w:w="1086" w:type="dxa"/>
          </w:tcPr>
          <w:p>
            <w:pPr>
              <w:pStyle w:val="18"/>
              <w:spacing w:before="104"/>
              <w:ind w:left="95" w:right="89"/>
              <w:rPr>
                <w:sz w:val="21"/>
              </w:rPr>
            </w:pPr>
            <w:r>
              <w:rPr>
                <w:sz w:val="21"/>
              </w:rPr>
              <w:t>硫化氢</w:t>
            </w:r>
          </w:p>
        </w:tc>
        <w:tc>
          <w:tcPr>
            <w:tcW w:w="1339" w:type="dxa"/>
          </w:tcPr>
          <w:p>
            <w:pPr>
              <w:pStyle w:val="18"/>
              <w:spacing w:line="240" w:lineRule="exact"/>
              <w:ind w:left="352" w:right="96" w:hanging="183"/>
              <w:jc w:val="left"/>
              <w:rPr>
                <w:sz w:val="21"/>
              </w:rPr>
            </w:pPr>
            <w:r>
              <w:rPr>
                <w:sz w:val="21"/>
              </w:rPr>
              <w:t>第</w:t>
            </w:r>
            <w:r>
              <w:rPr>
                <w:rFonts w:ascii="Times New Roman" w:eastAsia="Times New Roman"/>
                <w:sz w:val="21"/>
              </w:rPr>
              <w:t>2.1</w:t>
            </w:r>
            <w:r>
              <w:rPr>
                <w:sz w:val="21"/>
              </w:rPr>
              <w:t>类易燃气体</w:t>
            </w:r>
          </w:p>
        </w:tc>
        <w:tc>
          <w:tcPr>
            <w:tcW w:w="1168" w:type="dxa"/>
          </w:tcPr>
          <w:p>
            <w:pPr>
              <w:pStyle w:val="18"/>
              <w:spacing w:before="102"/>
              <w:ind w:left="140" w:right="131"/>
              <w:rPr>
                <w:sz w:val="21"/>
              </w:rPr>
            </w:pPr>
            <w:r>
              <w:rPr>
                <w:sz w:val="21"/>
              </w:rPr>
              <w:t>易燃</w:t>
            </w:r>
          </w:p>
        </w:tc>
        <w:tc>
          <w:tcPr>
            <w:tcW w:w="2325" w:type="dxa"/>
          </w:tcPr>
          <w:p>
            <w:pPr>
              <w:pStyle w:val="18"/>
              <w:spacing w:before="99"/>
              <w:ind w:left="106"/>
              <w:jc w:val="left"/>
              <w:rPr>
                <w:sz w:val="21"/>
              </w:rPr>
            </w:pPr>
            <w:r>
              <w:rPr>
                <w:rFonts w:ascii="Times New Roman" w:eastAsia="Times New Roman"/>
                <w:position w:val="2"/>
                <w:sz w:val="21"/>
              </w:rPr>
              <w:t>6180mg/m</w:t>
            </w:r>
            <w:r>
              <w:rPr>
                <w:rFonts w:ascii="Times New Roman" w:eastAsia="Times New Roman"/>
                <w:position w:val="2"/>
                <w:sz w:val="21"/>
                <w:vertAlign w:val="superscript"/>
              </w:rPr>
              <w:t>3</w:t>
            </w:r>
            <w:r>
              <w:rPr>
                <w:rFonts w:ascii="Times New Roman" w:eastAsia="Times New Roman"/>
                <w:position w:val="2"/>
                <w:sz w:val="21"/>
                <w:vertAlign w:val="baseline"/>
              </w:rPr>
              <w:t xml:space="preserve"> LC</w:t>
            </w:r>
            <w:r>
              <w:rPr>
                <w:rFonts w:ascii="Times New Roman" w:eastAsia="Times New Roman"/>
                <w:position w:val="2"/>
                <w:sz w:val="21"/>
                <w:vertAlign w:val="subscript"/>
              </w:rPr>
              <w:t>50</w:t>
            </w:r>
            <w:r>
              <w:rPr>
                <w:position w:val="2"/>
                <w:sz w:val="21"/>
                <w:vertAlign w:val="baseline"/>
              </w:rPr>
              <w:t>：</w:t>
            </w:r>
          </w:p>
        </w:tc>
        <w:tc>
          <w:tcPr>
            <w:tcW w:w="1928" w:type="dxa"/>
          </w:tcPr>
          <w:p>
            <w:pPr>
              <w:pStyle w:val="18"/>
              <w:spacing w:line="240" w:lineRule="exact"/>
              <w:ind w:left="107" w:right="970"/>
              <w:jc w:val="left"/>
              <w:rPr>
                <w:sz w:val="21"/>
              </w:rPr>
            </w:pPr>
            <w:r>
              <w:rPr>
                <w:sz w:val="21"/>
              </w:rPr>
              <w:t>易燃物质毒性物质</w:t>
            </w:r>
          </w:p>
        </w:tc>
      </w:tr>
    </w:tbl>
    <w:p>
      <w:pPr>
        <w:pStyle w:val="7"/>
        <w:spacing w:before="6"/>
        <w:ind w:left="0"/>
        <w:rPr>
          <w:b/>
          <w:sz w:val="18"/>
        </w:rPr>
      </w:pPr>
    </w:p>
    <w:p>
      <w:pPr>
        <w:pStyle w:val="17"/>
        <w:numPr>
          <w:ilvl w:val="0"/>
          <w:numId w:val="56"/>
        </w:numPr>
        <w:tabs>
          <w:tab w:val="left" w:pos="1621"/>
        </w:tabs>
        <w:spacing w:before="0" w:after="0" w:line="240" w:lineRule="auto"/>
        <w:ind w:left="1621" w:right="0" w:hanging="601"/>
        <w:jc w:val="left"/>
        <w:rPr>
          <w:sz w:val="24"/>
        </w:rPr>
      </w:pPr>
      <w:r>
        <w:rPr>
          <w:sz w:val="24"/>
        </w:rPr>
        <w:t>生产系统风险识别</w:t>
      </w:r>
    </w:p>
    <w:p>
      <w:pPr>
        <w:pStyle w:val="7"/>
        <w:spacing w:before="161" w:line="364" w:lineRule="auto"/>
        <w:ind w:right="577" w:firstLine="480"/>
      </w:pPr>
      <w:r>
        <w:rPr>
          <w:spacing w:val="-9"/>
        </w:rPr>
        <w:t>生产系统危险性识别，包括主要生产装置、储运设施、公用工程和辅助生产</w:t>
      </w:r>
      <w:r>
        <w:t>设施，以及环境保护设施等。</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pPr>
      <w:r>
        <w:rPr>
          <w:spacing w:val="-6"/>
        </w:rPr>
        <w:t>项目生产过程中的主要环境风险是养殖场疫病风险，废气事故排放风险和废</w:t>
      </w:r>
      <w:r>
        <w:t>水泄露风险。</w:t>
      </w:r>
    </w:p>
    <w:p>
      <w:pPr>
        <w:pStyle w:val="7"/>
        <w:spacing w:line="357" w:lineRule="auto"/>
        <w:ind w:right="577" w:firstLine="480"/>
        <w:jc w:val="both"/>
      </w:pPr>
      <w:r>
        <w:rPr>
          <w:spacing w:val="-1"/>
        </w:rPr>
        <w:t>①养殖场疫病风险：养殖场如管理不善，会诱发疾病，肉羊场常见疾病有</w:t>
      </w:r>
      <w:r>
        <w:rPr>
          <w:spacing w:val="-10"/>
        </w:rPr>
        <w:t>数十种，如禽大肠杆菌病、禽沙门氏菌等等，有的还属人禽共患病，不但导致羊</w:t>
      </w:r>
      <w:r>
        <w:t>大规模患病、甚至死亡，而且会感染到人群。</w:t>
      </w:r>
    </w:p>
    <w:p>
      <w:pPr>
        <w:pStyle w:val="7"/>
        <w:spacing w:before="5" w:line="357" w:lineRule="auto"/>
        <w:ind w:right="581" w:firstLine="480"/>
        <w:jc w:val="both"/>
      </w:pPr>
      <w:r>
        <w:t>②废气事故排放风险：病死尸体无害化处理车间配套的光解除臭装置发生故障，导致废气超标排放，影响周围环境空气质量。</w:t>
      </w:r>
    </w:p>
    <w:p>
      <w:pPr>
        <w:pStyle w:val="7"/>
        <w:spacing w:before="3" w:line="360" w:lineRule="auto"/>
        <w:ind w:right="457" w:firstLine="480"/>
      </w:pPr>
      <w:r>
        <w:t>③废水泄露风险：病死尸体无害化处理车间产生废水直接流入土壤，部分</w:t>
      </w:r>
      <w:r>
        <w:rPr>
          <w:spacing w:val="-16"/>
        </w:rPr>
        <w:t>氮、磷不仅随地表水或水体流失流入江河污染地表水，且会渗入地下污染地下水。</w:t>
      </w:r>
      <w:r>
        <w:rPr>
          <w:spacing w:val="-9"/>
        </w:rPr>
        <w:t>废水的有毒、有害成分进入地下水中，会使地下水溶解氧含量减少，水质中有毒</w:t>
      </w:r>
      <w:r>
        <w:rPr>
          <w:spacing w:val="-12"/>
        </w:rPr>
        <w:t>成分增多，严重时使水体发黑、变臭、失去使用价值。一旦污染了地下水，将极难治理恢复，造成较持久性的污染。</w:t>
      </w:r>
    </w:p>
    <w:p>
      <w:pPr>
        <w:pStyle w:val="5"/>
        <w:numPr>
          <w:ilvl w:val="3"/>
          <w:numId w:val="55"/>
        </w:numPr>
        <w:bidi w:val="0"/>
      </w:pPr>
      <w:bookmarkStart w:id="343" w:name="5.2.7.8 环境风险防范措施及应急要求"/>
      <w:bookmarkEnd w:id="343"/>
      <w:bookmarkStart w:id="344" w:name="5.2.7.8 环境风险防范措施及应急要求"/>
      <w:bookmarkEnd w:id="344"/>
      <w:r>
        <w:t>环境风险防范措施及应急要求</w:t>
      </w:r>
    </w:p>
    <w:p>
      <w:pPr>
        <w:pStyle w:val="17"/>
        <w:numPr>
          <w:ilvl w:val="0"/>
          <w:numId w:val="57"/>
        </w:numPr>
        <w:tabs>
          <w:tab w:val="left" w:pos="1621"/>
        </w:tabs>
        <w:spacing w:before="153" w:after="0" w:line="240" w:lineRule="auto"/>
        <w:ind w:left="1621" w:right="0" w:hanging="601"/>
        <w:jc w:val="left"/>
        <w:rPr>
          <w:sz w:val="24"/>
        </w:rPr>
      </w:pPr>
      <w:r>
        <w:rPr>
          <w:sz w:val="24"/>
        </w:rPr>
        <w:t>水环境风险防范措施</w:t>
      </w:r>
    </w:p>
    <w:p>
      <w:pPr>
        <w:pStyle w:val="7"/>
        <w:spacing w:before="153" w:line="360" w:lineRule="auto"/>
        <w:ind w:right="457" w:firstLine="480"/>
      </w:pPr>
      <w:r>
        <w:rPr>
          <w:spacing w:val="-8"/>
        </w:rPr>
        <w:t>对装置区管道经常巡查，杜绝“跑、冒、滴、漏”等事故的发生，尤其是在</w:t>
      </w:r>
      <w:r>
        <w:rPr>
          <w:spacing w:val="-13"/>
        </w:rPr>
        <w:t>堆肥厂和病死尸体无害化处理车间周边，进行严格的防渗处理，从源头上防止污</w:t>
      </w:r>
      <w:r>
        <w:rPr>
          <w:spacing w:val="-20"/>
        </w:rPr>
        <w:t>水进入地下水含水层之间。项目场地分为重点防渗区、一般防渗区和简单防渗区。</w:t>
      </w:r>
      <w:r>
        <w:rPr>
          <w:spacing w:val="-5"/>
        </w:rPr>
        <w:t>一般工业固废临时贮存场所防渗效果应满足《一般工业固体废物贮存、处置场污</w:t>
      </w:r>
      <w:r>
        <w:t>染控制标准》（</w:t>
      </w:r>
      <w:r>
        <w:rPr>
          <w:rFonts w:ascii="Times New Roman" w:hAnsi="Times New Roman" w:eastAsia="Times New Roman"/>
        </w:rPr>
        <w:t>GB18599-2001</w:t>
      </w:r>
      <w:r>
        <w:t>）中的相关要求。危险废物储存场所防渗效果应</w:t>
      </w:r>
      <w:r>
        <w:rPr>
          <w:spacing w:val="-14"/>
        </w:rPr>
        <w:t>满足《危险废物贮存污染控制标准》</w:t>
      </w:r>
      <w:r>
        <w:rPr>
          <w:spacing w:val="-4"/>
        </w:rPr>
        <w:t>（</w:t>
      </w:r>
      <w:r>
        <w:rPr>
          <w:rFonts w:ascii="Times New Roman" w:hAnsi="Times New Roman" w:eastAsia="Times New Roman"/>
          <w:spacing w:val="-4"/>
        </w:rPr>
        <w:t>GB18597</w:t>
      </w:r>
      <w:r>
        <w:rPr>
          <w:spacing w:val="-4"/>
        </w:rPr>
        <w:t>－</w:t>
      </w:r>
      <w:r>
        <w:rPr>
          <w:rFonts w:ascii="Times New Roman" w:hAnsi="Times New Roman" w:eastAsia="Times New Roman"/>
          <w:spacing w:val="-4"/>
        </w:rPr>
        <w:t>2001</w:t>
      </w:r>
      <w:r>
        <w:rPr>
          <w:spacing w:val="-4"/>
        </w:rPr>
        <w:t>）</w:t>
      </w:r>
      <w:r>
        <w:rPr>
          <w:spacing w:val="-2"/>
        </w:rPr>
        <w:t>及修改单中的有关要求。</w:t>
      </w:r>
      <w:r>
        <w:rPr>
          <w:spacing w:val="-5"/>
        </w:rPr>
        <w:t>物料及污水等输送管道尽可能架空，减少埋地铺设。场区需埋地铺设的管道、阀门需设置专用防渗管沟，设活动观察顶盖，以便出现渗漏问题及时观察、解决；输水管线及化粪池下方铺设高密度聚乙烯（</w:t>
      </w:r>
      <w:r>
        <w:rPr>
          <w:rFonts w:ascii="Times New Roman" w:hAnsi="Times New Roman" w:eastAsia="Times New Roman"/>
          <w:spacing w:val="-5"/>
        </w:rPr>
        <w:t>HDPE</w:t>
      </w:r>
      <w:r>
        <w:rPr>
          <w:spacing w:val="-5"/>
        </w:rPr>
        <w:t>）土工膜，减轻污水管线发生“跑、冒、滴、漏”事故时对地下水的影响。</w:t>
      </w:r>
    </w:p>
    <w:p>
      <w:pPr>
        <w:pStyle w:val="17"/>
        <w:numPr>
          <w:ilvl w:val="0"/>
          <w:numId w:val="57"/>
        </w:numPr>
        <w:tabs>
          <w:tab w:val="left" w:pos="1621"/>
        </w:tabs>
        <w:spacing w:before="0" w:after="0" w:line="293" w:lineRule="exact"/>
        <w:ind w:left="1621" w:right="0" w:hanging="601"/>
        <w:jc w:val="left"/>
        <w:rPr>
          <w:sz w:val="24"/>
        </w:rPr>
      </w:pPr>
      <w:r>
        <w:rPr>
          <w:sz w:val="24"/>
        </w:rPr>
        <w:t>防火措施</w:t>
      </w:r>
    </w:p>
    <w:p>
      <w:pPr>
        <w:pStyle w:val="7"/>
        <w:spacing w:before="154" w:line="357" w:lineRule="auto"/>
        <w:ind w:right="457" w:firstLine="480"/>
      </w:pPr>
      <w:r>
        <w:rPr>
          <w:spacing w:val="-1"/>
        </w:rPr>
        <w:t>①根据《建筑设计防火规范》</w:t>
      </w:r>
      <w:r>
        <w:t>（</w:t>
      </w:r>
      <w:r>
        <w:rPr>
          <w:rFonts w:ascii="Times New Roman" w:hAnsi="Times New Roman" w:eastAsia="Times New Roman"/>
        </w:rPr>
        <w:t>GBJ16-87</w:t>
      </w:r>
      <w:r>
        <w:t>）要求：建筑物之间按规范要求</w:t>
      </w:r>
      <w:r>
        <w:rPr>
          <w:spacing w:val="-16"/>
        </w:rPr>
        <w:t>设置防火间距，并充分考虑防火技术措施，按规范要求布置安全疏散通道等设施，</w:t>
      </w:r>
      <w:r>
        <w:t>并设置室外消防系统，消防供水设备为全自动恒压、变量供水设备。</w:t>
      </w:r>
    </w:p>
    <w:p>
      <w:pPr>
        <w:pStyle w:val="7"/>
        <w:spacing w:before="5" w:line="360" w:lineRule="auto"/>
        <w:ind w:right="530" w:firstLine="480"/>
      </w:pPr>
      <w:r>
        <w:t>②室外消防给水管网沿车间环状布置，直接与场区消防给水干管连接，并按要求设置室外消火栓，采用</w:t>
      </w:r>
      <w:r>
        <w:rPr>
          <w:rFonts w:ascii="Times New Roman" w:hAnsi="Times New Roman" w:eastAsia="Times New Roman"/>
        </w:rPr>
        <w:t>SS100-16</w:t>
      </w:r>
      <w:r>
        <w:t>室外地上式消火栓，采用的消火栓与场</w:t>
      </w:r>
    </w:p>
    <w:p>
      <w:pPr>
        <w:spacing w:after="0" w:line="360"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rPr>
          <w:sz w:val="9"/>
        </w:rPr>
      </w:pPr>
    </w:p>
    <w:p>
      <w:pPr>
        <w:pStyle w:val="7"/>
        <w:spacing w:before="74" w:line="360" w:lineRule="auto"/>
        <w:ind w:right="575"/>
        <w:jc w:val="both"/>
      </w:pPr>
      <w:r>
        <w:rPr>
          <w:spacing w:val="-5"/>
        </w:rPr>
        <w:t>区消火栓一致，间距不超过</w:t>
      </w:r>
      <w:r>
        <w:rPr>
          <w:rFonts w:ascii="Times New Roman" w:eastAsia="Times New Roman"/>
        </w:rPr>
        <w:t>120m</w:t>
      </w:r>
      <w:r>
        <w:rPr>
          <w:spacing w:val="-7"/>
        </w:rPr>
        <w:t>，保护半径不大于</w:t>
      </w:r>
      <w:r>
        <w:rPr>
          <w:rFonts w:ascii="Times New Roman" w:eastAsia="Times New Roman"/>
        </w:rPr>
        <w:t>150m</w:t>
      </w:r>
      <w:r>
        <w:rPr>
          <w:spacing w:val="-8"/>
        </w:rPr>
        <w:t>，距路边不大于</w:t>
      </w:r>
      <w:r>
        <w:rPr>
          <w:rFonts w:ascii="Times New Roman" w:eastAsia="Times New Roman"/>
          <w:spacing w:val="-6"/>
        </w:rPr>
        <w:t>2m</w:t>
      </w:r>
      <w:r>
        <w:rPr>
          <w:spacing w:val="-6"/>
        </w:rPr>
        <w:t>，</w:t>
      </w:r>
      <w:r>
        <w:rPr>
          <w:spacing w:val="-7"/>
        </w:rPr>
        <w:t>距车间外墙不小于</w:t>
      </w:r>
      <w:r>
        <w:rPr>
          <w:rFonts w:ascii="Times New Roman" w:eastAsia="Times New Roman"/>
        </w:rPr>
        <w:t>5m</w:t>
      </w:r>
      <w:r>
        <w:t>。</w:t>
      </w:r>
    </w:p>
    <w:p>
      <w:pPr>
        <w:pStyle w:val="7"/>
        <w:spacing w:line="357" w:lineRule="auto"/>
        <w:ind w:right="575" w:firstLine="480"/>
        <w:jc w:val="both"/>
      </w:pPr>
      <w:r>
        <w:t>③室内消防管道为环状布置，且有两条管道与室外管网连接，保证消防用</w:t>
      </w:r>
      <w:r>
        <w:rPr>
          <w:spacing w:val="-10"/>
        </w:rPr>
        <w:t>水量不少于</w:t>
      </w:r>
      <w:r>
        <w:rPr>
          <w:rFonts w:ascii="Times New Roman" w:hAnsi="Times New Roman" w:eastAsia="Times New Roman"/>
          <w:spacing w:val="-7"/>
        </w:rPr>
        <w:t>5L/s</w:t>
      </w:r>
      <w:r>
        <w:rPr>
          <w:spacing w:val="-8"/>
        </w:rPr>
        <w:t>，室内任何部位均有两支水枪得充实水柱可同时达到。同时，在</w:t>
      </w:r>
      <w:r>
        <w:t>室内设置干粉灭火器和消防桶等急救消防器具。</w:t>
      </w:r>
    </w:p>
    <w:p>
      <w:pPr>
        <w:pStyle w:val="17"/>
        <w:numPr>
          <w:ilvl w:val="0"/>
          <w:numId w:val="57"/>
        </w:numPr>
        <w:tabs>
          <w:tab w:val="left" w:pos="1621"/>
        </w:tabs>
        <w:spacing w:before="5" w:after="0" w:line="240" w:lineRule="auto"/>
        <w:ind w:left="1621" w:right="0" w:hanging="601"/>
        <w:jc w:val="left"/>
        <w:rPr>
          <w:sz w:val="24"/>
        </w:rPr>
      </w:pPr>
      <w:r>
        <w:rPr>
          <w:sz w:val="24"/>
        </w:rPr>
        <w:t>安全防范措施</w:t>
      </w:r>
    </w:p>
    <w:p>
      <w:pPr>
        <w:pStyle w:val="7"/>
        <w:spacing w:before="151"/>
        <w:ind w:left="1020"/>
      </w:pPr>
      <w:r>
        <w:t>①总图布置及工艺装置设备布置必须严格符合《工业企业总平面设计规范》</w:t>
      </w:r>
    </w:p>
    <w:p>
      <w:pPr>
        <w:pStyle w:val="7"/>
        <w:spacing w:before="153" w:line="360" w:lineRule="auto"/>
        <w:ind w:right="577"/>
      </w:pPr>
      <w:r>
        <w:t>（</w:t>
      </w:r>
      <w:r>
        <w:rPr>
          <w:rFonts w:ascii="Times New Roman" w:eastAsia="Times New Roman"/>
        </w:rPr>
        <w:t>GB50187-93</w:t>
      </w:r>
      <w:r>
        <w:t>）。总图布置上各建、构筑物间的防火间距均按要求设置，主要</w:t>
      </w:r>
      <w:r>
        <w:rPr>
          <w:spacing w:val="-7"/>
        </w:rPr>
        <w:t>建筑周围的道路呈环形布置。各主要通道宽度满足消防、安全卫生、地下管线及</w:t>
      </w:r>
      <w:r>
        <w:rPr>
          <w:spacing w:val="-10"/>
        </w:rPr>
        <w:t>管架布置、绿化工程等方面的要求。生产区不应种植含油脂较多的树木，工艺装</w:t>
      </w:r>
      <w:r>
        <w:rPr>
          <w:spacing w:val="-5"/>
        </w:rPr>
        <w:t>置与周围消防车道之间不宜种植绿蓠或茂密的灌木丛，场区的绿化不应防碍消防</w:t>
      </w:r>
      <w:r>
        <w:rPr>
          <w:spacing w:val="-10"/>
        </w:rPr>
        <w:t>操作。厂内运输和装卸应根据工艺流程、货运量、货物性质和消防需要，合理组</w:t>
      </w:r>
      <w:r>
        <w:rPr>
          <w:spacing w:val="-11"/>
        </w:rPr>
        <w:t>织车流、人流、物流。汽车装车站等机动车辆出入频繁的场所，应布置在场区边</w:t>
      </w:r>
      <w:r>
        <w:t>缘。</w:t>
      </w:r>
    </w:p>
    <w:p>
      <w:pPr>
        <w:pStyle w:val="7"/>
        <w:spacing w:line="300" w:lineRule="exact"/>
        <w:ind w:left="1020"/>
        <w:jc w:val="both"/>
      </w:pPr>
      <w:r>
        <w:t>②羊舍、堆肥厂和病死尸体无害化处理车间等地面采取相应的防渗措施。</w:t>
      </w:r>
    </w:p>
    <w:p>
      <w:pPr>
        <w:pStyle w:val="7"/>
        <w:spacing w:before="151" w:line="360" w:lineRule="auto"/>
        <w:ind w:right="577" w:firstLine="480"/>
        <w:jc w:val="both"/>
      </w:pPr>
      <w:r>
        <w:t>③建筑上遵守国家现行的技术规范和规定，结合场区生产特点，建、构筑</w:t>
      </w:r>
      <w:r>
        <w:rPr>
          <w:spacing w:val="-10"/>
        </w:rPr>
        <w:t>物的平面布置、空间处理、结构选型、构造措施及材料选用等方面满足防火、防</w:t>
      </w:r>
      <w:r>
        <w:t>爆防噪音、防水、防潮、防震、隔热、洁净等要求。</w:t>
      </w:r>
    </w:p>
    <w:p>
      <w:pPr>
        <w:pStyle w:val="17"/>
        <w:numPr>
          <w:ilvl w:val="0"/>
          <w:numId w:val="57"/>
        </w:numPr>
        <w:tabs>
          <w:tab w:val="left" w:pos="1621"/>
        </w:tabs>
        <w:spacing w:before="0" w:after="0" w:line="304" w:lineRule="exact"/>
        <w:ind w:left="1621" w:right="0" w:hanging="601"/>
        <w:jc w:val="left"/>
        <w:rPr>
          <w:sz w:val="24"/>
        </w:rPr>
      </w:pPr>
      <w:r>
        <w:rPr>
          <w:sz w:val="24"/>
        </w:rPr>
        <w:t>工艺技术装备安全防范措施</w:t>
      </w:r>
    </w:p>
    <w:p>
      <w:pPr>
        <w:pStyle w:val="7"/>
        <w:spacing w:before="153" w:line="360" w:lineRule="auto"/>
        <w:ind w:right="457" w:firstLine="480"/>
        <w:jc w:val="both"/>
      </w:pPr>
      <w:r>
        <w:rPr>
          <w:spacing w:val="-8"/>
        </w:rPr>
        <w:t>①严格执行进厂设备、备件、材料的质量检查验收制度，防止不合格设备、</w:t>
      </w:r>
      <w:r>
        <w:t>备件、材料进入生产过程使用，消除设备本身的不安全因素。</w:t>
      </w:r>
    </w:p>
    <w:p>
      <w:pPr>
        <w:pStyle w:val="7"/>
        <w:spacing w:line="360" w:lineRule="auto"/>
        <w:ind w:right="577" w:firstLine="480"/>
        <w:jc w:val="both"/>
      </w:pPr>
      <w:r>
        <w:t>②管线的设计、制造、安装及试压等技术条件，应符合国家现行标准和规</w:t>
      </w:r>
      <w:r>
        <w:rPr>
          <w:spacing w:val="-12"/>
        </w:rPr>
        <w:t>范。设计中所选用的管线、管件及阀门的材料，应保证有足够的机械强度及使用</w:t>
      </w:r>
      <w:r>
        <w:t>期限。</w:t>
      </w:r>
    </w:p>
    <w:p>
      <w:pPr>
        <w:pStyle w:val="7"/>
        <w:spacing w:line="360" w:lineRule="auto"/>
        <w:ind w:right="577" w:firstLine="480"/>
        <w:jc w:val="both"/>
      </w:pPr>
      <w:r>
        <w:rPr>
          <w:spacing w:val="-3"/>
        </w:rPr>
        <w:t>③人行通道一定要有到工作点的通道、灭火器、灭火毯、启动</w:t>
      </w:r>
      <w:r>
        <w:rPr>
          <w:rFonts w:ascii="Times New Roman" w:hAnsi="Times New Roman" w:eastAsia="Times New Roman"/>
        </w:rPr>
        <w:t>/</w:t>
      </w:r>
      <w:r>
        <w:rPr>
          <w:spacing w:val="-4"/>
        </w:rPr>
        <w:t>停止按钮以</w:t>
      </w:r>
      <w:r>
        <w:t>及水喷淋器等，一定要保证安全，没有任何障碍物，并且要标识清楚。</w:t>
      </w:r>
    </w:p>
    <w:p>
      <w:pPr>
        <w:pStyle w:val="7"/>
        <w:spacing w:line="307" w:lineRule="exact"/>
        <w:ind w:left="1020"/>
        <w:jc w:val="both"/>
      </w:pPr>
      <w:r>
        <w:t>④产品、原材料要正确存放。</w:t>
      </w:r>
    </w:p>
    <w:p>
      <w:pPr>
        <w:pStyle w:val="7"/>
        <w:spacing w:before="144"/>
        <w:ind w:left="1020"/>
      </w:pPr>
      <w:r>
        <w:t>⑤地面要保持清洁，没有障碍物和其他不必要的东西。</w:t>
      </w:r>
    </w:p>
    <w:p>
      <w:pPr>
        <w:pStyle w:val="17"/>
        <w:numPr>
          <w:ilvl w:val="0"/>
          <w:numId w:val="57"/>
        </w:numPr>
        <w:tabs>
          <w:tab w:val="left" w:pos="1621"/>
        </w:tabs>
        <w:spacing w:before="154" w:after="0" w:line="240" w:lineRule="auto"/>
        <w:ind w:left="1621" w:right="0" w:hanging="601"/>
        <w:jc w:val="left"/>
        <w:rPr>
          <w:sz w:val="24"/>
        </w:rPr>
      </w:pPr>
      <w:r>
        <w:rPr>
          <w:sz w:val="24"/>
        </w:rPr>
        <w:t>电气设计安全措施</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605" w:firstLine="480"/>
        <w:jc w:val="both"/>
      </w:pPr>
      <w:r>
        <w:t>①设备和管道应根据其内部物料的火灾危险性和操作条件，设置相应的仪表、报警讯号措施。</w:t>
      </w:r>
    </w:p>
    <w:p>
      <w:pPr>
        <w:pStyle w:val="7"/>
        <w:spacing w:line="360" w:lineRule="auto"/>
        <w:ind w:right="577" w:firstLine="480"/>
        <w:jc w:val="both"/>
      </w:pPr>
      <w:r>
        <w:t>②敷设电气线路时应避开可能受到机械损伤、振动、腐蚀以及可能受热的</w:t>
      </w:r>
      <w:r>
        <w:rPr>
          <w:spacing w:val="-11"/>
        </w:rPr>
        <w:t>地方，不能避开时要采取预防措施。另外，电线线路应在爆炸危险性较小的环境</w:t>
      </w:r>
      <w:r>
        <w:rPr>
          <w:spacing w:val="-7"/>
        </w:rPr>
        <w:t>或远离释放源的地方敷设，敷设电气线路的沟道、钢管所穿过的不同区域之间的</w:t>
      </w:r>
      <w:r>
        <w:t>墙或楼板处的孔洞，都应采用非燃烧材料严密堵塞。</w:t>
      </w:r>
    </w:p>
    <w:p>
      <w:pPr>
        <w:pStyle w:val="7"/>
        <w:spacing w:line="360" w:lineRule="auto"/>
        <w:ind w:right="605" w:firstLine="480"/>
        <w:jc w:val="both"/>
      </w:pPr>
      <w:r>
        <w:t>③配电室内有危险电位的裸带电体应加遮护或置于人的伸臂范围之外，遮护物或外罩的防护等级不低于</w:t>
      </w:r>
      <w:r>
        <w:rPr>
          <w:rFonts w:ascii="Times New Roman" w:hAnsi="Times New Roman" w:eastAsia="Times New Roman"/>
        </w:rPr>
        <w:t>IP2X</w:t>
      </w:r>
      <w:r>
        <w:t>级。配电线路应设有短路、过负荷保护。</w:t>
      </w:r>
    </w:p>
    <w:p>
      <w:pPr>
        <w:pStyle w:val="7"/>
        <w:spacing w:line="357" w:lineRule="auto"/>
        <w:ind w:right="473" w:firstLine="480"/>
        <w:jc w:val="both"/>
      </w:pPr>
      <w:r>
        <w:rPr>
          <w:spacing w:val="-2"/>
        </w:rPr>
        <w:t>④工艺装置内露天布置的装置、容器等，当顶板厚度等于或大于</w:t>
      </w:r>
      <w:r>
        <w:rPr>
          <w:rFonts w:ascii="Times New Roman" w:hAnsi="Times New Roman" w:eastAsia="Times New Roman"/>
        </w:rPr>
        <w:t>4mm</w:t>
      </w:r>
      <w:r>
        <w:rPr>
          <w:spacing w:val="-10"/>
        </w:rPr>
        <w:t>时，</w:t>
      </w:r>
      <w:r>
        <w:t>可不设避雷针保护，但必须设防雷接地。</w:t>
      </w:r>
    </w:p>
    <w:p>
      <w:pPr>
        <w:pStyle w:val="17"/>
        <w:numPr>
          <w:ilvl w:val="0"/>
          <w:numId w:val="57"/>
        </w:numPr>
        <w:tabs>
          <w:tab w:val="left" w:pos="1621"/>
        </w:tabs>
        <w:spacing w:before="0" w:after="0" w:line="240" w:lineRule="auto"/>
        <w:ind w:left="1621" w:right="0" w:hanging="601"/>
        <w:jc w:val="left"/>
        <w:rPr>
          <w:sz w:val="24"/>
        </w:rPr>
      </w:pPr>
      <w:r>
        <w:rPr>
          <w:sz w:val="24"/>
        </w:rPr>
        <w:t>病死羊防范措施</w:t>
      </w:r>
    </w:p>
    <w:p>
      <w:pPr>
        <w:pStyle w:val="7"/>
        <w:spacing w:before="148" w:line="360" w:lineRule="auto"/>
        <w:ind w:right="449" w:firstLine="480"/>
      </w:pPr>
      <w:r>
        <w:rPr>
          <w:spacing w:val="-11"/>
        </w:rPr>
        <w:t>根据《畜禽卫生防疫条例》和国家防疫部门制定的处理方法对尸体进行处理</w:t>
      </w:r>
      <w:r>
        <w:rPr>
          <w:spacing w:val="-16"/>
        </w:rPr>
        <w:t>并及时通知当地动物防疫部门。病死羊的处理必须符合《畜禽养殖业污染防治技</w:t>
      </w:r>
      <w:r>
        <w:rPr>
          <w:spacing w:val="-51"/>
        </w:rPr>
        <w:t>术政策》</w:t>
      </w:r>
      <w:r>
        <w:rPr>
          <w:spacing w:val="-3"/>
        </w:rPr>
        <w:t>（</w:t>
      </w:r>
      <w:r>
        <w:rPr>
          <w:spacing w:val="-38"/>
        </w:rPr>
        <w:t>环发</w:t>
      </w:r>
      <w:r>
        <w:rPr>
          <w:spacing w:val="-10"/>
        </w:rPr>
        <w:t>［</w:t>
      </w:r>
      <w:r>
        <w:rPr>
          <w:rFonts w:ascii="Times New Roman" w:eastAsia="Times New Roman"/>
          <w:spacing w:val="-10"/>
        </w:rPr>
        <w:t>2010</w:t>
      </w:r>
      <w:r>
        <w:rPr>
          <w:spacing w:val="-10"/>
        </w:rPr>
        <w:t>］</w:t>
      </w:r>
      <w:r>
        <w:rPr>
          <w:rFonts w:ascii="Times New Roman" w:eastAsia="Times New Roman"/>
          <w:spacing w:val="-10"/>
        </w:rPr>
        <w:t>151</w:t>
      </w:r>
      <w:r>
        <w:t>号</w:t>
      </w:r>
      <w:r>
        <w:rPr>
          <w:spacing w:val="-80"/>
        </w:rPr>
        <w:t>）</w:t>
      </w:r>
      <w:r>
        <w:rPr>
          <w:spacing w:val="-14"/>
        </w:rPr>
        <w:t>、《畜禽养殖业污染防治技术规范</w:t>
      </w:r>
      <w:r>
        <w:rPr>
          <w:spacing w:val="-156"/>
        </w:rPr>
        <w:t>》</w:t>
      </w:r>
      <w:r>
        <w:t>（</w:t>
      </w:r>
      <w:r>
        <w:rPr>
          <w:rFonts w:ascii="Times New Roman" w:eastAsia="Times New Roman"/>
        </w:rPr>
        <w:t>HJ/T81-2001</w:t>
      </w:r>
      <w:r>
        <w:t>）和《病死动物无害化处理技术规范》（农医发〔</w:t>
      </w:r>
      <w:r>
        <w:rPr>
          <w:rFonts w:ascii="Times New Roman" w:eastAsia="Times New Roman"/>
        </w:rPr>
        <w:t>2013</w:t>
      </w:r>
      <w:r>
        <w:t>〕</w:t>
      </w:r>
      <w:r>
        <w:rPr>
          <w:rFonts w:ascii="Times New Roman" w:eastAsia="Times New Roman"/>
        </w:rPr>
        <w:t>34</w:t>
      </w:r>
      <w:r>
        <w:t>号）的要求，同时，</w:t>
      </w:r>
      <w:r>
        <w:rPr>
          <w:spacing w:val="-10"/>
        </w:rPr>
        <w:t>畜禽粪便、受污染的物品，也必须在兽医人员监督指导下进行无害化处理。处理人员处理完毕后应到消毒室进行消毒后才能离开。要做好病死羊的无害化处理，必须要注意以下几个方面：</w:t>
      </w:r>
    </w:p>
    <w:p>
      <w:pPr>
        <w:pStyle w:val="7"/>
        <w:spacing w:line="360" w:lineRule="auto"/>
        <w:ind w:right="455" w:firstLine="480"/>
      </w:pPr>
      <w:r>
        <w:rPr>
          <w:spacing w:val="-8"/>
        </w:rPr>
        <w:t>①处置人员的保护：在处理病死羊之前，处置人员必须要穿戴手套、口罩、</w:t>
      </w:r>
      <w:r>
        <w:rPr>
          <w:spacing w:val="-11"/>
        </w:rPr>
        <w:t>防护衣、胶筒靴；处理完后，全身要用消毒药喷雾消毒，再把用过的防护用品统</w:t>
      </w:r>
      <w:r>
        <w:rPr>
          <w:spacing w:val="-18"/>
        </w:rPr>
        <w:t>一深埋，胶筒靴要浸泡消毒半天后再使用，如果在处理的时候身体有暴露的部位，</w:t>
      </w:r>
      <w:r>
        <w:t>就要用酒精或碘酒消毒；如果皮肤有破损者不能参与处置。</w:t>
      </w:r>
    </w:p>
    <w:p>
      <w:pPr>
        <w:pStyle w:val="7"/>
        <w:spacing w:line="357" w:lineRule="auto"/>
        <w:ind w:right="577" w:firstLine="480"/>
        <w:jc w:val="both"/>
      </w:pPr>
      <w:r>
        <w:rPr>
          <w:spacing w:val="-1"/>
        </w:rPr>
        <w:t>②移尸前的准备：先用消毒药喷洒污染圈舍、周围环境、病死羊体表；再</w:t>
      </w:r>
      <w:r>
        <w:rPr>
          <w:spacing w:val="-8"/>
        </w:rPr>
        <w:t>将病死羊装入塑料袋，套编织袋或不漏水的容器盛装；快要临死的羊，则要用绳</w:t>
      </w:r>
      <w:r>
        <w:t>索捆绑四肢，防止乱蹬，移尸时避免病死羊解除身体暴露部位。</w:t>
      </w:r>
    </w:p>
    <w:p>
      <w:pPr>
        <w:pStyle w:val="7"/>
        <w:spacing w:line="360" w:lineRule="auto"/>
        <w:ind w:right="577" w:firstLine="480"/>
        <w:jc w:val="both"/>
      </w:pPr>
      <w:r>
        <w:t>③病死羊必须送到兽医室由驻场兽医</w:t>
      </w:r>
      <w:r>
        <w:rPr>
          <w:rFonts w:ascii="Times New Roman" w:hAnsi="Times New Roman" w:eastAsia="Times New Roman"/>
        </w:rPr>
        <w:t>/</w:t>
      </w:r>
      <w:r>
        <w:rPr>
          <w:spacing w:val="-6"/>
        </w:rPr>
        <w:t>防疫员负责检查工作。发现可疑烈性</w:t>
      </w:r>
      <w:r>
        <w:t>传染病例必须及时汇报给场长</w:t>
      </w:r>
      <w:r>
        <w:rPr>
          <w:rFonts w:ascii="Times New Roman" w:hAnsi="Times New Roman" w:eastAsia="Times New Roman"/>
        </w:rPr>
        <w:t>/</w:t>
      </w:r>
      <w:r>
        <w:t>经理，并报呈当地兽医检验部门进行确诊。对于</w:t>
      </w:r>
      <w:r>
        <w:rPr>
          <w:spacing w:val="-7"/>
        </w:rPr>
        <w:t>感染传染病致死的死羊尸，应交有资质的单位封装、消毒并在最短的时间内运至</w:t>
      </w:r>
      <w:r>
        <w:t>相关部门部门指定地点深埋或专门焚烧设备无害化处理。</w:t>
      </w:r>
    </w:p>
    <w:p>
      <w:pPr>
        <w:pStyle w:val="7"/>
        <w:spacing w:line="303" w:lineRule="exact"/>
        <w:ind w:left="1020"/>
        <w:jc w:val="both"/>
      </w:pPr>
      <w:r>
        <w:t>④病死羊必须登记备案。</w:t>
      </w:r>
    </w:p>
    <w:p>
      <w:pPr>
        <w:spacing w:after="0" w:line="303" w:lineRule="exact"/>
        <w:jc w:val="both"/>
        <w:sectPr>
          <w:footerReference r:id="rId19"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rPr>
          <w:sz w:val="9"/>
        </w:rPr>
      </w:pPr>
    </w:p>
    <w:p>
      <w:pPr>
        <w:pStyle w:val="17"/>
        <w:numPr>
          <w:ilvl w:val="0"/>
          <w:numId w:val="57"/>
        </w:numPr>
        <w:tabs>
          <w:tab w:val="left" w:pos="1621"/>
        </w:tabs>
        <w:spacing w:before="74" w:after="0" w:line="240" w:lineRule="auto"/>
        <w:ind w:left="1621" w:right="0" w:hanging="601"/>
        <w:jc w:val="left"/>
        <w:rPr>
          <w:sz w:val="24"/>
        </w:rPr>
      </w:pPr>
      <w:r>
        <w:rPr>
          <w:sz w:val="24"/>
        </w:rPr>
        <w:t>疫情风险防范措施</w:t>
      </w:r>
    </w:p>
    <w:p>
      <w:pPr>
        <w:pStyle w:val="7"/>
        <w:spacing w:before="154"/>
        <w:ind w:left="1020"/>
      </w:pPr>
      <w:r>
        <w:t>在日常管理中，对于羊疫病的防治措施应注意以下几点：</w:t>
      </w:r>
    </w:p>
    <w:p>
      <w:pPr>
        <w:pStyle w:val="7"/>
        <w:spacing w:before="153"/>
        <w:ind w:left="1020"/>
      </w:pPr>
      <w:r>
        <w:t>①提高员工专业素质，增强防病观念</w:t>
      </w:r>
    </w:p>
    <w:p>
      <w:pPr>
        <w:pStyle w:val="7"/>
        <w:spacing w:before="151" w:line="360" w:lineRule="auto"/>
        <w:ind w:right="457" w:firstLine="480"/>
      </w:pPr>
      <w:r>
        <w:rPr>
          <w:spacing w:val="-15"/>
        </w:rPr>
        <w:t>在预防传染的措施上，首先应从人员的管理着手做起，提高员工的专业素质，</w:t>
      </w:r>
      <w:r>
        <w:rPr>
          <w:spacing w:val="-4"/>
        </w:rPr>
        <w:t>经常进行思想教育和技术培训等工作，逐步提高他们对传染病“预防为主，防治结合”的观念，并自觉遵守防疫制度，羊场设专人负责防疫工作。</w:t>
      </w:r>
    </w:p>
    <w:p>
      <w:pPr>
        <w:pStyle w:val="7"/>
        <w:spacing w:line="304" w:lineRule="exact"/>
        <w:ind w:left="1020"/>
      </w:pPr>
      <w:r>
        <w:t>②卫生管理和环境消毒</w:t>
      </w:r>
    </w:p>
    <w:p>
      <w:pPr>
        <w:pStyle w:val="7"/>
        <w:spacing w:before="153" w:line="360" w:lineRule="auto"/>
        <w:ind w:right="577" w:firstLine="480"/>
        <w:jc w:val="both"/>
      </w:pPr>
      <w:r>
        <w:rPr>
          <w:rFonts w:ascii="Times New Roman" w:eastAsia="Times New Roman"/>
        </w:rPr>
        <w:t>a</w:t>
      </w:r>
      <w:r>
        <w:rPr>
          <w:spacing w:val="-1"/>
        </w:rPr>
        <w:t>、净化环境，搞好全场卫生清洁工作：传染病源一般抵抗力较强，受污染</w:t>
      </w:r>
      <w:r>
        <w:rPr>
          <w:spacing w:val="-7"/>
        </w:rPr>
        <w:t>的场地难以彻底将其消灭。因此，坚持做好日常的环境清洁和消毒工作，定期进</w:t>
      </w:r>
      <w:r>
        <w:rPr>
          <w:spacing w:val="-9"/>
        </w:rPr>
        <w:t>行全场彻底大消毒，减少或消灭环境中的病毒和其他有关因素，是预防传染病最</w:t>
      </w:r>
      <w:r>
        <w:t>有效的手段。</w:t>
      </w:r>
    </w:p>
    <w:p>
      <w:pPr>
        <w:pStyle w:val="7"/>
        <w:spacing w:line="357" w:lineRule="auto"/>
        <w:ind w:right="577" w:firstLine="480"/>
        <w:jc w:val="both"/>
      </w:pPr>
      <w:r>
        <w:rPr>
          <w:rFonts w:ascii="Times New Roman" w:eastAsia="Times New Roman"/>
        </w:rPr>
        <w:t>b</w:t>
      </w:r>
      <w:r>
        <w:rPr>
          <w:spacing w:val="-1"/>
        </w:rPr>
        <w:t>、把好门口消毒关：项目场门口及职工宿舍西侧设置有人员雾化消毒室和</w:t>
      </w:r>
      <w:r>
        <w:rPr>
          <w:spacing w:val="-11"/>
        </w:rPr>
        <w:t>车辆消毒池，专人执行消毒工作。所有进入生产区的人员在进入生产区之前要进</w:t>
      </w:r>
      <w:r>
        <w:rPr>
          <w:spacing w:val="-8"/>
        </w:rPr>
        <w:t>行洗浴和紫外线消毒。进入羊舍要更换工作服，换下的工作服用臭氧消毒。同舍羊群为同一日龄饲养，同一批入舍或出舍，避免交叉感染。在育雏区和成羊区的</w:t>
      </w:r>
      <w:r>
        <w:t>各羊舍进出口分设净道、污道，平行布置，互不干扰，以利防疫。</w:t>
      </w:r>
    </w:p>
    <w:p>
      <w:pPr>
        <w:pStyle w:val="7"/>
        <w:spacing w:before="4" w:line="360" w:lineRule="auto"/>
        <w:ind w:right="577" w:firstLine="480"/>
      </w:pPr>
      <w:r>
        <w:rPr>
          <w:rFonts w:ascii="Times New Roman" w:eastAsia="Times New Roman"/>
        </w:rPr>
        <w:t>c</w:t>
      </w:r>
      <w:r>
        <w:rPr>
          <w:spacing w:val="-1"/>
        </w:rPr>
        <w:t>、加强卫生整理：严格搞好饲料及饮水的卫生管理，每天坚持做好房舍的</w:t>
      </w:r>
      <w:r>
        <w:t>清洁工作，并清洗各类工具、饲槽、水具等。</w:t>
      </w:r>
    </w:p>
    <w:p>
      <w:pPr>
        <w:pStyle w:val="7"/>
        <w:spacing w:line="360" w:lineRule="auto"/>
        <w:ind w:right="577" w:firstLine="480"/>
      </w:pPr>
      <w:r>
        <w:rPr>
          <w:rFonts w:ascii="Times New Roman" w:eastAsia="Times New Roman"/>
        </w:rPr>
        <w:t>d</w:t>
      </w:r>
      <w:r>
        <w:rPr>
          <w:spacing w:val="-2"/>
        </w:rPr>
        <w:t>、坚持灭鼠、灭虫，减少疾病传播：每月进行</w:t>
      </w:r>
      <w:r>
        <w:rPr>
          <w:rFonts w:ascii="Times New Roman" w:eastAsia="Times New Roman"/>
        </w:rPr>
        <w:t>1-2</w:t>
      </w:r>
      <w:r>
        <w:t>次全场性投药，并长期坚持，尽量减少中间媒介体，减少传播机会。</w:t>
      </w:r>
    </w:p>
    <w:p>
      <w:pPr>
        <w:pStyle w:val="7"/>
        <w:spacing w:line="307" w:lineRule="exact"/>
        <w:ind w:left="1020"/>
      </w:pPr>
      <w:r>
        <w:rPr>
          <w:rFonts w:ascii="Times New Roman" w:eastAsia="Times New Roman"/>
        </w:rPr>
        <w:t>e</w:t>
      </w:r>
      <w:r>
        <w:t>、加强防疫：留心观察羊群、有病羊或疑似病羊均应立即隔离或安全处置。</w:t>
      </w:r>
    </w:p>
    <w:p>
      <w:pPr>
        <w:pStyle w:val="7"/>
        <w:spacing w:before="148"/>
        <w:ind w:left="1020"/>
      </w:pPr>
      <w:r>
        <w:t>③药物预防</w:t>
      </w:r>
    </w:p>
    <w:p>
      <w:pPr>
        <w:pStyle w:val="7"/>
        <w:spacing w:before="153" w:line="357" w:lineRule="auto"/>
        <w:ind w:right="485" w:firstLine="480"/>
      </w:pPr>
      <w:r>
        <w:rPr>
          <w:spacing w:val="-1"/>
        </w:rPr>
        <w:t>合理的使用药物，即可预防羊的感染发病，又可消灭传染病原，净化环境。</w:t>
      </w:r>
      <w:r>
        <w:rPr>
          <w:spacing w:val="-10"/>
        </w:rPr>
        <w:t>因此，在生产实践中预防传染病，都采用早期投药，投药时应注意以下几方面的问题：</w:t>
      </w:r>
    </w:p>
    <w:p>
      <w:pPr>
        <w:pStyle w:val="7"/>
        <w:spacing w:before="6" w:line="360" w:lineRule="auto"/>
        <w:ind w:right="457" w:firstLine="480"/>
      </w:pPr>
      <w:r>
        <w:rPr>
          <w:rFonts w:ascii="Times New Roman" w:eastAsia="Times New Roman"/>
        </w:rPr>
        <w:t>a</w:t>
      </w:r>
      <w:r>
        <w:rPr>
          <w:spacing w:val="-10"/>
        </w:rPr>
        <w:t>、阶段性：某些疾病是在特定的易感期龄、发病季节或环境条件下存在的。</w:t>
      </w:r>
      <w:r>
        <w:t>根据这些规律，有针对性的用药，将会收到理想的效果。</w:t>
      </w:r>
    </w:p>
    <w:p>
      <w:pPr>
        <w:pStyle w:val="7"/>
        <w:spacing w:line="360" w:lineRule="auto"/>
        <w:ind w:right="457" w:firstLine="480"/>
      </w:pPr>
      <w:r>
        <w:rPr>
          <w:rFonts w:ascii="Times New Roman" w:eastAsia="Times New Roman"/>
        </w:rPr>
        <w:t>b</w:t>
      </w:r>
      <w:r>
        <w:rPr>
          <w:spacing w:val="-12"/>
        </w:rPr>
        <w:t>、时效性：用药时机至关重要，疾病在萌发状态或感染初期用药效果较好，</w:t>
      </w:r>
      <w:r>
        <w:t>若出现明显的临床症状或形成流行后，再用药则往往效果欠佳。</w:t>
      </w:r>
    </w:p>
    <w:p>
      <w:pPr>
        <w:pStyle w:val="7"/>
        <w:spacing w:line="307" w:lineRule="exact"/>
        <w:ind w:left="1020"/>
      </w:pPr>
      <w:r>
        <w:rPr>
          <w:rFonts w:ascii="Times New Roman" w:eastAsia="Times New Roman"/>
        </w:rPr>
        <w:t>c</w:t>
      </w:r>
      <w:r>
        <w:t>、准确性：目前药品种类繁多，同种疾病可选药物往往有多种。做好药敏</w:t>
      </w:r>
    </w:p>
    <w:p>
      <w:pPr>
        <w:spacing w:after="0" w:line="307" w:lineRule="exact"/>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pPr>
      <w:r>
        <w:t>试验再行用药是解决用药准确性的切实可行方法。</w:t>
      </w:r>
    </w:p>
    <w:p>
      <w:pPr>
        <w:pStyle w:val="7"/>
        <w:spacing w:before="154" w:line="360" w:lineRule="auto"/>
        <w:ind w:right="580" w:firstLine="480"/>
      </w:pPr>
      <w:r>
        <w:rPr>
          <w:rFonts w:ascii="Times New Roman" w:eastAsia="Times New Roman"/>
        </w:rPr>
        <w:t>d</w:t>
      </w:r>
      <w:r>
        <w:t>、合理性：使用药品必须严格按照说明书要求，根据家畜自身状况确定用法、用量、疗程等。</w:t>
      </w:r>
    </w:p>
    <w:p>
      <w:pPr>
        <w:pStyle w:val="7"/>
        <w:spacing w:line="304" w:lineRule="exact"/>
        <w:ind w:left="1020"/>
      </w:pPr>
      <w:r>
        <w:rPr>
          <w:rFonts w:ascii="Times New Roman" w:eastAsia="Times New Roman"/>
        </w:rPr>
        <w:t>e</w:t>
      </w:r>
      <w:r>
        <w:t>、安全性：应慎用毒性过大、副作用强的药物。</w:t>
      </w:r>
    </w:p>
    <w:p>
      <w:pPr>
        <w:pStyle w:val="7"/>
        <w:spacing w:before="153"/>
        <w:ind w:left="1020"/>
      </w:pPr>
      <w:r>
        <w:t>④羊的免疫接种</w:t>
      </w:r>
    </w:p>
    <w:p>
      <w:pPr>
        <w:pStyle w:val="7"/>
        <w:spacing w:before="153" w:line="357" w:lineRule="auto"/>
        <w:ind w:right="485" w:firstLine="480"/>
      </w:pPr>
      <w:r>
        <w:rPr>
          <w:spacing w:val="-5"/>
        </w:rPr>
        <w:t>对肉羊要结合当地疫情进行定期检疫或临时检疫。必要时请技术人员对肉羊</w:t>
      </w:r>
      <w:r>
        <w:rPr>
          <w:spacing w:val="-6"/>
        </w:rPr>
        <w:t>进行化验检查，对查出的羊具有传染性的病例应当隔离，分别进行治疗、育肥、</w:t>
      </w:r>
      <w:r>
        <w:rPr>
          <w:spacing w:val="-10"/>
        </w:rPr>
        <w:t>宰杀或淘汰，以保证肉羊健康。对新引进的肉羊，要查对产地兽医部门的预防注</w:t>
      </w:r>
      <w:r>
        <w:rPr>
          <w:spacing w:val="-14"/>
        </w:rPr>
        <w:t>射证明和检疫证明，隔离观察一段时间，经过免疫注射，确认健康后方准进入饲养区。</w:t>
      </w:r>
    </w:p>
    <w:p>
      <w:pPr>
        <w:pStyle w:val="7"/>
        <w:spacing w:before="9" w:line="360" w:lineRule="auto"/>
        <w:ind w:right="577" w:firstLine="480"/>
        <w:jc w:val="both"/>
      </w:pPr>
      <w:r>
        <w:rPr>
          <w:spacing w:val="-8"/>
        </w:rPr>
        <w:t>同时要建立预防接种制度。预防接种，就是对健康羊在适当的时机注射一定</w:t>
      </w:r>
      <w:r>
        <w:rPr>
          <w:spacing w:val="-9"/>
        </w:rPr>
        <w:t>数量的疫苗和菌苗，使羊产生抵抗这种传染病的免疫力。预防接种分为平时定期</w:t>
      </w:r>
      <w:r>
        <w:rPr>
          <w:spacing w:val="-6"/>
        </w:rPr>
        <w:t>预防接种和发生病情时的紧急预防接种两种。平时的定期预防接种，例如很多农</w:t>
      </w:r>
      <w:r>
        <w:rPr>
          <w:spacing w:val="-7"/>
        </w:rPr>
        <w:t>村在春季或秋季对羊进行的防疫注射，是对健康羊进行的以预防为目的的接种注</w:t>
      </w:r>
      <w:r>
        <w:rPr>
          <w:spacing w:val="-11"/>
        </w:rPr>
        <w:t>射，这种接种方式，注射的数量多，密度大，在控制和消灭羊传染病方面起着重</w:t>
      </w:r>
      <w:r>
        <w:rPr>
          <w:spacing w:val="-10"/>
        </w:rPr>
        <w:t>要的作用。紧急预防接种，是在发生了疫病的地区，对还没发病的羊，或疫区周</w:t>
      </w:r>
      <w:r>
        <w:rPr>
          <w:spacing w:val="-11"/>
        </w:rPr>
        <w:t>围的羊，进行的接种注射。这样会保护健康羊不发生疫情，而且由这些接肉羊建</w:t>
      </w:r>
      <w:r>
        <w:rPr>
          <w:spacing w:val="-10"/>
        </w:rPr>
        <w:t>立起隔离带，使疫区的疫情不再向外发生蔓延。这种接种方式，有的地区的农牧</w:t>
      </w:r>
      <w:r>
        <w:t>民称之为“顶风上的预防接种”，在控制和扑灭传染病方面起较大的作用。</w:t>
      </w:r>
    </w:p>
    <w:p>
      <w:pPr>
        <w:pStyle w:val="7"/>
        <w:spacing w:line="296" w:lineRule="exact"/>
        <w:ind w:left="1020"/>
        <w:jc w:val="both"/>
      </w:pPr>
      <w:r>
        <w:t>⑤建立疫病报告制度</w:t>
      </w:r>
    </w:p>
    <w:p>
      <w:pPr>
        <w:pStyle w:val="7"/>
        <w:spacing w:before="153" w:line="357" w:lineRule="auto"/>
        <w:ind w:right="457" w:firstLine="480"/>
      </w:pPr>
      <w:r>
        <w:rPr>
          <w:spacing w:val="-14"/>
        </w:rPr>
        <w:t>养羊场要实行规范化管理，每栋羊舍内羊的数量、精神状况、发病死亡情况、</w:t>
      </w:r>
      <w:r>
        <w:rPr>
          <w:spacing w:val="-8"/>
        </w:rPr>
        <w:t>饲料消耗、粪便性状每天都应加以记载，发现有病羊、死羊，要及时向当地兽医部门报告，以便及早确诊，采取适当措施，减少损失。</w:t>
      </w:r>
    </w:p>
    <w:p>
      <w:pPr>
        <w:pStyle w:val="17"/>
        <w:numPr>
          <w:ilvl w:val="0"/>
          <w:numId w:val="57"/>
        </w:numPr>
        <w:tabs>
          <w:tab w:val="left" w:pos="1621"/>
        </w:tabs>
        <w:spacing w:before="5" w:after="0" w:line="240" w:lineRule="auto"/>
        <w:ind w:left="1621" w:right="0" w:hanging="601"/>
        <w:jc w:val="left"/>
        <w:rPr>
          <w:sz w:val="24"/>
        </w:rPr>
      </w:pPr>
      <w:r>
        <w:rPr>
          <w:sz w:val="24"/>
        </w:rPr>
        <w:t>发生疫情时的紧急防治措施</w:t>
      </w:r>
    </w:p>
    <w:p>
      <w:pPr>
        <w:pStyle w:val="7"/>
        <w:spacing w:before="151"/>
        <w:ind w:left="1020"/>
      </w:pPr>
      <w:r>
        <w:rPr>
          <w:spacing w:val="-5"/>
        </w:rPr>
        <w:t>发现可疑动物疫情时，必须立即向当地县</w:t>
      </w:r>
      <w:r>
        <w:t>（市</w:t>
      </w:r>
      <w:r>
        <w:rPr>
          <w:spacing w:val="-24"/>
        </w:rPr>
        <w:t>）</w:t>
      </w:r>
      <w:r>
        <w:rPr>
          <w:spacing w:val="-2"/>
        </w:rPr>
        <w:t>动物防疫监督机构报告。县</w:t>
      </w:r>
    </w:p>
    <w:p>
      <w:pPr>
        <w:pStyle w:val="7"/>
        <w:spacing w:before="154" w:line="360" w:lineRule="auto"/>
        <w:ind w:right="577"/>
        <w:jc w:val="both"/>
      </w:pPr>
      <w:r>
        <w:t>（市</w:t>
      </w:r>
      <w:r>
        <w:rPr>
          <w:spacing w:val="-32"/>
        </w:rPr>
        <w:t>）</w:t>
      </w:r>
      <w:r>
        <w:rPr>
          <w:spacing w:val="-6"/>
        </w:rPr>
        <w:t>动物防疫监督机构接到报告后，应当立即赶赴现场诊断，必要时可请省动</w:t>
      </w:r>
      <w:r>
        <w:rPr>
          <w:spacing w:val="-7"/>
        </w:rPr>
        <w:t>物防疫监督机构派人协助进行诊断，认定为疑似重大动物疫情的，应当在</w:t>
      </w:r>
      <w:r>
        <w:rPr>
          <w:rFonts w:ascii="Times New Roman" w:eastAsia="Times New Roman"/>
        </w:rPr>
        <w:t>2</w:t>
      </w:r>
      <w:r>
        <w:rPr>
          <w:spacing w:val="-8"/>
        </w:rPr>
        <w:t>小时</w:t>
      </w:r>
      <w:r>
        <w:rPr>
          <w:spacing w:val="-6"/>
        </w:rPr>
        <w:t>内将疫情逐级报至省级动物防疫监督机构，并同时报所在地人民政府兽医行政管</w:t>
      </w:r>
      <w:r>
        <w:rPr>
          <w:spacing w:val="-10"/>
        </w:rPr>
        <w:t>理部门。省级动物防疫监督机构应当在接到报告后</w:t>
      </w:r>
      <w:r>
        <w:rPr>
          <w:rFonts w:ascii="Times New Roman" w:eastAsia="Times New Roman"/>
        </w:rPr>
        <w:t>1</w:t>
      </w:r>
      <w:r>
        <w:rPr>
          <w:spacing w:val="-8"/>
        </w:rPr>
        <w:t>小时内，向省级兽医行政管</w:t>
      </w:r>
    </w:p>
    <w:p>
      <w:pPr>
        <w:pStyle w:val="7"/>
        <w:spacing w:line="303" w:lineRule="exact"/>
        <w:jc w:val="both"/>
      </w:pPr>
      <w:r>
        <w:rPr>
          <w:spacing w:val="-12"/>
        </w:rPr>
        <w:t>理部门和农业部报告。省级兽医行政管理部门应当在接到报告后的</w:t>
      </w:r>
      <w:r>
        <w:rPr>
          <w:rFonts w:ascii="Times New Roman" w:eastAsia="Times New Roman"/>
        </w:rPr>
        <w:t>1</w:t>
      </w:r>
      <w:r>
        <w:t>小时内报省</w:t>
      </w:r>
    </w:p>
    <w:p>
      <w:pPr>
        <w:spacing w:after="0" w:line="303" w:lineRule="exact"/>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rPr>
          <w:sz w:val="9"/>
        </w:rPr>
      </w:pPr>
    </w:p>
    <w:p>
      <w:pPr>
        <w:pStyle w:val="7"/>
        <w:spacing w:before="74" w:line="360" w:lineRule="auto"/>
        <w:ind w:right="577"/>
        <w:jc w:val="both"/>
      </w:pPr>
      <w:r>
        <w:rPr>
          <w:spacing w:val="-7"/>
        </w:rPr>
        <w:t>级人民政府。特别重大、重大动物疫情发生后，省级人民政府、农业部应当在</w:t>
      </w:r>
      <w:r>
        <w:rPr>
          <w:rFonts w:ascii="Times New Roman" w:eastAsia="Times New Roman"/>
          <w:spacing w:val="-14"/>
        </w:rPr>
        <w:t>4</w:t>
      </w:r>
      <w:r>
        <w:rPr>
          <w:spacing w:val="-11"/>
        </w:rPr>
        <w:t>小时内向国务院报告。认定为疑似重大动物疫情的应立即按要求采集病料样品送</w:t>
      </w:r>
      <w:r>
        <w:rPr>
          <w:spacing w:val="-6"/>
        </w:rPr>
        <w:t>省级动物防疫监督机构实验室确诊，省级动物防疫监督机构不能确诊的，送国家</w:t>
      </w:r>
      <w:r>
        <w:t>参考实验室确诊。确诊结果应立即报农业部，并抄送省级兽医行政管理部门。</w:t>
      </w:r>
    </w:p>
    <w:p>
      <w:pPr>
        <w:pStyle w:val="7"/>
        <w:spacing w:line="360" w:lineRule="auto"/>
        <w:ind w:right="580" w:firstLine="480"/>
        <w:jc w:val="both"/>
      </w:pPr>
      <w:r>
        <w:t>①应立即组成防疫小组，尽快做出确切诊断，迅速向有关上级部门报告疫情；</w:t>
      </w:r>
    </w:p>
    <w:p>
      <w:pPr>
        <w:pStyle w:val="7"/>
        <w:spacing w:line="360" w:lineRule="auto"/>
        <w:ind w:right="577" w:firstLine="480"/>
        <w:jc w:val="both"/>
      </w:pPr>
      <w:r>
        <w:rPr>
          <w:spacing w:val="-1"/>
        </w:rPr>
        <w:t>②迅速隔离病羊，对危害较重的传染病应及时划区封锁，建立封锁带，出</w:t>
      </w:r>
      <w:r>
        <w:rPr>
          <w:spacing w:val="-7"/>
        </w:rPr>
        <w:t>入人员和车辆要严格消毒，同时严格消毒污染环境。解除封锁的条件是在病羊痊</w:t>
      </w:r>
      <w:r>
        <w:rPr>
          <w:spacing w:val="-6"/>
        </w:rPr>
        <w:t>愈后两个潜伏期内再无新病例出现，经过全面大消毒，报上级主管部门批准，方</w:t>
      </w:r>
      <w:r>
        <w:t>可解除封锁；</w:t>
      </w:r>
    </w:p>
    <w:p>
      <w:pPr>
        <w:pStyle w:val="7"/>
        <w:spacing w:line="357" w:lineRule="auto"/>
        <w:ind w:right="457" w:firstLine="480"/>
      </w:pPr>
      <w:r>
        <w:rPr>
          <w:spacing w:val="-6"/>
        </w:rPr>
        <w:t>③对病羊及封锁区内的羊实行合理的综合防制措施，包括疫苗的紧急接种、</w:t>
      </w:r>
      <w:r>
        <w:rPr>
          <w:spacing w:val="-10"/>
        </w:rPr>
        <w:t>抗生素疗法、高免血清的特异性疗法、化学疗法、增强体质和生理机能的辅助疗法等；</w:t>
      </w:r>
    </w:p>
    <w:p>
      <w:pPr>
        <w:pStyle w:val="7"/>
        <w:ind w:left="1020"/>
      </w:pPr>
      <w:r>
        <w:t>④病死羊尸体要严格按照防疫条例进行处置；</w:t>
      </w:r>
    </w:p>
    <w:p>
      <w:pPr>
        <w:pStyle w:val="7"/>
        <w:spacing w:before="148" w:line="357" w:lineRule="auto"/>
        <w:ind w:right="580" w:firstLine="480"/>
      </w:pPr>
      <w:r>
        <w:t>⑤出现重大疫情时必须严格执行《重大动物疫情应急条例》以及《高致病性禽流感疫情处置技术规范》中相关规定。</w:t>
      </w:r>
    </w:p>
    <w:p>
      <w:pPr>
        <w:pStyle w:val="5"/>
        <w:numPr>
          <w:ilvl w:val="3"/>
          <w:numId w:val="55"/>
        </w:numPr>
        <w:bidi w:val="0"/>
      </w:pPr>
      <w:bookmarkStart w:id="345" w:name="5.2.7.9 环境风险应急预案"/>
      <w:bookmarkEnd w:id="345"/>
      <w:bookmarkStart w:id="346" w:name="5.2.7.9 环境风险应急预案"/>
      <w:bookmarkEnd w:id="346"/>
      <w:r>
        <w:t>环境风险应急预案</w:t>
      </w:r>
    </w:p>
    <w:p>
      <w:pPr>
        <w:pStyle w:val="7"/>
        <w:spacing w:before="154" w:line="357" w:lineRule="auto"/>
        <w:ind w:right="577" w:firstLine="480"/>
        <w:jc w:val="both"/>
      </w:pPr>
      <w:r>
        <w:rPr>
          <w:spacing w:val="-8"/>
        </w:rPr>
        <w:t>建设单位应根据《国家突发公共事件总体应急预案》、《国家事故应急预案</w:t>
      </w:r>
      <w:r>
        <w:rPr>
          <w:spacing w:val="-11"/>
        </w:rPr>
        <w:t>框架指南》、《危险化学品事故应急救援预案编制导则》等相关规定的要求，制</w:t>
      </w:r>
      <w:r>
        <w:t>订和完善本项目风险事故应急预案。</w:t>
      </w:r>
    </w:p>
    <w:p>
      <w:pPr>
        <w:pStyle w:val="17"/>
        <w:numPr>
          <w:ilvl w:val="0"/>
          <w:numId w:val="58"/>
        </w:numPr>
        <w:tabs>
          <w:tab w:val="left" w:pos="1621"/>
        </w:tabs>
        <w:spacing w:before="5" w:after="0" w:line="240" w:lineRule="auto"/>
        <w:ind w:left="1621" w:right="0" w:hanging="601"/>
        <w:jc w:val="left"/>
        <w:rPr>
          <w:sz w:val="24"/>
        </w:rPr>
      </w:pPr>
      <w:r>
        <w:rPr>
          <w:sz w:val="24"/>
        </w:rPr>
        <w:t>企业内部应急预案</w:t>
      </w:r>
    </w:p>
    <w:p>
      <w:pPr>
        <w:pStyle w:val="7"/>
        <w:spacing w:before="151" w:line="360" w:lineRule="auto"/>
        <w:ind w:right="577" w:firstLine="480"/>
        <w:jc w:val="both"/>
      </w:pPr>
      <w:r>
        <w:rPr>
          <w:spacing w:val="-9"/>
        </w:rPr>
        <w:t>建设单位应按照国家《事故应急预案框架指南》，开展经常性的安全预案演</w:t>
      </w:r>
      <w:r>
        <w:rPr>
          <w:spacing w:val="-10"/>
        </w:rPr>
        <w:t>练，加强应急救援专业队伍建设，配备相应的安全防护和救援器材，提高快速反应救援能力，及时有效处置可能发生的应急事故。项目应建立应急预案，应急预</w:t>
      </w:r>
      <w:r>
        <w:t>案应包括以下的内容和要求：</w:t>
      </w:r>
    </w:p>
    <w:p>
      <w:pPr>
        <w:pStyle w:val="7"/>
        <w:spacing w:line="360" w:lineRule="auto"/>
        <w:ind w:right="580" w:firstLine="480"/>
        <w:jc w:val="both"/>
      </w:pPr>
      <w:r>
        <w:t>①建立企业—乡镇人民政府—市人民政府的联防应急组织机构，并配备相应的人员。</w:t>
      </w:r>
    </w:p>
    <w:p>
      <w:pPr>
        <w:pStyle w:val="7"/>
        <w:spacing w:line="304" w:lineRule="exact"/>
        <w:ind w:left="1020"/>
        <w:jc w:val="both"/>
      </w:pPr>
      <w:r>
        <w:t>②规定预案的级别及分级响应程序，并设置应急设施，设备与器材等。</w:t>
      </w:r>
    </w:p>
    <w:p>
      <w:pPr>
        <w:pStyle w:val="7"/>
        <w:spacing w:before="149"/>
        <w:ind w:left="1020"/>
        <w:jc w:val="both"/>
      </w:pPr>
      <w:r>
        <w:t>③规定应急状态下的报警通讯方式、通知方式和交通保障、管制。</w:t>
      </w:r>
    </w:p>
    <w:p>
      <w:pPr>
        <w:spacing w:after="0"/>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jc w:val="both"/>
      </w:pPr>
      <w:r>
        <w:rPr>
          <w:spacing w:val="-1"/>
        </w:rPr>
        <w:t>④由专业队伍负责对事故现场进行侦察监测，对事故性质、参数与后果进</w:t>
      </w:r>
      <w:r>
        <w:rPr>
          <w:spacing w:val="-10"/>
        </w:rPr>
        <w:t>行评估，为指挥部门提供决策依据。组织人员成立抢险队，及时拦截危险品泄漏</w:t>
      </w:r>
      <w:r>
        <w:rPr>
          <w:spacing w:val="-7"/>
        </w:rPr>
        <w:t>至水体或打捞落入水体中的物件，同时采取相应的处置措施，最大限度地减轻影</w:t>
      </w:r>
      <w:r>
        <w:t>响范围和程度。</w:t>
      </w:r>
    </w:p>
    <w:p>
      <w:pPr>
        <w:pStyle w:val="7"/>
        <w:spacing w:line="303" w:lineRule="exact"/>
        <w:ind w:left="1020"/>
        <w:jc w:val="both"/>
      </w:pPr>
      <w:r>
        <w:t>⑤应急检测、防护措施、清除泄漏措施和器材。</w:t>
      </w:r>
    </w:p>
    <w:p>
      <w:pPr>
        <w:pStyle w:val="7"/>
        <w:spacing w:before="154" w:line="357" w:lineRule="auto"/>
        <w:ind w:right="580" w:firstLine="480"/>
        <w:jc w:val="both"/>
      </w:pPr>
      <w:r>
        <w:t>⑥事故现场、受事故影响的区域人员及公众对毒物应急剂量控制规定，撤离组织计划及救护，医疗救护与公众健康。</w:t>
      </w:r>
    </w:p>
    <w:p>
      <w:pPr>
        <w:pStyle w:val="7"/>
        <w:spacing w:before="3" w:line="360" w:lineRule="auto"/>
        <w:ind w:right="580" w:firstLine="480"/>
        <w:jc w:val="both"/>
      </w:pPr>
      <w:r>
        <w:t>⑦规定应急状态终止程序，事故现场善后处理，恢复措施，邻近区域解除事故警戒及善后恢复措施。</w:t>
      </w:r>
    </w:p>
    <w:p>
      <w:pPr>
        <w:pStyle w:val="7"/>
        <w:spacing w:line="304" w:lineRule="exact"/>
        <w:ind w:left="1020"/>
        <w:jc w:val="both"/>
      </w:pPr>
      <w:r>
        <w:t>⑧应急计划制定后，平时安排人员培训与演练。</w:t>
      </w:r>
    </w:p>
    <w:p>
      <w:pPr>
        <w:pStyle w:val="7"/>
        <w:spacing w:before="153" w:line="360" w:lineRule="auto"/>
        <w:ind w:left="1020" w:right="2765"/>
        <w:jc w:val="both"/>
      </w:pPr>
      <w:r>
        <w:drawing>
          <wp:anchor distT="0" distB="0" distL="0" distR="0" simplePos="0" relativeHeight="232338432" behindDoc="1" locked="0" layoutInCell="1" allowOverlap="1">
            <wp:simplePos x="0" y="0"/>
            <wp:positionH relativeFrom="page">
              <wp:posOffset>1143000</wp:posOffset>
            </wp:positionH>
            <wp:positionV relativeFrom="paragraph">
              <wp:posOffset>649605</wp:posOffset>
            </wp:positionV>
            <wp:extent cx="5259705" cy="3789045"/>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49" cstate="print"/>
                    <a:stretch>
                      <a:fillRect/>
                    </a:stretch>
                  </pic:blipFill>
                  <pic:spPr>
                    <a:xfrm>
                      <a:off x="0" y="0"/>
                      <a:ext cx="5259853" cy="3789243"/>
                    </a:xfrm>
                    <a:prstGeom prst="rect">
                      <a:avLst/>
                    </a:prstGeom>
                  </pic:spPr>
                </pic:pic>
              </a:graphicData>
            </a:graphic>
          </wp:anchor>
        </w:drawing>
      </w:r>
      <w:r>
        <w:t>⑨对邻近地区开展公众教育、培训和发布有关信息。事故应急处置程序如图</w:t>
      </w:r>
      <w:r>
        <w:rPr>
          <w:rFonts w:ascii="Times New Roman" w:hAnsi="Times New Roman" w:eastAsia="Times New Roman"/>
        </w:rPr>
        <w:t>5.2-2</w:t>
      </w:r>
      <w:r>
        <w:t>所示。</w:t>
      </w: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bidi w:val="0"/>
        <w:jc w:val="center"/>
      </w:pPr>
      <w:r>
        <w:t>图</w:t>
      </w:r>
      <w:r>
        <w:rPr>
          <w:rFonts w:ascii="Times New Roman" w:eastAsia="Times New Roman"/>
        </w:rPr>
        <w:t>5.2-2</w:t>
      </w:r>
      <w:r>
        <w:rPr>
          <w:rFonts w:ascii="Times New Roman" w:eastAsia="Times New Roman"/>
        </w:rPr>
        <w:tab/>
      </w:r>
      <w:r>
        <w:t>事故应急处置程序</w:t>
      </w:r>
    </w:p>
    <w:p>
      <w:pPr>
        <w:pStyle w:val="17"/>
        <w:numPr>
          <w:ilvl w:val="0"/>
          <w:numId w:val="58"/>
        </w:numPr>
        <w:tabs>
          <w:tab w:val="left" w:pos="1621"/>
        </w:tabs>
        <w:spacing w:before="209" w:after="0" w:line="240" w:lineRule="auto"/>
        <w:ind w:left="1621" w:right="0" w:hanging="601"/>
        <w:jc w:val="left"/>
        <w:rPr>
          <w:sz w:val="24"/>
        </w:rPr>
      </w:pPr>
      <w:r>
        <w:rPr>
          <w:sz w:val="24"/>
        </w:rPr>
        <w:t>事故上报流程</w:t>
      </w:r>
    </w:p>
    <w:p>
      <w:pPr>
        <w:pStyle w:val="7"/>
        <w:spacing w:before="153"/>
        <w:ind w:left="1020"/>
      </w:pPr>
      <w:r>
        <w:t>一旦发生事故，建设单位应及时向上级主管部门逐级进行汇报。</w:t>
      </w:r>
    </w:p>
    <w:p>
      <w:pPr>
        <w:pStyle w:val="17"/>
        <w:numPr>
          <w:ilvl w:val="0"/>
          <w:numId w:val="58"/>
        </w:numPr>
        <w:tabs>
          <w:tab w:val="left" w:pos="1621"/>
        </w:tabs>
        <w:spacing w:before="153" w:after="0" w:line="240" w:lineRule="auto"/>
        <w:ind w:left="1621" w:right="0" w:hanging="601"/>
        <w:jc w:val="left"/>
        <w:rPr>
          <w:sz w:val="24"/>
        </w:rPr>
      </w:pPr>
      <w:r>
        <w:rPr>
          <w:sz w:val="24"/>
        </w:rPr>
        <w:t>紧急安全疏散</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jc w:val="both"/>
      </w:pPr>
      <w:r>
        <w:rPr>
          <w:spacing w:val="-8"/>
        </w:rPr>
        <w:t>在发生重大危险事故，可能对场区内外人群安全构成威胁时，必须在指挥部</w:t>
      </w:r>
      <w:r>
        <w:rPr>
          <w:spacing w:val="-10"/>
        </w:rPr>
        <w:t>统一指挥下，对与事故应急救援无关的人员进行紧急疏散。对可能威胁到场区风</w:t>
      </w:r>
      <w:r>
        <w:rPr>
          <w:spacing w:val="-4"/>
        </w:rPr>
        <w:t>险评价范围内居民</w:t>
      </w:r>
      <w:r>
        <w:t>（包括友邻单位人员</w:t>
      </w:r>
      <w:r>
        <w:rPr>
          <w:spacing w:val="-32"/>
        </w:rPr>
        <w:t>）</w:t>
      </w:r>
      <w:r>
        <w:rPr>
          <w:spacing w:val="-7"/>
        </w:rPr>
        <w:t>安全时，指挥部应立即和地方有关部门</w:t>
      </w:r>
      <w:r>
        <w:t>联系，引导居民迅速撤离到安全地点。</w:t>
      </w:r>
    </w:p>
    <w:p>
      <w:pPr>
        <w:pStyle w:val="5"/>
        <w:numPr>
          <w:ilvl w:val="3"/>
          <w:numId w:val="55"/>
        </w:numPr>
        <w:bidi w:val="0"/>
      </w:pPr>
      <w:bookmarkStart w:id="347" w:name="5.2.7.10 环境风险分析结论"/>
      <w:bookmarkEnd w:id="347"/>
      <w:bookmarkStart w:id="348" w:name="5.2.7.10 环境风险分析结论"/>
      <w:bookmarkEnd w:id="348"/>
      <w:r>
        <w:t>环境风险分析结论</w:t>
      </w:r>
    </w:p>
    <w:p>
      <w:pPr>
        <w:pStyle w:val="7"/>
        <w:spacing w:before="216" w:line="360" w:lineRule="auto"/>
        <w:ind w:right="457" w:firstLine="480"/>
      </w:pPr>
      <w:r>
        <w:rPr>
          <w:spacing w:val="-4"/>
        </w:rPr>
        <w:t>拟建项目在设计中充分考虑了各种危险因素和可能造成的危害，并采取了相</w:t>
      </w:r>
      <w:r>
        <w:rPr>
          <w:spacing w:val="-17"/>
        </w:rPr>
        <w:t>应的预防措施，避免事故状态废水直接外排，避免火灾事故对项目造成较大危害。</w:t>
      </w:r>
      <w:r>
        <w:rPr>
          <w:spacing w:val="-5"/>
        </w:rPr>
        <w:t>因此只要各工作岗位严格遵守岗位操作规程，避免误操作，加强设备的维护和管理，本项目环境风险水平可接受，风险防范措施有效可行。</w:t>
      </w:r>
    </w:p>
    <w:p>
      <w:pPr>
        <w:pStyle w:val="7"/>
        <w:bidi w:val="0"/>
        <w:jc w:val="center"/>
      </w:pPr>
      <w:r>
        <w:t>表</w:t>
      </w:r>
      <w:r>
        <w:rPr>
          <w:rFonts w:ascii="Times New Roman" w:eastAsia="Times New Roman"/>
        </w:rPr>
        <w:t>5.2-18</w:t>
      </w:r>
      <w:r>
        <w:rPr>
          <w:rFonts w:ascii="Times New Roman" w:eastAsia="Times New Roman"/>
        </w:rPr>
        <w:tab/>
      </w:r>
      <w:r>
        <w:t>建设项目环境风险简单分析表</w:t>
      </w:r>
    </w:p>
    <w:tbl>
      <w:tblPr>
        <w:tblStyle w:val="14"/>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1175"/>
        <w:gridCol w:w="238"/>
        <w:gridCol w:w="1231"/>
        <w:gridCol w:w="369"/>
        <w:gridCol w:w="862"/>
        <w:gridCol w:w="325"/>
        <w:gridCol w:w="906"/>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75" w:type="dxa"/>
          </w:tcPr>
          <w:p>
            <w:pPr>
              <w:pStyle w:val="18"/>
              <w:spacing w:before="34"/>
              <w:ind w:left="125" w:right="113"/>
              <w:rPr>
                <w:b/>
                <w:color w:val="0000FF"/>
                <w:sz w:val="21"/>
              </w:rPr>
            </w:pPr>
            <w:r>
              <w:rPr>
                <w:b/>
                <w:color w:val="0000FF"/>
                <w:sz w:val="21"/>
              </w:rPr>
              <w:t>建设项目名称</w:t>
            </w:r>
          </w:p>
        </w:tc>
        <w:tc>
          <w:tcPr>
            <w:tcW w:w="6338" w:type="dxa"/>
            <w:gridSpan w:val="8"/>
          </w:tcPr>
          <w:p>
            <w:pPr>
              <w:pStyle w:val="18"/>
              <w:spacing w:before="34"/>
              <w:jc w:val="center"/>
              <w:rPr>
                <w:color w:val="0000FF"/>
                <w:sz w:val="21"/>
              </w:rPr>
            </w:pPr>
            <w:r>
              <w:rPr>
                <w:rFonts w:ascii="宋?" w:hAnsi="宋?" w:cs="宋?"/>
                <w:color w:val="0000FF"/>
                <w:kern w:val="0"/>
                <w:sz w:val="24"/>
                <w:szCs w:val="24"/>
              </w:rPr>
              <w:t>莎车县</w:t>
            </w:r>
            <w:r>
              <w:rPr>
                <w:rFonts w:hint="eastAsia" w:ascii="宋?" w:hAnsi="宋?" w:cs="宋?"/>
                <w:color w:val="0000FF"/>
                <w:kern w:val="0"/>
                <w:sz w:val="24"/>
                <w:szCs w:val="24"/>
                <w:lang w:eastAsia="zh-CN"/>
              </w:rPr>
              <w:t>阿拉买提</w:t>
            </w:r>
            <w:r>
              <w:rPr>
                <w:rFonts w:ascii="宋?" w:hAnsi="宋?" w:cs="宋?"/>
                <w:color w:val="0000FF"/>
                <w:kern w:val="0"/>
                <w:sz w:val="24"/>
                <w:szCs w:val="24"/>
              </w:rPr>
              <w:t>良种繁育中心建设项目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975" w:type="dxa"/>
          </w:tcPr>
          <w:p>
            <w:pPr>
              <w:pStyle w:val="18"/>
              <w:spacing w:before="104"/>
              <w:ind w:left="123" w:right="113"/>
              <w:rPr>
                <w:b/>
                <w:color w:val="0000FF"/>
                <w:sz w:val="21"/>
              </w:rPr>
            </w:pPr>
            <w:r>
              <w:rPr>
                <w:b/>
                <w:color w:val="0000FF"/>
                <w:sz w:val="21"/>
              </w:rPr>
              <w:t>建设地点</w:t>
            </w:r>
          </w:p>
        </w:tc>
        <w:tc>
          <w:tcPr>
            <w:tcW w:w="1413" w:type="dxa"/>
            <w:gridSpan w:val="2"/>
          </w:tcPr>
          <w:p>
            <w:pPr>
              <w:pStyle w:val="18"/>
              <w:spacing w:line="236" w:lineRule="exact"/>
              <w:ind w:left="180"/>
              <w:jc w:val="left"/>
              <w:rPr>
                <w:color w:val="0000FF"/>
                <w:sz w:val="21"/>
              </w:rPr>
            </w:pPr>
            <w:r>
              <w:rPr>
                <w:color w:val="0000FF"/>
                <w:sz w:val="21"/>
              </w:rPr>
              <w:t>（新疆维吾</w:t>
            </w:r>
          </w:p>
          <w:p>
            <w:pPr>
              <w:pStyle w:val="18"/>
              <w:spacing w:line="224" w:lineRule="exact"/>
              <w:ind w:left="108"/>
              <w:jc w:val="left"/>
              <w:rPr>
                <w:color w:val="0000FF"/>
                <w:sz w:val="21"/>
              </w:rPr>
            </w:pPr>
            <w:r>
              <w:rPr>
                <w:color w:val="0000FF"/>
                <w:sz w:val="21"/>
              </w:rPr>
              <w:t>尔自治区</w:t>
            </w:r>
            <w:r>
              <w:rPr>
                <w:color w:val="0000FF"/>
                <w:spacing w:val="-63"/>
                <w:sz w:val="21"/>
              </w:rPr>
              <w:t>）</w:t>
            </w:r>
            <w:r>
              <w:rPr>
                <w:color w:val="0000FF"/>
                <w:sz w:val="21"/>
              </w:rPr>
              <w:t>省</w:t>
            </w:r>
          </w:p>
        </w:tc>
        <w:tc>
          <w:tcPr>
            <w:tcW w:w="1231" w:type="dxa"/>
          </w:tcPr>
          <w:p>
            <w:pPr>
              <w:pStyle w:val="18"/>
              <w:spacing w:line="236" w:lineRule="exact"/>
              <w:ind w:left="174" w:right="167"/>
              <w:rPr>
                <w:color w:val="0000FF"/>
                <w:sz w:val="21"/>
              </w:rPr>
            </w:pPr>
            <w:r>
              <w:rPr>
                <w:color w:val="0000FF"/>
                <w:sz w:val="21"/>
              </w:rPr>
              <w:t>（</w:t>
            </w:r>
            <w:r>
              <w:rPr>
                <w:rFonts w:hint="eastAsia"/>
                <w:color w:val="0000FF"/>
                <w:sz w:val="21"/>
                <w:lang w:val="en-US" w:eastAsia="zh-CN"/>
              </w:rPr>
              <w:t>喀什地区</w:t>
            </w:r>
            <w:r>
              <w:rPr>
                <w:color w:val="0000FF"/>
                <w:sz w:val="21"/>
              </w:rPr>
              <w:t>）市</w:t>
            </w:r>
          </w:p>
        </w:tc>
        <w:tc>
          <w:tcPr>
            <w:tcW w:w="1231" w:type="dxa"/>
            <w:gridSpan w:val="2"/>
          </w:tcPr>
          <w:p>
            <w:pPr>
              <w:pStyle w:val="18"/>
              <w:spacing w:before="101"/>
              <w:ind w:left="269"/>
              <w:jc w:val="left"/>
              <w:rPr>
                <w:color w:val="0000FF"/>
                <w:sz w:val="21"/>
              </w:rPr>
            </w:pPr>
            <w:r>
              <w:rPr>
                <w:color w:val="0000FF"/>
                <w:sz w:val="21"/>
              </w:rPr>
              <w:t>（</w:t>
            </w:r>
            <w:r>
              <w:rPr>
                <w:rFonts w:ascii="Times New Roman" w:eastAsia="Times New Roman"/>
                <w:color w:val="0000FF"/>
                <w:sz w:val="21"/>
              </w:rPr>
              <w:t>/</w:t>
            </w:r>
            <w:r>
              <w:rPr>
                <w:color w:val="0000FF"/>
                <w:sz w:val="21"/>
              </w:rPr>
              <w:t>）区</w:t>
            </w:r>
          </w:p>
        </w:tc>
        <w:tc>
          <w:tcPr>
            <w:tcW w:w="1231" w:type="dxa"/>
            <w:gridSpan w:val="2"/>
          </w:tcPr>
          <w:p>
            <w:pPr>
              <w:pStyle w:val="18"/>
              <w:spacing w:before="104"/>
              <w:ind w:left="106"/>
              <w:jc w:val="left"/>
              <w:rPr>
                <w:color w:val="0000FF"/>
                <w:sz w:val="21"/>
              </w:rPr>
            </w:pPr>
            <w:r>
              <w:rPr>
                <w:color w:val="0000FF"/>
                <w:sz w:val="21"/>
              </w:rPr>
              <w:t>（</w:t>
            </w:r>
            <w:r>
              <w:rPr>
                <w:rFonts w:hint="eastAsia"/>
                <w:color w:val="0000FF"/>
                <w:sz w:val="21"/>
                <w:lang w:val="en-US" w:eastAsia="zh-CN"/>
              </w:rPr>
              <w:t>莎车</w:t>
            </w:r>
            <w:r>
              <w:rPr>
                <w:color w:val="0000FF"/>
                <w:sz w:val="21"/>
              </w:rPr>
              <w:t>）县</w:t>
            </w:r>
          </w:p>
        </w:tc>
        <w:tc>
          <w:tcPr>
            <w:tcW w:w="1232" w:type="dxa"/>
          </w:tcPr>
          <w:p>
            <w:pPr>
              <w:pStyle w:val="18"/>
              <w:spacing w:before="104"/>
              <w:ind w:left="166"/>
              <w:jc w:val="left"/>
              <w:rPr>
                <w:color w:val="0000FF"/>
                <w:sz w:val="21"/>
              </w:rPr>
            </w:pPr>
            <w:r>
              <w:rPr>
                <w:color w:val="0000FF"/>
                <w:sz w:val="21"/>
              </w:rPr>
              <w:t>（</w:t>
            </w:r>
            <w:r>
              <w:rPr>
                <w:rFonts w:ascii="Times New Roman" w:eastAsia="Times New Roman"/>
                <w:color w:val="0000FF"/>
                <w:sz w:val="21"/>
              </w:rPr>
              <w:t>/</w:t>
            </w:r>
            <w:r>
              <w:rPr>
                <w:color w:val="0000FF"/>
                <w:sz w:val="21"/>
              </w:rPr>
              <w:t>）园区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75" w:type="dxa"/>
          </w:tcPr>
          <w:p>
            <w:pPr>
              <w:pStyle w:val="18"/>
              <w:spacing w:before="34"/>
              <w:ind w:left="123" w:right="113"/>
              <w:rPr>
                <w:b/>
                <w:color w:val="0000FF"/>
                <w:sz w:val="21"/>
              </w:rPr>
            </w:pPr>
            <w:r>
              <w:rPr>
                <w:b/>
                <w:color w:val="0000FF"/>
                <w:sz w:val="21"/>
              </w:rPr>
              <w:t>地理坐标</w:t>
            </w:r>
          </w:p>
        </w:tc>
        <w:tc>
          <w:tcPr>
            <w:tcW w:w="1175" w:type="dxa"/>
          </w:tcPr>
          <w:p>
            <w:pPr>
              <w:pStyle w:val="18"/>
              <w:spacing w:before="34"/>
              <w:ind w:left="376"/>
              <w:jc w:val="left"/>
              <w:rPr>
                <w:color w:val="0000FF"/>
                <w:sz w:val="21"/>
              </w:rPr>
            </w:pPr>
            <w:r>
              <w:rPr>
                <w:color w:val="0000FF"/>
                <w:sz w:val="21"/>
              </w:rPr>
              <w:t>经度</w:t>
            </w:r>
          </w:p>
        </w:tc>
        <w:tc>
          <w:tcPr>
            <w:tcW w:w="1838" w:type="dxa"/>
            <w:gridSpan w:val="3"/>
          </w:tcPr>
          <w:p>
            <w:pPr>
              <w:pStyle w:val="18"/>
              <w:spacing w:before="34"/>
              <w:ind w:left="305"/>
              <w:jc w:val="left"/>
              <w:rPr>
                <w:rFonts w:ascii="Times New Roman" w:hAnsi="Times New Roman"/>
                <w:color w:val="0000FF"/>
                <w:sz w:val="21"/>
              </w:rPr>
            </w:pPr>
            <w:r>
              <w:rPr>
                <w:rFonts w:hint="eastAsia"/>
                <w:color w:val="0000FF"/>
                <w:sz w:val="21"/>
                <w:lang w:val="en-US" w:eastAsia="zh-CN"/>
              </w:rPr>
              <w:t>77</w:t>
            </w:r>
            <w:r>
              <w:rPr>
                <w:color w:val="0000FF"/>
                <w:sz w:val="21"/>
              </w:rPr>
              <w:t>°</w:t>
            </w:r>
            <w:r>
              <w:rPr>
                <w:rFonts w:hint="eastAsia"/>
                <w:color w:val="0000FF"/>
                <w:sz w:val="21"/>
                <w:lang w:val="en-US" w:eastAsia="zh-CN"/>
              </w:rPr>
              <w:t>28</w:t>
            </w:r>
            <w:r>
              <w:rPr>
                <w:rFonts w:ascii="Times New Roman" w:hAnsi="Times New Roman"/>
                <w:color w:val="0000FF"/>
                <w:sz w:val="21"/>
              </w:rPr>
              <w:t>'</w:t>
            </w:r>
            <w:r>
              <w:rPr>
                <w:rFonts w:hint="eastAsia" w:ascii="Times New Roman" w:hAnsi="Times New Roman"/>
                <w:color w:val="0000FF"/>
                <w:sz w:val="21"/>
                <w:lang w:val="en-US" w:eastAsia="zh-CN"/>
              </w:rPr>
              <w:t>49</w:t>
            </w:r>
            <w:r>
              <w:rPr>
                <w:rFonts w:ascii="Times New Roman" w:hAnsi="Times New Roman"/>
                <w:color w:val="0000FF"/>
                <w:sz w:val="21"/>
              </w:rPr>
              <w:t>.</w:t>
            </w:r>
            <w:r>
              <w:rPr>
                <w:rFonts w:hint="eastAsia" w:ascii="Times New Roman" w:hAnsi="Times New Roman"/>
                <w:color w:val="0000FF"/>
                <w:sz w:val="21"/>
                <w:lang w:val="en-US" w:eastAsia="zh-CN"/>
              </w:rPr>
              <w:t>95</w:t>
            </w:r>
            <w:r>
              <w:rPr>
                <w:rFonts w:ascii="Times New Roman" w:hAnsi="Times New Roman"/>
                <w:color w:val="0000FF"/>
                <w:sz w:val="21"/>
              </w:rPr>
              <w:t>"</w:t>
            </w:r>
          </w:p>
        </w:tc>
        <w:tc>
          <w:tcPr>
            <w:tcW w:w="1187" w:type="dxa"/>
            <w:gridSpan w:val="2"/>
          </w:tcPr>
          <w:p>
            <w:pPr>
              <w:pStyle w:val="18"/>
              <w:spacing w:before="34"/>
              <w:ind w:left="383"/>
              <w:jc w:val="left"/>
              <w:rPr>
                <w:color w:val="0000FF"/>
                <w:sz w:val="21"/>
              </w:rPr>
            </w:pPr>
            <w:r>
              <w:rPr>
                <w:color w:val="0000FF"/>
                <w:sz w:val="21"/>
              </w:rPr>
              <w:t>纬度</w:t>
            </w:r>
          </w:p>
        </w:tc>
        <w:tc>
          <w:tcPr>
            <w:tcW w:w="2138" w:type="dxa"/>
            <w:gridSpan w:val="2"/>
          </w:tcPr>
          <w:p>
            <w:pPr>
              <w:pStyle w:val="18"/>
              <w:spacing w:before="34"/>
              <w:ind w:left="456"/>
              <w:jc w:val="left"/>
              <w:rPr>
                <w:rFonts w:ascii="Times New Roman" w:hAnsi="Times New Roman"/>
                <w:color w:val="0000FF"/>
                <w:sz w:val="21"/>
              </w:rPr>
            </w:pPr>
            <w:r>
              <w:rPr>
                <w:rFonts w:ascii="Times New Roman" w:hAnsi="Times New Roman"/>
                <w:color w:val="0000FF"/>
                <w:sz w:val="21"/>
              </w:rPr>
              <w:t>3</w:t>
            </w:r>
            <w:r>
              <w:rPr>
                <w:rFonts w:hint="eastAsia" w:ascii="Times New Roman" w:hAnsi="Times New Roman"/>
                <w:color w:val="0000FF"/>
                <w:sz w:val="21"/>
                <w:lang w:val="en-US" w:eastAsia="zh-CN"/>
              </w:rPr>
              <w:t>8</w:t>
            </w:r>
            <w:r>
              <w:rPr>
                <w:color w:val="0000FF"/>
                <w:sz w:val="21"/>
              </w:rPr>
              <w:t>°</w:t>
            </w:r>
            <w:r>
              <w:rPr>
                <w:rFonts w:hint="eastAsia"/>
                <w:color w:val="0000FF"/>
                <w:sz w:val="21"/>
                <w:lang w:val="en-US" w:eastAsia="zh-CN"/>
              </w:rPr>
              <w:t>33</w:t>
            </w:r>
            <w:r>
              <w:rPr>
                <w:rFonts w:ascii="Times New Roman" w:hAnsi="Times New Roman"/>
                <w:color w:val="0000FF"/>
                <w:sz w:val="21"/>
              </w:rPr>
              <w:t>'</w:t>
            </w:r>
            <w:r>
              <w:rPr>
                <w:rFonts w:hint="eastAsia" w:ascii="Times New Roman" w:hAnsi="Times New Roman"/>
                <w:color w:val="0000FF"/>
                <w:sz w:val="21"/>
                <w:lang w:val="en-US" w:eastAsia="zh-CN"/>
              </w:rPr>
              <w:t>6</w:t>
            </w:r>
            <w:r>
              <w:rPr>
                <w:rFonts w:ascii="Times New Roman" w:hAnsi="Times New Roman"/>
                <w:color w:val="0000FF"/>
                <w:sz w:val="21"/>
              </w:rPr>
              <w:t>.</w:t>
            </w:r>
            <w:r>
              <w:rPr>
                <w:rFonts w:hint="eastAsia" w:ascii="Times New Roman" w:hAnsi="Times New Roman"/>
                <w:color w:val="0000FF"/>
                <w:sz w:val="21"/>
                <w:lang w:val="en-US" w:eastAsia="zh-CN"/>
              </w:rPr>
              <w:t>33</w:t>
            </w:r>
            <w:r>
              <w:rPr>
                <w:rFonts w:ascii="Times New Roman" w:hAnsi="Times New Roman"/>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975" w:type="dxa"/>
          </w:tcPr>
          <w:p>
            <w:pPr>
              <w:pStyle w:val="18"/>
              <w:spacing w:before="124" w:line="213" w:lineRule="auto"/>
              <w:ind w:left="880" w:right="131" w:hanging="735"/>
              <w:jc w:val="left"/>
              <w:rPr>
                <w:b/>
                <w:color w:val="0000FF"/>
                <w:sz w:val="21"/>
              </w:rPr>
            </w:pPr>
            <w:r>
              <w:rPr>
                <w:b/>
                <w:color w:val="0000FF"/>
                <w:sz w:val="21"/>
              </w:rPr>
              <w:t>主要危险物质及分布</w:t>
            </w:r>
          </w:p>
        </w:tc>
        <w:tc>
          <w:tcPr>
            <w:tcW w:w="6338" w:type="dxa"/>
            <w:gridSpan w:val="8"/>
          </w:tcPr>
          <w:p>
            <w:pPr>
              <w:pStyle w:val="18"/>
              <w:spacing w:line="236" w:lineRule="exact"/>
              <w:ind w:left="108"/>
              <w:jc w:val="left"/>
              <w:rPr>
                <w:color w:val="0000FF"/>
                <w:sz w:val="21"/>
              </w:rPr>
            </w:pPr>
            <w:r>
              <w:rPr>
                <w:color w:val="0000FF"/>
                <w:spacing w:val="32"/>
                <w:sz w:val="21"/>
              </w:rPr>
              <w:t>本项目原辅料均不属于《危险化学品重大危险源辨识》</w:t>
            </w:r>
          </w:p>
          <w:p>
            <w:pPr>
              <w:pStyle w:val="18"/>
              <w:spacing w:line="240" w:lineRule="exact"/>
              <w:ind w:left="108"/>
              <w:jc w:val="left"/>
              <w:rPr>
                <w:color w:val="0000FF"/>
                <w:sz w:val="21"/>
              </w:rPr>
            </w:pPr>
            <w:r>
              <w:rPr>
                <w:color w:val="0000FF"/>
                <w:sz w:val="21"/>
              </w:rPr>
              <w:t>（</w:t>
            </w:r>
            <w:r>
              <w:rPr>
                <w:rFonts w:ascii="Times New Roman" w:eastAsia="Times New Roman"/>
                <w:color w:val="0000FF"/>
                <w:sz w:val="21"/>
              </w:rPr>
              <w:t>GB18218-2009</w:t>
            </w:r>
            <w:r>
              <w:rPr>
                <w:color w:val="0000FF"/>
                <w:sz w:val="21"/>
              </w:rPr>
              <w:t>）</w:t>
            </w:r>
            <w:r>
              <w:rPr>
                <w:color w:val="0000FF"/>
                <w:spacing w:val="24"/>
                <w:sz w:val="21"/>
              </w:rPr>
              <w:t>和《建设项目环境风险评价技术导则》</w:t>
            </w:r>
          </w:p>
          <w:p>
            <w:pPr>
              <w:pStyle w:val="18"/>
              <w:spacing w:line="224" w:lineRule="exact"/>
              <w:ind w:left="108"/>
              <w:jc w:val="left"/>
              <w:rPr>
                <w:color w:val="0000FF"/>
                <w:sz w:val="21"/>
              </w:rPr>
            </w:pPr>
            <w:r>
              <w:rPr>
                <w:color w:val="0000FF"/>
                <w:sz w:val="21"/>
              </w:rPr>
              <w:t>（</w:t>
            </w:r>
            <w:r>
              <w:rPr>
                <w:rFonts w:ascii="Times New Roman" w:eastAsia="Times New Roman"/>
                <w:color w:val="0000FF"/>
                <w:sz w:val="21"/>
              </w:rPr>
              <w:t>HJ169-2018</w:t>
            </w:r>
            <w:r>
              <w:rPr>
                <w:color w:val="0000FF"/>
                <w:sz w:val="21"/>
              </w:rPr>
              <w:t>）附录</w:t>
            </w:r>
            <w:r>
              <w:rPr>
                <w:rFonts w:ascii="Times New Roman" w:eastAsia="Times New Roman"/>
                <w:color w:val="0000FF"/>
                <w:sz w:val="21"/>
              </w:rPr>
              <w:t>B</w:t>
            </w:r>
            <w:r>
              <w:rPr>
                <w:color w:val="0000FF"/>
                <w:sz w:val="21"/>
              </w:rPr>
              <w:t>所列名物质。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975" w:type="dxa"/>
          </w:tcPr>
          <w:p>
            <w:pPr>
              <w:pStyle w:val="18"/>
              <w:spacing w:before="4" w:line="213" w:lineRule="auto"/>
              <w:ind w:left="146" w:right="131"/>
              <w:jc w:val="left"/>
              <w:rPr>
                <w:b/>
                <w:color w:val="0000FF"/>
                <w:sz w:val="21"/>
              </w:rPr>
            </w:pPr>
            <w:r>
              <w:rPr>
                <w:b/>
                <w:color w:val="0000FF"/>
                <w:spacing w:val="-2"/>
                <w:sz w:val="21"/>
              </w:rPr>
              <w:t>环境影响途径及危</w:t>
            </w:r>
            <w:r>
              <w:rPr>
                <w:b/>
                <w:color w:val="0000FF"/>
                <w:w w:val="95"/>
                <w:sz w:val="21"/>
              </w:rPr>
              <w:t>害后果（</w:t>
            </w:r>
            <w:r>
              <w:rPr>
                <w:b/>
                <w:color w:val="0000FF"/>
                <w:spacing w:val="-4"/>
                <w:w w:val="95"/>
                <w:sz w:val="21"/>
              </w:rPr>
              <w:t>大气、地</w:t>
            </w:r>
          </w:p>
          <w:p>
            <w:pPr>
              <w:pStyle w:val="18"/>
              <w:spacing w:line="217" w:lineRule="exact"/>
              <w:ind w:left="146"/>
              <w:jc w:val="left"/>
              <w:rPr>
                <w:b/>
                <w:color w:val="0000FF"/>
                <w:sz w:val="21"/>
              </w:rPr>
            </w:pPr>
            <w:r>
              <w:rPr>
                <w:b/>
                <w:color w:val="0000FF"/>
                <w:w w:val="95"/>
                <w:sz w:val="21"/>
              </w:rPr>
              <w:t>表水、地下水等）</w:t>
            </w:r>
          </w:p>
        </w:tc>
        <w:tc>
          <w:tcPr>
            <w:tcW w:w="6338" w:type="dxa"/>
            <w:gridSpan w:val="8"/>
          </w:tcPr>
          <w:p>
            <w:pPr>
              <w:pStyle w:val="18"/>
              <w:spacing w:before="4" w:line="213" w:lineRule="auto"/>
              <w:ind w:left="108" w:right="97"/>
              <w:jc w:val="left"/>
              <w:rPr>
                <w:color w:val="0000FF"/>
                <w:sz w:val="21"/>
              </w:rPr>
            </w:pPr>
            <w:r>
              <w:rPr>
                <w:color w:val="0000FF"/>
                <w:sz w:val="21"/>
              </w:rPr>
              <w:t>羊舍、堆肥厂和病死尸体无害化处理车间等地面通过渗透和地表径</w:t>
            </w:r>
            <w:r>
              <w:rPr>
                <w:color w:val="0000FF"/>
                <w:w w:val="95"/>
                <w:sz w:val="21"/>
              </w:rPr>
              <w:t>流污染地下水；火灾引发的伴生</w:t>
            </w:r>
            <w:r>
              <w:rPr>
                <w:rFonts w:ascii="Times New Roman" w:eastAsia="Times New Roman"/>
                <w:color w:val="0000FF"/>
                <w:w w:val="95"/>
                <w:sz w:val="21"/>
              </w:rPr>
              <w:t>/</w:t>
            </w:r>
            <w:r>
              <w:rPr>
                <w:color w:val="0000FF"/>
                <w:w w:val="95"/>
                <w:sz w:val="21"/>
              </w:rPr>
              <w:t>次生污染物排放对大气环境造成一</w:t>
            </w:r>
          </w:p>
          <w:p>
            <w:pPr>
              <w:pStyle w:val="18"/>
              <w:spacing w:line="217" w:lineRule="exact"/>
              <w:ind w:left="108"/>
              <w:jc w:val="left"/>
              <w:rPr>
                <w:color w:val="0000FF"/>
                <w:sz w:val="21"/>
              </w:rPr>
            </w:pPr>
            <w:r>
              <w:rPr>
                <w:color w:val="0000FF"/>
                <w:sz w:val="21"/>
              </w:rPr>
              <w:t>定风险。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1975" w:type="dxa"/>
          </w:tcPr>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spacing w:before="5"/>
              <w:jc w:val="left"/>
              <w:rPr>
                <w:b/>
                <w:color w:val="0000FF"/>
                <w:sz w:val="16"/>
              </w:rPr>
            </w:pPr>
          </w:p>
          <w:p>
            <w:pPr>
              <w:pStyle w:val="18"/>
              <w:ind w:left="125" w:right="113"/>
              <w:rPr>
                <w:b/>
                <w:color w:val="0000FF"/>
                <w:sz w:val="21"/>
              </w:rPr>
            </w:pPr>
            <w:r>
              <w:rPr>
                <w:b/>
                <w:color w:val="0000FF"/>
                <w:sz w:val="21"/>
              </w:rPr>
              <w:t>风险防范措施要求</w:t>
            </w:r>
          </w:p>
        </w:tc>
        <w:tc>
          <w:tcPr>
            <w:tcW w:w="6338" w:type="dxa"/>
            <w:gridSpan w:val="8"/>
          </w:tcPr>
          <w:p>
            <w:pPr>
              <w:pStyle w:val="18"/>
              <w:spacing w:line="235" w:lineRule="exact"/>
              <w:ind w:left="108"/>
              <w:jc w:val="left"/>
              <w:rPr>
                <w:color w:val="0000FF"/>
                <w:sz w:val="21"/>
              </w:rPr>
            </w:pPr>
            <w:r>
              <w:rPr>
                <w:color w:val="0000FF"/>
                <w:sz w:val="21"/>
              </w:rPr>
              <w:t>疫病风险防范措施：</w:t>
            </w:r>
          </w:p>
          <w:p>
            <w:pPr>
              <w:pStyle w:val="18"/>
              <w:spacing w:before="8" w:line="213" w:lineRule="auto"/>
              <w:ind w:left="108" w:right="95" w:firstLine="420"/>
              <w:jc w:val="both"/>
              <w:rPr>
                <w:color w:val="0000FF"/>
                <w:sz w:val="21"/>
              </w:rPr>
            </w:pPr>
            <w:r>
              <w:rPr>
                <w:color w:val="0000FF"/>
                <w:spacing w:val="-8"/>
                <w:sz w:val="21"/>
              </w:rPr>
              <w:t>①建立的兽医综合防疫体系：建立的兽医综合防疫体系，可为羊群的健康提供切实的保障。如注射“免疫增强剂”，对病毒性疾病有特殊的防治效果，能提高动物自身的免疫功能。并开发疫病早期快速预警机制，在疫情产生危害前发现并消灭它。</w:t>
            </w:r>
          </w:p>
          <w:p>
            <w:pPr>
              <w:pStyle w:val="18"/>
              <w:spacing w:before="2" w:line="213" w:lineRule="auto"/>
              <w:ind w:left="108" w:right="95" w:firstLine="420"/>
              <w:jc w:val="both"/>
              <w:rPr>
                <w:color w:val="0000FF"/>
                <w:sz w:val="21"/>
              </w:rPr>
            </w:pPr>
            <w:r>
              <w:rPr>
                <w:color w:val="0000FF"/>
                <w:spacing w:val="-8"/>
                <w:sz w:val="21"/>
              </w:rPr>
              <w:t>②建立环绕防疫体系，包围生产区，防止老鼠、爬行类动物等进入生产区，带来病源。</w:t>
            </w:r>
          </w:p>
          <w:p>
            <w:pPr>
              <w:pStyle w:val="18"/>
              <w:spacing w:before="1" w:line="213" w:lineRule="auto"/>
              <w:ind w:left="108" w:right="95" w:firstLine="420"/>
              <w:jc w:val="both"/>
              <w:rPr>
                <w:color w:val="0000FF"/>
                <w:sz w:val="21"/>
              </w:rPr>
            </w:pPr>
            <w:r>
              <w:rPr>
                <w:color w:val="0000FF"/>
                <w:spacing w:val="-10"/>
                <w:sz w:val="21"/>
              </w:rPr>
              <w:t>③消毒防疫制度：所有进入生产区的人员在进入生产区之前要进行洗浴和紫外线消毒。进入羊舍要更换工作服，换下的工作服用</w:t>
            </w:r>
            <w:r>
              <w:rPr>
                <w:color w:val="0000FF"/>
                <w:spacing w:val="-11"/>
                <w:sz w:val="21"/>
              </w:rPr>
              <w:t>臭氧消毒。同舍羊群为同一日龄饲养，同一批入舍或出舍，避免交</w:t>
            </w:r>
            <w:r>
              <w:rPr>
                <w:color w:val="0000FF"/>
                <w:sz w:val="21"/>
              </w:rPr>
              <w:t>叉感染。</w:t>
            </w:r>
          </w:p>
          <w:p>
            <w:pPr>
              <w:pStyle w:val="18"/>
              <w:spacing w:before="3" w:line="213" w:lineRule="auto"/>
              <w:ind w:left="108" w:right="97" w:firstLine="420"/>
              <w:jc w:val="both"/>
              <w:rPr>
                <w:color w:val="0000FF"/>
                <w:sz w:val="21"/>
              </w:rPr>
            </w:pPr>
            <w:r>
              <w:rPr>
                <w:color w:val="0000FF"/>
                <w:spacing w:val="-8"/>
                <w:sz w:val="21"/>
              </w:rPr>
              <w:t>④在育雏区和成羊区的各羊舍进出口分设净道、污道，平行布置，互不干扰，以利防疫。</w:t>
            </w:r>
          </w:p>
          <w:p>
            <w:pPr>
              <w:pStyle w:val="18"/>
              <w:spacing w:line="233" w:lineRule="exact"/>
              <w:ind w:left="108"/>
              <w:jc w:val="left"/>
              <w:rPr>
                <w:color w:val="0000FF"/>
                <w:sz w:val="21"/>
              </w:rPr>
            </w:pPr>
            <w:r>
              <w:rPr>
                <w:color w:val="0000FF"/>
                <w:w w:val="95"/>
                <w:sz w:val="21"/>
              </w:rPr>
              <w:t>污染物泄漏风险防范措施：</w:t>
            </w:r>
          </w:p>
          <w:p>
            <w:pPr>
              <w:pStyle w:val="18"/>
              <w:spacing w:before="8" w:line="213" w:lineRule="auto"/>
              <w:ind w:left="108" w:right="97" w:firstLine="420"/>
              <w:jc w:val="left"/>
              <w:rPr>
                <w:color w:val="0000FF"/>
                <w:sz w:val="21"/>
              </w:rPr>
            </w:pPr>
            <w:r>
              <w:rPr>
                <w:color w:val="0000FF"/>
                <w:sz w:val="21"/>
              </w:rPr>
              <w:t>①加强废水处理设施的维护和管理，及时发现处理设备的隐患，确保处理系统正常运行。</w:t>
            </w:r>
          </w:p>
          <w:p>
            <w:pPr>
              <w:pStyle w:val="18"/>
              <w:spacing w:before="1" w:line="213" w:lineRule="auto"/>
              <w:ind w:left="108" w:right="95" w:firstLine="420"/>
              <w:jc w:val="left"/>
              <w:rPr>
                <w:color w:val="0000FF"/>
                <w:sz w:val="21"/>
              </w:rPr>
            </w:pPr>
            <w:r>
              <w:rPr>
                <w:color w:val="0000FF"/>
                <w:spacing w:val="-10"/>
                <w:sz w:val="21"/>
              </w:rPr>
              <w:t>②加强施工质量，羊舍、堆肥厂、病死尸体无害化处理车间采取相应防渗措施，在做好基层防渗的基础上进行水泥硬化。</w:t>
            </w:r>
          </w:p>
          <w:p>
            <w:pPr>
              <w:pStyle w:val="18"/>
              <w:spacing w:line="233" w:lineRule="exact"/>
              <w:ind w:left="528"/>
              <w:jc w:val="left"/>
              <w:rPr>
                <w:color w:val="0000FF"/>
                <w:sz w:val="21"/>
              </w:rPr>
            </w:pPr>
            <w:r>
              <w:rPr>
                <w:color w:val="0000FF"/>
                <w:sz w:val="21"/>
              </w:rPr>
              <w:t>③场区边界建设雨水截流沟、排水沟，及时拦截和导排雨水，</w:t>
            </w:r>
          </w:p>
          <w:p>
            <w:pPr>
              <w:pStyle w:val="18"/>
              <w:spacing w:line="225" w:lineRule="exact"/>
              <w:ind w:left="108"/>
              <w:jc w:val="left"/>
              <w:rPr>
                <w:color w:val="0000FF"/>
                <w:sz w:val="21"/>
              </w:rPr>
            </w:pPr>
            <w:r>
              <w:rPr>
                <w:color w:val="0000FF"/>
                <w:sz w:val="21"/>
              </w:rPr>
              <w:t>减少废水产生量，降低事故风险。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313" w:type="dxa"/>
            <w:gridSpan w:val="9"/>
          </w:tcPr>
          <w:p>
            <w:pPr>
              <w:pStyle w:val="18"/>
              <w:spacing w:line="235" w:lineRule="exact"/>
              <w:ind w:left="107"/>
              <w:jc w:val="left"/>
              <w:rPr>
                <w:b/>
                <w:color w:val="0000FF"/>
                <w:sz w:val="21"/>
              </w:rPr>
            </w:pPr>
            <w:r>
              <w:rPr>
                <w:b/>
                <w:color w:val="0000FF"/>
                <w:sz w:val="21"/>
              </w:rPr>
              <w:t>填表说明（列出项目相关信息及评价说明）：</w:t>
            </w:r>
          </w:p>
          <w:p>
            <w:pPr>
              <w:pStyle w:val="18"/>
              <w:spacing w:line="255" w:lineRule="exact"/>
              <w:ind w:left="527" w:right="-15"/>
              <w:jc w:val="left"/>
              <w:rPr>
                <w:color w:val="0000FF"/>
                <w:sz w:val="21"/>
              </w:rPr>
            </w:pPr>
            <w:r>
              <w:rPr>
                <w:color w:val="0000FF"/>
                <w:spacing w:val="-11"/>
                <w:w w:val="95"/>
                <w:sz w:val="21"/>
              </w:rPr>
              <w:t>企业认真落实各项防范措施后，本项目环境风险水平可接受，风险防范措施有效可行。</w:t>
            </w:r>
          </w:p>
        </w:tc>
      </w:tr>
    </w:tbl>
    <w:p>
      <w:pPr>
        <w:spacing w:after="0" w:line="255" w:lineRule="exact"/>
        <w:jc w:val="left"/>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tabs>
          <w:tab w:val="left" w:pos="1639"/>
        </w:tabs>
        <w:spacing w:before="143" w:after="2"/>
        <w:ind w:left="0" w:right="30" w:firstLine="0"/>
        <w:jc w:val="center"/>
        <w:rPr>
          <w:b/>
          <w:sz w:val="24"/>
        </w:rPr>
      </w:pPr>
      <w:r>
        <w:rPr>
          <w:b/>
          <w:sz w:val="24"/>
        </w:rPr>
        <w:t>表</w:t>
      </w:r>
      <w:r>
        <w:rPr>
          <w:rFonts w:ascii="Times New Roman" w:eastAsia="Times New Roman"/>
          <w:b/>
          <w:sz w:val="24"/>
        </w:rPr>
        <w:t>5.2-19</w:t>
      </w:r>
      <w:r>
        <w:rPr>
          <w:rFonts w:ascii="Times New Roman" w:eastAsia="Times New Roman"/>
          <w:b/>
          <w:sz w:val="24"/>
        </w:rPr>
        <w:tab/>
      </w:r>
      <w:r>
        <w:rPr>
          <w:b/>
          <w:sz w:val="24"/>
        </w:rPr>
        <w:t>环境风险评价自查表</w:t>
      </w:r>
    </w:p>
    <w:tbl>
      <w:tblPr>
        <w:tblStyle w:val="14"/>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8"/>
        <w:gridCol w:w="941"/>
        <w:gridCol w:w="1368"/>
        <w:gridCol w:w="600"/>
        <w:gridCol w:w="501"/>
        <w:gridCol w:w="210"/>
        <w:gridCol w:w="119"/>
        <w:gridCol w:w="405"/>
        <w:gridCol w:w="187"/>
        <w:gridCol w:w="152"/>
        <w:gridCol w:w="561"/>
        <w:gridCol w:w="177"/>
        <w:gridCol w:w="187"/>
        <w:gridCol w:w="346"/>
        <w:gridCol w:w="290"/>
        <w:gridCol w:w="290"/>
        <w:gridCol w:w="165"/>
        <w:gridCol w:w="204"/>
        <w:gridCol w:w="472"/>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8"/>
              <w:spacing w:before="55"/>
              <w:ind w:left="418"/>
              <w:jc w:val="left"/>
              <w:rPr>
                <w:sz w:val="18"/>
              </w:rPr>
            </w:pPr>
            <w:r>
              <w:rPr>
                <w:sz w:val="18"/>
              </w:rPr>
              <w:t>工作内容</w:t>
            </w:r>
          </w:p>
        </w:tc>
        <w:tc>
          <w:tcPr>
            <w:tcW w:w="6962" w:type="dxa"/>
            <w:gridSpan w:val="18"/>
          </w:tcPr>
          <w:p>
            <w:pPr>
              <w:pStyle w:val="18"/>
              <w:spacing w:before="55"/>
              <w:ind w:left="7"/>
              <w:rPr>
                <w:sz w:val="18"/>
              </w:rPr>
            </w:pPr>
            <w:r>
              <w:rPr>
                <w:sz w:val="18"/>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restart"/>
          </w:tcPr>
          <w:p>
            <w:pPr>
              <w:pStyle w:val="18"/>
              <w:jc w:val="left"/>
              <w:rPr>
                <w:b/>
                <w:sz w:val="18"/>
              </w:rPr>
            </w:pPr>
          </w:p>
          <w:p>
            <w:pPr>
              <w:pStyle w:val="18"/>
              <w:jc w:val="left"/>
              <w:rPr>
                <w:b/>
                <w:sz w:val="18"/>
              </w:rPr>
            </w:pPr>
          </w:p>
          <w:p>
            <w:pPr>
              <w:pStyle w:val="18"/>
              <w:jc w:val="left"/>
              <w:rPr>
                <w:b/>
                <w:sz w:val="18"/>
              </w:rPr>
            </w:pPr>
          </w:p>
          <w:p>
            <w:pPr>
              <w:pStyle w:val="18"/>
              <w:spacing w:before="119" w:line="324" w:lineRule="auto"/>
              <w:ind w:left="219" w:right="206"/>
              <w:jc w:val="both"/>
              <w:rPr>
                <w:sz w:val="18"/>
              </w:rPr>
            </w:pPr>
            <w:r>
              <w:rPr>
                <w:sz w:val="18"/>
              </w:rPr>
              <w:t>风险调查</w:t>
            </w:r>
          </w:p>
        </w:tc>
        <w:tc>
          <w:tcPr>
            <w:tcW w:w="941" w:type="dxa"/>
            <w:vMerge w:val="restart"/>
          </w:tcPr>
          <w:p>
            <w:pPr>
              <w:pStyle w:val="18"/>
              <w:spacing w:before="12"/>
              <w:jc w:val="left"/>
              <w:rPr>
                <w:b/>
                <w:sz w:val="17"/>
              </w:rPr>
            </w:pPr>
          </w:p>
          <w:p>
            <w:pPr>
              <w:pStyle w:val="18"/>
              <w:ind w:left="110"/>
              <w:jc w:val="left"/>
              <w:rPr>
                <w:sz w:val="18"/>
              </w:rPr>
            </w:pPr>
            <w:r>
              <w:rPr>
                <w:sz w:val="18"/>
              </w:rPr>
              <w:t>危险物质</w:t>
            </w:r>
          </w:p>
        </w:tc>
        <w:tc>
          <w:tcPr>
            <w:tcW w:w="1368" w:type="dxa"/>
          </w:tcPr>
          <w:p>
            <w:pPr>
              <w:pStyle w:val="18"/>
              <w:spacing w:before="55"/>
              <w:ind w:left="123" w:right="114"/>
              <w:rPr>
                <w:sz w:val="18"/>
              </w:rPr>
            </w:pPr>
            <w:r>
              <w:rPr>
                <w:sz w:val="18"/>
              </w:rPr>
              <w:t>名称</w:t>
            </w:r>
          </w:p>
        </w:tc>
        <w:tc>
          <w:tcPr>
            <w:tcW w:w="600" w:type="dxa"/>
          </w:tcPr>
          <w:p>
            <w:pPr>
              <w:pStyle w:val="18"/>
              <w:spacing w:before="55"/>
              <w:ind w:left="208"/>
              <w:jc w:val="left"/>
              <w:rPr>
                <w:sz w:val="18"/>
              </w:rPr>
            </w:pPr>
            <w:r>
              <w:rPr>
                <w:sz w:val="18"/>
              </w:rPr>
              <w:t>氨</w:t>
            </w:r>
          </w:p>
        </w:tc>
        <w:tc>
          <w:tcPr>
            <w:tcW w:w="711" w:type="dxa"/>
            <w:gridSpan w:val="2"/>
          </w:tcPr>
          <w:p>
            <w:pPr>
              <w:pStyle w:val="18"/>
              <w:spacing w:before="55"/>
              <w:ind w:left="112"/>
              <w:jc w:val="left"/>
              <w:rPr>
                <w:sz w:val="18"/>
              </w:rPr>
            </w:pPr>
            <w:r>
              <w:rPr>
                <w:sz w:val="18"/>
              </w:rPr>
              <w:t>硫化氢</w:t>
            </w:r>
          </w:p>
        </w:tc>
        <w:tc>
          <w:tcPr>
            <w:tcW w:w="711" w:type="dxa"/>
            <w:gridSpan w:val="3"/>
          </w:tcPr>
          <w:p>
            <w:pPr>
              <w:pStyle w:val="18"/>
              <w:jc w:val="left"/>
              <w:rPr>
                <w:rFonts w:ascii="Times New Roman"/>
                <w:sz w:val="18"/>
              </w:rPr>
            </w:pPr>
          </w:p>
        </w:tc>
        <w:tc>
          <w:tcPr>
            <w:tcW w:w="713" w:type="dxa"/>
            <w:gridSpan w:val="2"/>
          </w:tcPr>
          <w:p>
            <w:pPr>
              <w:pStyle w:val="18"/>
              <w:jc w:val="left"/>
              <w:rPr>
                <w:rFonts w:ascii="Times New Roman"/>
                <w:sz w:val="18"/>
              </w:rPr>
            </w:pPr>
          </w:p>
        </w:tc>
        <w:tc>
          <w:tcPr>
            <w:tcW w:w="710" w:type="dxa"/>
            <w:gridSpan w:val="3"/>
          </w:tcPr>
          <w:p>
            <w:pPr>
              <w:pStyle w:val="18"/>
              <w:jc w:val="left"/>
              <w:rPr>
                <w:rFonts w:ascii="Times New Roman"/>
                <w:sz w:val="18"/>
              </w:rPr>
            </w:pPr>
          </w:p>
        </w:tc>
        <w:tc>
          <w:tcPr>
            <w:tcW w:w="745" w:type="dxa"/>
            <w:gridSpan w:val="3"/>
          </w:tcPr>
          <w:p>
            <w:pPr>
              <w:pStyle w:val="18"/>
              <w:jc w:val="left"/>
              <w:rPr>
                <w:rFonts w:ascii="Times New Roman"/>
                <w:sz w:val="18"/>
              </w:rPr>
            </w:pPr>
          </w:p>
        </w:tc>
        <w:tc>
          <w:tcPr>
            <w:tcW w:w="676" w:type="dxa"/>
            <w:gridSpan w:val="2"/>
          </w:tcPr>
          <w:p>
            <w:pPr>
              <w:pStyle w:val="18"/>
              <w:jc w:val="left"/>
              <w:rPr>
                <w:rFonts w:ascii="Times New Roman"/>
                <w:sz w:val="18"/>
              </w:rPr>
            </w:pPr>
          </w:p>
        </w:tc>
        <w:tc>
          <w:tcPr>
            <w:tcW w:w="728"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tcPr>
          <w:p>
            <w:pPr>
              <w:pStyle w:val="18"/>
              <w:spacing w:before="55"/>
              <w:ind w:left="123" w:right="114"/>
              <w:rPr>
                <w:rFonts w:ascii="Times New Roman" w:eastAsia="Times New Roman"/>
                <w:sz w:val="18"/>
              </w:rPr>
            </w:pPr>
            <w:r>
              <w:rPr>
                <w:sz w:val="18"/>
              </w:rPr>
              <w:t>存在总量</w:t>
            </w:r>
            <w:r>
              <w:rPr>
                <w:rFonts w:ascii="Times New Roman" w:eastAsia="Times New Roman"/>
                <w:sz w:val="18"/>
              </w:rPr>
              <w:t>/t</w:t>
            </w:r>
          </w:p>
        </w:tc>
        <w:tc>
          <w:tcPr>
            <w:tcW w:w="600" w:type="dxa"/>
          </w:tcPr>
          <w:p>
            <w:pPr>
              <w:pStyle w:val="18"/>
              <w:spacing w:before="65"/>
              <w:ind w:left="254"/>
              <w:jc w:val="left"/>
              <w:rPr>
                <w:rFonts w:ascii="Times New Roman"/>
                <w:sz w:val="18"/>
              </w:rPr>
            </w:pPr>
            <w:r>
              <w:rPr>
                <w:rFonts w:ascii="Times New Roman"/>
                <w:sz w:val="18"/>
              </w:rPr>
              <w:t>0</w:t>
            </w:r>
          </w:p>
        </w:tc>
        <w:tc>
          <w:tcPr>
            <w:tcW w:w="711" w:type="dxa"/>
            <w:gridSpan w:val="2"/>
          </w:tcPr>
          <w:p>
            <w:pPr>
              <w:pStyle w:val="18"/>
              <w:spacing w:before="65"/>
              <w:ind w:left="7"/>
              <w:rPr>
                <w:rFonts w:ascii="Times New Roman"/>
                <w:sz w:val="18"/>
              </w:rPr>
            </w:pPr>
            <w:r>
              <w:rPr>
                <w:rFonts w:ascii="Times New Roman"/>
                <w:sz w:val="18"/>
              </w:rPr>
              <w:t>0</w:t>
            </w:r>
          </w:p>
        </w:tc>
        <w:tc>
          <w:tcPr>
            <w:tcW w:w="711" w:type="dxa"/>
            <w:gridSpan w:val="3"/>
          </w:tcPr>
          <w:p>
            <w:pPr>
              <w:pStyle w:val="18"/>
              <w:jc w:val="left"/>
              <w:rPr>
                <w:rFonts w:ascii="Times New Roman"/>
                <w:sz w:val="18"/>
              </w:rPr>
            </w:pPr>
          </w:p>
        </w:tc>
        <w:tc>
          <w:tcPr>
            <w:tcW w:w="713" w:type="dxa"/>
            <w:gridSpan w:val="2"/>
          </w:tcPr>
          <w:p>
            <w:pPr>
              <w:pStyle w:val="18"/>
              <w:jc w:val="left"/>
              <w:rPr>
                <w:rFonts w:ascii="Times New Roman"/>
                <w:sz w:val="18"/>
              </w:rPr>
            </w:pPr>
          </w:p>
        </w:tc>
        <w:tc>
          <w:tcPr>
            <w:tcW w:w="710" w:type="dxa"/>
            <w:gridSpan w:val="3"/>
          </w:tcPr>
          <w:p>
            <w:pPr>
              <w:pStyle w:val="18"/>
              <w:jc w:val="left"/>
              <w:rPr>
                <w:rFonts w:ascii="Times New Roman"/>
                <w:sz w:val="18"/>
              </w:rPr>
            </w:pPr>
          </w:p>
        </w:tc>
        <w:tc>
          <w:tcPr>
            <w:tcW w:w="745" w:type="dxa"/>
            <w:gridSpan w:val="3"/>
          </w:tcPr>
          <w:p>
            <w:pPr>
              <w:pStyle w:val="18"/>
              <w:jc w:val="left"/>
              <w:rPr>
                <w:rFonts w:ascii="Times New Roman"/>
                <w:sz w:val="18"/>
              </w:rPr>
            </w:pPr>
          </w:p>
        </w:tc>
        <w:tc>
          <w:tcPr>
            <w:tcW w:w="676" w:type="dxa"/>
            <w:gridSpan w:val="2"/>
          </w:tcPr>
          <w:p>
            <w:pPr>
              <w:pStyle w:val="18"/>
              <w:jc w:val="left"/>
              <w:rPr>
                <w:rFonts w:ascii="Times New Roman"/>
                <w:sz w:val="18"/>
              </w:rPr>
            </w:pPr>
          </w:p>
        </w:tc>
        <w:tc>
          <w:tcPr>
            <w:tcW w:w="728" w:type="dxa"/>
          </w:tcPr>
          <w:p>
            <w:pPr>
              <w:pStyle w:val="18"/>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restart"/>
          </w:tcPr>
          <w:p>
            <w:pPr>
              <w:pStyle w:val="18"/>
              <w:jc w:val="left"/>
              <w:rPr>
                <w:b/>
                <w:sz w:val="18"/>
              </w:rPr>
            </w:pPr>
          </w:p>
          <w:p>
            <w:pPr>
              <w:pStyle w:val="18"/>
              <w:jc w:val="left"/>
              <w:rPr>
                <w:b/>
                <w:sz w:val="18"/>
              </w:rPr>
            </w:pPr>
          </w:p>
          <w:p>
            <w:pPr>
              <w:pStyle w:val="18"/>
              <w:spacing w:before="4"/>
              <w:jc w:val="left"/>
              <w:rPr>
                <w:b/>
                <w:sz w:val="24"/>
              </w:rPr>
            </w:pPr>
          </w:p>
          <w:p>
            <w:pPr>
              <w:pStyle w:val="18"/>
              <w:spacing w:before="1" w:line="324" w:lineRule="auto"/>
              <w:ind w:left="379" w:right="98" w:hanging="269"/>
              <w:jc w:val="left"/>
              <w:rPr>
                <w:sz w:val="18"/>
              </w:rPr>
            </w:pPr>
            <w:r>
              <w:rPr>
                <w:sz w:val="18"/>
              </w:rPr>
              <w:t>环境敏感性</w:t>
            </w:r>
          </w:p>
        </w:tc>
        <w:tc>
          <w:tcPr>
            <w:tcW w:w="1368" w:type="dxa"/>
            <w:vMerge w:val="restart"/>
          </w:tcPr>
          <w:p>
            <w:pPr>
              <w:pStyle w:val="18"/>
              <w:jc w:val="left"/>
              <w:rPr>
                <w:b/>
                <w:sz w:val="18"/>
              </w:rPr>
            </w:pPr>
          </w:p>
          <w:p>
            <w:pPr>
              <w:pStyle w:val="18"/>
              <w:ind w:left="123" w:right="114"/>
              <w:rPr>
                <w:sz w:val="18"/>
              </w:rPr>
            </w:pPr>
            <w:r>
              <w:rPr>
                <w:sz w:val="18"/>
              </w:rPr>
              <w:t>大气</w:t>
            </w:r>
          </w:p>
        </w:tc>
        <w:tc>
          <w:tcPr>
            <w:tcW w:w="2735" w:type="dxa"/>
            <w:gridSpan w:val="8"/>
          </w:tcPr>
          <w:p>
            <w:pPr>
              <w:pStyle w:val="18"/>
              <w:tabs>
                <w:tab w:val="left" w:pos="1998"/>
                <w:tab w:val="left" w:pos="2358"/>
              </w:tabs>
              <w:spacing w:before="56"/>
              <w:ind w:left="194"/>
              <w:jc w:val="left"/>
              <w:rPr>
                <w:sz w:val="18"/>
              </w:rPr>
            </w:pPr>
            <w:r>
              <w:rPr>
                <w:rFonts w:ascii="Times New Roman" w:eastAsia="Times New Roman"/>
                <w:sz w:val="18"/>
              </w:rPr>
              <w:t>500m</w:t>
            </w:r>
            <w:r>
              <w:rPr>
                <w:sz w:val="18"/>
              </w:rPr>
              <w:t>范围内人口数</w:t>
            </w:r>
            <w:r>
              <w:rPr>
                <w:sz w:val="18"/>
                <w:u w:val="single"/>
              </w:rPr>
              <w:tab/>
            </w:r>
            <w:r>
              <w:rPr>
                <w:rFonts w:ascii="Times New Roman" w:eastAsia="Times New Roman"/>
                <w:sz w:val="18"/>
                <w:u w:val="single"/>
              </w:rPr>
              <w:t>0</w:t>
            </w:r>
            <w:r>
              <w:rPr>
                <w:rFonts w:ascii="Times New Roman" w:eastAsia="Times New Roman"/>
                <w:sz w:val="18"/>
                <w:u w:val="single"/>
              </w:rPr>
              <w:tab/>
            </w:r>
            <w:r>
              <w:rPr>
                <w:sz w:val="18"/>
              </w:rPr>
              <w:t>人</w:t>
            </w:r>
          </w:p>
        </w:tc>
        <w:tc>
          <w:tcPr>
            <w:tcW w:w="2859" w:type="dxa"/>
            <w:gridSpan w:val="9"/>
          </w:tcPr>
          <w:p>
            <w:pPr>
              <w:pStyle w:val="18"/>
              <w:spacing w:before="56"/>
              <w:ind w:left="255"/>
              <w:jc w:val="left"/>
              <w:rPr>
                <w:sz w:val="18"/>
              </w:rPr>
            </w:pPr>
            <w:r>
              <w:rPr>
                <w:rFonts w:ascii="Times New Roman" w:eastAsia="Times New Roman"/>
                <w:sz w:val="18"/>
              </w:rPr>
              <w:t>5km</w:t>
            </w:r>
            <w:r>
              <w:rPr>
                <w:sz w:val="18"/>
              </w:rPr>
              <w:t>范围内人口数</w:t>
            </w:r>
            <w:r>
              <w:rPr>
                <w:rFonts w:ascii="Times New Roman" w:eastAsia="Times New Roman"/>
                <w:sz w:val="18"/>
                <w:u w:val="single"/>
              </w:rPr>
              <w:t>20010</w:t>
            </w:r>
            <w:r>
              <w:rPr>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4190" w:type="dxa"/>
            <w:gridSpan w:val="14"/>
          </w:tcPr>
          <w:p>
            <w:pPr>
              <w:pStyle w:val="18"/>
              <w:spacing w:before="54"/>
              <w:ind w:left="314"/>
              <w:jc w:val="left"/>
              <w:rPr>
                <w:sz w:val="18"/>
              </w:rPr>
            </w:pPr>
            <w:r>
              <w:rPr>
                <w:sz w:val="18"/>
              </w:rPr>
              <w:t>每公里管段周边</w:t>
            </w:r>
            <w:r>
              <w:rPr>
                <w:rFonts w:ascii="Times New Roman" w:eastAsia="Times New Roman"/>
                <w:sz w:val="18"/>
              </w:rPr>
              <w:t>200m</w:t>
            </w:r>
            <w:r>
              <w:rPr>
                <w:sz w:val="18"/>
              </w:rPr>
              <w:t>范围内人口数（最大）</w:t>
            </w:r>
          </w:p>
        </w:tc>
        <w:tc>
          <w:tcPr>
            <w:tcW w:w="1404" w:type="dxa"/>
            <w:gridSpan w:val="3"/>
          </w:tcPr>
          <w:p>
            <w:pPr>
              <w:pStyle w:val="18"/>
              <w:tabs>
                <w:tab w:val="left" w:pos="655"/>
              </w:tabs>
              <w:spacing w:before="54"/>
              <w:ind w:left="294"/>
              <w:jc w:val="left"/>
              <w:rPr>
                <w:sz w:val="18"/>
              </w:rPr>
            </w:pPr>
            <w:r>
              <w:rPr>
                <w:rFonts w:ascii="Times New Roman" w:eastAsia="Times New Roman"/>
                <w:sz w:val="18"/>
                <w:u w:val="single"/>
              </w:rPr>
              <w:tab/>
            </w:r>
            <w:r>
              <w:rPr>
                <w:rFonts w:ascii="Times New Roman" w:eastAsia="Times New Roman"/>
                <w:sz w:val="18"/>
                <w:u w:val="single"/>
              </w:rPr>
              <w:t>0</w:t>
            </w:r>
            <w:r>
              <w:rPr>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8"/>
              <w:spacing w:before="11"/>
              <w:jc w:val="left"/>
              <w:rPr>
                <w:b/>
                <w:sz w:val="17"/>
              </w:rPr>
            </w:pPr>
          </w:p>
          <w:p>
            <w:pPr>
              <w:pStyle w:val="18"/>
              <w:ind w:left="412"/>
              <w:jc w:val="left"/>
              <w:rPr>
                <w:sz w:val="18"/>
              </w:rPr>
            </w:pPr>
            <w:r>
              <w:rPr>
                <w:sz w:val="18"/>
              </w:rPr>
              <w:t>地表水</w:t>
            </w:r>
          </w:p>
        </w:tc>
        <w:tc>
          <w:tcPr>
            <w:tcW w:w="1835" w:type="dxa"/>
            <w:gridSpan w:val="5"/>
          </w:tcPr>
          <w:p>
            <w:pPr>
              <w:pStyle w:val="18"/>
              <w:spacing w:before="54"/>
              <w:ind w:left="208"/>
              <w:jc w:val="left"/>
              <w:rPr>
                <w:sz w:val="18"/>
              </w:rPr>
            </w:pPr>
            <w:r>
              <w:rPr>
                <w:sz w:val="18"/>
              </w:rPr>
              <w:t>地表水功能敏感性</w:t>
            </w:r>
          </w:p>
        </w:tc>
        <w:tc>
          <w:tcPr>
            <w:tcW w:w="1264" w:type="dxa"/>
            <w:gridSpan w:val="5"/>
          </w:tcPr>
          <w:p>
            <w:pPr>
              <w:pStyle w:val="18"/>
              <w:spacing w:before="66"/>
              <w:ind w:left="431" w:right="404"/>
              <w:rPr>
                <w:rFonts w:ascii="Times New Roman" w:hAnsi="Times New Roman"/>
                <w:sz w:val="18"/>
              </w:rPr>
            </w:pPr>
            <w:r>
              <w:rPr>
                <w:rFonts w:ascii="Times New Roman" w:hAnsi="Times New Roman"/>
                <w:sz w:val="18"/>
              </w:rPr>
              <w:t>F1□</w:t>
            </w:r>
          </w:p>
        </w:tc>
        <w:tc>
          <w:tcPr>
            <w:tcW w:w="1091" w:type="dxa"/>
            <w:gridSpan w:val="4"/>
          </w:tcPr>
          <w:p>
            <w:pPr>
              <w:pStyle w:val="18"/>
              <w:spacing w:before="66"/>
              <w:ind w:left="353" w:right="343"/>
              <w:rPr>
                <w:rFonts w:ascii="Times New Roman" w:hAnsi="Times New Roman"/>
                <w:sz w:val="18"/>
              </w:rPr>
            </w:pPr>
            <w:r>
              <w:rPr>
                <w:rFonts w:ascii="Times New Roman" w:hAnsi="Times New Roman"/>
                <w:sz w:val="18"/>
              </w:rPr>
              <w:t>F2□</w:t>
            </w:r>
          </w:p>
        </w:tc>
        <w:tc>
          <w:tcPr>
            <w:tcW w:w="1404" w:type="dxa"/>
            <w:gridSpan w:val="3"/>
          </w:tcPr>
          <w:p>
            <w:pPr>
              <w:pStyle w:val="18"/>
              <w:spacing w:before="66"/>
              <w:ind w:left="477" w:right="471"/>
              <w:rPr>
                <w:rFonts w:ascii="Times New Roman" w:hAnsi="Times New Roman"/>
                <w:sz w:val="18"/>
              </w:rPr>
            </w:pPr>
            <w:r>
              <w:rPr>
                <w:rFonts w:ascii="Times New Roman" w:hAnsi="Times New Roman"/>
                <w:sz w:val="18"/>
              </w:rPr>
              <w:t>F3□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1835" w:type="dxa"/>
            <w:gridSpan w:val="5"/>
          </w:tcPr>
          <w:p>
            <w:pPr>
              <w:pStyle w:val="18"/>
              <w:spacing w:before="55"/>
              <w:ind w:left="208"/>
              <w:jc w:val="left"/>
              <w:rPr>
                <w:sz w:val="18"/>
              </w:rPr>
            </w:pPr>
            <w:r>
              <w:rPr>
                <w:sz w:val="18"/>
              </w:rPr>
              <w:t>环境敏感目标分级</w:t>
            </w:r>
          </w:p>
        </w:tc>
        <w:tc>
          <w:tcPr>
            <w:tcW w:w="1264" w:type="dxa"/>
            <w:gridSpan w:val="5"/>
          </w:tcPr>
          <w:p>
            <w:pPr>
              <w:pStyle w:val="18"/>
              <w:spacing w:before="66"/>
              <w:ind w:left="431" w:right="404"/>
              <w:rPr>
                <w:rFonts w:ascii="Times New Roman" w:hAnsi="Times New Roman"/>
                <w:sz w:val="18"/>
              </w:rPr>
            </w:pPr>
            <w:r>
              <w:rPr>
                <w:rFonts w:ascii="Times New Roman" w:hAnsi="Times New Roman"/>
                <w:sz w:val="18"/>
              </w:rPr>
              <w:t>S1□</w:t>
            </w:r>
          </w:p>
        </w:tc>
        <w:tc>
          <w:tcPr>
            <w:tcW w:w="1091" w:type="dxa"/>
            <w:gridSpan w:val="4"/>
          </w:tcPr>
          <w:p>
            <w:pPr>
              <w:pStyle w:val="18"/>
              <w:spacing w:before="66"/>
              <w:ind w:left="353" w:right="343"/>
              <w:rPr>
                <w:rFonts w:ascii="Times New Roman" w:hAnsi="Times New Roman"/>
                <w:sz w:val="18"/>
              </w:rPr>
            </w:pPr>
            <w:r>
              <w:rPr>
                <w:rFonts w:ascii="Times New Roman" w:hAnsi="Times New Roman"/>
                <w:sz w:val="18"/>
              </w:rPr>
              <w:t>S2□</w:t>
            </w:r>
          </w:p>
        </w:tc>
        <w:tc>
          <w:tcPr>
            <w:tcW w:w="1404" w:type="dxa"/>
            <w:gridSpan w:val="3"/>
          </w:tcPr>
          <w:p>
            <w:pPr>
              <w:pStyle w:val="18"/>
              <w:spacing w:before="66"/>
              <w:ind w:left="477" w:right="471"/>
              <w:rPr>
                <w:rFonts w:ascii="Times New Roman" w:hAnsi="Times New Roman"/>
                <w:sz w:val="18"/>
              </w:rPr>
            </w:pPr>
            <w:r>
              <w:rPr>
                <w:rFonts w:ascii="Times New Roman" w:hAnsi="Times New Roman"/>
                <w:sz w:val="18"/>
              </w:rPr>
              <w:t>S3□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8"/>
              <w:spacing w:before="12"/>
              <w:jc w:val="left"/>
              <w:rPr>
                <w:b/>
                <w:sz w:val="17"/>
              </w:rPr>
            </w:pPr>
          </w:p>
          <w:p>
            <w:pPr>
              <w:pStyle w:val="18"/>
              <w:ind w:left="412"/>
              <w:jc w:val="left"/>
              <w:rPr>
                <w:sz w:val="18"/>
              </w:rPr>
            </w:pPr>
            <w:r>
              <w:rPr>
                <w:sz w:val="18"/>
              </w:rPr>
              <w:t>地下水</w:t>
            </w:r>
          </w:p>
        </w:tc>
        <w:tc>
          <w:tcPr>
            <w:tcW w:w="1835" w:type="dxa"/>
            <w:gridSpan w:val="5"/>
          </w:tcPr>
          <w:p>
            <w:pPr>
              <w:pStyle w:val="18"/>
              <w:spacing w:before="55"/>
              <w:ind w:left="208"/>
              <w:jc w:val="left"/>
              <w:rPr>
                <w:sz w:val="18"/>
              </w:rPr>
            </w:pPr>
            <w:r>
              <w:rPr>
                <w:sz w:val="18"/>
              </w:rPr>
              <w:t>地下水功能敏感性</w:t>
            </w:r>
          </w:p>
        </w:tc>
        <w:tc>
          <w:tcPr>
            <w:tcW w:w="1264" w:type="dxa"/>
            <w:gridSpan w:val="5"/>
          </w:tcPr>
          <w:p>
            <w:pPr>
              <w:pStyle w:val="18"/>
              <w:spacing w:before="67"/>
              <w:ind w:left="436" w:right="404"/>
              <w:rPr>
                <w:rFonts w:ascii="Times New Roman" w:hAnsi="Times New Roman"/>
                <w:sz w:val="18"/>
              </w:rPr>
            </w:pPr>
            <w:r>
              <w:rPr>
                <w:rFonts w:ascii="Times New Roman" w:hAnsi="Times New Roman"/>
                <w:sz w:val="18"/>
              </w:rPr>
              <w:t>G1□</w:t>
            </w:r>
          </w:p>
        </w:tc>
        <w:tc>
          <w:tcPr>
            <w:tcW w:w="1091" w:type="dxa"/>
            <w:gridSpan w:val="4"/>
          </w:tcPr>
          <w:p>
            <w:pPr>
              <w:pStyle w:val="18"/>
              <w:spacing w:before="67"/>
              <w:ind w:left="356"/>
              <w:jc w:val="left"/>
              <w:rPr>
                <w:rFonts w:ascii="Times New Roman" w:hAnsi="Times New Roman"/>
                <w:sz w:val="18"/>
              </w:rPr>
            </w:pPr>
            <w:r>
              <w:rPr>
                <w:rFonts w:ascii="Times New Roman" w:hAnsi="Times New Roman"/>
                <w:sz w:val="18"/>
              </w:rPr>
              <w:t>G2□</w:t>
            </w:r>
          </w:p>
        </w:tc>
        <w:tc>
          <w:tcPr>
            <w:tcW w:w="1404" w:type="dxa"/>
            <w:gridSpan w:val="3"/>
          </w:tcPr>
          <w:p>
            <w:pPr>
              <w:pStyle w:val="18"/>
              <w:spacing w:before="67"/>
              <w:ind w:left="477" w:right="471"/>
              <w:rPr>
                <w:rFonts w:ascii="Times New Roman" w:hAnsi="Times New Roman"/>
                <w:sz w:val="18"/>
              </w:rPr>
            </w:pPr>
            <w:r>
              <w:rPr>
                <w:rFonts w:ascii="Times New Roman" w:hAnsi="Times New Roman"/>
                <w:sz w:val="18"/>
              </w:rPr>
              <w:t>G3□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1835" w:type="dxa"/>
            <w:gridSpan w:val="5"/>
          </w:tcPr>
          <w:p>
            <w:pPr>
              <w:pStyle w:val="18"/>
              <w:spacing w:before="55"/>
              <w:ind w:left="297"/>
              <w:jc w:val="left"/>
              <w:rPr>
                <w:sz w:val="18"/>
              </w:rPr>
            </w:pPr>
            <w:r>
              <w:rPr>
                <w:sz w:val="18"/>
              </w:rPr>
              <w:t>包气带防污性能</w:t>
            </w:r>
          </w:p>
        </w:tc>
        <w:tc>
          <w:tcPr>
            <w:tcW w:w="1264" w:type="dxa"/>
            <w:gridSpan w:val="5"/>
          </w:tcPr>
          <w:p>
            <w:pPr>
              <w:pStyle w:val="18"/>
              <w:spacing w:before="65"/>
              <w:ind w:left="436" w:right="404"/>
              <w:rPr>
                <w:rFonts w:ascii="Times New Roman" w:hAnsi="Times New Roman"/>
                <w:sz w:val="18"/>
              </w:rPr>
            </w:pPr>
            <w:r>
              <w:rPr>
                <w:rFonts w:ascii="Times New Roman" w:hAnsi="Times New Roman"/>
                <w:sz w:val="18"/>
              </w:rPr>
              <w:t>D1□</w:t>
            </w:r>
          </w:p>
        </w:tc>
        <w:tc>
          <w:tcPr>
            <w:tcW w:w="1091" w:type="dxa"/>
            <w:gridSpan w:val="4"/>
          </w:tcPr>
          <w:p>
            <w:pPr>
              <w:pStyle w:val="18"/>
              <w:spacing w:before="65"/>
              <w:ind w:left="356"/>
              <w:jc w:val="left"/>
              <w:rPr>
                <w:rFonts w:ascii="Times New Roman" w:hAnsi="Times New Roman"/>
                <w:sz w:val="18"/>
              </w:rPr>
            </w:pPr>
            <w:r>
              <w:rPr>
                <w:rFonts w:ascii="Times New Roman" w:hAnsi="Times New Roman"/>
                <w:sz w:val="18"/>
              </w:rPr>
              <w:t>D2□</w:t>
            </w:r>
          </w:p>
        </w:tc>
        <w:tc>
          <w:tcPr>
            <w:tcW w:w="1404" w:type="dxa"/>
            <w:gridSpan w:val="3"/>
          </w:tcPr>
          <w:p>
            <w:pPr>
              <w:pStyle w:val="18"/>
              <w:spacing w:before="65"/>
              <w:ind w:left="477" w:right="471"/>
              <w:rPr>
                <w:rFonts w:ascii="Times New Roman" w:hAnsi="Times New Roman"/>
                <w:sz w:val="18"/>
              </w:rPr>
            </w:pPr>
            <w:r>
              <w:rPr>
                <w:rFonts w:ascii="Times New Roman" w:hAnsi="Times New Roman"/>
                <w:sz w:val="18"/>
              </w:rPr>
              <w:t>D3□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restart"/>
          </w:tcPr>
          <w:p>
            <w:pPr>
              <w:pStyle w:val="18"/>
              <w:spacing w:before="4"/>
              <w:jc w:val="left"/>
              <w:rPr>
                <w:b/>
                <w:sz w:val="19"/>
              </w:rPr>
            </w:pPr>
          </w:p>
          <w:p>
            <w:pPr>
              <w:pStyle w:val="18"/>
              <w:spacing w:line="324" w:lineRule="auto"/>
              <w:ind w:left="507" w:right="139" w:hanging="360"/>
              <w:jc w:val="left"/>
              <w:rPr>
                <w:sz w:val="18"/>
              </w:rPr>
            </w:pPr>
            <w:r>
              <w:rPr>
                <w:sz w:val="18"/>
              </w:rPr>
              <w:t>物质及工艺系统危险性</w:t>
            </w:r>
          </w:p>
        </w:tc>
        <w:tc>
          <w:tcPr>
            <w:tcW w:w="1368" w:type="dxa"/>
          </w:tcPr>
          <w:p>
            <w:pPr>
              <w:pStyle w:val="18"/>
              <w:spacing w:before="56"/>
              <w:ind w:left="123" w:right="114"/>
              <w:rPr>
                <w:sz w:val="18"/>
              </w:rPr>
            </w:pPr>
            <w:r>
              <w:rPr>
                <w:rFonts w:ascii="Times New Roman" w:eastAsia="Times New Roman"/>
                <w:sz w:val="18"/>
              </w:rPr>
              <w:t>Q</w:t>
            </w:r>
            <w:r>
              <w:rPr>
                <w:sz w:val="18"/>
              </w:rPr>
              <w:t>值</w:t>
            </w:r>
          </w:p>
        </w:tc>
        <w:tc>
          <w:tcPr>
            <w:tcW w:w="1311" w:type="dxa"/>
            <w:gridSpan w:val="3"/>
          </w:tcPr>
          <w:p>
            <w:pPr>
              <w:pStyle w:val="18"/>
              <w:spacing w:before="56"/>
              <w:ind w:left="342"/>
              <w:jc w:val="left"/>
              <w:rPr>
                <w:rFonts w:hint="eastAsia" w:ascii="MS UI Gothic" w:hAnsi="MS UI Gothic" w:eastAsia="MS UI Gothic"/>
                <w:sz w:val="18"/>
              </w:rPr>
            </w:pPr>
            <w:r>
              <w:rPr>
                <w:rFonts w:ascii="Times New Roman" w:hAnsi="Times New Roman" w:eastAsia="Times New Roman"/>
                <w:sz w:val="18"/>
              </w:rPr>
              <w:t>Q</w:t>
            </w:r>
            <w:r>
              <w:rPr>
                <w:sz w:val="18"/>
              </w:rPr>
              <w:t>＜</w:t>
            </w:r>
            <w:r>
              <w:rPr>
                <w:rFonts w:ascii="Times New Roman" w:hAnsi="Times New Roman" w:eastAsia="Times New Roman"/>
                <w:sz w:val="18"/>
              </w:rPr>
              <w:t>1</w:t>
            </w:r>
            <w:r>
              <w:rPr>
                <w:rFonts w:hint="eastAsia" w:ascii="MS UI Gothic" w:hAnsi="MS UI Gothic" w:eastAsia="MS UI Gothic"/>
                <w:sz w:val="18"/>
              </w:rPr>
              <w:t>☑</w:t>
            </w:r>
          </w:p>
        </w:tc>
        <w:tc>
          <w:tcPr>
            <w:tcW w:w="1424" w:type="dxa"/>
            <w:gridSpan w:val="5"/>
          </w:tcPr>
          <w:p>
            <w:pPr>
              <w:pStyle w:val="18"/>
              <w:spacing w:before="56"/>
              <w:ind w:left="253"/>
              <w:jc w:val="left"/>
              <w:rPr>
                <w:rFonts w:ascii="Times New Roman" w:hAnsi="Times New Roman" w:eastAsia="Times New Roman"/>
                <w:sz w:val="18"/>
              </w:rPr>
            </w:pPr>
            <w:r>
              <w:rPr>
                <w:rFonts w:ascii="Times New Roman" w:hAnsi="Times New Roman" w:eastAsia="Times New Roman"/>
                <w:sz w:val="18"/>
              </w:rPr>
              <w:t>1</w:t>
            </w:r>
            <w:r>
              <w:rPr>
                <w:sz w:val="18"/>
              </w:rPr>
              <w:t>≤</w:t>
            </w:r>
            <w:r>
              <w:rPr>
                <w:rFonts w:ascii="Times New Roman" w:hAnsi="Times New Roman" w:eastAsia="Times New Roman"/>
                <w:sz w:val="18"/>
              </w:rPr>
              <w:t>Q</w:t>
            </w:r>
            <w:r>
              <w:rPr>
                <w:sz w:val="18"/>
              </w:rPr>
              <w:t>＜</w:t>
            </w:r>
            <w:r>
              <w:rPr>
                <w:rFonts w:ascii="Times New Roman" w:hAnsi="Times New Roman" w:eastAsia="Times New Roman"/>
                <w:sz w:val="18"/>
              </w:rPr>
              <w:t>10□</w:t>
            </w:r>
          </w:p>
        </w:tc>
        <w:tc>
          <w:tcPr>
            <w:tcW w:w="1455" w:type="dxa"/>
            <w:gridSpan w:val="6"/>
          </w:tcPr>
          <w:p>
            <w:pPr>
              <w:pStyle w:val="18"/>
              <w:spacing w:before="56"/>
              <w:ind w:left="180"/>
              <w:jc w:val="left"/>
              <w:rPr>
                <w:rFonts w:ascii="Times New Roman" w:hAnsi="Times New Roman" w:eastAsia="Times New Roman"/>
                <w:sz w:val="18"/>
              </w:rPr>
            </w:pPr>
            <w:r>
              <w:rPr>
                <w:rFonts w:ascii="Times New Roman" w:hAnsi="Times New Roman" w:eastAsia="Times New Roman"/>
                <w:sz w:val="18"/>
              </w:rPr>
              <w:t>10</w:t>
            </w:r>
            <w:r>
              <w:rPr>
                <w:sz w:val="18"/>
              </w:rPr>
              <w:t>≤</w:t>
            </w:r>
            <w:r>
              <w:rPr>
                <w:rFonts w:ascii="Times New Roman" w:hAnsi="Times New Roman" w:eastAsia="Times New Roman"/>
                <w:sz w:val="18"/>
              </w:rPr>
              <w:t>Q</w:t>
            </w:r>
            <w:r>
              <w:rPr>
                <w:sz w:val="18"/>
              </w:rPr>
              <w:t>＜</w:t>
            </w:r>
            <w:r>
              <w:rPr>
                <w:rFonts w:ascii="Times New Roman" w:hAnsi="Times New Roman" w:eastAsia="Times New Roman"/>
                <w:sz w:val="18"/>
              </w:rPr>
              <w:t>100□</w:t>
            </w:r>
          </w:p>
        </w:tc>
        <w:tc>
          <w:tcPr>
            <w:tcW w:w="1404" w:type="dxa"/>
            <w:gridSpan w:val="3"/>
          </w:tcPr>
          <w:p>
            <w:pPr>
              <w:pStyle w:val="18"/>
              <w:spacing w:before="56"/>
              <w:ind w:left="333"/>
              <w:jc w:val="left"/>
              <w:rPr>
                <w:rFonts w:ascii="Times New Roman" w:hAnsi="Times New Roman" w:eastAsia="Times New Roman"/>
                <w:sz w:val="18"/>
              </w:rPr>
            </w:pPr>
            <w:r>
              <w:rPr>
                <w:rFonts w:ascii="Times New Roman" w:hAnsi="Times New Roman" w:eastAsia="Times New Roman"/>
                <w:sz w:val="18"/>
              </w:rPr>
              <w:t>Q</w:t>
            </w:r>
            <w:r>
              <w:rPr>
                <w:sz w:val="18"/>
              </w:rPr>
              <w:t>＞</w:t>
            </w:r>
            <w:r>
              <w:rPr>
                <w:rFonts w:ascii="Times New Roman" w:hAnsi="Times New Roman" w:eastAsia="Times New Roman"/>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8"/>
              <w:spacing w:before="54"/>
              <w:ind w:left="123" w:right="114"/>
              <w:rPr>
                <w:sz w:val="18"/>
              </w:rPr>
            </w:pPr>
            <w:r>
              <w:rPr>
                <w:rFonts w:ascii="Times New Roman" w:eastAsia="Times New Roman"/>
                <w:sz w:val="18"/>
              </w:rPr>
              <w:t>M</w:t>
            </w:r>
            <w:r>
              <w:rPr>
                <w:sz w:val="18"/>
              </w:rPr>
              <w:t>值</w:t>
            </w:r>
          </w:p>
        </w:tc>
        <w:tc>
          <w:tcPr>
            <w:tcW w:w="1311" w:type="dxa"/>
            <w:gridSpan w:val="3"/>
          </w:tcPr>
          <w:p>
            <w:pPr>
              <w:pStyle w:val="18"/>
              <w:spacing w:before="66"/>
              <w:ind w:left="292" w:right="283"/>
              <w:rPr>
                <w:rFonts w:ascii="Times New Roman" w:hAnsi="Times New Roman"/>
                <w:sz w:val="18"/>
              </w:rPr>
            </w:pPr>
            <w:r>
              <w:rPr>
                <w:rFonts w:ascii="Times New Roman" w:hAnsi="Times New Roman"/>
                <w:sz w:val="18"/>
              </w:rPr>
              <w:t>M1□</w:t>
            </w:r>
          </w:p>
        </w:tc>
        <w:tc>
          <w:tcPr>
            <w:tcW w:w="1424" w:type="dxa"/>
            <w:gridSpan w:val="5"/>
          </w:tcPr>
          <w:p>
            <w:pPr>
              <w:pStyle w:val="18"/>
              <w:spacing w:before="66"/>
              <w:ind w:left="490" w:right="480"/>
              <w:rPr>
                <w:rFonts w:ascii="Times New Roman" w:hAnsi="Times New Roman"/>
                <w:sz w:val="18"/>
              </w:rPr>
            </w:pPr>
            <w:r>
              <w:rPr>
                <w:rFonts w:ascii="Times New Roman" w:hAnsi="Times New Roman"/>
                <w:sz w:val="18"/>
              </w:rPr>
              <w:t>M2□</w:t>
            </w:r>
          </w:p>
        </w:tc>
        <w:tc>
          <w:tcPr>
            <w:tcW w:w="1455" w:type="dxa"/>
            <w:gridSpan w:val="6"/>
          </w:tcPr>
          <w:p>
            <w:pPr>
              <w:pStyle w:val="18"/>
              <w:spacing w:before="66"/>
              <w:ind w:left="503" w:right="497"/>
              <w:rPr>
                <w:rFonts w:ascii="Times New Roman" w:hAnsi="Times New Roman"/>
                <w:sz w:val="18"/>
              </w:rPr>
            </w:pPr>
            <w:r>
              <w:rPr>
                <w:rFonts w:ascii="Times New Roman" w:hAnsi="Times New Roman"/>
                <w:sz w:val="18"/>
              </w:rPr>
              <w:t>M3□</w:t>
            </w:r>
          </w:p>
        </w:tc>
        <w:tc>
          <w:tcPr>
            <w:tcW w:w="1404" w:type="dxa"/>
            <w:gridSpan w:val="3"/>
          </w:tcPr>
          <w:p>
            <w:pPr>
              <w:pStyle w:val="18"/>
              <w:spacing w:before="66"/>
              <w:ind w:left="479" w:right="471"/>
              <w:rPr>
                <w:rFonts w:ascii="Times New Roman" w:hAnsi="Times New Roman"/>
                <w:sz w:val="18"/>
              </w:rPr>
            </w:pPr>
            <w:r>
              <w:rPr>
                <w:rFonts w:ascii="Times New Roman" w:hAnsi="Times New Roman"/>
                <w:sz w:val="18"/>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8"/>
              <w:spacing w:before="54"/>
              <w:ind w:left="121" w:right="114"/>
              <w:rPr>
                <w:sz w:val="18"/>
              </w:rPr>
            </w:pPr>
            <w:r>
              <w:rPr>
                <w:rFonts w:ascii="Times New Roman" w:eastAsia="Times New Roman"/>
                <w:sz w:val="18"/>
              </w:rPr>
              <w:t>P</w:t>
            </w:r>
            <w:r>
              <w:rPr>
                <w:sz w:val="18"/>
              </w:rPr>
              <w:t>值</w:t>
            </w:r>
          </w:p>
        </w:tc>
        <w:tc>
          <w:tcPr>
            <w:tcW w:w="1311" w:type="dxa"/>
            <w:gridSpan w:val="3"/>
          </w:tcPr>
          <w:p>
            <w:pPr>
              <w:pStyle w:val="18"/>
              <w:spacing w:before="66"/>
              <w:ind w:left="292" w:right="280"/>
              <w:rPr>
                <w:rFonts w:ascii="Times New Roman" w:hAnsi="Times New Roman"/>
                <w:sz w:val="18"/>
              </w:rPr>
            </w:pPr>
            <w:r>
              <w:rPr>
                <w:rFonts w:ascii="Times New Roman" w:hAnsi="Times New Roman"/>
                <w:sz w:val="18"/>
              </w:rPr>
              <w:t>P1□</w:t>
            </w:r>
          </w:p>
        </w:tc>
        <w:tc>
          <w:tcPr>
            <w:tcW w:w="1424" w:type="dxa"/>
            <w:gridSpan w:val="5"/>
          </w:tcPr>
          <w:p>
            <w:pPr>
              <w:pStyle w:val="18"/>
              <w:spacing w:before="66"/>
              <w:ind w:left="488" w:right="480"/>
              <w:rPr>
                <w:rFonts w:ascii="Times New Roman" w:hAnsi="Times New Roman"/>
                <w:sz w:val="18"/>
              </w:rPr>
            </w:pPr>
            <w:r>
              <w:rPr>
                <w:rFonts w:ascii="Times New Roman" w:hAnsi="Times New Roman"/>
                <w:sz w:val="18"/>
              </w:rPr>
              <w:t>P2□</w:t>
            </w:r>
          </w:p>
        </w:tc>
        <w:tc>
          <w:tcPr>
            <w:tcW w:w="1455" w:type="dxa"/>
            <w:gridSpan w:val="6"/>
          </w:tcPr>
          <w:p>
            <w:pPr>
              <w:pStyle w:val="18"/>
              <w:spacing w:before="66"/>
              <w:ind w:left="503" w:right="494"/>
              <w:rPr>
                <w:rFonts w:ascii="Times New Roman" w:hAnsi="Times New Roman"/>
                <w:sz w:val="18"/>
              </w:rPr>
            </w:pPr>
            <w:r>
              <w:rPr>
                <w:rFonts w:ascii="Times New Roman" w:hAnsi="Times New Roman"/>
                <w:sz w:val="18"/>
              </w:rPr>
              <w:t>P3□</w:t>
            </w:r>
          </w:p>
        </w:tc>
        <w:tc>
          <w:tcPr>
            <w:tcW w:w="1404" w:type="dxa"/>
            <w:gridSpan w:val="3"/>
          </w:tcPr>
          <w:p>
            <w:pPr>
              <w:pStyle w:val="18"/>
              <w:spacing w:before="66"/>
              <w:ind w:left="477" w:right="471"/>
              <w:rPr>
                <w:rFonts w:ascii="Times New Roman" w:hAnsi="Times New Roman"/>
                <w:sz w:val="18"/>
              </w:rPr>
            </w:pPr>
            <w:r>
              <w:rPr>
                <w:rFonts w:ascii="Times New Roman" w:hAnsi="Times New Roman"/>
                <w:sz w:val="18"/>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restart"/>
          </w:tcPr>
          <w:p>
            <w:pPr>
              <w:pStyle w:val="18"/>
              <w:jc w:val="left"/>
              <w:rPr>
                <w:b/>
                <w:sz w:val="18"/>
              </w:rPr>
            </w:pPr>
          </w:p>
          <w:p>
            <w:pPr>
              <w:pStyle w:val="18"/>
              <w:spacing w:before="8"/>
              <w:jc w:val="left"/>
              <w:rPr>
                <w:b/>
                <w:sz w:val="13"/>
              </w:rPr>
            </w:pPr>
          </w:p>
          <w:p>
            <w:pPr>
              <w:pStyle w:val="18"/>
              <w:ind w:left="238"/>
              <w:jc w:val="left"/>
              <w:rPr>
                <w:sz w:val="18"/>
              </w:rPr>
            </w:pPr>
            <w:r>
              <w:rPr>
                <w:sz w:val="18"/>
              </w:rPr>
              <w:t>环境敏感程度</w:t>
            </w:r>
          </w:p>
        </w:tc>
        <w:tc>
          <w:tcPr>
            <w:tcW w:w="1368" w:type="dxa"/>
          </w:tcPr>
          <w:p>
            <w:pPr>
              <w:pStyle w:val="18"/>
              <w:spacing w:before="55"/>
              <w:ind w:left="123" w:right="114"/>
              <w:rPr>
                <w:sz w:val="18"/>
              </w:rPr>
            </w:pPr>
            <w:r>
              <w:rPr>
                <w:sz w:val="18"/>
              </w:rPr>
              <w:t>大气</w:t>
            </w:r>
          </w:p>
        </w:tc>
        <w:tc>
          <w:tcPr>
            <w:tcW w:w="2174" w:type="dxa"/>
            <w:gridSpan w:val="7"/>
          </w:tcPr>
          <w:p>
            <w:pPr>
              <w:pStyle w:val="18"/>
              <w:spacing w:before="66"/>
              <w:ind w:left="786" w:right="778"/>
              <w:rPr>
                <w:rFonts w:ascii="Times New Roman" w:hAnsi="Times New Roman"/>
                <w:sz w:val="18"/>
              </w:rPr>
            </w:pPr>
            <w:r>
              <w:rPr>
                <w:rFonts w:ascii="Times New Roman" w:hAnsi="Times New Roman"/>
                <w:sz w:val="18"/>
              </w:rPr>
              <w:t>E1□</w:t>
            </w:r>
          </w:p>
        </w:tc>
        <w:tc>
          <w:tcPr>
            <w:tcW w:w="1851" w:type="dxa"/>
            <w:gridSpan w:val="6"/>
          </w:tcPr>
          <w:p>
            <w:pPr>
              <w:pStyle w:val="18"/>
              <w:spacing w:before="66"/>
              <w:ind w:left="622" w:right="617"/>
              <w:rPr>
                <w:rFonts w:ascii="Times New Roman" w:hAnsi="Times New Roman"/>
                <w:sz w:val="18"/>
              </w:rPr>
            </w:pPr>
            <w:r>
              <w:rPr>
                <w:rFonts w:ascii="Times New Roman" w:hAnsi="Times New Roman"/>
                <w:sz w:val="18"/>
              </w:rPr>
              <w:t>E2□</w:t>
            </w:r>
          </w:p>
        </w:tc>
        <w:tc>
          <w:tcPr>
            <w:tcW w:w="1569" w:type="dxa"/>
            <w:gridSpan w:val="4"/>
          </w:tcPr>
          <w:p>
            <w:pPr>
              <w:pStyle w:val="18"/>
              <w:spacing w:before="66"/>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8"/>
              <w:spacing w:before="55"/>
              <w:ind w:left="121" w:right="114"/>
              <w:rPr>
                <w:sz w:val="18"/>
              </w:rPr>
            </w:pPr>
            <w:r>
              <w:rPr>
                <w:sz w:val="18"/>
              </w:rPr>
              <w:t>地表水</w:t>
            </w:r>
          </w:p>
        </w:tc>
        <w:tc>
          <w:tcPr>
            <w:tcW w:w="2174" w:type="dxa"/>
            <w:gridSpan w:val="7"/>
          </w:tcPr>
          <w:p>
            <w:pPr>
              <w:pStyle w:val="18"/>
              <w:spacing w:before="67"/>
              <w:ind w:left="786" w:right="778"/>
              <w:rPr>
                <w:rFonts w:ascii="Times New Roman" w:hAnsi="Times New Roman"/>
                <w:sz w:val="18"/>
              </w:rPr>
            </w:pPr>
            <w:r>
              <w:rPr>
                <w:rFonts w:ascii="Times New Roman" w:hAnsi="Times New Roman"/>
                <w:sz w:val="18"/>
              </w:rPr>
              <w:t>E1□</w:t>
            </w:r>
          </w:p>
        </w:tc>
        <w:tc>
          <w:tcPr>
            <w:tcW w:w="1851" w:type="dxa"/>
            <w:gridSpan w:val="6"/>
          </w:tcPr>
          <w:p>
            <w:pPr>
              <w:pStyle w:val="18"/>
              <w:spacing w:before="67"/>
              <w:ind w:left="622" w:right="617"/>
              <w:rPr>
                <w:rFonts w:ascii="Times New Roman" w:hAnsi="Times New Roman"/>
                <w:sz w:val="18"/>
              </w:rPr>
            </w:pPr>
            <w:r>
              <w:rPr>
                <w:rFonts w:ascii="Times New Roman" w:hAnsi="Times New Roman"/>
                <w:sz w:val="18"/>
              </w:rPr>
              <w:t>E2□</w:t>
            </w:r>
          </w:p>
        </w:tc>
        <w:tc>
          <w:tcPr>
            <w:tcW w:w="1569" w:type="dxa"/>
            <w:gridSpan w:val="4"/>
          </w:tcPr>
          <w:p>
            <w:pPr>
              <w:pStyle w:val="18"/>
              <w:spacing w:before="67"/>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8"/>
              <w:spacing w:before="55"/>
              <w:ind w:left="121" w:right="114"/>
              <w:rPr>
                <w:sz w:val="18"/>
              </w:rPr>
            </w:pPr>
            <w:r>
              <w:rPr>
                <w:sz w:val="18"/>
              </w:rPr>
              <w:t>地下水</w:t>
            </w:r>
          </w:p>
        </w:tc>
        <w:tc>
          <w:tcPr>
            <w:tcW w:w="2174" w:type="dxa"/>
            <w:gridSpan w:val="7"/>
          </w:tcPr>
          <w:p>
            <w:pPr>
              <w:pStyle w:val="18"/>
              <w:spacing w:before="65"/>
              <w:ind w:left="786" w:right="778"/>
              <w:rPr>
                <w:rFonts w:ascii="Times New Roman" w:hAnsi="Times New Roman"/>
                <w:sz w:val="18"/>
              </w:rPr>
            </w:pPr>
            <w:r>
              <w:rPr>
                <w:rFonts w:ascii="Times New Roman" w:hAnsi="Times New Roman"/>
                <w:sz w:val="18"/>
              </w:rPr>
              <w:t>E1□</w:t>
            </w:r>
          </w:p>
        </w:tc>
        <w:tc>
          <w:tcPr>
            <w:tcW w:w="1851" w:type="dxa"/>
            <w:gridSpan w:val="6"/>
          </w:tcPr>
          <w:p>
            <w:pPr>
              <w:pStyle w:val="18"/>
              <w:spacing w:before="65"/>
              <w:ind w:left="622" w:right="617"/>
              <w:rPr>
                <w:rFonts w:ascii="Times New Roman" w:hAnsi="Times New Roman"/>
                <w:sz w:val="18"/>
              </w:rPr>
            </w:pPr>
            <w:r>
              <w:rPr>
                <w:rFonts w:ascii="Times New Roman" w:hAnsi="Times New Roman"/>
                <w:sz w:val="18"/>
              </w:rPr>
              <w:t>E2□</w:t>
            </w:r>
          </w:p>
        </w:tc>
        <w:tc>
          <w:tcPr>
            <w:tcW w:w="1569" w:type="dxa"/>
            <w:gridSpan w:val="4"/>
          </w:tcPr>
          <w:p>
            <w:pPr>
              <w:pStyle w:val="18"/>
              <w:spacing w:before="65"/>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8"/>
              <w:spacing w:before="56"/>
              <w:ind w:left="238"/>
              <w:jc w:val="left"/>
              <w:rPr>
                <w:sz w:val="18"/>
              </w:rPr>
            </w:pPr>
            <w:r>
              <w:rPr>
                <w:sz w:val="18"/>
              </w:rPr>
              <w:t>环境风险潜势</w:t>
            </w:r>
          </w:p>
        </w:tc>
        <w:tc>
          <w:tcPr>
            <w:tcW w:w="1368" w:type="dxa"/>
          </w:tcPr>
          <w:p>
            <w:pPr>
              <w:pStyle w:val="18"/>
              <w:spacing w:before="56"/>
              <w:ind w:left="123" w:right="113"/>
              <w:rPr>
                <w:rFonts w:ascii="Times New Roman" w:hAnsi="Times New Roman"/>
                <w:sz w:val="18"/>
              </w:rPr>
            </w:pPr>
            <w:r>
              <w:rPr>
                <w:sz w:val="18"/>
              </w:rPr>
              <w:t>Ⅳ</w:t>
            </w:r>
            <w:r>
              <w:rPr>
                <w:rFonts w:ascii="Times New Roman" w:hAnsi="Times New Roman"/>
                <w:position w:val="6"/>
                <w:sz w:val="11"/>
              </w:rPr>
              <w:t>+</w:t>
            </w:r>
            <w:r>
              <w:rPr>
                <w:rFonts w:ascii="Times New Roman" w:hAnsi="Times New Roman"/>
                <w:sz w:val="18"/>
              </w:rPr>
              <w:t>□</w:t>
            </w:r>
          </w:p>
        </w:tc>
        <w:tc>
          <w:tcPr>
            <w:tcW w:w="1430" w:type="dxa"/>
            <w:gridSpan w:val="4"/>
          </w:tcPr>
          <w:p>
            <w:pPr>
              <w:pStyle w:val="18"/>
              <w:spacing w:before="56"/>
              <w:ind w:left="504" w:right="496"/>
              <w:rPr>
                <w:rFonts w:ascii="Times New Roman" w:hAnsi="Times New Roman"/>
                <w:sz w:val="18"/>
              </w:rPr>
            </w:pPr>
            <w:r>
              <w:rPr>
                <w:sz w:val="18"/>
              </w:rPr>
              <w:t>Ⅳ</w:t>
            </w:r>
            <w:r>
              <w:rPr>
                <w:rFonts w:ascii="Times New Roman" w:hAnsi="Times New Roman"/>
                <w:sz w:val="18"/>
              </w:rPr>
              <w:t>□</w:t>
            </w:r>
          </w:p>
        </w:tc>
        <w:tc>
          <w:tcPr>
            <w:tcW w:w="1482" w:type="dxa"/>
            <w:gridSpan w:val="5"/>
          </w:tcPr>
          <w:p>
            <w:pPr>
              <w:pStyle w:val="18"/>
              <w:spacing w:before="56"/>
              <w:ind w:left="530" w:right="521"/>
              <w:rPr>
                <w:rFonts w:ascii="Times New Roman" w:hAnsi="Times New Roman"/>
                <w:sz w:val="18"/>
              </w:rPr>
            </w:pPr>
            <w:r>
              <w:rPr>
                <w:sz w:val="18"/>
              </w:rPr>
              <w:t>Ⅲ</w:t>
            </w:r>
            <w:r>
              <w:rPr>
                <w:rFonts w:ascii="Times New Roman" w:hAnsi="Times New Roman"/>
                <w:sz w:val="18"/>
              </w:rPr>
              <w:t>□</w:t>
            </w:r>
          </w:p>
        </w:tc>
        <w:tc>
          <w:tcPr>
            <w:tcW w:w="1482" w:type="dxa"/>
            <w:gridSpan w:val="6"/>
          </w:tcPr>
          <w:p>
            <w:pPr>
              <w:pStyle w:val="18"/>
              <w:spacing w:before="56"/>
              <w:ind w:left="529" w:right="522"/>
              <w:rPr>
                <w:rFonts w:ascii="Times New Roman" w:hAnsi="Times New Roman"/>
                <w:sz w:val="18"/>
              </w:rPr>
            </w:pPr>
            <w:r>
              <w:rPr>
                <w:sz w:val="18"/>
              </w:rPr>
              <w:t>Ⅱ</w:t>
            </w:r>
            <w:r>
              <w:rPr>
                <w:rFonts w:ascii="Times New Roman" w:hAnsi="Times New Roman"/>
                <w:sz w:val="18"/>
              </w:rPr>
              <w:t>□</w:t>
            </w:r>
          </w:p>
        </w:tc>
        <w:tc>
          <w:tcPr>
            <w:tcW w:w="1200" w:type="dxa"/>
            <w:gridSpan w:val="2"/>
          </w:tcPr>
          <w:p>
            <w:pPr>
              <w:pStyle w:val="18"/>
              <w:spacing w:before="53"/>
              <w:ind w:left="436" w:right="428"/>
              <w:rPr>
                <w:rFonts w:ascii="MS UI Gothic" w:hAnsi="MS UI Gothic"/>
                <w:sz w:val="18"/>
              </w:rPr>
            </w:pPr>
            <w:r>
              <w:rPr>
                <w:rFonts w:ascii="Times New Roman" w:hAnsi="Times New Roman"/>
                <w:sz w:val="18"/>
              </w:rPr>
              <w:t>I</w:t>
            </w:r>
            <w:r>
              <w:rPr>
                <w:rFonts w:ascii="MS UI Gothic" w:hAnsi="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8"/>
              <w:spacing w:before="54"/>
              <w:ind w:left="418"/>
              <w:jc w:val="left"/>
              <w:rPr>
                <w:sz w:val="18"/>
              </w:rPr>
            </w:pPr>
            <w:r>
              <w:rPr>
                <w:sz w:val="18"/>
              </w:rPr>
              <w:t>评价等级</w:t>
            </w:r>
          </w:p>
        </w:tc>
        <w:tc>
          <w:tcPr>
            <w:tcW w:w="1368" w:type="dxa"/>
          </w:tcPr>
          <w:p>
            <w:pPr>
              <w:pStyle w:val="18"/>
              <w:spacing w:before="54"/>
              <w:ind w:left="123" w:right="113"/>
              <w:rPr>
                <w:rFonts w:ascii="Times New Roman" w:hAnsi="Times New Roman" w:eastAsia="Times New Roman"/>
                <w:sz w:val="18"/>
              </w:rPr>
            </w:pPr>
            <w:r>
              <w:rPr>
                <w:sz w:val="18"/>
              </w:rPr>
              <w:t>一级</w:t>
            </w:r>
            <w:r>
              <w:rPr>
                <w:rFonts w:ascii="Times New Roman" w:hAnsi="Times New Roman" w:eastAsia="Times New Roman"/>
                <w:sz w:val="18"/>
              </w:rPr>
              <w:t>□</w:t>
            </w:r>
          </w:p>
        </w:tc>
        <w:tc>
          <w:tcPr>
            <w:tcW w:w="2174" w:type="dxa"/>
            <w:gridSpan w:val="7"/>
          </w:tcPr>
          <w:p>
            <w:pPr>
              <w:pStyle w:val="18"/>
              <w:spacing w:before="54"/>
              <w:ind w:left="786" w:right="778"/>
              <w:rPr>
                <w:rFonts w:ascii="Times New Roman" w:hAnsi="Times New Roman" w:eastAsia="Times New Roman"/>
                <w:sz w:val="18"/>
              </w:rPr>
            </w:pPr>
            <w:r>
              <w:rPr>
                <w:sz w:val="18"/>
              </w:rPr>
              <w:t>二级</w:t>
            </w:r>
            <w:r>
              <w:rPr>
                <w:rFonts w:ascii="Times New Roman" w:hAnsi="Times New Roman" w:eastAsia="Times New Roman"/>
                <w:sz w:val="18"/>
              </w:rPr>
              <w:t>□</w:t>
            </w:r>
          </w:p>
        </w:tc>
        <w:tc>
          <w:tcPr>
            <w:tcW w:w="1851" w:type="dxa"/>
            <w:gridSpan w:val="6"/>
          </w:tcPr>
          <w:p>
            <w:pPr>
              <w:pStyle w:val="18"/>
              <w:spacing w:before="54"/>
              <w:ind w:left="625" w:right="617"/>
              <w:rPr>
                <w:rFonts w:ascii="Times New Roman" w:hAnsi="Times New Roman" w:eastAsia="Times New Roman"/>
                <w:sz w:val="18"/>
              </w:rPr>
            </w:pPr>
            <w:r>
              <w:rPr>
                <w:sz w:val="18"/>
              </w:rPr>
              <w:t>三级</w:t>
            </w:r>
            <w:r>
              <w:rPr>
                <w:rFonts w:ascii="Times New Roman" w:hAnsi="Times New Roman" w:eastAsia="Times New Roman"/>
                <w:sz w:val="18"/>
              </w:rPr>
              <w:t>□</w:t>
            </w:r>
          </w:p>
        </w:tc>
        <w:tc>
          <w:tcPr>
            <w:tcW w:w="1569" w:type="dxa"/>
            <w:gridSpan w:val="4"/>
          </w:tcPr>
          <w:p>
            <w:pPr>
              <w:pStyle w:val="18"/>
              <w:spacing w:before="54"/>
              <w:ind w:left="287"/>
              <w:jc w:val="left"/>
              <w:rPr>
                <w:rFonts w:hint="eastAsia" w:ascii="MS UI Gothic" w:hAnsi="MS UI Gothic" w:eastAsia="MS UI Gothic"/>
                <w:sz w:val="18"/>
              </w:rPr>
            </w:pPr>
            <w:r>
              <w:rPr>
                <w:sz w:val="18"/>
              </w:rPr>
              <w:t>简单分析</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8" w:type="dxa"/>
            <w:vMerge w:val="restart"/>
          </w:tcPr>
          <w:p>
            <w:pPr>
              <w:pStyle w:val="18"/>
              <w:spacing w:before="2"/>
              <w:jc w:val="left"/>
              <w:rPr>
                <w:b/>
                <w:sz w:val="17"/>
              </w:rPr>
            </w:pPr>
          </w:p>
          <w:p>
            <w:pPr>
              <w:pStyle w:val="18"/>
              <w:spacing w:line="324" w:lineRule="auto"/>
              <w:ind w:left="219" w:right="206"/>
              <w:jc w:val="both"/>
              <w:rPr>
                <w:sz w:val="18"/>
              </w:rPr>
            </w:pPr>
            <w:r>
              <w:rPr>
                <w:sz w:val="18"/>
              </w:rPr>
              <w:t>风险识别</w:t>
            </w:r>
          </w:p>
        </w:tc>
        <w:tc>
          <w:tcPr>
            <w:tcW w:w="941" w:type="dxa"/>
          </w:tcPr>
          <w:p>
            <w:pPr>
              <w:pStyle w:val="18"/>
              <w:spacing w:before="40"/>
              <w:ind w:left="90" w:right="81"/>
              <w:rPr>
                <w:sz w:val="18"/>
              </w:rPr>
            </w:pPr>
            <w:r>
              <w:rPr>
                <w:sz w:val="18"/>
              </w:rPr>
              <w:t>物质危险</w:t>
            </w:r>
          </w:p>
          <w:p>
            <w:pPr>
              <w:pStyle w:val="18"/>
              <w:spacing w:before="81"/>
              <w:ind w:left="7"/>
              <w:rPr>
                <w:sz w:val="18"/>
              </w:rPr>
            </w:pPr>
            <w:r>
              <w:rPr>
                <w:sz w:val="18"/>
              </w:rPr>
              <w:t>性</w:t>
            </w:r>
          </w:p>
        </w:tc>
        <w:tc>
          <w:tcPr>
            <w:tcW w:w="3542" w:type="dxa"/>
            <w:gridSpan w:val="8"/>
          </w:tcPr>
          <w:p>
            <w:pPr>
              <w:pStyle w:val="18"/>
              <w:spacing w:before="3"/>
              <w:jc w:val="left"/>
              <w:rPr>
                <w:b/>
                <w:sz w:val="15"/>
              </w:rPr>
            </w:pPr>
          </w:p>
          <w:p>
            <w:pPr>
              <w:pStyle w:val="18"/>
              <w:spacing w:before="1"/>
              <w:ind w:left="1290" w:right="1282"/>
              <w:rPr>
                <w:rFonts w:ascii="Times New Roman" w:hAnsi="Times New Roman" w:eastAsia="Times New Roman"/>
                <w:sz w:val="18"/>
              </w:rPr>
            </w:pPr>
            <w:r>
              <w:rPr>
                <w:sz w:val="18"/>
              </w:rPr>
              <w:t>有毒有害</w:t>
            </w:r>
            <w:r>
              <w:rPr>
                <w:rFonts w:ascii="Times New Roman" w:hAnsi="Times New Roman" w:eastAsia="Times New Roman"/>
                <w:sz w:val="18"/>
              </w:rPr>
              <w:t>□</w:t>
            </w:r>
          </w:p>
        </w:tc>
        <w:tc>
          <w:tcPr>
            <w:tcW w:w="3420" w:type="dxa"/>
            <w:gridSpan w:val="10"/>
          </w:tcPr>
          <w:p>
            <w:pPr>
              <w:pStyle w:val="18"/>
              <w:spacing w:before="3"/>
              <w:jc w:val="left"/>
              <w:rPr>
                <w:b/>
                <w:sz w:val="15"/>
              </w:rPr>
            </w:pPr>
          </w:p>
          <w:p>
            <w:pPr>
              <w:pStyle w:val="18"/>
              <w:spacing w:before="1"/>
              <w:ind w:left="1229" w:right="1221"/>
              <w:rPr>
                <w:rFonts w:ascii="Times New Roman" w:hAnsi="Times New Roman" w:eastAsia="Times New Roman"/>
                <w:sz w:val="18"/>
              </w:rPr>
            </w:pPr>
            <w:r>
              <w:rPr>
                <w:sz w:val="18"/>
              </w:rPr>
              <w:t>易燃易爆</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8" w:type="dxa"/>
            <w:vMerge w:val="continue"/>
            <w:tcBorders>
              <w:top w:val="nil"/>
            </w:tcBorders>
          </w:tcPr>
          <w:p>
            <w:pPr>
              <w:rPr>
                <w:sz w:val="2"/>
                <w:szCs w:val="2"/>
              </w:rPr>
            </w:pPr>
          </w:p>
        </w:tc>
        <w:tc>
          <w:tcPr>
            <w:tcW w:w="941" w:type="dxa"/>
          </w:tcPr>
          <w:p>
            <w:pPr>
              <w:pStyle w:val="18"/>
              <w:spacing w:before="42"/>
              <w:ind w:left="90" w:right="81"/>
              <w:rPr>
                <w:sz w:val="18"/>
              </w:rPr>
            </w:pPr>
            <w:r>
              <w:rPr>
                <w:sz w:val="18"/>
              </w:rPr>
              <w:t>环境风险</w:t>
            </w:r>
          </w:p>
          <w:p>
            <w:pPr>
              <w:pStyle w:val="18"/>
              <w:spacing w:before="81"/>
              <w:ind w:left="90" w:right="81"/>
              <w:rPr>
                <w:sz w:val="18"/>
              </w:rPr>
            </w:pPr>
            <w:r>
              <w:rPr>
                <w:sz w:val="18"/>
              </w:rPr>
              <w:t>类型</w:t>
            </w:r>
          </w:p>
        </w:tc>
        <w:tc>
          <w:tcPr>
            <w:tcW w:w="3542" w:type="dxa"/>
            <w:gridSpan w:val="8"/>
          </w:tcPr>
          <w:p>
            <w:pPr>
              <w:pStyle w:val="18"/>
              <w:spacing w:before="5"/>
              <w:jc w:val="left"/>
              <w:rPr>
                <w:b/>
                <w:sz w:val="15"/>
              </w:rPr>
            </w:pPr>
          </w:p>
          <w:p>
            <w:pPr>
              <w:pStyle w:val="18"/>
              <w:spacing w:before="1"/>
              <w:ind w:left="1290" w:right="1282"/>
              <w:rPr>
                <w:rFonts w:ascii="Times New Roman" w:hAnsi="Times New Roman" w:eastAsia="Times New Roman"/>
                <w:sz w:val="18"/>
              </w:rPr>
            </w:pPr>
            <w:r>
              <w:rPr>
                <w:sz w:val="18"/>
              </w:rPr>
              <w:t>泄漏</w:t>
            </w:r>
            <w:r>
              <w:rPr>
                <w:rFonts w:ascii="Times New Roman" w:hAnsi="Times New Roman" w:eastAsia="Times New Roman"/>
                <w:sz w:val="18"/>
              </w:rPr>
              <w:t>□</w:t>
            </w:r>
          </w:p>
        </w:tc>
        <w:tc>
          <w:tcPr>
            <w:tcW w:w="3420" w:type="dxa"/>
            <w:gridSpan w:val="10"/>
          </w:tcPr>
          <w:p>
            <w:pPr>
              <w:pStyle w:val="18"/>
              <w:spacing w:before="5"/>
              <w:jc w:val="left"/>
              <w:rPr>
                <w:b/>
                <w:sz w:val="15"/>
              </w:rPr>
            </w:pPr>
          </w:p>
          <w:p>
            <w:pPr>
              <w:pStyle w:val="18"/>
              <w:spacing w:before="1"/>
              <w:ind w:left="144"/>
              <w:jc w:val="left"/>
              <w:rPr>
                <w:rFonts w:ascii="Times New Roman" w:hAnsi="Times New Roman" w:eastAsia="Times New Roman"/>
                <w:sz w:val="18"/>
              </w:rPr>
            </w:pPr>
            <w:r>
              <w:rPr>
                <w:sz w:val="18"/>
              </w:rPr>
              <w:t>火灾、爆炸引发伴生</w:t>
            </w:r>
            <w:r>
              <w:rPr>
                <w:rFonts w:ascii="Times New Roman" w:hAnsi="Times New Roman" w:eastAsia="Times New Roman"/>
                <w:sz w:val="18"/>
              </w:rPr>
              <w:t>/</w:t>
            </w:r>
            <w:r>
              <w:rPr>
                <w:sz w:val="18"/>
              </w:rPr>
              <w:t>次生污染物排放</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tcPr>
          <w:p>
            <w:pPr>
              <w:pStyle w:val="18"/>
              <w:spacing w:before="56"/>
              <w:ind w:left="90" w:right="81"/>
              <w:rPr>
                <w:sz w:val="18"/>
              </w:rPr>
            </w:pPr>
            <w:r>
              <w:rPr>
                <w:sz w:val="18"/>
              </w:rPr>
              <w:t>影响途径</w:t>
            </w:r>
          </w:p>
        </w:tc>
        <w:tc>
          <w:tcPr>
            <w:tcW w:w="2469" w:type="dxa"/>
            <w:gridSpan w:val="3"/>
          </w:tcPr>
          <w:p>
            <w:pPr>
              <w:pStyle w:val="18"/>
              <w:spacing w:before="56"/>
              <w:ind w:left="934" w:right="926"/>
              <w:rPr>
                <w:rFonts w:ascii="Times New Roman" w:hAnsi="Times New Roman" w:eastAsia="Times New Roman"/>
                <w:sz w:val="18"/>
              </w:rPr>
            </w:pPr>
            <w:r>
              <w:rPr>
                <w:sz w:val="18"/>
              </w:rPr>
              <w:t>大气</w:t>
            </w:r>
            <w:r>
              <w:rPr>
                <w:rFonts w:ascii="Times New Roman" w:hAnsi="Times New Roman" w:eastAsia="Times New Roman"/>
                <w:sz w:val="18"/>
              </w:rPr>
              <w:t>□</w:t>
            </w:r>
          </w:p>
        </w:tc>
        <w:tc>
          <w:tcPr>
            <w:tcW w:w="2634" w:type="dxa"/>
            <w:gridSpan w:val="10"/>
          </w:tcPr>
          <w:p>
            <w:pPr>
              <w:pStyle w:val="18"/>
              <w:spacing w:before="56"/>
              <w:ind w:left="926" w:right="919"/>
              <w:rPr>
                <w:rFonts w:ascii="Times New Roman" w:hAnsi="Times New Roman" w:eastAsia="Times New Roman"/>
                <w:sz w:val="18"/>
              </w:rPr>
            </w:pPr>
            <w:r>
              <w:rPr>
                <w:sz w:val="18"/>
              </w:rPr>
              <w:t>地表水</w:t>
            </w:r>
            <w:r>
              <w:rPr>
                <w:rFonts w:ascii="Times New Roman" w:hAnsi="Times New Roman" w:eastAsia="Times New Roman"/>
                <w:sz w:val="18"/>
              </w:rPr>
              <w:t>□</w:t>
            </w:r>
          </w:p>
        </w:tc>
        <w:tc>
          <w:tcPr>
            <w:tcW w:w="1859" w:type="dxa"/>
            <w:gridSpan w:val="5"/>
          </w:tcPr>
          <w:p>
            <w:pPr>
              <w:pStyle w:val="18"/>
              <w:spacing w:before="56"/>
              <w:ind w:left="558"/>
              <w:jc w:val="left"/>
              <w:rPr>
                <w:rFonts w:ascii="Times New Roman" w:hAnsi="Times New Roman" w:eastAsia="Times New Roman"/>
                <w:sz w:val="18"/>
              </w:rPr>
            </w:pPr>
            <w:r>
              <w:rPr>
                <w:sz w:val="18"/>
              </w:rPr>
              <w:t>地下水</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8"/>
              <w:spacing w:before="54"/>
              <w:ind w:left="238"/>
              <w:jc w:val="left"/>
              <w:rPr>
                <w:sz w:val="18"/>
              </w:rPr>
            </w:pPr>
            <w:r>
              <w:rPr>
                <w:sz w:val="18"/>
              </w:rPr>
              <w:t>事故情形分析</w:t>
            </w:r>
          </w:p>
        </w:tc>
        <w:tc>
          <w:tcPr>
            <w:tcW w:w="1368" w:type="dxa"/>
          </w:tcPr>
          <w:p>
            <w:pPr>
              <w:pStyle w:val="18"/>
              <w:spacing w:before="54"/>
              <w:ind w:left="123" w:right="114"/>
              <w:rPr>
                <w:sz w:val="18"/>
              </w:rPr>
            </w:pPr>
            <w:r>
              <w:rPr>
                <w:sz w:val="18"/>
              </w:rPr>
              <w:t>源强设定方法</w:t>
            </w:r>
          </w:p>
        </w:tc>
        <w:tc>
          <w:tcPr>
            <w:tcW w:w="1835" w:type="dxa"/>
            <w:gridSpan w:val="5"/>
          </w:tcPr>
          <w:p>
            <w:pPr>
              <w:pStyle w:val="18"/>
              <w:spacing w:before="54"/>
              <w:ind w:left="537"/>
              <w:jc w:val="left"/>
              <w:rPr>
                <w:rFonts w:ascii="Times New Roman" w:hAnsi="Times New Roman" w:eastAsia="Times New Roman"/>
                <w:sz w:val="18"/>
              </w:rPr>
            </w:pPr>
            <w:r>
              <w:rPr>
                <w:sz w:val="18"/>
              </w:rPr>
              <w:t>计算法</w:t>
            </w:r>
            <w:r>
              <w:rPr>
                <w:rFonts w:ascii="Times New Roman" w:hAnsi="Times New Roman" w:eastAsia="Times New Roman"/>
                <w:sz w:val="18"/>
              </w:rPr>
              <w:t>□</w:t>
            </w:r>
          </w:p>
        </w:tc>
        <w:tc>
          <w:tcPr>
            <w:tcW w:w="2355" w:type="dxa"/>
            <w:gridSpan w:val="9"/>
          </w:tcPr>
          <w:p>
            <w:pPr>
              <w:pStyle w:val="18"/>
              <w:spacing w:before="54"/>
              <w:ind w:left="617"/>
              <w:jc w:val="left"/>
              <w:rPr>
                <w:rFonts w:ascii="Times New Roman" w:hAnsi="Times New Roman" w:eastAsia="Times New Roman"/>
                <w:sz w:val="18"/>
              </w:rPr>
            </w:pPr>
            <w:r>
              <w:rPr>
                <w:sz w:val="18"/>
              </w:rPr>
              <w:t>经验估算法</w:t>
            </w:r>
            <w:r>
              <w:rPr>
                <w:rFonts w:ascii="Times New Roman" w:hAnsi="Times New Roman" w:eastAsia="Times New Roman"/>
                <w:sz w:val="18"/>
              </w:rPr>
              <w:t>□</w:t>
            </w:r>
          </w:p>
        </w:tc>
        <w:tc>
          <w:tcPr>
            <w:tcW w:w="1404" w:type="dxa"/>
            <w:gridSpan w:val="3"/>
          </w:tcPr>
          <w:p>
            <w:pPr>
              <w:pStyle w:val="18"/>
              <w:spacing w:before="54"/>
              <w:ind w:left="151"/>
              <w:jc w:val="left"/>
              <w:rPr>
                <w:rFonts w:ascii="Times New Roman" w:hAnsi="Times New Roman" w:eastAsia="Times New Roman"/>
                <w:sz w:val="18"/>
              </w:rPr>
            </w:pPr>
            <w:r>
              <w:rPr>
                <w:sz w:val="18"/>
              </w:rPr>
              <w:t>其他估算法</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restart"/>
          </w:tcPr>
          <w:p>
            <w:pPr>
              <w:pStyle w:val="18"/>
              <w:jc w:val="left"/>
              <w:rPr>
                <w:b/>
                <w:sz w:val="18"/>
              </w:rPr>
            </w:pPr>
          </w:p>
          <w:p>
            <w:pPr>
              <w:pStyle w:val="18"/>
              <w:spacing w:before="1"/>
              <w:jc w:val="left"/>
              <w:rPr>
                <w:b/>
                <w:sz w:val="18"/>
              </w:rPr>
            </w:pPr>
          </w:p>
          <w:p>
            <w:pPr>
              <w:pStyle w:val="18"/>
              <w:spacing w:line="324" w:lineRule="auto"/>
              <w:ind w:left="128" w:right="117"/>
              <w:jc w:val="both"/>
              <w:rPr>
                <w:sz w:val="18"/>
              </w:rPr>
            </w:pPr>
            <w:r>
              <w:rPr>
                <w:sz w:val="18"/>
              </w:rPr>
              <w:t>风险预测与评价</w:t>
            </w:r>
          </w:p>
        </w:tc>
        <w:tc>
          <w:tcPr>
            <w:tcW w:w="941" w:type="dxa"/>
            <w:vMerge w:val="restart"/>
          </w:tcPr>
          <w:p>
            <w:pPr>
              <w:pStyle w:val="18"/>
              <w:jc w:val="left"/>
              <w:rPr>
                <w:b/>
                <w:sz w:val="18"/>
              </w:rPr>
            </w:pPr>
          </w:p>
          <w:p>
            <w:pPr>
              <w:pStyle w:val="18"/>
              <w:spacing w:before="7"/>
              <w:jc w:val="left"/>
              <w:rPr>
                <w:b/>
                <w:sz w:val="13"/>
              </w:rPr>
            </w:pPr>
          </w:p>
          <w:p>
            <w:pPr>
              <w:pStyle w:val="18"/>
              <w:ind w:left="290"/>
              <w:jc w:val="left"/>
              <w:rPr>
                <w:sz w:val="18"/>
              </w:rPr>
            </w:pPr>
            <w:r>
              <w:rPr>
                <w:sz w:val="18"/>
              </w:rPr>
              <w:t>大气</w:t>
            </w:r>
          </w:p>
        </w:tc>
        <w:tc>
          <w:tcPr>
            <w:tcW w:w="1368" w:type="dxa"/>
          </w:tcPr>
          <w:p>
            <w:pPr>
              <w:pStyle w:val="18"/>
              <w:spacing w:before="54"/>
              <w:ind w:left="123" w:right="114"/>
              <w:rPr>
                <w:sz w:val="18"/>
              </w:rPr>
            </w:pPr>
            <w:r>
              <w:rPr>
                <w:sz w:val="18"/>
              </w:rPr>
              <w:t>预测模型</w:t>
            </w:r>
          </w:p>
        </w:tc>
        <w:tc>
          <w:tcPr>
            <w:tcW w:w="1835" w:type="dxa"/>
            <w:gridSpan w:val="5"/>
          </w:tcPr>
          <w:p>
            <w:pPr>
              <w:pStyle w:val="18"/>
              <w:spacing w:before="66"/>
              <w:ind w:left="599"/>
              <w:jc w:val="left"/>
              <w:rPr>
                <w:rFonts w:ascii="Times New Roman" w:hAnsi="Times New Roman"/>
                <w:sz w:val="18"/>
              </w:rPr>
            </w:pPr>
            <w:r>
              <w:rPr>
                <w:rFonts w:ascii="Times New Roman" w:hAnsi="Times New Roman"/>
                <w:sz w:val="18"/>
              </w:rPr>
              <w:t>SLAB□</w:t>
            </w:r>
          </w:p>
        </w:tc>
        <w:tc>
          <w:tcPr>
            <w:tcW w:w="2355" w:type="dxa"/>
            <w:gridSpan w:val="9"/>
          </w:tcPr>
          <w:p>
            <w:pPr>
              <w:pStyle w:val="18"/>
              <w:spacing w:before="66"/>
              <w:ind w:left="772" w:right="779"/>
              <w:rPr>
                <w:rFonts w:ascii="Times New Roman" w:hAnsi="Times New Roman"/>
                <w:sz w:val="18"/>
              </w:rPr>
            </w:pPr>
            <w:r>
              <w:rPr>
                <w:rFonts w:ascii="Times New Roman" w:hAnsi="Times New Roman"/>
                <w:sz w:val="18"/>
              </w:rPr>
              <w:t>AFTOX□</w:t>
            </w:r>
          </w:p>
        </w:tc>
        <w:tc>
          <w:tcPr>
            <w:tcW w:w="1404" w:type="dxa"/>
            <w:gridSpan w:val="3"/>
          </w:tcPr>
          <w:p>
            <w:pPr>
              <w:pStyle w:val="18"/>
              <w:spacing w:before="54"/>
              <w:ind w:left="422"/>
              <w:jc w:val="left"/>
              <w:rPr>
                <w:rFonts w:ascii="Times New Roman" w:hAnsi="Times New Roman" w:eastAsia="Times New Roman"/>
                <w:sz w:val="18"/>
              </w:rPr>
            </w:pPr>
            <w:r>
              <w:rPr>
                <w:sz w:val="18"/>
              </w:rPr>
              <w:t>其他</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8"/>
              <w:spacing w:before="12"/>
              <w:jc w:val="left"/>
              <w:rPr>
                <w:b/>
                <w:sz w:val="17"/>
              </w:rPr>
            </w:pPr>
          </w:p>
          <w:p>
            <w:pPr>
              <w:pStyle w:val="18"/>
              <w:ind w:left="323"/>
              <w:jc w:val="left"/>
              <w:rPr>
                <w:sz w:val="18"/>
              </w:rPr>
            </w:pPr>
            <w:r>
              <w:rPr>
                <w:sz w:val="18"/>
              </w:rPr>
              <w:t>预测结果</w:t>
            </w:r>
          </w:p>
        </w:tc>
        <w:tc>
          <w:tcPr>
            <w:tcW w:w="5594" w:type="dxa"/>
            <w:gridSpan w:val="17"/>
          </w:tcPr>
          <w:p>
            <w:pPr>
              <w:pStyle w:val="18"/>
              <w:tabs>
                <w:tab w:val="left" w:pos="4331"/>
              </w:tabs>
              <w:spacing w:before="55"/>
              <w:ind w:left="1120"/>
              <w:jc w:val="left"/>
              <w:rPr>
                <w:rFonts w:ascii="Times New Roman" w:eastAsia="Times New Roman"/>
                <w:sz w:val="18"/>
              </w:rPr>
            </w:pPr>
            <w:r>
              <w:rPr>
                <w:sz w:val="18"/>
              </w:rPr>
              <w:t>大气毒性终点浓度</w:t>
            </w:r>
            <w:r>
              <w:rPr>
                <w:rFonts w:ascii="Times New Roman" w:eastAsia="Times New Roman"/>
                <w:sz w:val="18"/>
              </w:rPr>
              <w:t>-1</w:t>
            </w:r>
            <w:r>
              <w:rPr>
                <w:sz w:val="18"/>
              </w:rPr>
              <w:t>最大影响范围</w:t>
            </w:r>
            <w:r>
              <w:rPr>
                <w:sz w:val="18"/>
                <w:u w:val="single"/>
              </w:rPr>
              <w:tab/>
            </w:r>
            <w:r>
              <w:rPr>
                <w:rFonts w:ascii="Times New Roman" w:eastAsia="Times New Roman"/>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5594" w:type="dxa"/>
            <w:gridSpan w:val="17"/>
          </w:tcPr>
          <w:p>
            <w:pPr>
              <w:pStyle w:val="18"/>
              <w:tabs>
                <w:tab w:val="left" w:pos="4331"/>
              </w:tabs>
              <w:spacing w:before="55"/>
              <w:ind w:left="1120"/>
              <w:jc w:val="left"/>
              <w:rPr>
                <w:rFonts w:ascii="Times New Roman" w:eastAsia="Times New Roman"/>
                <w:sz w:val="18"/>
              </w:rPr>
            </w:pPr>
            <w:r>
              <w:rPr>
                <w:sz w:val="18"/>
              </w:rPr>
              <w:t>大气毒性终点浓度</w:t>
            </w:r>
            <w:r>
              <w:rPr>
                <w:rFonts w:ascii="Times New Roman" w:eastAsia="Times New Roman"/>
                <w:sz w:val="18"/>
              </w:rPr>
              <w:t>-2</w:t>
            </w:r>
            <w:r>
              <w:rPr>
                <w:sz w:val="18"/>
              </w:rPr>
              <w:t>最大影响范围</w:t>
            </w:r>
            <w:r>
              <w:rPr>
                <w:sz w:val="18"/>
                <w:u w:val="single"/>
              </w:rPr>
              <w:tab/>
            </w:r>
            <w:r>
              <w:rPr>
                <w:rFonts w:ascii="Times New Roman" w:eastAsia="Times New Roman"/>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tcPr>
          <w:p>
            <w:pPr>
              <w:pStyle w:val="18"/>
              <w:spacing w:before="55"/>
              <w:ind w:left="88" w:right="81"/>
              <w:rPr>
                <w:sz w:val="18"/>
              </w:rPr>
            </w:pPr>
            <w:r>
              <w:rPr>
                <w:sz w:val="18"/>
              </w:rPr>
              <w:t>地表水</w:t>
            </w:r>
          </w:p>
        </w:tc>
        <w:tc>
          <w:tcPr>
            <w:tcW w:w="6962" w:type="dxa"/>
            <w:gridSpan w:val="18"/>
          </w:tcPr>
          <w:p>
            <w:pPr>
              <w:pStyle w:val="18"/>
              <w:tabs>
                <w:tab w:val="left" w:pos="3705"/>
                <w:tab w:val="left" w:pos="5145"/>
              </w:tabs>
              <w:spacing w:before="55"/>
              <w:ind w:left="1725"/>
              <w:jc w:val="left"/>
              <w:rPr>
                <w:rFonts w:ascii="Times New Roman" w:eastAsia="Times New Roman"/>
                <w:sz w:val="18"/>
              </w:rPr>
            </w:pPr>
            <w:r>
              <w:rPr>
                <w:sz w:val="18"/>
              </w:rPr>
              <w:t>最近环境敏感目标</w:t>
            </w:r>
            <w:r>
              <w:rPr>
                <w:sz w:val="18"/>
                <w:u w:val="single"/>
              </w:rPr>
              <w:tab/>
            </w:r>
            <w:r>
              <w:rPr>
                <w:sz w:val="18"/>
              </w:rPr>
              <w:t>，到达时间</w:t>
            </w:r>
            <w:r>
              <w:rPr>
                <w:sz w:val="18"/>
                <w:u w:val="single"/>
              </w:rPr>
              <w:tab/>
            </w:r>
            <w:r>
              <w:rPr>
                <w:rFonts w:ascii="Times New Roman" w:eastAsia="Times New Roman"/>
                <w:sz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restart"/>
          </w:tcPr>
          <w:p>
            <w:pPr>
              <w:pStyle w:val="18"/>
              <w:jc w:val="left"/>
              <w:rPr>
                <w:b/>
                <w:sz w:val="18"/>
              </w:rPr>
            </w:pPr>
          </w:p>
          <w:p>
            <w:pPr>
              <w:pStyle w:val="18"/>
              <w:ind w:left="199"/>
              <w:jc w:val="left"/>
              <w:rPr>
                <w:sz w:val="18"/>
              </w:rPr>
            </w:pPr>
            <w:r>
              <w:rPr>
                <w:sz w:val="18"/>
              </w:rPr>
              <w:t>地下水</w:t>
            </w:r>
          </w:p>
        </w:tc>
        <w:tc>
          <w:tcPr>
            <w:tcW w:w="6962" w:type="dxa"/>
            <w:gridSpan w:val="18"/>
          </w:tcPr>
          <w:p>
            <w:pPr>
              <w:pStyle w:val="18"/>
              <w:tabs>
                <w:tab w:val="left" w:pos="2348"/>
              </w:tabs>
              <w:spacing w:before="56"/>
              <w:ind w:left="8"/>
              <w:rPr>
                <w:rFonts w:ascii="Times New Roman" w:eastAsia="Times New Roman"/>
                <w:sz w:val="18"/>
              </w:rPr>
            </w:pPr>
            <w:r>
              <w:rPr>
                <w:sz w:val="18"/>
              </w:rPr>
              <w:t>下游厂区边界到达时间</w:t>
            </w:r>
            <w:r>
              <w:rPr>
                <w:sz w:val="18"/>
                <w:u w:val="single"/>
              </w:rPr>
              <w:tab/>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962" w:type="dxa"/>
            <w:gridSpan w:val="18"/>
          </w:tcPr>
          <w:p>
            <w:pPr>
              <w:pStyle w:val="18"/>
              <w:tabs>
                <w:tab w:val="left" w:pos="3705"/>
                <w:tab w:val="left" w:pos="5145"/>
              </w:tabs>
              <w:spacing w:before="54"/>
              <w:ind w:left="1725"/>
              <w:jc w:val="left"/>
              <w:rPr>
                <w:rFonts w:ascii="Times New Roman" w:eastAsia="Times New Roman"/>
                <w:sz w:val="18"/>
              </w:rPr>
            </w:pPr>
            <w:r>
              <w:rPr>
                <w:sz w:val="18"/>
              </w:rPr>
              <w:t>最近环境敏感目标</w:t>
            </w:r>
            <w:r>
              <w:rPr>
                <w:sz w:val="18"/>
                <w:u w:val="single"/>
              </w:rPr>
              <w:tab/>
            </w:r>
            <w:r>
              <w:rPr>
                <w:sz w:val="18"/>
              </w:rPr>
              <w:t>，到达时间</w:t>
            </w:r>
            <w:r>
              <w:rPr>
                <w:sz w:val="18"/>
                <w:u w:val="single"/>
              </w:rPr>
              <w:tab/>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559" w:type="dxa"/>
            <w:gridSpan w:val="2"/>
          </w:tcPr>
          <w:p>
            <w:pPr>
              <w:pStyle w:val="18"/>
              <w:jc w:val="left"/>
              <w:rPr>
                <w:b/>
                <w:sz w:val="18"/>
              </w:rPr>
            </w:pPr>
          </w:p>
          <w:p>
            <w:pPr>
              <w:pStyle w:val="18"/>
              <w:jc w:val="left"/>
              <w:rPr>
                <w:b/>
                <w:sz w:val="18"/>
              </w:rPr>
            </w:pPr>
          </w:p>
          <w:p>
            <w:pPr>
              <w:pStyle w:val="18"/>
              <w:spacing w:before="10"/>
              <w:jc w:val="left"/>
              <w:rPr>
                <w:b/>
                <w:sz w:val="15"/>
              </w:rPr>
            </w:pPr>
          </w:p>
          <w:p>
            <w:pPr>
              <w:pStyle w:val="18"/>
              <w:spacing w:line="324" w:lineRule="auto"/>
              <w:ind w:left="106" w:right="96"/>
              <w:jc w:val="left"/>
              <w:rPr>
                <w:sz w:val="18"/>
              </w:rPr>
            </w:pPr>
            <w:r>
              <w:rPr>
                <w:sz w:val="18"/>
              </w:rPr>
              <w:t>重点风险防范措施</w:t>
            </w:r>
          </w:p>
        </w:tc>
        <w:tc>
          <w:tcPr>
            <w:tcW w:w="6962" w:type="dxa"/>
            <w:gridSpan w:val="18"/>
          </w:tcPr>
          <w:p>
            <w:pPr>
              <w:pStyle w:val="18"/>
              <w:spacing w:before="40" w:line="324" w:lineRule="auto"/>
              <w:ind w:left="107" w:right="95"/>
              <w:jc w:val="left"/>
              <w:rPr>
                <w:sz w:val="18"/>
              </w:rPr>
            </w:pPr>
            <w:r>
              <w:rPr>
                <w:sz w:val="18"/>
              </w:rPr>
              <w:t>疫病风险防范措施：建立的兽医综合防疫体系，环绕防疫体系，消毒防疫制度，并在育雏区和成羊区的各羊舍进出口分设净道、污道，平行布置，互不干扰，以利防疫。污染物泄漏风险防范措施：加强废水处理设施的维护和管理；加强施工质量，羊舍、堆肥厂、病死尸体无害化处理车间等采取相应防渗措施，在做好基层防渗的基础上进行水泥硬化；场区边界建设雨水截流沟、排水沟，及时拦截和导排雨水，减少废水产</w:t>
            </w:r>
          </w:p>
          <w:p>
            <w:pPr>
              <w:pStyle w:val="18"/>
              <w:spacing w:before="3"/>
              <w:ind w:left="107"/>
              <w:jc w:val="left"/>
              <w:rPr>
                <w:sz w:val="18"/>
              </w:rPr>
            </w:pPr>
            <w:r>
              <w:rPr>
                <w:sz w:val="18"/>
              </w:rPr>
              <w:t>生量，降低事故风险。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59" w:type="dxa"/>
            <w:gridSpan w:val="2"/>
          </w:tcPr>
          <w:p>
            <w:pPr>
              <w:pStyle w:val="18"/>
              <w:spacing w:before="5"/>
              <w:jc w:val="left"/>
              <w:rPr>
                <w:b/>
                <w:sz w:val="15"/>
              </w:rPr>
            </w:pPr>
          </w:p>
          <w:p>
            <w:pPr>
              <w:pStyle w:val="18"/>
              <w:spacing w:before="1"/>
              <w:ind w:left="147"/>
              <w:jc w:val="left"/>
              <w:rPr>
                <w:sz w:val="18"/>
              </w:rPr>
            </w:pPr>
            <w:r>
              <w:rPr>
                <w:sz w:val="18"/>
              </w:rPr>
              <w:t>评价结论与建议</w:t>
            </w:r>
          </w:p>
        </w:tc>
        <w:tc>
          <w:tcPr>
            <w:tcW w:w="6962" w:type="dxa"/>
            <w:gridSpan w:val="18"/>
          </w:tcPr>
          <w:p>
            <w:pPr>
              <w:pStyle w:val="18"/>
              <w:spacing w:before="42"/>
              <w:ind w:left="107"/>
              <w:jc w:val="left"/>
              <w:rPr>
                <w:sz w:val="18"/>
              </w:rPr>
            </w:pPr>
            <w:r>
              <w:rPr>
                <w:sz w:val="18"/>
              </w:rPr>
              <w:t>在采取了相应的环境风险防控措施，制定完善的突发环境事件应急预案并严格执行、</w:t>
            </w:r>
          </w:p>
          <w:p>
            <w:pPr>
              <w:pStyle w:val="18"/>
              <w:spacing w:before="81"/>
              <w:ind w:left="107"/>
              <w:jc w:val="left"/>
              <w:rPr>
                <w:sz w:val="18"/>
              </w:rPr>
            </w:pPr>
            <w:r>
              <w:rPr>
                <w:sz w:val="18"/>
              </w:rPr>
              <w:t>定期更新的前提下，项目环境风险在可接受的程度。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1" w:type="dxa"/>
            <w:gridSpan w:val="20"/>
          </w:tcPr>
          <w:p>
            <w:pPr>
              <w:pStyle w:val="18"/>
              <w:spacing w:before="56"/>
              <w:ind w:left="106"/>
              <w:jc w:val="left"/>
              <w:rPr>
                <w:sz w:val="18"/>
              </w:rPr>
            </w:pPr>
            <w:r>
              <w:rPr>
                <w:sz w:val="18"/>
              </w:rPr>
              <w:t>注：“</w:t>
            </w:r>
            <w:r>
              <w:rPr>
                <w:rFonts w:ascii="Times New Roman" w:hAnsi="Times New Roman" w:eastAsia="Times New Roman"/>
                <w:sz w:val="18"/>
              </w:rPr>
              <w:t>□</w:t>
            </w:r>
            <w:r>
              <w:rPr>
                <w:sz w:val="18"/>
              </w:rPr>
              <w:t>”为勾选项，“”为填写项。</w:t>
            </w:r>
          </w:p>
        </w:tc>
      </w:tr>
    </w:tbl>
    <w:p>
      <w:pPr>
        <w:spacing w:after="0"/>
        <w:jc w:val="left"/>
        <w:rPr>
          <w:sz w:val="18"/>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outlineLvl w:val="0"/>
      </w:pPr>
      <w:bookmarkStart w:id="349" w:name="第六章  环境保护措施及其可行性论证"/>
      <w:bookmarkEnd w:id="349"/>
      <w:bookmarkStart w:id="350" w:name="_Toc14226"/>
      <w:r>
        <w:t>第六章</w:t>
      </w:r>
      <w:r>
        <w:tab/>
      </w:r>
      <w:r>
        <w:t>环境保护措施及其可行性论证</w:t>
      </w:r>
      <w:bookmarkEnd w:id="350"/>
    </w:p>
    <w:p>
      <w:pPr>
        <w:pStyle w:val="4"/>
        <w:numPr>
          <w:ilvl w:val="1"/>
          <w:numId w:val="59"/>
        </w:numPr>
        <w:tabs>
          <w:tab w:val="left" w:pos="1100"/>
        </w:tabs>
        <w:spacing w:before="315" w:after="0" w:line="240" w:lineRule="auto"/>
        <w:ind w:left="1099" w:right="0" w:hanging="560"/>
        <w:jc w:val="left"/>
        <w:outlineLvl w:val="1"/>
      </w:pPr>
      <w:bookmarkStart w:id="351" w:name="_bookmark28"/>
      <w:bookmarkEnd w:id="351"/>
      <w:bookmarkStart w:id="352" w:name="6.1 施工期环境保护措施分析"/>
      <w:bookmarkEnd w:id="352"/>
      <w:bookmarkStart w:id="353" w:name="_Toc27103"/>
      <w:r>
        <w:t>施工期环境保护措施分析</w:t>
      </w:r>
      <w:bookmarkEnd w:id="353"/>
    </w:p>
    <w:p>
      <w:pPr>
        <w:pStyle w:val="7"/>
        <w:spacing w:before="3"/>
        <w:ind w:left="0"/>
        <w:rPr>
          <w:b/>
        </w:rPr>
      </w:pPr>
    </w:p>
    <w:p>
      <w:pPr>
        <w:pStyle w:val="7"/>
        <w:spacing w:before="1" w:line="364" w:lineRule="auto"/>
        <w:ind w:right="575" w:firstLine="480"/>
        <w:jc w:val="both"/>
        <w:rPr>
          <w:color w:val="0000FF"/>
        </w:rPr>
      </w:pPr>
      <w:r>
        <w:rPr>
          <w:color w:val="0000FF"/>
          <w:spacing w:val="-6"/>
        </w:rPr>
        <w:t>本项目现已开工建设。项目总占地面积为</w:t>
      </w:r>
      <w:r>
        <w:rPr>
          <w:rFonts w:hint="eastAsia"/>
          <w:color w:val="0000FF"/>
          <w:spacing w:val="-6"/>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w:t>
      </w:r>
      <w:r>
        <w:rPr>
          <w:color w:val="0000FF"/>
          <w:spacing w:val="-15"/>
        </w:rPr>
        <w:t>），</w:t>
      </w:r>
      <w:r>
        <w:rPr>
          <w:color w:val="0000FF"/>
          <w:spacing w:val="-3"/>
        </w:rPr>
        <w:t>施工内容主</w:t>
      </w:r>
      <w:r>
        <w:rPr>
          <w:color w:val="0000FF"/>
          <w:spacing w:val="-9"/>
        </w:rPr>
        <w:t>要包括场地平整、开挖土石方、打桩、构筑基础施工、钢筋、砖混结构施工、管</w:t>
      </w:r>
      <w:r>
        <w:rPr>
          <w:color w:val="0000FF"/>
          <w:spacing w:val="-8"/>
        </w:rPr>
        <w:t>线施工及装修施工、场地清理等，施工期对环境的影响主要是扬尘、废水、施工</w:t>
      </w:r>
      <w:r>
        <w:rPr>
          <w:color w:val="0000FF"/>
          <w:spacing w:val="-11"/>
        </w:rPr>
        <w:t>噪声、建筑垃圾及生态影响等。本次评价针对以上影响提出相应污染防治措施进</w:t>
      </w:r>
      <w:r>
        <w:rPr>
          <w:color w:val="0000FF"/>
        </w:rPr>
        <w:t>行论证。</w:t>
      </w:r>
    </w:p>
    <w:p>
      <w:pPr>
        <w:pStyle w:val="5"/>
        <w:numPr>
          <w:ilvl w:val="2"/>
          <w:numId w:val="59"/>
        </w:numPr>
        <w:tabs>
          <w:tab w:val="left" w:pos="1241"/>
        </w:tabs>
        <w:spacing w:before="119" w:after="0" w:line="240" w:lineRule="auto"/>
        <w:ind w:left="1240" w:right="0" w:hanging="701"/>
        <w:jc w:val="left"/>
        <w:outlineLvl w:val="2"/>
      </w:pPr>
      <w:bookmarkStart w:id="354" w:name="6.1.1 环境空气污染防治措施分析"/>
      <w:bookmarkEnd w:id="354"/>
      <w:bookmarkStart w:id="355" w:name="6.1.1 环境空气污染防治措施分析"/>
      <w:bookmarkEnd w:id="355"/>
      <w:bookmarkStart w:id="356" w:name="_Toc13898"/>
      <w:r>
        <w:t>环境空气污染防治措施分析</w:t>
      </w:r>
      <w:bookmarkEnd w:id="356"/>
    </w:p>
    <w:p>
      <w:pPr>
        <w:pStyle w:val="7"/>
        <w:spacing w:before="4"/>
        <w:ind w:left="0"/>
        <w:rPr>
          <w:b/>
          <w:sz w:val="21"/>
        </w:rPr>
      </w:pPr>
    </w:p>
    <w:p>
      <w:pPr>
        <w:pStyle w:val="7"/>
        <w:spacing w:before="1" w:line="364" w:lineRule="auto"/>
        <w:ind w:right="577" w:firstLine="480"/>
        <w:jc w:val="both"/>
        <w:rPr>
          <w:color w:val="0000FF"/>
        </w:rPr>
      </w:pPr>
      <w:r>
        <w:rPr>
          <w:color w:val="0000FF"/>
          <w:spacing w:val="-5"/>
        </w:rPr>
        <w:t>由本项目工程分析章节和环境影响预测评价章节可知，施工时静态扬尘主要</w:t>
      </w:r>
      <w:r>
        <w:rPr>
          <w:color w:val="0000FF"/>
          <w:spacing w:val="-6"/>
        </w:rPr>
        <w:t>影响范围在扬尘点下风向近距离范围内，新疆地区土壤含水率较低，空气湿度较</w:t>
      </w:r>
      <w:r>
        <w:rPr>
          <w:color w:val="0000FF"/>
          <w:spacing w:val="-11"/>
        </w:rPr>
        <w:t>小，日照强烈，在施工过程因土壤被扰动而较易产生扬尘，本项目周边距离项目</w:t>
      </w:r>
      <w:r>
        <w:rPr>
          <w:color w:val="0000FF"/>
          <w:spacing w:val="-4"/>
        </w:rPr>
        <w:t>施工区最近的环境敏感点是其</w:t>
      </w:r>
      <w:r>
        <w:rPr>
          <w:rFonts w:hint="eastAsia"/>
          <w:color w:val="0000FF"/>
          <w:spacing w:val="-4"/>
          <w:lang w:val="en-US" w:eastAsia="zh-CN"/>
        </w:rPr>
        <w:t>南</w:t>
      </w:r>
      <w:r>
        <w:rPr>
          <w:color w:val="0000FF"/>
          <w:spacing w:val="-4"/>
        </w:rPr>
        <w:t>侧约</w:t>
      </w:r>
      <w:r>
        <w:rPr>
          <w:rFonts w:hint="eastAsia" w:ascii="Times New Roman"/>
          <w:color w:val="0000FF"/>
          <w:lang w:val="en-US" w:eastAsia="zh-CN"/>
        </w:rPr>
        <w:t>2</w:t>
      </w:r>
      <w:r>
        <w:rPr>
          <w:rFonts w:ascii="Times New Roman" w:eastAsia="Times New Roman"/>
          <w:color w:val="0000FF"/>
        </w:rPr>
        <w:t>km</w:t>
      </w:r>
      <w:r>
        <w:rPr>
          <w:color w:val="0000FF"/>
          <w:spacing w:val="-12"/>
        </w:rPr>
        <w:t>处的村庄，位于项目区所在区域主导</w:t>
      </w:r>
      <w:r>
        <w:rPr>
          <w:color w:val="0000FF"/>
          <w:spacing w:val="-9"/>
        </w:rPr>
        <w:t>风向西风的上风向，施工扬尘对其影响较小，扬尘主要导致项目区及附近大气中</w:t>
      </w:r>
      <w:r>
        <w:rPr>
          <w:rFonts w:ascii="Times New Roman" w:eastAsia="Times New Roman"/>
          <w:color w:val="0000FF"/>
        </w:rPr>
        <w:t>TSP</w:t>
      </w:r>
      <w:r>
        <w:rPr>
          <w:color w:val="0000FF"/>
          <w:spacing w:val="-10"/>
        </w:rPr>
        <w:t>浓度暂时升高；车辆动态扬尘主要影响区域在施工区以及运输途径路面；施</w:t>
      </w:r>
      <w:r>
        <w:rPr>
          <w:color w:val="0000FF"/>
          <w:spacing w:val="-5"/>
        </w:rPr>
        <w:t>工期施工机械以及运输车辆排放的尾气由于尾气呈面源污染形式、车辆排气高度</w:t>
      </w:r>
      <w:r>
        <w:rPr>
          <w:color w:val="0000FF"/>
          <w:spacing w:val="-12"/>
        </w:rPr>
        <w:t>较低、尾气扩散范围不大、项目区较为平坦开阔，尾气扩散条件良好等施工和环</w:t>
      </w:r>
      <w:r>
        <w:rPr>
          <w:color w:val="0000FF"/>
        </w:rPr>
        <w:t>境特点，污染物排放时间及排放量也相对较小。</w:t>
      </w:r>
    </w:p>
    <w:p>
      <w:pPr>
        <w:pStyle w:val="7"/>
        <w:spacing w:before="5" w:line="364" w:lineRule="auto"/>
        <w:ind w:left="1020" w:right="1685"/>
      </w:pPr>
      <w:r>
        <w:t>针对上述施工特点和环境特点，本次环评提出防尘主要措施为：针对施工扬尘：</w:t>
      </w:r>
    </w:p>
    <w:p>
      <w:pPr>
        <w:pStyle w:val="17"/>
        <w:numPr>
          <w:ilvl w:val="3"/>
          <w:numId w:val="59"/>
        </w:numPr>
        <w:tabs>
          <w:tab w:val="left" w:pos="1621"/>
        </w:tabs>
        <w:spacing w:before="1" w:after="0" w:line="240" w:lineRule="auto"/>
        <w:ind w:left="1621" w:right="0" w:hanging="601"/>
        <w:jc w:val="left"/>
        <w:rPr>
          <w:sz w:val="24"/>
        </w:rPr>
      </w:pPr>
      <w:r>
        <w:rPr>
          <w:sz w:val="24"/>
        </w:rPr>
        <w:t>采取洒水降尘或湿法作业；</w:t>
      </w:r>
    </w:p>
    <w:p>
      <w:pPr>
        <w:pStyle w:val="17"/>
        <w:numPr>
          <w:ilvl w:val="3"/>
          <w:numId w:val="59"/>
        </w:numPr>
        <w:tabs>
          <w:tab w:val="left" w:pos="1621"/>
        </w:tabs>
        <w:spacing w:before="161" w:after="0" w:line="364" w:lineRule="auto"/>
        <w:ind w:left="540" w:right="476" w:firstLine="480"/>
        <w:jc w:val="left"/>
        <w:rPr>
          <w:sz w:val="24"/>
        </w:rPr>
      </w:pPr>
      <w:r>
        <w:rPr>
          <w:spacing w:val="-9"/>
          <w:sz w:val="24"/>
        </w:rPr>
        <w:t>施工区域设置</w:t>
      </w:r>
      <w:r>
        <w:rPr>
          <w:rFonts w:ascii="Times New Roman" w:eastAsia="Times New Roman"/>
          <w:sz w:val="24"/>
        </w:rPr>
        <w:t>1.8m</w:t>
      </w:r>
      <w:r>
        <w:rPr>
          <w:spacing w:val="-1"/>
          <w:sz w:val="24"/>
        </w:rPr>
        <w:t>高的围墙，建筑材料于施工区内就近装缷、堆放，</w:t>
      </w:r>
      <w:r>
        <w:rPr>
          <w:sz w:val="24"/>
        </w:rPr>
        <w:t>并采用逢布遮盖；</w:t>
      </w:r>
    </w:p>
    <w:p>
      <w:pPr>
        <w:pStyle w:val="17"/>
        <w:numPr>
          <w:ilvl w:val="3"/>
          <w:numId w:val="59"/>
        </w:numPr>
        <w:tabs>
          <w:tab w:val="left" w:pos="1621"/>
        </w:tabs>
        <w:spacing w:before="1" w:after="0" w:line="364" w:lineRule="auto"/>
        <w:ind w:left="540" w:right="577" w:firstLine="480"/>
        <w:jc w:val="left"/>
        <w:rPr>
          <w:sz w:val="24"/>
        </w:rPr>
      </w:pPr>
      <w:r>
        <w:rPr>
          <w:spacing w:val="-1"/>
          <w:sz w:val="24"/>
        </w:rPr>
        <w:t>运输沙、石、砖块、垃圾的车辆装载高度应低于车箱上沿，不得超高</w:t>
      </w:r>
      <w:r>
        <w:rPr>
          <w:sz w:val="24"/>
        </w:rPr>
        <w:t>超载；实行封闭运输，以免车辆颠簸撒漏，运输车辆缷完货后应清洗车厢；</w:t>
      </w:r>
    </w:p>
    <w:p>
      <w:pPr>
        <w:pStyle w:val="17"/>
        <w:numPr>
          <w:ilvl w:val="3"/>
          <w:numId w:val="59"/>
        </w:numPr>
        <w:tabs>
          <w:tab w:val="left" w:pos="1621"/>
        </w:tabs>
        <w:spacing w:before="1" w:after="0" w:line="364" w:lineRule="auto"/>
        <w:ind w:left="540" w:right="577" w:firstLine="480"/>
        <w:jc w:val="left"/>
        <w:rPr>
          <w:sz w:val="24"/>
        </w:rPr>
      </w:pPr>
      <w:r>
        <w:rPr>
          <w:spacing w:val="-1"/>
          <w:sz w:val="24"/>
        </w:rPr>
        <w:t>施工车辆在驶出施工区之前，清泥清楚处理，不得将泥土尘土带出工</w:t>
      </w:r>
      <w:r>
        <w:rPr>
          <w:sz w:val="24"/>
        </w:rPr>
        <w:t>地等措施；</w:t>
      </w:r>
    </w:p>
    <w:p>
      <w:pPr>
        <w:pStyle w:val="17"/>
        <w:numPr>
          <w:ilvl w:val="3"/>
          <w:numId w:val="59"/>
        </w:numPr>
        <w:tabs>
          <w:tab w:val="left" w:pos="1621"/>
        </w:tabs>
        <w:spacing w:before="1" w:after="0" w:line="364" w:lineRule="auto"/>
        <w:ind w:left="540" w:right="577" w:firstLine="480"/>
        <w:jc w:val="left"/>
        <w:rPr>
          <w:sz w:val="24"/>
        </w:rPr>
      </w:pPr>
      <w:r>
        <w:rPr>
          <w:spacing w:val="-1"/>
          <w:sz w:val="24"/>
        </w:rPr>
        <w:t>加强对施工人员的环保教育，提高全体施工人员的环保意识，坚持文</w:t>
      </w:r>
      <w:r>
        <w:rPr>
          <w:sz w:val="24"/>
        </w:rPr>
        <w:t>明施工、科学施工。</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firstLine="480"/>
      </w:pPr>
      <w:r>
        <w:rPr>
          <w:spacing w:val="-10"/>
        </w:rPr>
        <w:t>针对运输扬尘：采取在项目区车辆途径路面采取洒水降尘防尘措施，减小运</w:t>
      </w:r>
      <w:r>
        <w:t>输扬尘对项目区及周边环境影响。</w:t>
      </w:r>
    </w:p>
    <w:p>
      <w:pPr>
        <w:pStyle w:val="5"/>
        <w:numPr>
          <w:ilvl w:val="2"/>
          <w:numId w:val="59"/>
        </w:numPr>
        <w:tabs>
          <w:tab w:val="left" w:pos="1241"/>
        </w:tabs>
        <w:spacing w:before="115" w:after="0" w:line="240" w:lineRule="auto"/>
        <w:ind w:left="1240" w:right="0" w:hanging="701"/>
        <w:jc w:val="left"/>
        <w:outlineLvl w:val="2"/>
      </w:pPr>
      <w:bookmarkStart w:id="357" w:name="6.1.2 水污染防治措施分析"/>
      <w:bookmarkEnd w:id="357"/>
      <w:bookmarkStart w:id="358" w:name="6.1.2 水污染防治措施分析"/>
      <w:bookmarkEnd w:id="358"/>
      <w:bookmarkStart w:id="359" w:name="_Toc30408"/>
      <w:r>
        <w:t>水污染防治措施分析</w:t>
      </w:r>
      <w:bookmarkEnd w:id="359"/>
    </w:p>
    <w:p>
      <w:pPr>
        <w:pStyle w:val="7"/>
        <w:spacing w:before="7"/>
        <w:ind w:left="0"/>
        <w:rPr>
          <w:b/>
          <w:sz w:val="21"/>
        </w:rPr>
      </w:pPr>
    </w:p>
    <w:p>
      <w:pPr>
        <w:pStyle w:val="7"/>
        <w:spacing w:line="364" w:lineRule="auto"/>
        <w:ind w:right="455" w:firstLine="480"/>
      </w:pPr>
      <w:r>
        <w:rPr>
          <w:spacing w:val="-13"/>
        </w:rPr>
        <w:t>施工废水主要主要是指在制砂浆、混凝土养护等作业中，多余或泄漏的废水，</w:t>
      </w:r>
      <w:r>
        <w:rPr>
          <w:spacing w:val="-9"/>
        </w:rPr>
        <w:t>以及清洗模板、机具、车辆设备、场地卫生等排放的污水。主要污染因子为</w:t>
      </w:r>
      <w:r>
        <w:rPr>
          <w:rFonts w:ascii="Times New Roman" w:eastAsia="Times New Roman"/>
          <w:spacing w:val="-6"/>
        </w:rPr>
        <w:t>SS</w:t>
      </w:r>
      <w:r>
        <w:rPr>
          <w:spacing w:val="-6"/>
        </w:rPr>
        <w:t>，</w:t>
      </w:r>
      <w:r>
        <w:t>含一定量的泥沙、少量水泥和油污，一般产生不了径流，形成不了有组织排水，</w:t>
      </w:r>
      <w:r>
        <w:rPr>
          <w:spacing w:val="-5"/>
        </w:rPr>
        <w:t>这部分废水在施工现场因自然蒸发、渗漏等原因而消耗，但若不经处理或处理不</w:t>
      </w:r>
      <w:r>
        <w:rPr>
          <w:spacing w:val="-12"/>
        </w:rPr>
        <w:t>当直接外排，同样危害环境。因此要求建设项目的工地应设置简易沉淀池沉淀后</w:t>
      </w:r>
      <w:r>
        <w:rPr>
          <w:spacing w:val="-14"/>
        </w:rPr>
        <w:t>回用于生产，施工期结束后将临时废水处理设施拆除并进行相应的土地恢复和平整。</w:t>
      </w:r>
    </w:p>
    <w:p>
      <w:pPr>
        <w:pStyle w:val="7"/>
        <w:spacing w:before="4" w:line="364" w:lineRule="auto"/>
        <w:ind w:right="577" w:firstLine="480"/>
        <w:jc w:val="both"/>
      </w:pPr>
      <w:r>
        <w:rPr>
          <w:spacing w:val="-7"/>
        </w:rPr>
        <w:t>本项目施工人员为当地居民，施工场地内不设置施工营地，无施工人员生活</w:t>
      </w:r>
      <w:r>
        <w:rPr>
          <w:spacing w:val="-10"/>
        </w:rPr>
        <w:t>污水产生，施工场地设置可设置临时移动式环保公厕容纳施工人员粪污，不会对</w:t>
      </w:r>
      <w:r>
        <w:t>环境造成明显影响。</w:t>
      </w:r>
    </w:p>
    <w:p>
      <w:pPr>
        <w:pStyle w:val="7"/>
        <w:spacing w:before="2" w:line="364" w:lineRule="auto"/>
        <w:ind w:right="485" w:firstLine="480"/>
      </w:pPr>
      <w:r>
        <w:t>施工区生活废水采取措施为：建设临时防渗旱厕，粪便排入防渗旱厕沤肥，定期清掏拉运制周边农田施肥，施工期结束后旱厕拆除平整并恢复地貌。</w:t>
      </w:r>
    </w:p>
    <w:p>
      <w:pPr>
        <w:pStyle w:val="7"/>
        <w:spacing w:before="1" w:line="364" w:lineRule="auto"/>
        <w:ind w:right="577" w:firstLine="480"/>
      </w:pPr>
      <w:r>
        <w:rPr>
          <w:spacing w:val="-9"/>
        </w:rPr>
        <w:t>采取上述措施后，可有效地做好施工废水的防治，不会导致因施工废水排放</w:t>
      </w:r>
      <w:r>
        <w:t>引起的周围水环境的污染。</w:t>
      </w:r>
    </w:p>
    <w:p>
      <w:pPr>
        <w:pStyle w:val="5"/>
        <w:numPr>
          <w:ilvl w:val="2"/>
          <w:numId w:val="59"/>
        </w:numPr>
        <w:tabs>
          <w:tab w:val="left" w:pos="1241"/>
        </w:tabs>
        <w:spacing w:before="115" w:after="0" w:line="240" w:lineRule="auto"/>
        <w:ind w:left="1240" w:right="0" w:hanging="701"/>
        <w:jc w:val="left"/>
        <w:outlineLvl w:val="2"/>
      </w:pPr>
      <w:bookmarkStart w:id="360" w:name="6.1.3 噪声污染防治措施分析"/>
      <w:bookmarkEnd w:id="360"/>
      <w:bookmarkStart w:id="361" w:name="6.1.3 噪声污染防治措施分析"/>
      <w:bookmarkEnd w:id="361"/>
      <w:bookmarkStart w:id="362" w:name="_Toc5375"/>
      <w:r>
        <w:t>噪声污染防治措施分析</w:t>
      </w:r>
      <w:bookmarkEnd w:id="362"/>
    </w:p>
    <w:p>
      <w:pPr>
        <w:pStyle w:val="7"/>
        <w:spacing w:before="7"/>
        <w:ind w:left="0"/>
        <w:rPr>
          <w:b/>
          <w:sz w:val="21"/>
        </w:rPr>
      </w:pPr>
    </w:p>
    <w:p>
      <w:pPr>
        <w:pStyle w:val="7"/>
        <w:spacing w:line="364" w:lineRule="auto"/>
        <w:ind w:right="577" w:firstLine="480"/>
        <w:jc w:val="both"/>
        <w:rPr>
          <w:color w:val="0000FF"/>
        </w:rPr>
      </w:pPr>
      <w:r>
        <w:rPr>
          <w:color w:val="0000FF"/>
        </w:rPr>
        <w:t>按照《建筑施工场界环境噪声排放标准》（</w:t>
      </w:r>
      <w:r>
        <w:rPr>
          <w:rFonts w:ascii="Times New Roman" w:eastAsia="Times New Roman"/>
          <w:color w:val="0000FF"/>
        </w:rPr>
        <w:t>GB12523-2011</w:t>
      </w:r>
      <w:r>
        <w:rPr>
          <w:color w:val="0000FF"/>
        </w:rPr>
        <w:t>）的规定，昼间</w:t>
      </w:r>
      <w:r>
        <w:rPr>
          <w:color w:val="0000FF"/>
          <w:spacing w:val="-7"/>
        </w:rPr>
        <w:t>的厂界噪声限值为</w:t>
      </w:r>
      <w:r>
        <w:rPr>
          <w:rFonts w:ascii="Times New Roman" w:eastAsia="Times New Roman"/>
          <w:color w:val="0000FF"/>
          <w:spacing w:val="-6"/>
        </w:rPr>
        <w:t>70dB</w:t>
      </w:r>
      <w:r>
        <w:rPr>
          <w:color w:val="0000FF"/>
          <w:spacing w:val="-8"/>
        </w:rPr>
        <w:t>，夜间厂界噪声限值为</w:t>
      </w:r>
      <w:r>
        <w:rPr>
          <w:rFonts w:ascii="Times New Roman" w:eastAsia="Times New Roman"/>
          <w:color w:val="0000FF"/>
        </w:rPr>
        <w:t>55dB</w:t>
      </w:r>
      <w:r>
        <w:rPr>
          <w:color w:val="0000FF"/>
          <w:spacing w:val="-7"/>
        </w:rPr>
        <w:t>。由工程分析及环境影响预</w:t>
      </w:r>
      <w:r>
        <w:rPr>
          <w:color w:val="0000FF"/>
          <w:spacing w:val="-19"/>
        </w:rPr>
        <w:t>测评价章节可知：项目施工机械在靠近厂界边施工时，昼夜施工厂界噪声超过《建</w:t>
      </w:r>
      <w:r>
        <w:rPr>
          <w:color w:val="0000FF"/>
        </w:rPr>
        <w:t>筑施工场界环境噪声排放标准》（</w:t>
      </w:r>
      <w:r>
        <w:rPr>
          <w:rFonts w:ascii="Times New Roman" w:eastAsia="Times New Roman"/>
          <w:color w:val="0000FF"/>
        </w:rPr>
        <w:t>GB12523-2011</w:t>
      </w:r>
      <w:r>
        <w:rPr>
          <w:color w:val="0000FF"/>
        </w:rPr>
        <w:t>）中限值的要求，但本项目评</w:t>
      </w:r>
      <w:r>
        <w:rPr>
          <w:color w:val="0000FF"/>
          <w:spacing w:val="-3"/>
        </w:rPr>
        <w:t>价范围内声环境敏感目标是距离厂界西侧约</w:t>
      </w:r>
      <w:r>
        <w:rPr>
          <w:rFonts w:hint="eastAsia" w:ascii="Times New Roman" w:eastAsia="宋体"/>
          <w:color w:val="0000FF"/>
          <w:lang w:val="en-US" w:eastAsia="zh-CN"/>
        </w:rPr>
        <w:t>1.6</w:t>
      </w:r>
      <w:r>
        <w:rPr>
          <w:rFonts w:ascii="Times New Roman" w:eastAsia="Times New Roman"/>
          <w:color w:val="0000FF"/>
        </w:rPr>
        <w:t>km</w:t>
      </w:r>
      <w:r>
        <w:rPr>
          <w:color w:val="0000FF"/>
          <w:spacing w:val="-12"/>
        </w:rPr>
        <w:t>处的村庄，施工期噪声经衰减</w:t>
      </w:r>
      <w:r>
        <w:rPr>
          <w:color w:val="0000FF"/>
        </w:rPr>
        <w:t>后对其影响甚微。</w:t>
      </w:r>
    </w:p>
    <w:p>
      <w:pPr>
        <w:pStyle w:val="7"/>
        <w:spacing w:before="4"/>
        <w:ind w:left="1020"/>
      </w:pPr>
      <w:r>
        <w:t>根据项目施工期的施工特点，噪声防治措施如下：</w:t>
      </w:r>
    </w:p>
    <w:p>
      <w:pPr>
        <w:pStyle w:val="17"/>
        <w:numPr>
          <w:ilvl w:val="0"/>
          <w:numId w:val="60"/>
        </w:numPr>
        <w:tabs>
          <w:tab w:val="left" w:pos="1621"/>
        </w:tabs>
        <w:spacing w:before="160" w:after="0" w:line="364" w:lineRule="auto"/>
        <w:ind w:left="540" w:right="580" w:firstLine="480"/>
        <w:jc w:val="left"/>
        <w:rPr>
          <w:sz w:val="24"/>
        </w:rPr>
      </w:pPr>
      <w:r>
        <w:rPr>
          <w:spacing w:val="-1"/>
          <w:sz w:val="24"/>
        </w:rPr>
        <w:t>施工单位施工过程中尽量避免在靠近厂界处的同一地点安排大量动力</w:t>
      </w:r>
      <w:r>
        <w:rPr>
          <w:sz w:val="24"/>
        </w:rPr>
        <w:t>机械设备施工，以减缓局部叠加声级过高造成的厂界噪声超标的风险。</w:t>
      </w:r>
    </w:p>
    <w:p>
      <w:pPr>
        <w:pStyle w:val="17"/>
        <w:numPr>
          <w:ilvl w:val="0"/>
          <w:numId w:val="60"/>
        </w:numPr>
        <w:tabs>
          <w:tab w:val="left" w:pos="1621"/>
        </w:tabs>
        <w:spacing w:before="2" w:after="0" w:line="240" w:lineRule="auto"/>
        <w:ind w:left="1621" w:right="0" w:hanging="601"/>
        <w:jc w:val="left"/>
        <w:rPr>
          <w:sz w:val="24"/>
        </w:rPr>
      </w:pPr>
      <w:r>
        <w:rPr>
          <w:sz w:val="24"/>
        </w:rPr>
        <w:t>设备选型上，在不影响施工质量的前提下，在土石方、装修等施工过</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pPr>
      <w:r>
        <w:rPr>
          <w:spacing w:val="-8"/>
        </w:rPr>
        <w:t>程应采用低噪声、低振动的设备，对施工设备进行定期维修保养，避免因设备性</w:t>
      </w:r>
      <w:r>
        <w:t>能减退而使噪声增强的现象发生。</w:t>
      </w:r>
    </w:p>
    <w:p>
      <w:pPr>
        <w:pStyle w:val="7"/>
        <w:spacing w:before="1" w:line="364" w:lineRule="auto"/>
        <w:ind w:right="577" w:firstLine="480"/>
      </w:pPr>
      <w:r>
        <w:rPr>
          <w:spacing w:val="-5"/>
        </w:rPr>
        <w:t>采取上述措施后可进一步降低施工期噪声对周围环境的影响，同时其对环境</w:t>
      </w:r>
      <w:r>
        <w:t>的影响也将随施工期的结束而消失。</w:t>
      </w:r>
    </w:p>
    <w:p>
      <w:pPr>
        <w:pStyle w:val="5"/>
        <w:numPr>
          <w:ilvl w:val="2"/>
          <w:numId w:val="59"/>
        </w:numPr>
        <w:tabs>
          <w:tab w:val="left" w:pos="1241"/>
        </w:tabs>
        <w:spacing w:before="115" w:after="0" w:line="240" w:lineRule="auto"/>
        <w:ind w:left="1240" w:right="0" w:hanging="701"/>
        <w:jc w:val="left"/>
        <w:outlineLvl w:val="2"/>
      </w:pPr>
      <w:bookmarkStart w:id="363" w:name="6.1.4 固体废弃物污染防治措施分析"/>
      <w:bookmarkEnd w:id="363"/>
      <w:bookmarkStart w:id="364" w:name="6.1.4 固体废弃物污染防治措施分析"/>
      <w:bookmarkEnd w:id="364"/>
      <w:bookmarkStart w:id="365" w:name="_Toc26742"/>
      <w:r>
        <w:t>固体废弃物污染防治措施分析</w:t>
      </w:r>
      <w:bookmarkEnd w:id="365"/>
    </w:p>
    <w:p>
      <w:pPr>
        <w:pStyle w:val="7"/>
        <w:spacing w:before="7"/>
        <w:ind w:left="0"/>
        <w:rPr>
          <w:b/>
          <w:sz w:val="21"/>
        </w:rPr>
      </w:pPr>
    </w:p>
    <w:p>
      <w:pPr>
        <w:pStyle w:val="7"/>
        <w:spacing w:line="364" w:lineRule="auto"/>
        <w:ind w:right="577" w:firstLine="480"/>
      </w:pPr>
      <w:r>
        <w:rPr>
          <w:spacing w:val="-5"/>
        </w:rPr>
        <w:t>生活垃圾和建筑垃圾的影响主要体现在其堆放过程中，在风力作用下，引起</w:t>
      </w:r>
      <w:r>
        <w:t>垃圾及粉尘随风飘散，对空气造成污染影响。</w:t>
      </w:r>
    </w:p>
    <w:p>
      <w:pPr>
        <w:pStyle w:val="7"/>
        <w:spacing w:before="1"/>
        <w:ind w:left="1020"/>
      </w:pPr>
      <w:r>
        <w:t>针对项目施工期固体废弃物种类及特点，提出如下防治措施：</w:t>
      </w:r>
    </w:p>
    <w:p>
      <w:pPr>
        <w:pStyle w:val="17"/>
        <w:numPr>
          <w:ilvl w:val="0"/>
          <w:numId w:val="61"/>
        </w:numPr>
        <w:tabs>
          <w:tab w:val="left" w:pos="1621"/>
        </w:tabs>
        <w:spacing w:before="161" w:after="0" w:line="364" w:lineRule="auto"/>
        <w:ind w:left="540" w:right="457" w:firstLine="480"/>
        <w:jc w:val="left"/>
        <w:rPr>
          <w:sz w:val="24"/>
        </w:rPr>
      </w:pPr>
      <w:r>
        <w:rPr>
          <w:sz w:val="24"/>
        </w:rPr>
        <w:t>临时土石方于施工区就近堆放，采取覆盖围护措施，防止大风和大雨</w:t>
      </w:r>
      <w:r>
        <w:rPr>
          <w:spacing w:val="-15"/>
          <w:sz w:val="24"/>
        </w:rPr>
        <w:t>时造成的水土流失。堆放前设置挡土墙，堆放后表土覆盖防尘布，抑制扬尘产生。</w:t>
      </w:r>
    </w:p>
    <w:p>
      <w:pPr>
        <w:pStyle w:val="17"/>
        <w:numPr>
          <w:ilvl w:val="0"/>
          <w:numId w:val="61"/>
        </w:numPr>
        <w:tabs>
          <w:tab w:val="left" w:pos="1621"/>
        </w:tabs>
        <w:spacing w:before="1" w:after="0" w:line="364" w:lineRule="auto"/>
        <w:ind w:left="540" w:right="457" w:firstLine="480"/>
        <w:jc w:val="left"/>
        <w:rPr>
          <w:sz w:val="24"/>
        </w:rPr>
      </w:pPr>
      <w:r>
        <w:rPr>
          <w:spacing w:val="-4"/>
          <w:sz w:val="24"/>
        </w:rPr>
        <w:t>对施工中产生的不能再利用的建筑垃圾，应进行分类收集、分类管理</w:t>
      </w:r>
      <w:r>
        <w:rPr>
          <w:spacing w:val="-9"/>
          <w:sz w:val="24"/>
        </w:rPr>
        <w:t>，能够回收利用的尽量回收再利用，以节约资源；对于不能回收利用的要进行收</w:t>
      </w:r>
      <w:r>
        <w:rPr>
          <w:spacing w:val="-14"/>
          <w:sz w:val="24"/>
        </w:rPr>
        <w:t>集并于施工区内固定地点集中暂存，施工完成后及时处理，拉运至当地环保部门指定的建筑垃圾填埋场填埋处置或委托处置建筑垃圾的单位及时外处置。</w:t>
      </w:r>
    </w:p>
    <w:p>
      <w:pPr>
        <w:pStyle w:val="17"/>
        <w:numPr>
          <w:ilvl w:val="0"/>
          <w:numId w:val="61"/>
        </w:numPr>
        <w:tabs>
          <w:tab w:val="left" w:pos="1621"/>
        </w:tabs>
        <w:spacing w:before="2" w:after="0" w:line="364" w:lineRule="auto"/>
        <w:ind w:left="540" w:right="577" w:firstLine="480"/>
        <w:jc w:val="both"/>
        <w:rPr>
          <w:sz w:val="24"/>
        </w:rPr>
      </w:pPr>
      <w:r>
        <w:rPr>
          <w:spacing w:val="-1"/>
          <w:sz w:val="24"/>
        </w:rPr>
        <w:t>车辆运输建筑垃圾时，须采取覆盖措施，不得沿途漏撒；施工单位应</w:t>
      </w:r>
      <w:r>
        <w:rPr>
          <w:spacing w:val="-12"/>
          <w:sz w:val="24"/>
        </w:rPr>
        <w:t>在施工前</w:t>
      </w:r>
      <w:r>
        <w:rPr>
          <w:rFonts w:ascii="Times New Roman" w:eastAsia="Times New Roman"/>
          <w:sz w:val="24"/>
        </w:rPr>
        <w:t>5</w:t>
      </w:r>
      <w:r>
        <w:rPr>
          <w:spacing w:val="-7"/>
          <w:sz w:val="24"/>
        </w:rPr>
        <w:t>日向建设局申报工程垃圾处置计划，如实填报垃圾的种类、数量、运</w:t>
      </w:r>
      <w:r>
        <w:rPr>
          <w:sz w:val="24"/>
        </w:rPr>
        <w:t>输路线及处置方案等事项，并与有关管理部门签订环境卫生责任书。</w:t>
      </w:r>
    </w:p>
    <w:p>
      <w:pPr>
        <w:pStyle w:val="17"/>
        <w:numPr>
          <w:ilvl w:val="0"/>
          <w:numId w:val="61"/>
        </w:numPr>
        <w:tabs>
          <w:tab w:val="left" w:pos="1621"/>
        </w:tabs>
        <w:spacing w:before="2" w:after="0" w:line="364" w:lineRule="auto"/>
        <w:ind w:left="540" w:right="577" w:firstLine="480"/>
        <w:jc w:val="both"/>
        <w:rPr>
          <w:sz w:val="24"/>
        </w:rPr>
      </w:pPr>
      <w:r>
        <w:rPr>
          <w:spacing w:val="-1"/>
          <w:sz w:val="24"/>
        </w:rPr>
        <w:t>施工部门应当持当地建设局核发的处置证明，向运输单位办理建筑垃</w:t>
      </w:r>
      <w:r>
        <w:rPr>
          <w:spacing w:val="-10"/>
          <w:sz w:val="24"/>
        </w:rPr>
        <w:t>圾托运手续。运输车辆在运输建筑垃圾时应携带处置证明，接收渣土管理部门的</w:t>
      </w:r>
      <w:r>
        <w:rPr>
          <w:sz w:val="24"/>
        </w:rPr>
        <w:t>检查，运输路线应按渣土管理部门会同公安、交通管理部门规定的线路运输。</w:t>
      </w:r>
    </w:p>
    <w:p>
      <w:pPr>
        <w:pStyle w:val="17"/>
        <w:numPr>
          <w:ilvl w:val="0"/>
          <w:numId w:val="61"/>
        </w:numPr>
        <w:tabs>
          <w:tab w:val="left" w:pos="1621"/>
        </w:tabs>
        <w:spacing w:before="2" w:after="0" w:line="364" w:lineRule="auto"/>
        <w:ind w:left="540" w:right="577" w:firstLine="480"/>
        <w:jc w:val="both"/>
        <w:rPr>
          <w:sz w:val="24"/>
        </w:rPr>
      </w:pPr>
      <w:r>
        <w:rPr>
          <w:spacing w:val="-9"/>
          <w:sz w:val="24"/>
        </w:rPr>
        <w:t>工程完工后</w:t>
      </w:r>
      <w:r>
        <w:rPr>
          <w:rFonts w:ascii="Times New Roman" w:eastAsia="Times New Roman"/>
          <w:sz w:val="24"/>
        </w:rPr>
        <w:t>1</w:t>
      </w:r>
      <w:r>
        <w:rPr>
          <w:spacing w:val="-1"/>
          <w:sz w:val="24"/>
        </w:rPr>
        <w:t>个月内，应当将施工场地的剩余建筑垃圾处置干净，不</w:t>
      </w:r>
      <w:r>
        <w:rPr>
          <w:sz w:val="24"/>
        </w:rPr>
        <w:t>得占用道路或其他类型土地来堆放建筑垃圾。</w:t>
      </w:r>
    </w:p>
    <w:p>
      <w:pPr>
        <w:pStyle w:val="7"/>
        <w:spacing w:before="1"/>
        <w:ind w:left="1020"/>
      </w:pPr>
      <w:r>
        <w:t>采取上述措施后施工期固体废弃物对项目区及周边环境影响不大。</w:t>
      </w:r>
    </w:p>
    <w:p>
      <w:pPr>
        <w:pStyle w:val="7"/>
        <w:spacing w:before="5"/>
        <w:ind w:left="0"/>
        <w:rPr>
          <w:sz w:val="21"/>
        </w:rPr>
      </w:pPr>
    </w:p>
    <w:p>
      <w:pPr>
        <w:pStyle w:val="5"/>
        <w:numPr>
          <w:ilvl w:val="2"/>
          <w:numId w:val="59"/>
        </w:numPr>
        <w:tabs>
          <w:tab w:val="left" w:pos="1241"/>
        </w:tabs>
        <w:spacing w:before="0" w:after="0" w:line="240" w:lineRule="auto"/>
        <w:ind w:left="1240" w:right="0" w:hanging="701"/>
        <w:jc w:val="left"/>
        <w:outlineLvl w:val="2"/>
      </w:pPr>
      <w:bookmarkStart w:id="366" w:name="6.1.5 生态防治措施分析"/>
      <w:bookmarkEnd w:id="366"/>
      <w:bookmarkStart w:id="367" w:name="6.1.5 生态防治措施分析"/>
      <w:bookmarkEnd w:id="367"/>
      <w:bookmarkStart w:id="368" w:name="_Toc15406"/>
      <w:r>
        <w:t>生态防治措施分析</w:t>
      </w:r>
      <w:bookmarkEnd w:id="368"/>
    </w:p>
    <w:p>
      <w:pPr>
        <w:pStyle w:val="7"/>
        <w:spacing w:before="7"/>
        <w:ind w:left="0"/>
        <w:rPr>
          <w:b/>
          <w:sz w:val="21"/>
        </w:rPr>
      </w:pPr>
    </w:p>
    <w:p>
      <w:pPr>
        <w:pStyle w:val="7"/>
        <w:spacing w:before="1" w:line="364" w:lineRule="auto"/>
        <w:ind w:right="577" w:firstLine="480"/>
      </w:pPr>
      <w:r>
        <w:rPr>
          <w:spacing w:val="-5"/>
        </w:rPr>
        <w:t>项目对生态产生的负面影响主要体现在施工期工程施工阶段，主要影响因素</w:t>
      </w:r>
      <w:r>
        <w:t>为土壤、动植物以及景观影响。针对生态影响，本次环评提出如下措施：</w:t>
      </w:r>
    </w:p>
    <w:p>
      <w:pPr>
        <w:pStyle w:val="17"/>
        <w:numPr>
          <w:ilvl w:val="0"/>
          <w:numId w:val="62"/>
        </w:numPr>
        <w:tabs>
          <w:tab w:val="left" w:pos="1621"/>
        </w:tabs>
        <w:spacing w:before="1" w:after="0" w:line="364" w:lineRule="auto"/>
        <w:ind w:left="540" w:right="485" w:firstLine="480"/>
        <w:jc w:val="left"/>
        <w:rPr>
          <w:sz w:val="24"/>
        </w:rPr>
      </w:pPr>
      <w:r>
        <w:rPr>
          <w:sz w:val="24"/>
        </w:rPr>
        <w:t>施工期地基开挖后产生的表土于施工区域内集中堆放，就近回填，堆</w:t>
      </w:r>
      <w:r>
        <w:rPr>
          <w:spacing w:val="-1"/>
          <w:sz w:val="24"/>
        </w:rPr>
        <w:t>放期间采取覆盖围护措施，防止大风大雨时造成水土流失。堆放前设置挡土墙，</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pPr>
      <w:r>
        <w:rPr>
          <w:spacing w:val="-8"/>
        </w:rPr>
        <w:t>堆放后表土堆场上覆盖防尘布，要求施工施工过程中及时利用原表土对施工造成</w:t>
      </w:r>
      <w:r>
        <w:t>的裸露地面或基坑进行平整、回填覆土。</w:t>
      </w:r>
    </w:p>
    <w:p>
      <w:pPr>
        <w:pStyle w:val="17"/>
        <w:numPr>
          <w:ilvl w:val="0"/>
          <w:numId w:val="62"/>
        </w:numPr>
        <w:tabs>
          <w:tab w:val="left" w:pos="1621"/>
        </w:tabs>
        <w:spacing w:before="1" w:after="0" w:line="364" w:lineRule="auto"/>
        <w:ind w:left="540" w:right="577" w:firstLine="480"/>
        <w:jc w:val="both"/>
        <w:rPr>
          <w:sz w:val="24"/>
        </w:rPr>
      </w:pPr>
      <w:r>
        <w:rPr>
          <w:spacing w:val="-1"/>
          <w:sz w:val="24"/>
        </w:rPr>
        <w:t>在施工过程中填挖土方，会产生水土流失，建设施工尽量安排于非雨</w:t>
      </w:r>
      <w:r>
        <w:rPr>
          <w:spacing w:val="-10"/>
          <w:sz w:val="24"/>
        </w:rPr>
        <w:t>天和大风天进行，以避免水土流失的发生，从而尽可能降低对生态环境的潜在影</w:t>
      </w:r>
      <w:r>
        <w:rPr>
          <w:sz w:val="24"/>
        </w:rPr>
        <w:t>响。</w:t>
      </w:r>
    </w:p>
    <w:p>
      <w:pPr>
        <w:pStyle w:val="17"/>
        <w:numPr>
          <w:ilvl w:val="0"/>
          <w:numId w:val="62"/>
        </w:numPr>
        <w:tabs>
          <w:tab w:val="left" w:pos="1621"/>
        </w:tabs>
        <w:spacing w:before="2" w:after="0" w:line="364" w:lineRule="auto"/>
        <w:ind w:left="540" w:right="580" w:firstLine="480"/>
        <w:jc w:val="left"/>
        <w:rPr>
          <w:sz w:val="24"/>
        </w:rPr>
      </w:pPr>
      <w:r>
        <w:rPr>
          <w:spacing w:val="-1"/>
          <w:sz w:val="24"/>
        </w:rPr>
        <w:t>施工完成后，对施工区域内场地进行全面整地并采取硬化措施，避免</w:t>
      </w:r>
      <w:r>
        <w:rPr>
          <w:sz w:val="24"/>
        </w:rPr>
        <w:t>地表裸露增加水土流失量。</w:t>
      </w:r>
    </w:p>
    <w:p>
      <w:pPr>
        <w:pStyle w:val="17"/>
        <w:numPr>
          <w:ilvl w:val="0"/>
          <w:numId w:val="62"/>
        </w:numPr>
        <w:tabs>
          <w:tab w:val="left" w:pos="1621"/>
        </w:tabs>
        <w:spacing w:before="1" w:after="0" w:line="364" w:lineRule="auto"/>
        <w:ind w:left="540" w:right="580" w:firstLine="480"/>
        <w:jc w:val="left"/>
        <w:rPr>
          <w:sz w:val="24"/>
        </w:rPr>
      </w:pPr>
      <w:r>
        <w:rPr>
          <w:spacing w:val="-1"/>
          <w:sz w:val="24"/>
        </w:rPr>
        <w:t>施工过程中场地内的施工运输道路等应及时清扫，洒水，减少车辆行</w:t>
      </w:r>
      <w:r>
        <w:rPr>
          <w:sz w:val="24"/>
        </w:rPr>
        <w:t>驶过程中的扬尘产生量。</w:t>
      </w:r>
    </w:p>
    <w:p>
      <w:pPr>
        <w:pStyle w:val="17"/>
        <w:numPr>
          <w:ilvl w:val="0"/>
          <w:numId w:val="62"/>
        </w:numPr>
        <w:tabs>
          <w:tab w:val="left" w:pos="1621"/>
        </w:tabs>
        <w:spacing w:before="1" w:after="0" w:line="364" w:lineRule="auto"/>
        <w:ind w:left="540" w:right="580" w:firstLine="480"/>
        <w:jc w:val="left"/>
        <w:rPr>
          <w:sz w:val="24"/>
        </w:rPr>
      </w:pPr>
      <w:r>
        <w:rPr>
          <w:spacing w:val="-1"/>
          <w:sz w:val="24"/>
        </w:rPr>
        <w:t>加强施工人员生态保护意识的宣传工作。禁止施工人员破坏设计用地</w:t>
      </w:r>
      <w:r>
        <w:rPr>
          <w:sz w:val="24"/>
        </w:rPr>
        <w:t>以外的植被或占用规定施工区以外的区域。</w:t>
      </w:r>
    </w:p>
    <w:p>
      <w:pPr>
        <w:pStyle w:val="7"/>
        <w:spacing w:before="1"/>
        <w:ind w:left="1020"/>
      </w:pPr>
      <w:r>
        <w:t>采取以上措施后，可最大限度减少因施工引起的负面生态影响。</w:t>
      </w:r>
    </w:p>
    <w:p>
      <w:pPr>
        <w:pStyle w:val="7"/>
        <w:spacing w:before="6"/>
        <w:ind w:left="0"/>
      </w:pPr>
    </w:p>
    <w:p>
      <w:pPr>
        <w:pStyle w:val="4"/>
        <w:numPr>
          <w:ilvl w:val="1"/>
          <w:numId w:val="59"/>
        </w:numPr>
        <w:tabs>
          <w:tab w:val="left" w:pos="1100"/>
        </w:tabs>
        <w:spacing w:before="0" w:after="0" w:line="240" w:lineRule="auto"/>
        <w:ind w:left="1099" w:right="0" w:hanging="560"/>
        <w:jc w:val="both"/>
        <w:outlineLvl w:val="1"/>
      </w:pPr>
      <w:bookmarkStart w:id="369" w:name="_bookmark29"/>
      <w:bookmarkEnd w:id="369"/>
      <w:bookmarkStart w:id="370" w:name="6.2 运营期环境保护措施分析"/>
      <w:bookmarkEnd w:id="370"/>
      <w:bookmarkStart w:id="371" w:name="_Toc3420"/>
      <w:r>
        <w:t>运营期环境保护措施分析</w:t>
      </w:r>
      <w:bookmarkEnd w:id="371"/>
    </w:p>
    <w:p>
      <w:pPr>
        <w:pStyle w:val="7"/>
        <w:spacing w:before="6"/>
        <w:ind w:left="0"/>
        <w:rPr>
          <w:b/>
          <w:sz w:val="28"/>
        </w:rPr>
      </w:pPr>
    </w:p>
    <w:p>
      <w:pPr>
        <w:pStyle w:val="5"/>
        <w:numPr>
          <w:ilvl w:val="2"/>
          <w:numId w:val="59"/>
        </w:numPr>
        <w:tabs>
          <w:tab w:val="left" w:pos="1241"/>
        </w:tabs>
        <w:spacing w:before="0" w:after="0" w:line="240" w:lineRule="auto"/>
        <w:ind w:left="1240" w:right="0" w:hanging="701"/>
        <w:jc w:val="both"/>
        <w:outlineLvl w:val="2"/>
      </w:pPr>
      <w:bookmarkStart w:id="372" w:name="6.2.1 环境空气污染防治措施分析"/>
      <w:bookmarkEnd w:id="372"/>
      <w:bookmarkStart w:id="373" w:name="6.2.1 环境空气污染防治措施分析"/>
      <w:bookmarkEnd w:id="373"/>
      <w:bookmarkStart w:id="374" w:name="_Toc20673"/>
      <w:r>
        <w:t>环境空气污染防治措施分析</w:t>
      </w:r>
      <w:bookmarkEnd w:id="374"/>
    </w:p>
    <w:p>
      <w:pPr>
        <w:pStyle w:val="7"/>
        <w:spacing w:before="1"/>
        <w:ind w:left="0"/>
        <w:rPr>
          <w:b/>
          <w:sz w:val="22"/>
        </w:rPr>
      </w:pPr>
    </w:p>
    <w:p>
      <w:pPr>
        <w:pStyle w:val="17"/>
        <w:numPr>
          <w:ilvl w:val="3"/>
          <w:numId w:val="63"/>
        </w:numPr>
        <w:tabs>
          <w:tab w:val="left" w:pos="1320"/>
        </w:tabs>
        <w:spacing w:before="1" w:after="0" w:line="240" w:lineRule="auto"/>
        <w:ind w:left="1320" w:right="0" w:hanging="780"/>
        <w:jc w:val="both"/>
        <w:rPr>
          <w:sz w:val="24"/>
        </w:rPr>
      </w:pPr>
      <w:bookmarkStart w:id="375" w:name="6.2.1.1 养殖场无组织恶臭气体防治措施"/>
      <w:bookmarkEnd w:id="375"/>
      <w:bookmarkStart w:id="376" w:name="6.2.1.1 养殖场无组织恶臭气体防治措施"/>
      <w:bookmarkEnd w:id="376"/>
      <w:r>
        <w:rPr>
          <w:sz w:val="24"/>
        </w:rPr>
        <w:t>养殖场无组织恶臭气体防治措施</w:t>
      </w:r>
    </w:p>
    <w:p>
      <w:pPr>
        <w:pStyle w:val="7"/>
        <w:spacing w:before="167" w:line="364" w:lineRule="auto"/>
        <w:ind w:right="577" w:firstLine="480"/>
        <w:jc w:val="both"/>
      </w:pPr>
      <w:r>
        <w:rPr>
          <w:spacing w:val="-5"/>
        </w:rPr>
        <w:t>畜禽养殖场的臭气主要来自蛋白质废弃物的厌氧分解，这些废弃物包括畜禽</w:t>
      </w:r>
      <w:r>
        <w:rPr>
          <w:spacing w:val="-11"/>
        </w:rPr>
        <w:t>粪尿、毛、饲料和垫料，而大部分臭气是粪尿厌氧分解产生的。畜禽排泄物中的</w:t>
      </w:r>
      <w:r>
        <w:rPr>
          <w:spacing w:val="-6"/>
        </w:rPr>
        <w:t>有机物主要由碳水化合物和含氮有机物组成，在一定的情况下，粪便发酵和含硫蛋白分解会产生大量的臭味气体，这些恶臭成分可分为挥发性脂肪酸、醇类、酚</w:t>
      </w:r>
      <w:r>
        <w:rPr>
          <w:spacing w:val="-13"/>
        </w:rPr>
        <w:t>类、酸类、醛类、酮类、胺类、硫醇类，以及含氮杂环化合物等</w:t>
      </w:r>
      <w:r>
        <w:rPr>
          <w:rFonts w:ascii="Times New Roman" w:eastAsia="Times New Roman"/>
        </w:rPr>
        <w:t>9</w:t>
      </w:r>
      <w:r>
        <w:rPr>
          <w:spacing w:val="-3"/>
        </w:rPr>
        <w:t>类有机化合物</w:t>
      </w:r>
      <w:r>
        <w:rPr>
          <w:spacing w:val="-10"/>
        </w:rPr>
        <w:t>和氨、硫化氢两种无机物。恶臭程度与畜禽种类、饲料、畜舍结构以及清粪工艺</w:t>
      </w:r>
      <w:r>
        <w:rPr>
          <w:spacing w:val="-7"/>
        </w:rPr>
        <w:t>类型等有关。此外，畜禽养殖管理不当</w:t>
      </w:r>
      <w:r>
        <w:t>（</w:t>
      </w:r>
      <w:r>
        <w:rPr>
          <w:spacing w:val="-3"/>
        </w:rPr>
        <w:t>诸如不及时清粪、不加强通风等</w:t>
      </w:r>
      <w:r>
        <w:rPr>
          <w:spacing w:val="-20"/>
        </w:rPr>
        <w:t>）</w:t>
      </w:r>
      <w:r>
        <w:rPr>
          <w:spacing w:val="-7"/>
        </w:rPr>
        <w:t>也会</w:t>
      </w:r>
      <w:r>
        <w:t>增加恶臭的产生和散发。</w:t>
      </w:r>
    </w:p>
    <w:p>
      <w:pPr>
        <w:pStyle w:val="7"/>
        <w:spacing w:before="5" w:line="364" w:lineRule="auto"/>
        <w:ind w:right="485" w:firstLine="480"/>
      </w:pPr>
      <w:r>
        <w:rPr>
          <w:spacing w:val="-5"/>
        </w:rPr>
        <w:t>对于本项目其恶臭主要来源为羊舍、堆肥厂和无害化处理车间，恶臭气体来</w:t>
      </w:r>
      <w:r>
        <w:rPr>
          <w:spacing w:val="-6"/>
        </w:rPr>
        <w:t>源复杂，属于无组织面源排放。单靠某一种除臭技术很难取得良好的治理效果，</w:t>
      </w:r>
      <w:r>
        <w:rPr>
          <w:spacing w:val="-9"/>
        </w:rPr>
        <w:t>从根本上讲，最有效的控制方法是控制产生气味的源头和扩散渠道。只有采取综</w:t>
      </w:r>
      <w:r>
        <w:rPr>
          <w:spacing w:val="-12"/>
        </w:rPr>
        <w:t>合除臭措施，从断绝臭气产生的源头、防止恶臭扩散等多种方法并举，才能有效</w:t>
      </w:r>
      <w:r>
        <w:rPr>
          <w:spacing w:val="-15"/>
        </w:rPr>
        <w:t>地防止和减轻其危害，保证人畜健康，促进畜牧业生产的可持续发展。恶臭防治</w:t>
      </w:r>
    </w:p>
    <w:p>
      <w:pPr>
        <w:spacing w:after="0" w:line="364" w:lineRule="auto"/>
        <w:sectPr>
          <w:footerReference r:id="rId20"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措施主要包括管理方面措施和技术方面的措施。</w:t>
      </w:r>
    </w:p>
    <w:p>
      <w:pPr>
        <w:pStyle w:val="17"/>
        <w:numPr>
          <w:ilvl w:val="4"/>
          <w:numId w:val="63"/>
        </w:numPr>
        <w:tabs>
          <w:tab w:val="left" w:pos="1621"/>
        </w:tabs>
        <w:spacing w:before="160" w:after="0" w:line="240" w:lineRule="auto"/>
        <w:ind w:left="1621" w:right="0" w:hanging="601"/>
        <w:jc w:val="left"/>
        <w:rPr>
          <w:sz w:val="24"/>
        </w:rPr>
      </w:pPr>
      <w:r>
        <w:rPr>
          <w:sz w:val="24"/>
        </w:rPr>
        <w:t>合理设计通风系统和养殖房舍</w:t>
      </w:r>
    </w:p>
    <w:p>
      <w:pPr>
        <w:pStyle w:val="7"/>
        <w:spacing w:before="161" w:line="364" w:lineRule="auto"/>
        <w:ind w:right="485" w:firstLine="480"/>
      </w:pPr>
      <w:r>
        <w:t>在拟建项目初步设计阶段，应合理对养殖区内的羊舍的通风系统进行设计，尽量选择通风性能较好的设备和设施；对于养殖房舍的设计，应按规模化畜禽养殖场的相关设计要求进行设计。</w:t>
      </w:r>
    </w:p>
    <w:p>
      <w:pPr>
        <w:pStyle w:val="17"/>
        <w:numPr>
          <w:ilvl w:val="4"/>
          <w:numId w:val="63"/>
        </w:numPr>
        <w:tabs>
          <w:tab w:val="left" w:pos="1621"/>
        </w:tabs>
        <w:spacing w:before="2" w:after="0" w:line="240" w:lineRule="auto"/>
        <w:ind w:left="1621" w:right="0" w:hanging="601"/>
        <w:jc w:val="left"/>
        <w:rPr>
          <w:sz w:val="24"/>
        </w:rPr>
      </w:pPr>
      <w:r>
        <w:rPr>
          <w:sz w:val="24"/>
        </w:rPr>
        <w:t>及时清理羊舍</w:t>
      </w:r>
    </w:p>
    <w:p>
      <w:pPr>
        <w:pStyle w:val="7"/>
        <w:spacing w:before="160" w:line="364" w:lineRule="auto"/>
        <w:ind w:right="577" w:firstLine="480"/>
        <w:jc w:val="both"/>
      </w:pPr>
      <w:r>
        <w:rPr>
          <w:spacing w:val="-8"/>
        </w:rPr>
        <w:t>有资料表明，温度高时恶臭气体浓度高，羊粪在</w:t>
      </w:r>
      <w:r>
        <w:rPr>
          <w:rFonts w:ascii="Times New Roman" w:eastAsia="Times New Roman"/>
        </w:rPr>
        <w:t>1-2</w:t>
      </w:r>
      <w:r>
        <w:rPr>
          <w:spacing w:val="-5"/>
        </w:rPr>
        <w:t>周后发酵较快，粪便暴</w:t>
      </w:r>
      <w:r>
        <w:rPr>
          <w:spacing w:val="-11"/>
        </w:rPr>
        <w:t>露面积越大，发酵率越高。因此应尽快从羊舍内清走粪便，并加强羊舍内的通风</w:t>
      </w:r>
      <w:r>
        <w:t>效果，以加速粪便干燥，能较好的减少臭气污染。</w:t>
      </w:r>
    </w:p>
    <w:p>
      <w:pPr>
        <w:pStyle w:val="7"/>
        <w:spacing w:before="2" w:line="364" w:lineRule="auto"/>
        <w:ind w:right="577" w:firstLine="480"/>
      </w:pPr>
      <w:r>
        <w:rPr>
          <w:spacing w:val="-9"/>
        </w:rPr>
        <w:t>为防止蚊蝇孳生，应根据蚊蝇生活习性，采用人工、机械配合喷药的方法预</w:t>
      </w:r>
      <w:r>
        <w:t>防蚊蝇孳生。</w:t>
      </w:r>
    </w:p>
    <w:p>
      <w:pPr>
        <w:pStyle w:val="7"/>
        <w:spacing w:before="1"/>
        <w:ind w:left="1020"/>
      </w:pPr>
      <w:r>
        <w:t>加强羊舍与饲料堆放地的灭鼠工作，预防疾病的传播。</w:t>
      </w:r>
    </w:p>
    <w:p>
      <w:pPr>
        <w:pStyle w:val="17"/>
        <w:numPr>
          <w:ilvl w:val="4"/>
          <w:numId w:val="63"/>
        </w:numPr>
        <w:tabs>
          <w:tab w:val="left" w:pos="1621"/>
        </w:tabs>
        <w:spacing w:before="161" w:after="0" w:line="240" w:lineRule="auto"/>
        <w:ind w:left="1621" w:right="0" w:hanging="601"/>
        <w:jc w:val="left"/>
        <w:rPr>
          <w:sz w:val="24"/>
        </w:rPr>
      </w:pPr>
      <w:r>
        <w:rPr>
          <w:sz w:val="24"/>
        </w:rPr>
        <w:t>强化羊舍消毒措施</w:t>
      </w:r>
    </w:p>
    <w:p>
      <w:pPr>
        <w:pStyle w:val="7"/>
        <w:spacing w:before="160" w:line="364" w:lineRule="auto"/>
        <w:ind w:right="485" w:firstLine="480"/>
      </w:pPr>
      <w:r>
        <w:t>全部羊舍必须配备地面消毒设备，车库、车棚内应设有车辆清洗消毒设施，病畜隔离间必须设车轮、鞋靴消毒池。</w:t>
      </w:r>
    </w:p>
    <w:p>
      <w:pPr>
        <w:pStyle w:val="17"/>
        <w:numPr>
          <w:ilvl w:val="4"/>
          <w:numId w:val="63"/>
        </w:numPr>
        <w:tabs>
          <w:tab w:val="left" w:pos="1621"/>
        </w:tabs>
        <w:spacing w:before="1" w:after="0" w:line="240" w:lineRule="auto"/>
        <w:ind w:left="1621" w:right="0" w:hanging="601"/>
        <w:jc w:val="left"/>
        <w:rPr>
          <w:sz w:val="24"/>
        </w:rPr>
      </w:pPr>
      <w:r>
        <w:rPr>
          <w:sz w:val="24"/>
        </w:rPr>
        <w:t>科学的设计日粮，提高饲料利用率</w:t>
      </w:r>
    </w:p>
    <w:p>
      <w:pPr>
        <w:pStyle w:val="7"/>
        <w:spacing w:before="161" w:line="364" w:lineRule="auto"/>
        <w:ind w:right="485" w:firstLine="480"/>
      </w:pPr>
      <w:r>
        <w:rPr>
          <w:spacing w:val="-8"/>
        </w:rPr>
        <w:t>饲料在消化过程中，因微生物分解而产生臭气，同时这些未被消化的养分排</w:t>
      </w:r>
      <w:r>
        <w:rPr>
          <w:spacing w:val="-9"/>
        </w:rPr>
        <w:t>除体外后被微生物分解产生更多的臭气，其主要成分为氨气、硫化氢、粪臭素、</w:t>
      </w:r>
      <w:r>
        <w:rPr>
          <w:spacing w:val="-10"/>
        </w:rPr>
        <w:t>靛基质、胺及硫醇。因此，提高日粮的消化率，减少干物质，尤其是蛋白质的排</w:t>
      </w:r>
      <w:r>
        <w:rPr>
          <w:spacing w:val="-11"/>
        </w:rPr>
        <w:t>出量，既可减少肠道臭气的产生，又可减少粪便排出后臭气的产生，这是减少粪</w:t>
      </w:r>
      <w:r>
        <w:rPr>
          <w:spacing w:val="-14"/>
        </w:rPr>
        <w:t>便臭味的有效途径。应当指出的是粪便臭味的产生主要是未消化的蛋白质的腐败</w:t>
      </w:r>
      <w:r>
        <w:rPr>
          <w:spacing w:val="-11"/>
        </w:rPr>
        <w:t>降解，故提高日粮蛋白质的消化率对粪便的恶臭控制非常重要。采取的措施包括以下方面：</w:t>
      </w:r>
    </w:p>
    <w:p>
      <w:pPr>
        <w:pStyle w:val="7"/>
        <w:spacing w:before="4"/>
        <w:ind w:left="1020"/>
      </w:pPr>
      <w:r>
        <w:t>①保证饲料的营养成分丰富</w:t>
      </w:r>
    </w:p>
    <w:p>
      <w:pPr>
        <w:pStyle w:val="7"/>
        <w:spacing w:before="160" w:line="364" w:lineRule="auto"/>
        <w:ind w:right="485" w:firstLine="480"/>
      </w:pPr>
      <w:r>
        <w:rPr>
          <w:spacing w:val="-9"/>
        </w:rPr>
        <w:t>一般来讲，饲料的营养成分越低，其消化率越低。羊为满足其营养需要，采</w:t>
      </w:r>
      <w:r>
        <w:rPr>
          <w:spacing w:val="-10"/>
        </w:rPr>
        <w:t>食量增大，导致粪便的排出量增加。因此，应加大营养成分丰富的饲料的比例。</w:t>
      </w:r>
    </w:p>
    <w:p>
      <w:pPr>
        <w:pStyle w:val="7"/>
        <w:spacing w:before="2"/>
        <w:ind w:left="1020"/>
      </w:pPr>
      <w:r>
        <w:t>②提高饲料养分的吸收率</w:t>
      </w:r>
    </w:p>
    <w:p>
      <w:pPr>
        <w:pStyle w:val="7"/>
        <w:spacing w:before="160" w:line="364" w:lineRule="auto"/>
        <w:ind w:right="457" w:firstLine="480"/>
      </w:pPr>
      <w:r>
        <w:rPr>
          <w:spacing w:val="-16"/>
        </w:rPr>
        <w:t>有些饲料虽然被消化，但不一定被机体吸收，如日粮中的氨基酸比例不当时，</w:t>
      </w:r>
      <w:r>
        <w:t>尤其是缺乏限制性氨基酸，其吸收率就降低，因此要满足其限制性氨基酸的量；</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jc w:val="both"/>
      </w:pPr>
      <w:r>
        <w:rPr>
          <w:spacing w:val="-14"/>
        </w:rPr>
        <w:t>又如</w:t>
      </w:r>
      <w:r>
        <w:rPr>
          <w:rFonts w:ascii="Times New Roman" w:eastAsia="Times New Roman"/>
        </w:rPr>
        <w:t>Zn</w:t>
      </w:r>
      <w:r>
        <w:rPr>
          <w:spacing w:val="4"/>
        </w:rPr>
        <w:t>、</w:t>
      </w:r>
      <w:r>
        <w:rPr>
          <w:rFonts w:ascii="Times New Roman" w:eastAsia="Times New Roman"/>
        </w:rPr>
        <w:t>Mn</w:t>
      </w:r>
      <w:r>
        <w:t>、</w:t>
      </w:r>
      <w:r>
        <w:rPr>
          <w:rFonts w:ascii="Times New Roman" w:eastAsia="Times New Roman"/>
        </w:rPr>
        <w:t>Fe</w:t>
      </w:r>
      <w:r>
        <w:t>、</w:t>
      </w:r>
      <w:r>
        <w:rPr>
          <w:rFonts w:ascii="Times New Roman" w:eastAsia="Times New Roman"/>
        </w:rPr>
        <w:t>Co</w:t>
      </w:r>
      <w:r>
        <w:t>等矿物质通常以氧化物或硫酸盐的形式添加到饲料中。</w:t>
      </w:r>
      <w:r>
        <w:rPr>
          <w:spacing w:val="-6"/>
        </w:rPr>
        <w:t>它们在瘤胃的酸性环境下解离为离子，为防止其形成无法吸收的不溶性物质，可</w:t>
      </w:r>
      <w:r>
        <w:rPr>
          <w:spacing w:val="-4"/>
        </w:rPr>
        <w:t>利用它们与某些有机配合基</w:t>
      </w:r>
      <w:r>
        <w:t>（如氨基酸或小肽</w:t>
      </w:r>
      <w:r>
        <w:rPr>
          <w:spacing w:val="-46"/>
        </w:rPr>
        <w:t>）</w:t>
      </w:r>
      <w:r>
        <w:rPr>
          <w:spacing w:val="-2"/>
        </w:rPr>
        <w:t>结合成络合物或螯合物作矿物质</w:t>
      </w:r>
      <w:r>
        <w:t>添加剂，以保证其吸收率。</w:t>
      </w:r>
    </w:p>
    <w:p>
      <w:pPr>
        <w:pStyle w:val="7"/>
        <w:spacing w:before="2"/>
        <w:ind w:left="1020"/>
        <w:jc w:val="both"/>
      </w:pPr>
      <w:r>
        <w:t>③满足日粮中有效中性洗涤纤维的供给量</w:t>
      </w:r>
    </w:p>
    <w:p>
      <w:pPr>
        <w:pStyle w:val="7"/>
        <w:spacing w:before="161" w:line="364" w:lineRule="auto"/>
        <w:ind w:right="577" w:firstLine="480"/>
        <w:jc w:val="both"/>
      </w:pPr>
      <w:r>
        <w:rPr>
          <w:spacing w:val="-7"/>
        </w:rPr>
        <w:t>由于反刍动物的特殊消化生理特点，日粮中必须保证有效中性洗涤纤维的供</w:t>
      </w:r>
      <w:r>
        <w:rPr>
          <w:spacing w:val="-10"/>
        </w:rPr>
        <w:t>给量。随着日粮中粗纤维含量的减少，相应的蛋白质含量会增加，导致粪便中的</w:t>
      </w:r>
      <w:r>
        <w:rPr>
          <w:spacing w:val="-9"/>
        </w:rPr>
        <w:t>吲哚和粪臭素增加，加剧恶臭程度。因此，要根据奶羊的不同生理阶段和生产性</w:t>
      </w:r>
      <w:r>
        <w:t>能及时调整有效中性洗涤纤维的饲喂量。</w:t>
      </w:r>
    </w:p>
    <w:p>
      <w:pPr>
        <w:pStyle w:val="7"/>
        <w:spacing w:before="2"/>
        <w:ind w:left="1020"/>
        <w:jc w:val="both"/>
      </w:pPr>
      <w:r>
        <w:t>④日粮添加剂的使用</w:t>
      </w:r>
    </w:p>
    <w:p>
      <w:pPr>
        <w:pStyle w:val="7"/>
        <w:spacing w:before="161" w:line="364" w:lineRule="auto"/>
        <w:ind w:right="577" w:firstLine="480"/>
        <w:jc w:val="both"/>
      </w:pPr>
      <w:r>
        <w:rPr>
          <w:spacing w:val="-7"/>
        </w:rPr>
        <w:t>日粮中采用某些添加剂后，除提高羊的生产性能外，对控制恶臭也有重要作</w:t>
      </w:r>
      <w:r>
        <w:rPr>
          <w:spacing w:val="-12"/>
        </w:rPr>
        <w:t>用。如酸制剂、酶制剂、抗微生物制剂、活菌制剂等，它们的共同特点是能提高</w:t>
      </w:r>
      <w:r>
        <w:t>饲料的消化率而进一步降低恶臭强度。</w:t>
      </w:r>
    </w:p>
    <w:p>
      <w:pPr>
        <w:pStyle w:val="17"/>
        <w:numPr>
          <w:ilvl w:val="4"/>
          <w:numId w:val="63"/>
        </w:numPr>
        <w:tabs>
          <w:tab w:val="left" w:pos="1621"/>
        </w:tabs>
        <w:spacing w:before="1" w:after="0" w:line="240" w:lineRule="auto"/>
        <w:ind w:left="1621" w:right="0" w:hanging="601"/>
        <w:jc w:val="left"/>
        <w:rPr>
          <w:sz w:val="24"/>
        </w:rPr>
      </w:pPr>
      <w:r>
        <w:rPr>
          <w:sz w:val="24"/>
        </w:rPr>
        <w:t>厂区内绿化隔离</w:t>
      </w:r>
    </w:p>
    <w:p>
      <w:pPr>
        <w:pStyle w:val="7"/>
        <w:spacing w:before="161" w:line="364" w:lineRule="auto"/>
        <w:ind w:right="455" w:firstLine="480"/>
      </w:pPr>
      <w:r>
        <w:rPr>
          <w:spacing w:val="-5"/>
        </w:rPr>
        <w:t>因鼠疫等疾病传染原因，绿化带需距离圈舍一定距离</w:t>
      </w:r>
      <w:r>
        <w:t>（</w:t>
      </w:r>
      <w:r>
        <w:rPr>
          <w:spacing w:val="-20"/>
        </w:rPr>
        <w:t>一般</w:t>
      </w:r>
      <w:r>
        <w:rPr>
          <w:rFonts w:ascii="Times New Roman" w:eastAsia="Times New Roman"/>
          <w:spacing w:val="-11"/>
        </w:rPr>
        <w:t>50m</w:t>
      </w:r>
      <w:r>
        <w:rPr>
          <w:spacing w:val="-11"/>
        </w:rPr>
        <w:t>）</w:t>
      </w:r>
      <w:r>
        <w:rPr>
          <w:spacing w:val="-3"/>
        </w:rPr>
        <w:t>，除此而</w:t>
      </w:r>
      <w:r>
        <w:rPr>
          <w:spacing w:val="-9"/>
        </w:rPr>
        <w:t>外，环评提出将场址内能绿化的地方都绿化，大量栽种当地吸尘、降噪、防毒植</w:t>
      </w:r>
      <w:r>
        <w:rPr>
          <w:spacing w:val="-16"/>
        </w:rPr>
        <w:t>物，例如松树，一方面可以起到隔音、净化空气、杀菌、滞尘的作用，另一方面，</w:t>
      </w:r>
      <w:r>
        <w:rPr>
          <w:spacing w:val="-8"/>
        </w:rPr>
        <w:t>也可以降低风速，减少厂区内的扬尘产生量，在一定程度上起到阻隔传播臭气的作用。</w:t>
      </w:r>
    </w:p>
    <w:p>
      <w:pPr>
        <w:pStyle w:val="17"/>
        <w:numPr>
          <w:ilvl w:val="3"/>
          <w:numId w:val="63"/>
        </w:numPr>
        <w:tabs>
          <w:tab w:val="left" w:pos="1320"/>
        </w:tabs>
        <w:spacing w:before="12" w:after="0" w:line="240" w:lineRule="auto"/>
        <w:ind w:left="1320" w:right="0" w:hanging="780"/>
        <w:jc w:val="left"/>
        <w:rPr>
          <w:sz w:val="24"/>
        </w:rPr>
      </w:pPr>
      <w:bookmarkStart w:id="377" w:name="6.2.1.2 畜禽无害化处理化制废气防治措施"/>
      <w:bookmarkEnd w:id="377"/>
      <w:bookmarkStart w:id="378" w:name="6.2.1.2 畜禽无害化处理化制废气防治措施"/>
      <w:bookmarkEnd w:id="378"/>
      <w:r>
        <w:rPr>
          <w:sz w:val="24"/>
        </w:rPr>
        <w:t>畜禽无害化处理化制废气防治措施</w:t>
      </w:r>
    </w:p>
    <w:p>
      <w:pPr>
        <w:pStyle w:val="7"/>
        <w:spacing w:before="168" w:line="364" w:lineRule="auto"/>
        <w:ind w:right="577" w:firstLine="480"/>
        <w:jc w:val="both"/>
      </w:pPr>
      <w:r>
        <w:rPr>
          <w:spacing w:val="-5"/>
        </w:rPr>
        <w:t>本项目病死羊废物采用干化法畜禽无害化处理方式处理。畜禽无害化处理过</w:t>
      </w:r>
      <w:r>
        <w:rPr>
          <w:spacing w:val="-10"/>
        </w:rPr>
        <w:t>程中，化制工序高温高压杀菌工段会产生废气，主要成分为水蒸气和恶臭，污染</w:t>
      </w:r>
      <w:r>
        <w:rPr>
          <w:spacing w:val="-20"/>
          <w:position w:val="2"/>
        </w:rPr>
        <w:t>物以</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计。</w:t>
      </w:r>
    </w:p>
    <w:p>
      <w:pPr>
        <w:pStyle w:val="7"/>
        <w:spacing w:before="46" w:line="357" w:lineRule="auto"/>
        <w:ind w:right="577" w:firstLine="480"/>
      </w:pPr>
      <w:r>
        <w:rPr>
          <w:spacing w:val="-4"/>
        </w:rPr>
        <w:t>该废气采用集中负压引流，先进行间接冷凝处理，</w:t>
      </w:r>
      <w:r>
        <w:rPr>
          <w:rFonts w:ascii="Times New Roman" w:eastAsia="Times New Roman"/>
          <w:spacing w:val="-7"/>
        </w:rPr>
        <w:t>90%</w:t>
      </w:r>
      <w:r>
        <w:rPr>
          <w:spacing w:val="-2"/>
        </w:rPr>
        <w:t>水蒸气在冷凝器中冷</w:t>
      </w:r>
      <w:r>
        <w:rPr>
          <w:spacing w:val="-9"/>
        </w:rPr>
        <w:t>凝下来成污水排入废水槽，收集后拉运至</w:t>
      </w:r>
      <w:r>
        <w:rPr>
          <w:rFonts w:hint="eastAsia"/>
          <w:spacing w:val="-9"/>
          <w:lang w:eastAsia="zh-CN"/>
        </w:rPr>
        <w:t>莎车</w:t>
      </w:r>
      <w:r>
        <w:rPr>
          <w:spacing w:val="-9"/>
        </w:rPr>
        <w:t>县污水处理站处理，剩余</w:t>
      </w:r>
      <w:r>
        <w:rPr>
          <w:rFonts w:ascii="Times New Roman" w:eastAsia="Times New Roman"/>
        </w:rPr>
        <w:t>10%</w:t>
      </w:r>
      <w:r>
        <w:rPr>
          <w:spacing w:val="-8"/>
        </w:rPr>
        <w:t>以水</w:t>
      </w:r>
      <w:r>
        <w:rPr>
          <w:spacing w:val="-2"/>
        </w:rPr>
        <w:t>蒸气的形式伴随其他废气引至光解除臭装置吸收处理，再经引风机引至</w:t>
      </w:r>
      <w:r>
        <w:rPr>
          <w:rFonts w:ascii="Times New Roman" w:eastAsia="Times New Roman"/>
        </w:rPr>
        <w:t>15m</w:t>
      </w:r>
      <w:r>
        <w:t>高</w:t>
      </w:r>
      <w:r>
        <w:rPr>
          <w:position w:val="2"/>
        </w:rPr>
        <w:t>排气筒集中排放，</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的去除率可达</w:t>
      </w:r>
      <w:r>
        <w:rPr>
          <w:rFonts w:ascii="Times New Roman" w:eastAsia="Times New Roman"/>
          <w:position w:val="2"/>
          <w:vertAlign w:val="baseline"/>
        </w:rPr>
        <w:t>90%</w:t>
      </w:r>
      <w:r>
        <w:rPr>
          <w:spacing w:val="-30"/>
          <w:position w:val="2"/>
          <w:vertAlign w:val="baseline"/>
        </w:rPr>
        <w:t>和</w:t>
      </w:r>
      <w:r>
        <w:rPr>
          <w:rFonts w:ascii="Times New Roman" w:eastAsia="Times New Roman"/>
          <w:position w:val="2"/>
          <w:vertAlign w:val="baseline"/>
        </w:rPr>
        <w:t>95%</w:t>
      </w:r>
      <w:r>
        <w:rPr>
          <w:position w:val="2"/>
          <w:vertAlign w:val="baseline"/>
        </w:rPr>
        <w:t>以上。</w:t>
      </w:r>
    </w:p>
    <w:p>
      <w:pPr>
        <w:pStyle w:val="17"/>
        <w:numPr>
          <w:ilvl w:val="3"/>
          <w:numId w:val="63"/>
        </w:numPr>
        <w:tabs>
          <w:tab w:val="left" w:pos="1320"/>
        </w:tabs>
        <w:spacing w:before="0" w:after="0" w:line="270" w:lineRule="exact"/>
        <w:ind w:left="1320" w:right="0" w:hanging="780"/>
        <w:jc w:val="left"/>
        <w:rPr>
          <w:sz w:val="24"/>
        </w:rPr>
      </w:pPr>
      <w:bookmarkStart w:id="379" w:name="6.2.1.3 光解除臭装置可行性分析"/>
      <w:bookmarkEnd w:id="379"/>
      <w:bookmarkStart w:id="380" w:name="6.2.1.3 光解除臭装置可行性分析"/>
      <w:bookmarkEnd w:id="380"/>
      <w:r>
        <w:rPr>
          <w:sz w:val="24"/>
        </w:rPr>
        <w:t>光解除臭装置可行性分析</w:t>
      </w:r>
    </w:p>
    <w:p>
      <w:pPr>
        <w:pStyle w:val="7"/>
        <w:spacing w:before="167"/>
        <w:ind w:left="1020"/>
      </w:pPr>
      <w:r>
        <w:t>光解除臭装置采用高能高臭氧</w:t>
      </w:r>
      <w:r>
        <w:rPr>
          <w:rFonts w:ascii="Times New Roman" w:eastAsia="Times New Roman"/>
        </w:rPr>
        <w:t>UV</w:t>
      </w:r>
      <w:r>
        <w:t>紫外线光束、氧化反应催化剂、高能离子</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pPr>
      <w:r>
        <w:rPr>
          <w:spacing w:val="-1"/>
        </w:rPr>
        <w:t>发生装置的组合工艺来降解有机废气，改变恶臭、刺激型气体如：氨、三甲胺、</w:t>
      </w:r>
      <w:r>
        <w:rPr>
          <w:spacing w:val="-10"/>
        </w:rPr>
        <w:t>硫化氢、甲硫醇、甲硫醚、二甲二硫、苯、甲苯、二甲苯等的分子链结构，使有</w:t>
      </w:r>
      <w:r>
        <w:rPr>
          <w:spacing w:val="-15"/>
        </w:rPr>
        <w:t>机或无机高分子恶臭化合物分子链，通过高能紫外线光束照射、催化剂的氧化反</w:t>
      </w:r>
      <w:r>
        <w:rPr>
          <w:spacing w:val="-11"/>
          <w:position w:val="2"/>
        </w:rPr>
        <w:t>应、正氧离子的氧化反应，降解转变成低分子化合物，如</w:t>
      </w:r>
      <w:r>
        <w:rPr>
          <w:rFonts w:ascii="Times New Roman" w:eastAsia="Times New Roman"/>
          <w:position w:val="2"/>
        </w:rPr>
        <w:t>CO</w:t>
      </w:r>
      <w:r>
        <w:rPr>
          <w:rFonts w:ascii="Times New Roman" w:eastAsia="Times New Roman"/>
          <w:position w:val="2"/>
          <w:vertAlign w:val="subscript"/>
        </w:rPr>
        <w:t>2</w:t>
      </w:r>
      <w:r>
        <w:rPr>
          <w:spacing w:val="-20"/>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O</w:t>
      </w:r>
      <w:r>
        <w:rPr>
          <w:spacing w:val="-4"/>
          <w:position w:val="2"/>
          <w:vertAlign w:val="baseline"/>
        </w:rPr>
        <w:t>等，再通过</w:t>
      </w:r>
      <w:r>
        <w:rPr>
          <w:spacing w:val="-5"/>
          <w:vertAlign w:val="baseline"/>
        </w:rPr>
        <w:t>排风管道排出，排出的气体对大气环境不造成污染，达到保护大气环境的目的。</w:t>
      </w:r>
    </w:p>
    <w:p>
      <w:pPr>
        <w:pStyle w:val="7"/>
        <w:spacing w:line="306" w:lineRule="exact"/>
        <w:ind w:left="1020"/>
      </w:pPr>
      <w:r>
        <w:t>光解除臭装置处理恶臭气体有以下几方面的优点：</w:t>
      </w:r>
    </w:p>
    <w:p>
      <w:pPr>
        <w:pStyle w:val="7"/>
        <w:spacing w:before="160" w:line="364" w:lineRule="auto"/>
        <w:ind w:right="455" w:firstLine="480"/>
      </w:pPr>
      <w:r>
        <w:rPr>
          <w:rFonts w:ascii="Times New Roman" w:eastAsia="Times New Roman"/>
        </w:rPr>
        <w:t>a</w:t>
      </w:r>
      <w:r>
        <w:rPr>
          <w:spacing w:val="-9"/>
        </w:rPr>
        <w:t>、高效降解有机化学物：能高效去除挥发性有机物</w:t>
      </w:r>
      <w:r>
        <w:rPr>
          <w:spacing w:val="-12"/>
        </w:rPr>
        <w:t>（</w:t>
      </w:r>
      <w:r>
        <w:rPr>
          <w:rFonts w:ascii="Times New Roman" w:eastAsia="Times New Roman"/>
          <w:spacing w:val="-12"/>
        </w:rPr>
        <w:t>VOC</w:t>
      </w:r>
      <w:r>
        <w:rPr>
          <w:spacing w:val="-12"/>
        </w:rPr>
        <w:t>）</w:t>
      </w:r>
      <w:r>
        <w:rPr>
          <w:spacing w:val="-24"/>
        </w:rPr>
        <w:t>、无机物、</w:t>
      </w:r>
      <w:r>
        <w:rPr>
          <w:rFonts w:ascii="Times New Roman" w:eastAsia="Times New Roman"/>
        </w:rPr>
        <w:t>H2S</w:t>
      </w:r>
      <w:r>
        <w:rPr>
          <w:spacing w:val="-14"/>
        </w:rPr>
        <w:t>、</w:t>
      </w:r>
      <w:r>
        <w:rPr>
          <w:rFonts w:ascii="Times New Roman" w:eastAsia="Times New Roman"/>
        </w:rPr>
        <w:t>NH3</w:t>
      </w:r>
      <w:r>
        <w:rPr>
          <w:spacing w:val="-11"/>
        </w:rPr>
        <w:t>、硫醇类等主要污染物，以及各种恶臭味，脱臭效率可达</w:t>
      </w:r>
      <w:r>
        <w:rPr>
          <w:rFonts w:ascii="Times New Roman" w:eastAsia="Times New Roman"/>
        </w:rPr>
        <w:t>75%</w:t>
      </w:r>
      <w:r>
        <w:rPr>
          <w:spacing w:val="-5"/>
        </w:rPr>
        <w:t>以上，使恶臭气体排放浓度能够达到《恶臭污染物排放标准》（</w:t>
      </w:r>
      <w:r>
        <w:rPr>
          <w:rFonts w:ascii="Times New Roman" w:eastAsia="Times New Roman"/>
          <w:spacing w:val="-5"/>
        </w:rPr>
        <w:t>GB14554-93</w:t>
      </w:r>
      <w:r>
        <w:rPr>
          <w:spacing w:val="-5"/>
        </w:rPr>
        <w:t>）要求。</w:t>
      </w:r>
    </w:p>
    <w:p>
      <w:pPr>
        <w:pStyle w:val="7"/>
        <w:spacing w:before="2" w:line="364" w:lineRule="auto"/>
        <w:ind w:right="577" w:firstLine="480"/>
      </w:pPr>
      <w:r>
        <w:rPr>
          <w:rFonts w:ascii="Times New Roman" w:eastAsia="Times New Roman"/>
        </w:rPr>
        <w:t>b</w:t>
      </w:r>
      <w:r>
        <w:t>、无需添加任何物质：只需要设置相应的排风管道和排风动力，使气体通过本设备进行脱臭分解净化，无需添加任何物质参与化学反应。</w:t>
      </w:r>
    </w:p>
    <w:p>
      <w:pPr>
        <w:pStyle w:val="7"/>
        <w:spacing w:before="1" w:line="364" w:lineRule="auto"/>
        <w:ind w:right="457" w:firstLine="480"/>
      </w:pPr>
      <w:r>
        <w:rPr>
          <w:rFonts w:ascii="Times New Roman" w:eastAsia="Times New Roman"/>
        </w:rPr>
        <w:t>c</w:t>
      </w:r>
      <w:r>
        <w:rPr>
          <w:spacing w:val="-10"/>
        </w:rPr>
        <w:t>、适应性强：可适应高浓度，大气量，不同有机化学气体物质的净化处理，</w:t>
      </w:r>
      <w:r>
        <w:rPr>
          <w:spacing w:val="-15"/>
        </w:rPr>
        <w:t>可每天</w:t>
      </w:r>
      <w:r>
        <w:rPr>
          <w:rFonts w:ascii="Times New Roman" w:eastAsia="Times New Roman"/>
        </w:rPr>
        <w:t>24</w:t>
      </w:r>
      <w:r>
        <w:t>小时连续工作，运行稳定可靠。</w:t>
      </w:r>
    </w:p>
    <w:p>
      <w:pPr>
        <w:pStyle w:val="7"/>
        <w:spacing w:before="1" w:line="364" w:lineRule="auto"/>
        <w:ind w:right="575" w:firstLine="480"/>
        <w:jc w:val="both"/>
      </w:pPr>
      <w:r>
        <w:rPr>
          <w:rFonts w:ascii="Times New Roman" w:eastAsia="Times New Roman"/>
        </w:rPr>
        <w:t>d</w:t>
      </w:r>
      <w:r>
        <w:rPr>
          <w:spacing w:val="-1"/>
        </w:rPr>
        <w:t>、运行成本低：本设备无任何机械动作，无噪音，无需专人管理和日常维</w:t>
      </w:r>
      <w:r>
        <w:rPr>
          <w:spacing w:val="-11"/>
        </w:rPr>
        <w:t>护，只需作定期检查，本设备能耗低，</w:t>
      </w:r>
      <w:r>
        <w:rPr>
          <w:spacing w:val="-33"/>
        </w:rPr>
        <w:t>（</w:t>
      </w:r>
      <w:r>
        <w:rPr>
          <w:spacing w:val="-15"/>
        </w:rPr>
        <w:t>每处理</w:t>
      </w:r>
      <w:r>
        <w:rPr>
          <w:rFonts w:ascii="Times New Roman" w:eastAsia="Times New Roman"/>
        </w:rPr>
        <w:t>1000</w:t>
      </w:r>
      <w:r>
        <w:t>立方米</w:t>
      </w:r>
      <w:r>
        <w:rPr>
          <w:rFonts w:ascii="Times New Roman" w:eastAsia="Times New Roman"/>
        </w:rPr>
        <w:t>/</w:t>
      </w:r>
      <w:r>
        <w:rPr>
          <w:spacing w:val="-13"/>
        </w:rPr>
        <w:t>小时，仅耗电约</w:t>
      </w:r>
      <w:r>
        <w:rPr>
          <w:rFonts w:ascii="Times New Roman" w:eastAsia="Times New Roman"/>
          <w:spacing w:val="-5"/>
        </w:rPr>
        <w:t>0.1</w:t>
      </w:r>
      <w:r>
        <w:t>度电能），设备风阻极低＜</w:t>
      </w:r>
      <w:r>
        <w:rPr>
          <w:rFonts w:ascii="Times New Roman" w:eastAsia="Times New Roman"/>
        </w:rPr>
        <w:t>30pa</w:t>
      </w:r>
      <w:r>
        <w:t>，可节约大量排风动力能耗。</w:t>
      </w:r>
    </w:p>
    <w:p>
      <w:pPr>
        <w:pStyle w:val="7"/>
        <w:spacing w:before="2" w:line="364" w:lineRule="auto"/>
        <w:ind w:right="577" w:firstLine="480"/>
        <w:jc w:val="both"/>
      </w:pPr>
      <w:r>
        <w:rPr>
          <w:rFonts w:ascii="Times New Roman" w:hAnsi="Times New Roman" w:eastAsia="Times New Roman"/>
        </w:rPr>
        <w:t>e</w:t>
      </w:r>
      <w:r>
        <w:t>、无需预处理：废气无需进行特殊的预处理，如加温、加湿等，设备工作环境温度在摄氏－</w:t>
      </w:r>
      <w:r>
        <w:rPr>
          <w:rFonts w:ascii="Times New Roman" w:hAnsi="Times New Roman" w:eastAsia="Times New Roman"/>
        </w:rPr>
        <w:t>30</w:t>
      </w:r>
      <w:r>
        <w:t>°～</w:t>
      </w:r>
      <w:r>
        <w:rPr>
          <w:rFonts w:ascii="Times New Roman" w:hAnsi="Times New Roman" w:eastAsia="Times New Roman"/>
        </w:rPr>
        <w:t>95</w:t>
      </w:r>
      <w:r>
        <w:t>°之间，湿度在</w:t>
      </w:r>
      <w:r>
        <w:rPr>
          <w:rFonts w:ascii="Times New Roman" w:hAnsi="Times New Roman" w:eastAsia="Times New Roman"/>
        </w:rPr>
        <w:t>40%</w:t>
      </w:r>
      <w:r>
        <w:t>～</w:t>
      </w:r>
      <w:r>
        <w:rPr>
          <w:rFonts w:ascii="Times New Roman" w:hAnsi="Times New Roman" w:eastAsia="Times New Roman"/>
        </w:rPr>
        <w:t>98%</w:t>
      </w:r>
      <w:r>
        <w:t>之间均可正常工作。</w:t>
      </w:r>
    </w:p>
    <w:p>
      <w:pPr>
        <w:pStyle w:val="7"/>
        <w:spacing w:before="1" w:line="364" w:lineRule="auto"/>
        <w:ind w:left="1020" w:right="577"/>
      </w:pPr>
      <w:r>
        <w:rPr>
          <w:rFonts w:ascii="Times New Roman" w:eastAsia="Times New Roman"/>
        </w:rPr>
        <w:t>f</w:t>
      </w:r>
      <w:r>
        <w:t>、设备占地面积小，自重轻：适合于布置紧凑、场地狭小等特殊条件。</w:t>
      </w:r>
      <w:r>
        <w:rPr>
          <w:spacing w:val="-10"/>
        </w:rPr>
        <w:t>综合分析，光解除臭装置可有效处理羊粪发酵恶臭，减轻恶臭对大气环境的</w:t>
      </w:r>
    </w:p>
    <w:p>
      <w:pPr>
        <w:pStyle w:val="7"/>
        <w:spacing w:before="2"/>
      </w:pPr>
      <w:r>
        <w:t>影响，方案可行。</w:t>
      </w:r>
    </w:p>
    <w:p>
      <w:pPr>
        <w:pStyle w:val="17"/>
        <w:numPr>
          <w:ilvl w:val="3"/>
          <w:numId w:val="63"/>
        </w:numPr>
        <w:tabs>
          <w:tab w:val="left" w:pos="1320"/>
        </w:tabs>
        <w:spacing w:before="170" w:after="0" w:line="240" w:lineRule="auto"/>
        <w:ind w:left="1320" w:right="0" w:hanging="780"/>
        <w:jc w:val="left"/>
        <w:rPr>
          <w:sz w:val="24"/>
        </w:rPr>
      </w:pPr>
      <w:bookmarkStart w:id="381" w:name="6.2.1.4 恶臭污染防治措施"/>
      <w:bookmarkEnd w:id="381"/>
      <w:bookmarkStart w:id="382" w:name="6.2.1.4 恶臭污染防治措施"/>
      <w:bookmarkEnd w:id="382"/>
      <w:r>
        <w:rPr>
          <w:sz w:val="24"/>
        </w:rPr>
        <w:t>恶臭污染防治措施</w:t>
      </w:r>
    </w:p>
    <w:p>
      <w:pPr>
        <w:pStyle w:val="7"/>
        <w:spacing w:before="167" w:line="364" w:lineRule="auto"/>
        <w:ind w:right="575" w:firstLine="480"/>
      </w:pPr>
      <w:r>
        <w:rPr>
          <w:spacing w:val="-9"/>
        </w:rPr>
        <w:t>根据上述要求，为了使项目恶臭对周边环境影响降到最低，针对本项目，环</w:t>
      </w:r>
      <w:r>
        <w:t>评建议项目增加的恶臭污染防治措施如下：</w:t>
      </w:r>
    </w:p>
    <w:p>
      <w:pPr>
        <w:pStyle w:val="17"/>
        <w:numPr>
          <w:ilvl w:val="0"/>
          <w:numId w:val="64"/>
        </w:numPr>
        <w:tabs>
          <w:tab w:val="left" w:pos="1621"/>
        </w:tabs>
        <w:spacing w:before="2" w:after="0" w:line="240" w:lineRule="auto"/>
        <w:ind w:left="1621" w:right="0" w:hanging="601"/>
        <w:jc w:val="left"/>
        <w:rPr>
          <w:sz w:val="24"/>
        </w:rPr>
      </w:pPr>
      <w:r>
        <w:rPr>
          <w:sz w:val="24"/>
        </w:rPr>
        <w:t>项目粪便堆肥间设计为密封形式，并做好防渗。</w:t>
      </w:r>
    </w:p>
    <w:p>
      <w:pPr>
        <w:pStyle w:val="17"/>
        <w:numPr>
          <w:ilvl w:val="0"/>
          <w:numId w:val="64"/>
        </w:numPr>
        <w:tabs>
          <w:tab w:val="left" w:pos="1621"/>
        </w:tabs>
        <w:spacing w:before="160" w:after="0" w:line="364" w:lineRule="auto"/>
        <w:ind w:left="540" w:right="580" w:firstLine="480"/>
        <w:jc w:val="left"/>
        <w:rPr>
          <w:sz w:val="24"/>
        </w:rPr>
      </w:pPr>
      <w:r>
        <w:rPr>
          <w:spacing w:val="-1"/>
          <w:sz w:val="24"/>
        </w:rPr>
        <w:t>项目羊粪堆肥过程，可向粪便投放沸石、锯末、秸秆、泥炭等含纤维</w:t>
      </w:r>
      <w:r>
        <w:rPr>
          <w:sz w:val="24"/>
        </w:rPr>
        <w:t>素和木质素较多的吸附剂以减少羊粪处理过程产生的臭气。</w:t>
      </w:r>
    </w:p>
    <w:p>
      <w:pPr>
        <w:pStyle w:val="17"/>
        <w:numPr>
          <w:ilvl w:val="0"/>
          <w:numId w:val="64"/>
        </w:numPr>
        <w:tabs>
          <w:tab w:val="left" w:pos="1621"/>
        </w:tabs>
        <w:spacing w:before="1" w:after="0" w:line="364" w:lineRule="auto"/>
        <w:ind w:left="540" w:right="580" w:firstLine="480"/>
        <w:jc w:val="left"/>
        <w:rPr>
          <w:sz w:val="24"/>
        </w:rPr>
      </w:pPr>
      <w:r>
        <w:rPr>
          <w:spacing w:val="-1"/>
          <w:sz w:val="24"/>
        </w:rPr>
        <w:t>项目堆肥场卸粪口位置喷淋生化除臭剂，除臭剂可以选择双氧水、次</w:t>
      </w:r>
      <w:r>
        <w:rPr>
          <w:sz w:val="24"/>
        </w:rPr>
        <w:t>氯酸钠、臭氧等。</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7"/>
        <w:numPr>
          <w:ilvl w:val="0"/>
          <w:numId w:val="64"/>
        </w:numPr>
        <w:tabs>
          <w:tab w:val="left" w:pos="1621"/>
        </w:tabs>
        <w:spacing w:before="143" w:after="0" w:line="364" w:lineRule="auto"/>
        <w:ind w:left="540" w:right="457" w:firstLine="480"/>
        <w:jc w:val="left"/>
        <w:rPr>
          <w:sz w:val="24"/>
        </w:rPr>
      </w:pPr>
      <w:r>
        <w:rPr>
          <w:spacing w:val="-12"/>
          <w:sz w:val="24"/>
        </w:rPr>
        <w:t>项目设置</w:t>
      </w:r>
      <w:r>
        <w:rPr>
          <w:rFonts w:ascii="Times New Roman" w:eastAsia="Times New Roman"/>
          <w:sz w:val="24"/>
        </w:rPr>
        <w:t>500m</w:t>
      </w:r>
      <w:r>
        <w:rPr>
          <w:spacing w:val="-5"/>
          <w:sz w:val="24"/>
        </w:rPr>
        <w:t>卫生防护距离，在该卫生防护距离内禁止建设居民区、</w:t>
      </w:r>
      <w:r>
        <w:rPr>
          <w:sz w:val="24"/>
        </w:rPr>
        <w:t>学校等其他敏感点。</w:t>
      </w:r>
    </w:p>
    <w:p>
      <w:pPr>
        <w:pStyle w:val="17"/>
        <w:numPr>
          <w:ilvl w:val="0"/>
          <w:numId w:val="64"/>
        </w:numPr>
        <w:tabs>
          <w:tab w:val="left" w:pos="1621"/>
        </w:tabs>
        <w:spacing w:before="1" w:after="0" w:line="364" w:lineRule="auto"/>
        <w:ind w:left="540" w:right="580" w:firstLine="480"/>
        <w:jc w:val="left"/>
        <w:rPr>
          <w:sz w:val="24"/>
        </w:rPr>
      </w:pPr>
      <w:r>
        <w:rPr>
          <w:spacing w:val="-1"/>
          <w:sz w:val="24"/>
        </w:rPr>
        <w:t>蚊蝇孳生季节喷洒虫卵消灭液，杜绝蚊蝇的生长，避免对附近居民的</w:t>
      </w:r>
      <w:r>
        <w:rPr>
          <w:sz w:val="24"/>
        </w:rPr>
        <w:t>影响。</w:t>
      </w:r>
    </w:p>
    <w:p>
      <w:pPr>
        <w:pStyle w:val="7"/>
        <w:spacing w:before="1" w:line="364" w:lineRule="auto"/>
        <w:ind w:right="577" w:firstLine="480"/>
      </w:pPr>
      <w:r>
        <w:rPr>
          <w:spacing w:val="-5"/>
        </w:rPr>
        <w:t>通过采取项目设计及环评建议的恶臭污染防治措施后，项目运营期产生的恶</w:t>
      </w:r>
      <w:r>
        <w:t>臭气体对周边环境影响不大，采取的措施是可行的。</w:t>
      </w:r>
    </w:p>
    <w:p>
      <w:pPr>
        <w:pStyle w:val="5"/>
        <w:numPr>
          <w:ilvl w:val="2"/>
          <w:numId w:val="59"/>
        </w:numPr>
        <w:tabs>
          <w:tab w:val="left" w:pos="1241"/>
        </w:tabs>
        <w:spacing w:before="115" w:after="0" w:line="240" w:lineRule="auto"/>
        <w:ind w:left="1240" w:right="0" w:hanging="701"/>
        <w:jc w:val="left"/>
        <w:outlineLvl w:val="2"/>
      </w:pPr>
      <w:bookmarkStart w:id="383" w:name="6.2.2 水污染防治措施分析"/>
      <w:bookmarkEnd w:id="383"/>
      <w:bookmarkStart w:id="384" w:name="6.2.2 水污染防治措施分析"/>
      <w:bookmarkEnd w:id="384"/>
      <w:bookmarkStart w:id="385" w:name="_Toc19961"/>
      <w:r>
        <w:t>水污染防治措施分析</w:t>
      </w:r>
      <w:bookmarkEnd w:id="385"/>
    </w:p>
    <w:p>
      <w:pPr>
        <w:pStyle w:val="7"/>
        <w:spacing w:before="2"/>
        <w:ind w:left="0"/>
        <w:rPr>
          <w:b/>
          <w:sz w:val="22"/>
        </w:rPr>
      </w:pPr>
    </w:p>
    <w:p>
      <w:pPr>
        <w:pStyle w:val="17"/>
        <w:numPr>
          <w:ilvl w:val="3"/>
          <w:numId w:val="65"/>
        </w:numPr>
        <w:tabs>
          <w:tab w:val="left" w:pos="1320"/>
        </w:tabs>
        <w:spacing w:before="0" w:after="0" w:line="240" w:lineRule="auto"/>
        <w:ind w:left="1320" w:right="0" w:hanging="780"/>
        <w:jc w:val="left"/>
        <w:rPr>
          <w:sz w:val="24"/>
        </w:rPr>
      </w:pPr>
      <w:bookmarkStart w:id="386" w:name="6.2.2.1 雨水"/>
      <w:bookmarkEnd w:id="386"/>
      <w:bookmarkStart w:id="387" w:name="6.2.2.1 雨水"/>
      <w:bookmarkEnd w:id="387"/>
      <w:r>
        <w:rPr>
          <w:sz w:val="24"/>
        </w:rPr>
        <w:t>雨水</w:t>
      </w:r>
    </w:p>
    <w:p>
      <w:pPr>
        <w:pStyle w:val="7"/>
        <w:spacing w:before="167" w:line="364" w:lineRule="auto"/>
        <w:ind w:right="577" w:firstLine="480"/>
        <w:jc w:val="both"/>
      </w:pPr>
      <w:r>
        <w:rPr>
          <w:spacing w:val="-7"/>
        </w:rPr>
        <w:t>本项目根据养殖场内地形，基地场地排水采用无组织排水。在施工中将场地</w:t>
      </w:r>
      <w:r>
        <w:rPr>
          <w:spacing w:val="-10"/>
        </w:rPr>
        <w:t>适当填方，略高于周围地坪，以使建筑有良好的视角，并为雨水的排放提供便利</w:t>
      </w:r>
      <w:r>
        <w:t>条件，地表雨水均排入周围绿化带。</w:t>
      </w:r>
    </w:p>
    <w:p>
      <w:pPr>
        <w:pStyle w:val="17"/>
        <w:numPr>
          <w:ilvl w:val="3"/>
          <w:numId w:val="65"/>
        </w:numPr>
        <w:tabs>
          <w:tab w:val="left" w:pos="1320"/>
        </w:tabs>
        <w:spacing w:before="12" w:after="0" w:line="240" w:lineRule="auto"/>
        <w:ind w:left="1320" w:right="0" w:hanging="780"/>
        <w:jc w:val="left"/>
        <w:rPr>
          <w:sz w:val="24"/>
        </w:rPr>
      </w:pPr>
      <w:bookmarkStart w:id="388" w:name="6.2.2.2 污水"/>
      <w:bookmarkEnd w:id="388"/>
      <w:bookmarkStart w:id="389" w:name="6.2.2.2 污水"/>
      <w:bookmarkEnd w:id="389"/>
      <w:r>
        <w:rPr>
          <w:sz w:val="24"/>
        </w:rPr>
        <w:t>污水</w:t>
      </w:r>
    </w:p>
    <w:p>
      <w:pPr>
        <w:pStyle w:val="7"/>
        <w:spacing w:before="168"/>
        <w:ind w:left="1020"/>
      </w:pPr>
      <w:r>
        <w:t>（</w:t>
      </w:r>
      <w:r>
        <w:rPr>
          <w:rFonts w:ascii="Times New Roman" w:eastAsia="Times New Roman"/>
        </w:rPr>
        <w:t>1</w:t>
      </w:r>
      <w:r>
        <w:t>）养殖废水</w:t>
      </w:r>
    </w:p>
    <w:p>
      <w:pPr>
        <w:pStyle w:val="7"/>
        <w:spacing w:before="160" w:line="364" w:lineRule="auto"/>
        <w:ind w:right="572" w:firstLine="480"/>
        <w:jc w:val="both"/>
        <w:rPr>
          <w:color w:val="0000FF"/>
        </w:rPr>
      </w:pPr>
      <w:r>
        <w:rPr>
          <w:color w:val="0000FF"/>
          <w:spacing w:val="-8"/>
        </w:rPr>
        <w:t>本项目采用干清粪工艺，不产生圈舍冲洗废水；羊饮水一部分参与羊的新陈</w:t>
      </w:r>
      <w:r>
        <w:rPr>
          <w:color w:val="0000FF"/>
          <w:spacing w:val="-10"/>
        </w:rPr>
        <w:t>代谢，另一部分饮水以尿液的方式排放，根据工程分析章节，本项目羊尿液产生</w:t>
      </w:r>
      <w:r>
        <w:rPr>
          <w:color w:val="0000FF"/>
          <w:spacing w:val="-23"/>
        </w:rPr>
        <w:t>量为</w:t>
      </w:r>
      <w:r>
        <w:rPr>
          <w:rFonts w:hint="eastAsia" w:ascii="Times New Roman" w:eastAsia="宋体"/>
          <w:color w:val="0000FF"/>
          <w:lang w:val="en-US" w:eastAsia="zh-CN"/>
        </w:rPr>
        <w:t>24090</w:t>
      </w:r>
      <w:r>
        <w:rPr>
          <w:rFonts w:ascii="Times New Roman" w:eastAsia="Times New Roman"/>
          <w:color w:val="0000FF"/>
        </w:rPr>
        <w:t>m</w:t>
      </w:r>
      <w:r>
        <w:rPr>
          <w:rFonts w:ascii="Times New Roman" w:eastAsia="Times New Roman"/>
          <w:color w:val="0000FF"/>
          <w:position w:val="8"/>
          <w:sz w:val="15"/>
        </w:rPr>
        <w:t>3</w:t>
      </w:r>
      <w:r>
        <w:rPr>
          <w:rFonts w:ascii="Times New Roman" w:eastAsia="Times New Roman"/>
          <w:color w:val="0000FF"/>
        </w:rPr>
        <w:t>/a</w:t>
      </w:r>
      <w:r>
        <w:rPr>
          <w:color w:val="0000FF"/>
        </w:rPr>
        <w:t>（</w:t>
      </w:r>
      <w:r>
        <w:rPr>
          <w:rFonts w:hint="eastAsia"/>
          <w:color w:val="0000FF"/>
          <w:lang w:val="en-US" w:eastAsia="zh-CN"/>
        </w:rPr>
        <w:t>66</w:t>
      </w:r>
      <w:r>
        <w:rPr>
          <w:rFonts w:ascii="Times New Roman" w:eastAsia="Times New Roman"/>
          <w:color w:val="0000FF"/>
        </w:rPr>
        <w:t>m</w:t>
      </w:r>
      <w:r>
        <w:rPr>
          <w:rFonts w:ascii="Times New Roman" w:eastAsia="Times New Roman"/>
          <w:color w:val="0000FF"/>
          <w:position w:val="8"/>
          <w:sz w:val="15"/>
        </w:rPr>
        <w:t>3</w:t>
      </w:r>
      <w:r>
        <w:rPr>
          <w:rFonts w:ascii="Times New Roman" w:eastAsia="Times New Roman"/>
          <w:color w:val="0000FF"/>
        </w:rPr>
        <w:t>/d</w:t>
      </w:r>
      <w:r>
        <w:rPr>
          <w:color w:val="0000FF"/>
        </w:rPr>
        <w:t>），</w:t>
      </w:r>
      <w:r>
        <w:rPr>
          <w:color w:val="0000FF"/>
          <w:spacing w:val="-2"/>
        </w:rPr>
        <w:t>项目区夏季蒸发量很大，羊尿主要和粪便混合在一</w:t>
      </w:r>
      <w:r>
        <w:rPr>
          <w:color w:val="0000FF"/>
        </w:rPr>
        <w:t>起，每日及时清除，不进入排水系统。</w:t>
      </w:r>
    </w:p>
    <w:p>
      <w:pPr>
        <w:pStyle w:val="7"/>
        <w:spacing w:before="2" w:line="364" w:lineRule="auto"/>
        <w:ind w:right="485" w:firstLine="480"/>
      </w:pPr>
      <w:r>
        <w:rPr>
          <w:spacing w:val="-4"/>
        </w:rPr>
        <w:t>养殖场每栋羊舍地面为混凝土地面，上端覆盖</w:t>
      </w:r>
      <w:r>
        <w:rPr>
          <w:rFonts w:ascii="Times New Roman" w:eastAsia="Times New Roman"/>
        </w:rPr>
        <w:t>35cm</w:t>
      </w:r>
      <w:r>
        <w:rPr>
          <w:spacing w:val="-4"/>
        </w:rPr>
        <w:t>厚垫料，铺设垫床一般</w:t>
      </w:r>
      <w:r>
        <w:rPr>
          <w:spacing w:val="-11"/>
        </w:rPr>
        <w:t>采用废气杂草、农作物秸秆粉、锯末等农业材料，羊排泄的尿液被垫料吸收、蒸</w:t>
      </w:r>
      <w:r>
        <w:rPr>
          <w:spacing w:val="-10"/>
        </w:rPr>
        <w:t>发，项目定期对垫料层和粪便进行清理更换，不需要对畜舍进行冲洗，无冲栏废</w:t>
      </w:r>
      <w:r>
        <w:rPr>
          <w:spacing w:val="-11"/>
        </w:rPr>
        <w:t>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spacing w:before="3" w:line="364" w:lineRule="auto"/>
        <w:ind w:right="457" w:firstLine="480"/>
      </w:pPr>
      <w:r>
        <w:rPr>
          <w:spacing w:val="-2"/>
        </w:rPr>
        <w:t>项目进场需对车辆进行消毒处理，设置消毒池，每车消毒耗水约为</w:t>
      </w:r>
      <w:r>
        <w:rPr>
          <w:rFonts w:ascii="Times New Roman" w:eastAsia="Times New Roman"/>
          <w:spacing w:val="-3"/>
        </w:rPr>
        <w:t>0.05m</w:t>
      </w:r>
      <w:r>
        <w:rPr>
          <w:rFonts w:ascii="Times New Roman" w:eastAsia="Times New Roman"/>
          <w:spacing w:val="-3"/>
          <w:position w:val="8"/>
          <w:sz w:val="15"/>
        </w:rPr>
        <w:t>3</w:t>
      </w:r>
      <w:r>
        <w:rPr>
          <w:spacing w:val="-3"/>
        </w:rPr>
        <w:t>，</w:t>
      </w:r>
      <w:r>
        <w:rPr>
          <w:spacing w:val="-6"/>
        </w:rPr>
        <w:t>进入厂区车辆平均约</w:t>
      </w:r>
      <w:r>
        <w:rPr>
          <w:rFonts w:ascii="Times New Roman" w:eastAsia="Times New Roman"/>
        </w:rPr>
        <w:t>2</w:t>
      </w:r>
      <w:r>
        <w:t>辆</w:t>
      </w:r>
      <w:r>
        <w:rPr>
          <w:rFonts w:ascii="Times New Roman" w:eastAsia="Times New Roman"/>
        </w:rPr>
        <w:t>/d</w:t>
      </w:r>
      <w:r>
        <w:rPr>
          <w:spacing w:val="-4"/>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before="2" w:line="364" w:lineRule="auto"/>
        <w:ind w:right="572" w:firstLine="480"/>
        <w:jc w:val="both"/>
        <w:rPr>
          <w:color w:val="0000FF"/>
        </w:rPr>
      </w:pPr>
      <w:r>
        <w:rPr>
          <w:color w:val="0000FF"/>
          <w:spacing w:val="-6"/>
        </w:rPr>
        <w:t>本项目厂内绿化面积为</w:t>
      </w:r>
      <w:r>
        <w:rPr>
          <w:rFonts w:hint="eastAsia" w:ascii="Times New Roman" w:hAnsi="Times New Roman"/>
          <w:color w:val="0000FF"/>
          <w:lang w:val="en-US" w:eastAsia="zh-CN"/>
        </w:rPr>
        <w:t>3109.5</w:t>
      </w:r>
      <w:r>
        <w:rPr>
          <w:rFonts w:ascii="Times New Roman" w:hAnsi="Times New Roman" w:eastAsia="Times New Roman"/>
          <w:color w:val="0000FF"/>
        </w:rPr>
        <w:t>m</w:t>
      </w:r>
      <w:r>
        <w:rPr>
          <w:rFonts w:ascii="Times New Roman" w:hAnsi="Times New Roman" w:eastAsia="Times New Roman"/>
          <w:color w:val="0000FF"/>
          <w:position w:val="8"/>
          <w:sz w:val="15"/>
        </w:rPr>
        <w:t>2</w:t>
      </w:r>
      <w:r>
        <w:rPr>
          <w:color w:val="0000FF"/>
        </w:rPr>
        <w:t>（</w:t>
      </w:r>
      <w:r>
        <w:rPr>
          <w:rFonts w:hint="eastAsia"/>
          <w:color w:val="0000FF"/>
          <w:lang w:val="en-US" w:eastAsia="zh-CN"/>
        </w:rPr>
        <w:t>4.66</w:t>
      </w:r>
      <w:r>
        <w:rPr>
          <w:color w:val="0000FF"/>
        </w:rPr>
        <w:t>亩），</w:t>
      </w:r>
      <w:r>
        <w:rPr>
          <w:color w:val="0000FF"/>
          <w:spacing w:val="-7"/>
        </w:rPr>
        <w:t>绿化用水定额取</w:t>
      </w:r>
      <w:r>
        <w:rPr>
          <w:rFonts w:ascii="Times New Roman" w:hAnsi="Times New Roman" w:eastAsia="Times New Roman"/>
          <w:color w:val="0000FF"/>
        </w:rPr>
        <w:t>500m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（亩</w:t>
      </w:r>
      <w:r>
        <w:rPr>
          <w:rFonts w:ascii="Times New Roman" w:hAnsi="Times New Roman" w:eastAsia="Times New Roman"/>
          <w:color w:val="0000FF"/>
          <w:spacing w:val="-12"/>
        </w:rPr>
        <w:t>•</w:t>
      </w:r>
      <w:r>
        <w:rPr>
          <w:color w:val="0000FF"/>
        </w:rPr>
        <w:t>年），</w:t>
      </w:r>
      <w:r>
        <w:rPr>
          <w:color w:val="0000FF"/>
          <w:spacing w:val="-4"/>
        </w:rPr>
        <w:t>则运营期年用水量约</w:t>
      </w:r>
      <w:r>
        <w:rPr>
          <w:rFonts w:hint="eastAsia" w:ascii="Times New Roman" w:hAnsi="Times New Roman"/>
          <w:color w:val="0000FF"/>
          <w:lang w:val="en-US" w:eastAsia="zh-CN"/>
        </w:rPr>
        <w:t>2330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ascii="Times New Roman" w:hAnsi="Times New Roman"/>
          <w:color w:val="0000FF"/>
          <w:lang w:val="en-US" w:eastAsia="zh-CN"/>
        </w:rPr>
        <w:t>6.4</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），绿化用水全部被植物和土壤吸收。</w:t>
      </w:r>
    </w:p>
    <w:p>
      <w:pPr>
        <w:pStyle w:val="7"/>
        <w:spacing w:before="143" w:line="364" w:lineRule="auto"/>
        <w:ind w:right="485"/>
        <w:rPr>
          <w:vertAlign w:val="baseline"/>
        </w:rPr>
      </w:pPr>
      <w:r>
        <w:t>畜禽无害化处理车间化制废水：病死羊所含水中</w:t>
      </w:r>
      <w:r>
        <w:rPr>
          <w:rFonts w:ascii="Times New Roman" w:eastAsia="Times New Roman"/>
        </w:rPr>
        <w:t>80%</w:t>
      </w:r>
      <w:r>
        <w:t>在化制过程中转化为水</w:t>
      </w:r>
      <w:r>
        <w:rPr>
          <w:color w:val="0000FF"/>
          <w:spacing w:val="-16"/>
        </w:rPr>
        <w:t>蒸气形式，剩余</w:t>
      </w:r>
      <w:r>
        <w:rPr>
          <w:rFonts w:ascii="Times New Roman" w:eastAsia="Times New Roman"/>
          <w:color w:val="0000FF"/>
        </w:rPr>
        <w:t>20%</w:t>
      </w:r>
      <w:r>
        <w:rPr>
          <w:color w:val="0000FF"/>
          <w:spacing w:val="-4"/>
        </w:rPr>
        <w:t>存在于化制所形成的肉骨粉和油脂中；所转化的水蒸气最终</w:t>
      </w:r>
      <w:r>
        <w:rPr>
          <w:color w:val="0000FF"/>
          <w:spacing w:val="-27"/>
        </w:rPr>
        <w:t>有</w:t>
      </w:r>
      <w:r>
        <w:rPr>
          <w:rFonts w:ascii="Times New Roman" w:eastAsia="Times New Roman"/>
          <w:color w:val="0000FF"/>
        </w:rPr>
        <w:t>90%</w:t>
      </w:r>
      <w:r>
        <w:rPr>
          <w:color w:val="0000FF"/>
          <w:spacing w:val="-4"/>
        </w:rPr>
        <w:t>在冷凝器中冷凝下来，剩余</w:t>
      </w:r>
      <w:r>
        <w:rPr>
          <w:rFonts w:ascii="Times New Roman" w:eastAsia="Times New Roman"/>
          <w:color w:val="0000FF"/>
        </w:rPr>
        <w:t>10%</w:t>
      </w:r>
      <w:r>
        <w:rPr>
          <w:color w:val="0000FF"/>
        </w:rPr>
        <w:t>以水蒸气的形式伴随其他废气排出，则</w:t>
      </w:r>
      <w:r>
        <w:rPr>
          <w:color w:val="0000FF"/>
          <w:spacing w:val="-4"/>
        </w:rPr>
        <w:t>本项目化制冷凝废水产生量为</w:t>
      </w:r>
      <w:r>
        <w:rPr>
          <w:rFonts w:hint="eastAsia" w:ascii="Times New Roman" w:eastAsia="宋体"/>
          <w:color w:val="0000FF"/>
          <w:lang w:val="en-US" w:eastAsia="zh-CN"/>
        </w:rPr>
        <w:t>7.2</w:t>
      </w:r>
      <w:r>
        <w:rPr>
          <w:rFonts w:ascii="Times New Roman" w:eastAsia="Times New Roman"/>
          <w:color w:val="0000FF"/>
        </w:rPr>
        <w:t>t/a</w:t>
      </w:r>
      <w:r>
        <w:rPr>
          <w:color w:val="0000FF"/>
        </w:rPr>
        <w:t>。</w:t>
      </w:r>
      <w:r>
        <w:t>通过类比，此类废水主要污染物产生浓</w:t>
      </w:r>
      <w:r>
        <w:rPr>
          <w:spacing w:val="-19"/>
          <w:position w:val="2"/>
        </w:rPr>
        <w:t>度为</w:t>
      </w:r>
      <w:r>
        <w:rPr>
          <w:rFonts w:ascii="Times New Roman" w:eastAsia="Times New Roman"/>
          <w:spacing w:val="-3"/>
          <w:position w:val="2"/>
        </w:rPr>
        <w:t>COD</w:t>
      </w:r>
      <w:r>
        <w:rPr>
          <w:rFonts w:ascii="Times New Roman" w:eastAsia="Times New Roman"/>
          <w:spacing w:val="-3"/>
          <w:position w:val="2"/>
          <w:vertAlign w:val="subscript"/>
        </w:rPr>
        <w:t>cr</w:t>
      </w:r>
      <w:r>
        <w:rPr>
          <w:rFonts w:ascii="Times New Roman" w:eastAsia="Times New Roman"/>
          <w:spacing w:val="-3"/>
          <w:position w:val="2"/>
          <w:vertAlign w:val="baseline"/>
        </w:rPr>
        <w:t>3500mg/L</w:t>
      </w:r>
      <w:r>
        <w:rPr>
          <w:spacing w:val="-3"/>
          <w:position w:val="2"/>
          <w:vertAlign w:val="baseline"/>
        </w:rPr>
        <w:t>，</w:t>
      </w:r>
      <w:r>
        <w:rPr>
          <w:rFonts w:ascii="Times New Roman" w:eastAsia="Times New Roman"/>
          <w:spacing w:val="-3"/>
          <w:position w:val="2"/>
          <w:vertAlign w:val="baseline"/>
        </w:rPr>
        <w:t>BOD</w:t>
      </w:r>
      <w:r>
        <w:rPr>
          <w:rFonts w:ascii="Times New Roman" w:eastAsia="Times New Roman"/>
          <w:spacing w:val="-3"/>
          <w:position w:val="2"/>
          <w:vertAlign w:val="subscript"/>
        </w:rPr>
        <w:t>5</w:t>
      </w:r>
      <w:r>
        <w:rPr>
          <w:rFonts w:ascii="Times New Roman" w:eastAsia="Times New Roman"/>
          <w:spacing w:val="-3"/>
          <w:position w:val="2"/>
          <w:vertAlign w:val="baseline"/>
        </w:rPr>
        <w:t>2500mg/L</w:t>
      </w:r>
      <w:r>
        <w:rPr>
          <w:spacing w:val="-11"/>
          <w:position w:val="2"/>
          <w:vertAlign w:val="baseline"/>
        </w:rPr>
        <w:t>，动植物油</w:t>
      </w:r>
      <w:r>
        <w:rPr>
          <w:rFonts w:ascii="Times New Roman" w:eastAsia="Times New Roman"/>
          <w:position w:val="2"/>
          <w:vertAlign w:val="baseline"/>
        </w:rPr>
        <w:t>220mg/L</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-N300mg/L</w:t>
      </w:r>
      <w:r>
        <w:rPr>
          <w:spacing w:val="-12"/>
          <w:position w:val="2"/>
          <w:vertAlign w:val="baseline"/>
        </w:rPr>
        <w:t>。畜</w:t>
      </w:r>
      <w:r>
        <w:rPr>
          <w:spacing w:val="-13"/>
          <w:vertAlign w:val="baseline"/>
        </w:rPr>
        <w:t>禽无害化处理车间化制废水进入废水槽，收集后拉运至</w:t>
      </w:r>
      <w:r>
        <w:rPr>
          <w:rFonts w:hint="eastAsia"/>
          <w:spacing w:val="-13"/>
          <w:vertAlign w:val="baseline"/>
          <w:lang w:eastAsia="zh-CN"/>
        </w:rPr>
        <w:t>莎车</w:t>
      </w:r>
      <w:r>
        <w:rPr>
          <w:spacing w:val="-13"/>
          <w:vertAlign w:val="baseline"/>
        </w:rPr>
        <w:t>县污水处理站处理，</w:t>
      </w:r>
      <w:r>
        <w:rPr>
          <w:vertAlign w:val="baseline"/>
        </w:rPr>
        <w:t>不外排。</w:t>
      </w:r>
    </w:p>
    <w:p>
      <w:pPr>
        <w:pStyle w:val="7"/>
        <w:numPr>
          <w:ilvl w:val="0"/>
          <w:numId w:val="0"/>
        </w:numPr>
        <w:bidi w:val="0"/>
        <w:ind w:left="-61" w:leftChars="0" w:right="0" w:rightChars="0" w:firstLine="480" w:firstLineChars="200"/>
        <w:rPr>
          <w:rFonts w:hint="default"/>
          <w:lang w:val="en-US" w:eastAsia="zh-CN"/>
        </w:rPr>
      </w:pPr>
      <w:r>
        <w:rPr>
          <w:rFonts w:hint="eastAsia"/>
          <w:lang w:val="en-US" w:eastAsia="zh-CN"/>
        </w:rPr>
        <w:t>（2）生活污水</w:t>
      </w:r>
    </w:p>
    <w:p>
      <w:pPr>
        <w:pStyle w:val="8"/>
        <w:spacing w:line="560" w:lineRule="exact"/>
        <w:ind w:firstLine="480"/>
        <w:rPr>
          <w:rFonts w:hint="default"/>
          <w:lang w:val="en-US" w:eastAsia="zh-CN"/>
        </w:rPr>
      </w:pPr>
      <w:r>
        <w:rPr>
          <w:rFonts w:hint="eastAsia" w:ascii="宋体" w:hAnsi="宋体" w:eastAsia="宋体" w:cs="宋体"/>
          <w:b w:val="0"/>
          <w:bCs/>
          <w:color w:val="FF0000"/>
          <w:kern w:val="0"/>
          <w:sz w:val="24"/>
          <w:szCs w:val="24"/>
          <w:lang w:val="en-US" w:eastAsia="zh-CN" w:bidi="ar"/>
        </w:rPr>
        <w:t>本项目运行人员为 30 人</w:t>
      </w:r>
      <w:r>
        <w:rPr>
          <w:rFonts w:hint="eastAsia" w:ascii="宋体" w:hAnsi="宋体" w:eastAsia="宋体" w:cs="宋体"/>
          <w:color w:val="FF0000"/>
          <w:kern w:val="0"/>
          <w:sz w:val="24"/>
          <w:szCs w:val="24"/>
          <w:lang w:val="en-US" w:eastAsia="zh-CN" w:bidi="ar"/>
        </w:rPr>
        <w:t>，</w:t>
      </w:r>
      <w:r>
        <w:rPr>
          <w:rFonts w:hint="eastAsia" w:ascii="宋体" w:hAnsi="宋体" w:eastAsia="宋体" w:cs="宋体"/>
          <w:bCs/>
          <w:color w:val="FF0000"/>
          <w:sz w:val="24"/>
          <w:szCs w:val="24"/>
        </w:rPr>
        <w:t>生活用水量 0.08 m</w:t>
      </w:r>
      <w:r>
        <w:rPr>
          <w:rFonts w:hint="eastAsia" w:ascii="宋体" w:hAnsi="宋体" w:eastAsia="宋体" w:cs="宋体"/>
          <w:bCs/>
          <w:color w:val="FF0000"/>
          <w:sz w:val="24"/>
          <w:szCs w:val="24"/>
          <w:vertAlign w:val="superscript"/>
        </w:rPr>
        <w:t xml:space="preserve">3 </w:t>
      </w:r>
      <w:r>
        <w:rPr>
          <w:rFonts w:hint="eastAsia" w:ascii="宋体" w:hAnsi="宋体" w:eastAsia="宋体" w:cs="宋体"/>
          <w:bCs/>
          <w:color w:val="FF0000"/>
          <w:sz w:val="24"/>
          <w:szCs w:val="24"/>
        </w:rPr>
        <w:t>/(人·d)计，生活污水排放系数取 0.8，年排放量约</w:t>
      </w:r>
      <w:r>
        <w:rPr>
          <w:rFonts w:hint="eastAsia" w:ascii="宋体" w:hAnsi="宋体" w:eastAsia="宋体" w:cs="宋体"/>
          <w:bCs/>
          <w:color w:val="FF0000"/>
          <w:sz w:val="24"/>
          <w:szCs w:val="24"/>
          <w:lang w:val="en-US" w:eastAsia="zh-CN"/>
        </w:rPr>
        <w:t>700m</w:t>
      </w:r>
      <w:r>
        <w:rPr>
          <w:rFonts w:hint="eastAsia" w:ascii="宋体" w:hAnsi="宋体" w:eastAsia="宋体" w:cs="宋体"/>
          <w:bCs/>
          <w:color w:val="FF0000"/>
          <w:sz w:val="24"/>
          <w:szCs w:val="24"/>
          <w:vertAlign w:val="superscript"/>
          <w:lang w:val="en-US" w:eastAsia="zh-CN"/>
        </w:rPr>
        <w:t>3</w:t>
      </w:r>
      <w:r>
        <w:rPr>
          <w:rFonts w:hint="eastAsia" w:ascii="宋体" w:hAnsi="宋体" w:eastAsia="宋体" w:cs="宋体"/>
          <w:bCs/>
          <w:color w:val="FF0000"/>
          <w:sz w:val="24"/>
          <w:szCs w:val="24"/>
        </w:rPr>
        <w:t xml:space="preserve"> /a，生活污水含有污染物主要为 CODcr、BOD</w:t>
      </w:r>
      <w:r>
        <w:rPr>
          <w:rFonts w:hint="eastAsia" w:ascii="宋体" w:hAnsi="宋体" w:eastAsia="宋体" w:cs="宋体"/>
          <w:bCs/>
          <w:color w:val="FF0000"/>
          <w:sz w:val="24"/>
          <w:szCs w:val="24"/>
          <w:vertAlign w:val="subscript"/>
        </w:rPr>
        <w:t>5</w:t>
      </w:r>
      <w:r>
        <w:rPr>
          <w:rFonts w:hint="eastAsia" w:ascii="宋体" w:hAnsi="宋体" w:eastAsia="宋体" w:cs="宋体"/>
          <w:bCs/>
          <w:color w:val="FF0000"/>
          <w:sz w:val="24"/>
          <w:szCs w:val="24"/>
        </w:rPr>
        <w:t>、SS、氨氮等，</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 xml:space="preserve">冬季储存，夏季用于场区洒水降尘。沉淀物由相关环卫部门抽运。 </w:t>
      </w:r>
    </w:p>
    <w:p>
      <w:pPr>
        <w:pStyle w:val="5"/>
        <w:numPr>
          <w:ilvl w:val="2"/>
          <w:numId w:val="59"/>
        </w:numPr>
        <w:tabs>
          <w:tab w:val="left" w:pos="1241"/>
        </w:tabs>
        <w:spacing w:before="113" w:after="0" w:line="240" w:lineRule="auto"/>
        <w:ind w:left="1240" w:right="0" w:hanging="701"/>
        <w:jc w:val="left"/>
        <w:outlineLvl w:val="2"/>
      </w:pPr>
      <w:bookmarkStart w:id="390" w:name="6.2.3 噪声污染防治措施分析"/>
      <w:bookmarkEnd w:id="390"/>
      <w:bookmarkStart w:id="391" w:name="6.2.3 噪声污染防治措施分析"/>
      <w:bookmarkEnd w:id="391"/>
      <w:bookmarkStart w:id="392" w:name="_Toc31623"/>
      <w:r>
        <w:t>噪声污染防治措施分析</w:t>
      </w:r>
      <w:bookmarkEnd w:id="392"/>
    </w:p>
    <w:p>
      <w:pPr>
        <w:pStyle w:val="7"/>
        <w:spacing w:before="7"/>
        <w:ind w:left="0"/>
        <w:rPr>
          <w:b/>
          <w:sz w:val="21"/>
        </w:rPr>
      </w:pPr>
    </w:p>
    <w:p>
      <w:pPr>
        <w:pStyle w:val="7"/>
        <w:ind w:left="1020"/>
      </w:pPr>
      <w:r>
        <w:t>本项目噪声源主要为养殖区风机设备噪声以及进出车辆噪声等。</w:t>
      </w:r>
    </w:p>
    <w:p>
      <w:pPr>
        <w:pStyle w:val="17"/>
        <w:numPr>
          <w:ilvl w:val="0"/>
          <w:numId w:val="66"/>
        </w:numPr>
        <w:tabs>
          <w:tab w:val="left" w:pos="1621"/>
        </w:tabs>
        <w:spacing w:before="160" w:after="0" w:line="240" w:lineRule="auto"/>
        <w:ind w:left="1621" w:right="0" w:hanging="601"/>
        <w:jc w:val="left"/>
        <w:rPr>
          <w:sz w:val="24"/>
        </w:rPr>
      </w:pPr>
      <w:r>
        <w:rPr>
          <w:sz w:val="24"/>
        </w:rPr>
        <w:t>降低设备噪声源强</w:t>
      </w:r>
    </w:p>
    <w:p>
      <w:pPr>
        <w:pStyle w:val="7"/>
        <w:spacing w:before="161" w:line="364" w:lineRule="auto"/>
        <w:ind w:right="577" w:firstLine="480"/>
        <w:jc w:val="both"/>
      </w:pPr>
      <w:r>
        <w:rPr>
          <w:spacing w:val="-7"/>
        </w:rPr>
        <w:t>对于提升机等噪声较高的设备，从设备选型时提出噪声限值要求，要求供货商提供符合要求的低噪声设备；对风机等气流型噪声源强，采用安装排气口消声</w:t>
      </w:r>
      <w:r>
        <w:rPr>
          <w:spacing w:val="-11"/>
        </w:rPr>
        <w:t>器、进气口消声器、管道接头等措施，减小气体流动或振动的声能；加强设备的</w:t>
      </w:r>
      <w:r>
        <w:t>维护保养，减少不良运行产生的设备噪声。</w:t>
      </w:r>
    </w:p>
    <w:p>
      <w:pPr>
        <w:pStyle w:val="17"/>
        <w:numPr>
          <w:ilvl w:val="0"/>
          <w:numId w:val="66"/>
        </w:numPr>
        <w:tabs>
          <w:tab w:val="left" w:pos="1621"/>
        </w:tabs>
        <w:spacing w:before="2" w:after="0" w:line="240" w:lineRule="auto"/>
        <w:ind w:left="1621" w:right="0" w:hanging="601"/>
        <w:jc w:val="left"/>
        <w:rPr>
          <w:sz w:val="24"/>
        </w:rPr>
      </w:pPr>
      <w:r>
        <w:rPr>
          <w:sz w:val="24"/>
        </w:rPr>
        <w:t>合理布局</w:t>
      </w:r>
    </w:p>
    <w:p>
      <w:pPr>
        <w:pStyle w:val="7"/>
        <w:spacing w:before="161" w:line="364" w:lineRule="auto"/>
        <w:ind w:right="577" w:firstLine="480"/>
      </w:pPr>
      <w:r>
        <w:rPr>
          <w:spacing w:val="-9"/>
        </w:rPr>
        <w:t>在总平面布置时，高噪声源尽可能远离厂界，减轻生产噪声对外界环境的影</w:t>
      </w:r>
      <w:r>
        <w:t>响。羊舍采用双层隔声窗。</w:t>
      </w:r>
    </w:p>
    <w:p>
      <w:pPr>
        <w:pStyle w:val="17"/>
        <w:numPr>
          <w:ilvl w:val="0"/>
          <w:numId w:val="66"/>
        </w:numPr>
        <w:tabs>
          <w:tab w:val="left" w:pos="1621"/>
        </w:tabs>
        <w:spacing w:before="1" w:after="0" w:line="240" w:lineRule="auto"/>
        <w:ind w:left="1621" w:right="0" w:hanging="601"/>
        <w:jc w:val="left"/>
        <w:rPr>
          <w:sz w:val="24"/>
        </w:rPr>
      </w:pPr>
      <w:r>
        <w:rPr>
          <w:sz w:val="24"/>
        </w:rPr>
        <w:t>控制噪声传播途径</w:t>
      </w:r>
    </w:p>
    <w:p>
      <w:pPr>
        <w:pStyle w:val="7"/>
        <w:spacing w:before="161" w:line="364" w:lineRule="auto"/>
        <w:ind w:right="457" w:firstLine="480"/>
        <w:jc w:val="both"/>
      </w:pPr>
      <w:r>
        <w:t>在生产运行噪声对局部外环境产生不利影响、噪声源也无法再进一步降低</w:t>
      </w:r>
      <w:r>
        <w:rPr>
          <w:spacing w:val="-9"/>
        </w:rPr>
        <w:t>时，可以从声传播途径上采取控制措施，减轻噪声的影响。如在噪声源与外环境</w:t>
      </w:r>
      <w:r>
        <w:rPr>
          <w:spacing w:val="-19"/>
        </w:rPr>
        <w:t>的保护目标之间，或建造隔声屏障、或建造声反射板、或采用建筑物隔声等方式，</w:t>
      </w:r>
      <w:r>
        <w:rPr>
          <w:spacing w:val="-5"/>
        </w:rPr>
        <w:t>使局部保护目标减少受噪声的影响，也可以采取在噪声源与保护目标之间，增加</w:t>
      </w:r>
      <w:r>
        <w:rPr>
          <w:spacing w:val="-12"/>
        </w:rPr>
        <w:t>阔叶绿化林带的宽度，增加绿化树木对噪声能量的吸收和反射，减轻保护目标的受影响程度。</w:t>
      </w:r>
    </w:p>
    <w:p>
      <w:pPr>
        <w:pStyle w:val="7"/>
        <w:spacing w:before="3" w:line="364" w:lineRule="auto"/>
        <w:ind w:right="577" w:firstLine="480"/>
      </w:pPr>
      <w:r>
        <w:rPr>
          <w:spacing w:val="-9"/>
        </w:rPr>
        <w:t>根据预测结果，采取上述治理措施后，场界噪声预测值能够达标，降噪措施</w:t>
      </w:r>
      <w:r>
        <w:t>可行。</w:t>
      </w:r>
    </w:p>
    <w:p>
      <w:pPr>
        <w:pStyle w:val="7"/>
        <w:spacing w:before="1"/>
        <w:ind w:left="1020"/>
        <w:jc w:val="both"/>
      </w:pPr>
      <w:r>
        <w:t>建议采取的降噪措施如下：</w:t>
      </w:r>
    </w:p>
    <w:p>
      <w:pPr>
        <w:pStyle w:val="7"/>
        <w:spacing w:before="161"/>
        <w:ind w:left="1020"/>
        <w:jc w:val="both"/>
      </w:pPr>
      <w:r>
        <w:t>①在设备的基础与地面之间安装减振垫，减少机械振动产生的噪声污染。</w:t>
      </w:r>
    </w:p>
    <w:p>
      <w:pPr>
        <w:pStyle w:val="7"/>
        <w:spacing w:before="160"/>
        <w:ind w:left="1020"/>
        <w:jc w:val="both"/>
      </w:pPr>
      <w:r>
        <w:t>②加强车间的隔音措施，适当增加机房墙壁厚度，并安装隔声门窗。</w:t>
      </w:r>
    </w:p>
    <w:p>
      <w:pPr>
        <w:pStyle w:val="7"/>
        <w:spacing w:before="161"/>
        <w:ind w:left="1020"/>
        <w:jc w:val="both"/>
      </w:pPr>
      <w:r>
        <w:t>③铲车及提升机等，除须对其定期检修外，还应合理安排工作时间，避免</w:t>
      </w:r>
    </w:p>
    <w:p>
      <w:pPr>
        <w:pStyle w:val="7"/>
        <w:spacing w:before="143"/>
        <w:jc w:val="both"/>
      </w:pPr>
      <w:r>
        <w:t>在夜间或无间休息时间运行。</w:t>
      </w:r>
    </w:p>
    <w:p>
      <w:pPr>
        <w:pStyle w:val="7"/>
        <w:spacing w:before="160" w:line="364" w:lineRule="auto"/>
        <w:ind w:right="455" w:firstLine="480"/>
        <w:jc w:val="both"/>
      </w:pPr>
      <w:r>
        <w:t>④采用“闹静分开”合理布局的设施原则，在车间、场区周围建设一定高</w:t>
      </w:r>
      <w:r>
        <w:rPr>
          <w:spacing w:val="-17"/>
        </w:rPr>
        <w:t>度的隔声屏障，如围墙，减少对车间外或场区外声环境的影响，种植一定的乔木、</w:t>
      </w:r>
      <w:r>
        <w:t>灌木林，亦有利于减少噪声污染。</w:t>
      </w:r>
    </w:p>
    <w:p>
      <w:pPr>
        <w:pStyle w:val="7"/>
        <w:spacing w:before="2" w:line="364" w:lineRule="auto"/>
        <w:ind w:right="580" w:firstLine="480"/>
        <w:jc w:val="both"/>
      </w:pPr>
      <w:r>
        <w:t>⑤加强设备的维护，确保设备处于良好的运转状态，杜绝因设备不正常运转时产生的高噪声现象。</w:t>
      </w:r>
    </w:p>
    <w:p>
      <w:pPr>
        <w:pStyle w:val="7"/>
        <w:spacing w:before="1" w:line="364" w:lineRule="auto"/>
        <w:ind w:right="577" w:firstLine="480"/>
        <w:jc w:val="both"/>
      </w:pPr>
      <w:r>
        <w:rPr>
          <w:spacing w:val="-11"/>
        </w:rPr>
        <w:t>本项目周边</w:t>
      </w:r>
      <w:r>
        <w:rPr>
          <w:rFonts w:ascii="Times New Roman" w:eastAsia="Times New Roman"/>
        </w:rPr>
        <w:t>500m</w:t>
      </w:r>
      <w:r>
        <w:rPr>
          <w:spacing w:val="-6"/>
        </w:rPr>
        <w:t>范围内无居民、医院、学校等声环境敏感点，主要噪声源</w:t>
      </w:r>
      <w:r>
        <w:rPr>
          <w:spacing w:val="-3"/>
        </w:rPr>
        <w:t>在采取以上措施后，设备噪声源强均可控制在</w:t>
      </w:r>
      <w:r>
        <w:rPr>
          <w:rFonts w:ascii="Times New Roman" w:eastAsia="Times New Roman"/>
        </w:rPr>
        <w:t>60dB</w:t>
      </w:r>
      <w:r>
        <w:t>（</w:t>
      </w:r>
      <w:r>
        <w:rPr>
          <w:rFonts w:ascii="Times New Roman" w:eastAsia="Times New Roman"/>
        </w:rPr>
        <w:t>A</w:t>
      </w:r>
      <w:r>
        <w:t>）以下，项目厂界声环境能满足《工业企业厂界环境噪声排放标准》（</w:t>
      </w:r>
      <w:r>
        <w:rPr>
          <w:rFonts w:ascii="Times New Roman" w:eastAsia="Times New Roman"/>
        </w:rPr>
        <w:t>GB12348-2008</w:t>
      </w:r>
      <w:r>
        <w:t>）</w:t>
      </w:r>
      <w:r>
        <w:rPr>
          <w:spacing w:val="-16"/>
        </w:rPr>
        <w:t>厂界外</w:t>
      </w:r>
      <w:r>
        <w:rPr>
          <w:rFonts w:ascii="Times New Roman" w:eastAsia="Times New Roman"/>
        </w:rPr>
        <w:t>2</w:t>
      </w:r>
      <w:r>
        <w:t>类声环境功能区排放限值要求，对周围环境影响较小。</w:t>
      </w:r>
    </w:p>
    <w:p>
      <w:pPr>
        <w:pStyle w:val="5"/>
        <w:numPr>
          <w:ilvl w:val="2"/>
          <w:numId w:val="59"/>
        </w:numPr>
        <w:tabs>
          <w:tab w:val="left" w:pos="1241"/>
        </w:tabs>
        <w:spacing w:before="116" w:after="0" w:line="240" w:lineRule="auto"/>
        <w:ind w:left="1240" w:right="0" w:hanging="701"/>
        <w:jc w:val="left"/>
        <w:outlineLvl w:val="2"/>
      </w:pPr>
      <w:bookmarkStart w:id="393" w:name="6.2.4 固体废物污染防治措施分析"/>
      <w:bookmarkEnd w:id="393"/>
      <w:bookmarkStart w:id="394" w:name="6.2.4 固体废物污染防治措施分析"/>
      <w:bookmarkEnd w:id="394"/>
      <w:bookmarkStart w:id="395" w:name="_Toc20711"/>
      <w:r>
        <w:rPr>
          <w:spacing w:val="-1"/>
          <w:w w:val="95"/>
        </w:rPr>
        <w:t>固体废物污染防治措施分析</w:t>
      </w:r>
      <w:bookmarkEnd w:id="395"/>
    </w:p>
    <w:p>
      <w:pPr>
        <w:pStyle w:val="7"/>
        <w:spacing w:before="2"/>
        <w:ind w:left="0"/>
        <w:rPr>
          <w:b/>
          <w:sz w:val="22"/>
        </w:rPr>
      </w:pPr>
    </w:p>
    <w:p>
      <w:pPr>
        <w:pStyle w:val="17"/>
        <w:numPr>
          <w:ilvl w:val="3"/>
          <w:numId w:val="67"/>
        </w:numPr>
        <w:tabs>
          <w:tab w:val="left" w:pos="1320"/>
        </w:tabs>
        <w:spacing w:before="0" w:after="0" w:line="240" w:lineRule="auto"/>
        <w:ind w:left="1320" w:right="0" w:hanging="780"/>
        <w:jc w:val="left"/>
        <w:rPr>
          <w:sz w:val="24"/>
        </w:rPr>
      </w:pPr>
      <w:bookmarkStart w:id="396" w:name="6.2.4.1 粪污治理措施"/>
      <w:bookmarkEnd w:id="396"/>
      <w:bookmarkStart w:id="397" w:name="6.2.4.1 粪污治理措施"/>
      <w:bookmarkEnd w:id="397"/>
      <w:r>
        <w:rPr>
          <w:sz w:val="24"/>
        </w:rPr>
        <w:t>粪污治理措施</w:t>
      </w:r>
    </w:p>
    <w:p>
      <w:pPr>
        <w:pStyle w:val="7"/>
        <w:spacing w:before="168" w:line="364" w:lineRule="auto"/>
        <w:ind w:right="577" w:firstLine="480"/>
        <w:jc w:val="both"/>
      </w:pPr>
      <w:r>
        <w:rPr>
          <w:spacing w:val="-6"/>
        </w:rPr>
        <w:t>本项目羊舍粪便采用机械干清粪为主，人工辅助干清粪，清理的干鲜粪集中</w:t>
      </w:r>
      <w:r>
        <w:t>在堆肥厂处置，经腐熟发酵后，达到无害化标准后还田。</w:t>
      </w:r>
    </w:p>
    <w:p>
      <w:pPr>
        <w:pStyle w:val="7"/>
        <w:spacing w:before="1" w:line="364" w:lineRule="auto"/>
        <w:ind w:right="457" w:firstLine="480"/>
        <w:jc w:val="both"/>
      </w:pPr>
      <w:r>
        <w:rPr>
          <w:spacing w:val="-15"/>
        </w:rPr>
        <w:t>堆肥场地的设计应满足《畜禽养殖业污染治理工程技术规范》有关规定要求：</w:t>
      </w:r>
      <w:r>
        <w:rPr>
          <w:spacing w:val="-6"/>
        </w:rPr>
        <w:t>堆肥场地一般应由粪便贮存池、堆肥场地以及成品堆肥存放场地等组成；采用间</w:t>
      </w:r>
      <w:r>
        <w:rPr>
          <w:spacing w:val="-3"/>
        </w:rPr>
        <w:t>歇式堆肥处理时，粪便贮存池的有效体积应按至少能容纳</w:t>
      </w:r>
      <w:r>
        <w:rPr>
          <w:rFonts w:ascii="Times New Roman" w:eastAsia="Times New Roman"/>
        </w:rPr>
        <w:t>6</w:t>
      </w:r>
      <w:r>
        <w:rPr>
          <w:spacing w:val="2"/>
        </w:rPr>
        <w:t>个月粪便产生量计</w:t>
      </w:r>
      <w:r>
        <w:rPr>
          <w:spacing w:val="-9"/>
        </w:rPr>
        <w:t>算；场内应建立收集堆肥渗滤液的贮存池；应考虑防渗漏措施，不得对地下水造成污染；应配置防雨淋设施和雨水排水系统。</w:t>
      </w:r>
    </w:p>
    <w:p>
      <w:pPr>
        <w:pStyle w:val="7"/>
        <w:spacing w:before="3" w:line="364" w:lineRule="auto"/>
        <w:ind w:right="575" w:firstLine="480"/>
        <w:jc w:val="both"/>
      </w:pPr>
      <w:r>
        <w:rPr>
          <w:spacing w:val="3"/>
        </w:rPr>
        <w:t>本项目堆肥厂设计平面占地</w:t>
      </w:r>
      <w:r>
        <w:rPr>
          <w:rFonts w:ascii="Times New Roman" w:hAnsi="Times New Roman" w:eastAsia="Times New Roman"/>
          <w:spacing w:val="5"/>
        </w:rPr>
        <w:t>80m</w:t>
      </w:r>
      <w:r>
        <w:rPr>
          <w:spacing w:val="5"/>
        </w:rPr>
        <w:t>×</w:t>
      </w:r>
      <w:r>
        <w:rPr>
          <w:rFonts w:ascii="Times New Roman" w:hAnsi="Times New Roman" w:eastAsia="Times New Roman"/>
          <w:spacing w:val="5"/>
        </w:rPr>
        <w:t>50m</w:t>
      </w:r>
      <w:r>
        <w:rPr>
          <w:spacing w:val="-1"/>
        </w:rPr>
        <w:t>，按粪堆高度</w:t>
      </w:r>
      <w:r>
        <w:rPr>
          <w:rFonts w:ascii="Times New Roman" w:hAnsi="Times New Roman" w:eastAsia="Times New Roman"/>
        </w:rPr>
        <w:t>1.5m</w:t>
      </w:r>
      <w:r>
        <w:rPr>
          <w:spacing w:val="6"/>
        </w:rPr>
        <w:t>计算，可堆放</w:t>
      </w:r>
      <w:r>
        <w:rPr>
          <w:rFonts w:ascii="Times New Roman" w:hAnsi="Times New Roman" w:eastAsia="Times New Roman"/>
        </w:rPr>
        <w:t>6000m</w:t>
      </w:r>
      <w:r>
        <w:rPr>
          <w:rFonts w:ascii="Times New Roman" w:hAnsi="Times New Roman" w:eastAsia="Times New Roman"/>
          <w:position w:val="8"/>
          <w:sz w:val="15"/>
        </w:rPr>
        <w:t>3</w:t>
      </w:r>
      <w:r>
        <w:rPr>
          <w:spacing w:val="-3"/>
        </w:rPr>
        <w:t>的粪污。好氧堆肥发酵时间一般为</w:t>
      </w:r>
      <w:r>
        <w:rPr>
          <w:rFonts w:ascii="Times New Roman" w:hAnsi="Times New Roman" w:eastAsia="Times New Roman"/>
        </w:rPr>
        <w:t>15-20d</w:t>
      </w:r>
      <w:r>
        <w:t>，加入发酵菌后腐熟无害化的</w:t>
      </w:r>
      <w:r>
        <w:rPr>
          <w:spacing w:val="-11"/>
        </w:rPr>
        <w:t>日期更短。按照日产日清原则，腐熟发酵无害化后的粪便及时拉走还田不占用堆</w:t>
      </w:r>
      <w:r>
        <w:t>肥场，实现滚动式循环。</w:t>
      </w:r>
    </w:p>
    <w:p>
      <w:pPr>
        <w:pStyle w:val="7"/>
        <w:spacing w:before="2" w:line="364" w:lineRule="auto"/>
        <w:ind w:right="577" w:firstLine="480"/>
        <w:jc w:val="both"/>
      </w:pPr>
      <w:r>
        <w:rPr>
          <w:spacing w:val="-7"/>
        </w:rPr>
        <w:t>建议堆肥场可设计成封闭式的，不仅增大容纳量，臭气集中收集处置，更满</w:t>
      </w:r>
      <w:r>
        <w:t>足环保防臭要求。堆肥场的设计具体内容如下：</w:t>
      </w:r>
    </w:p>
    <w:p>
      <w:pPr>
        <w:pStyle w:val="7"/>
        <w:spacing w:before="2"/>
        <w:ind w:left="1020"/>
      </w:pPr>
      <w:r>
        <w:rPr>
          <w:rFonts w:ascii="Times New Roman" w:eastAsia="Times New Roman"/>
        </w:rPr>
        <w:t>a</w:t>
      </w:r>
      <w:r>
        <w:t>、采用混凝土地坪，用水泥砂浆进行防渗处理；</w:t>
      </w:r>
    </w:p>
    <w:p>
      <w:pPr>
        <w:pStyle w:val="7"/>
        <w:spacing w:before="160" w:line="364" w:lineRule="auto"/>
        <w:ind w:right="577" w:firstLine="480"/>
      </w:pPr>
      <w:r>
        <w:rPr>
          <w:rFonts w:ascii="Times New Roman" w:eastAsia="Times New Roman"/>
        </w:rPr>
        <w:t>b</w:t>
      </w:r>
      <w:r>
        <w:rPr>
          <w:spacing w:val="-8"/>
        </w:rPr>
        <w:t>、沿堆肥场地四周修建挡水墙，挡水墙高度</w:t>
      </w:r>
      <w:r>
        <w:rPr>
          <w:rFonts w:ascii="Times New Roman" w:eastAsia="Times New Roman"/>
          <w:spacing w:val="-3"/>
        </w:rPr>
        <w:t>0.5m</w:t>
      </w:r>
      <w:r>
        <w:rPr>
          <w:spacing w:val="-4"/>
        </w:rPr>
        <w:t>，避免场外雨雪水流入堆</w:t>
      </w:r>
      <w:r>
        <w:t>肥场内，同时也可避免粪污外流散落；</w:t>
      </w:r>
    </w:p>
    <w:p>
      <w:pPr>
        <w:pStyle w:val="7"/>
        <w:spacing w:before="143"/>
      </w:pPr>
      <w:r>
        <w:rPr>
          <w:rFonts w:ascii="Times New Roman" w:eastAsia="Times New Roman"/>
        </w:rPr>
        <w:t>c</w:t>
      </w:r>
      <w:r>
        <w:t>、沿挡水墙内侧修建导流沟并设置收集池，雨雪水及堆肥场内形成的渗水</w:t>
      </w:r>
    </w:p>
    <w:p>
      <w:pPr>
        <w:pStyle w:val="7"/>
        <w:spacing w:before="143"/>
      </w:pPr>
      <w:r>
        <w:t>随导流沟汇入收集池，通过吸粪车将收集到的水污运至项目污水处理系统；</w:t>
      </w:r>
    </w:p>
    <w:p>
      <w:pPr>
        <w:pStyle w:val="7"/>
        <w:spacing w:before="160"/>
        <w:ind w:left="1020"/>
      </w:pPr>
      <w:r>
        <w:rPr>
          <w:rFonts w:ascii="Times New Roman" w:eastAsia="Times New Roman"/>
        </w:rPr>
        <w:t>d</w:t>
      </w:r>
      <w:r>
        <w:t>、设置彩钢顶棚，避免雨水的淋漓。</w:t>
      </w:r>
    </w:p>
    <w:p>
      <w:pPr>
        <w:pStyle w:val="7"/>
        <w:spacing w:before="161"/>
        <w:ind w:left="1020"/>
      </w:pPr>
      <w:r>
        <w:rPr>
          <w:spacing w:val="27"/>
        </w:rPr>
        <w:t>本项目羊粪最终经堆存发酵处置后应满足《粪便无害化卫生标准》</w:t>
      </w:r>
    </w:p>
    <w:p>
      <w:pPr>
        <w:pStyle w:val="7"/>
        <w:spacing w:before="160"/>
      </w:pPr>
      <w:r>
        <w:t>（</w:t>
      </w:r>
      <w:r>
        <w:rPr>
          <w:rFonts w:ascii="Times New Roman" w:eastAsia="Times New Roman"/>
        </w:rPr>
        <w:t>GB7959-2012</w:t>
      </w:r>
      <w:r>
        <w:t>）</w:t>
      </w:r>
      <w:r>
        <w:rPr>
          <w:spacing w:val="23"/>
        </w:rPr>
        <w:t>中污染物排放标准及《畜禽养殖业污染物排放标准》</w:t>
      </w:r>
    </w:p>
    <w:p>
      <w:pPr>
        <w:pStyle w:val="7"/>
        <w:spacing w:before="161"/>
      </w:pPr>
      <w:r>
        <w:t>（</w:t>
      </w:r>
      <w:r>
        <w:rPr>
          <w:rFonts w:ascii="Times New Roman" w:eastAsia="Times New Roman"/>
        </w:rPr>
        <w:t>GB18596-2001</w:t>
      </w:r>
      <w:r>
        <w:t>）表</w:t>
      </w:r>
      <w:r>
        <w:rPr>
          <w:rFonts w:ascii="Times New Roman" w:eastAsia="Times New Roman"/>
        </w:rPr>
        <w:t>6</w:t>
      </w:r>
      <w:r>
        <w:t>中畜禽养殖业废渣无害化环境标准要求。</w:t>
      </w:r>
    </w:p>
    <w:p>
      <w:pPr>
        <w:pStyle w:val="17"/>
        <w:numPr>
          <w:ilvl w:val="3"/>
          <w:numId w:val="67"/>
        </w:numPr>
        <w:tabs>
          <w:tab w:val="left" w:pos="1320"/>
        </w:tabs>
        <w:spacing w:before="170" w:after="0" w:line="240" w:lineRule="auto"/>
        <w:ind w:left="1320" w:right="0" w:hanging="780"/>
        <w:jc w:val="left"/>
        <w:rPr>
          <w:sz w:val="24"/>
        </w:rPr>
      </w:pPr>
      <w:bookmarkStart w:id="398" w:name="6.2.4.2 病死羊及分娩物处置措施"/>
      <w:bookmarkEnd w:id="398"/>
      <w:bookmarkStart w:id="399" w:name="6.2.4.2 病死羊及分娩物处置措施"/>
      <w:bookmarkEnd w:id="399"/>
      <w:r>
        <w:rPr>
          <w:sz w:val="24"/>
        </w:rPr>
        <w:t>病死羊及分娩物处置措施</w:t>
      </w:r>
    </w:p>
    <w:p>
      <w:pPr>
        <w:pStyle w:val="7"/>
        <w:spacing w:before="168"/>
        <w:ind w:left="1020"/>
      </w:pPr>
      <w:r>
        <w:t>（</w:t>
      </w:r>
      <w:r>
        <w:rPr>
          <w:rFonts w:ascii="Times New Roman" w:eastAsia="Times New Roman"/>
        </w:rPr>
        <w:t>1</w:t>
      </w:r>
      <w:r>
        <w:t>）病害动物处置方案比选</w:t>
      </w:r>
    </w:p>
    <w:p>
      <w:pPr>
        <w:pStyle w:val="7"/>
        <w:spacing w:before="160" w:line="364" w:lineRule="auto"/>
        <w:ind w:right="577" w:firstLine="480"/>
        <w:jc w:val="both"/>
      </w:pPr>
      <w:r>
        <w:rPr>
          <w:spacing w:val="-9"/>
        </w:rPr>
        <w:t>病死动物无害化处理，是指用物理、化学等方法处理病死动物尸体及相关动</w:t>
      </w:r>
      <w:r>
        <w:rPr>
          <w:spacing w:val="-10"/>
        </w:rPr>
        <w:t>物产品，消灭其所携带的病原体，消除动物尸体危害的过程。目前处理病死动物</w:t>
      </w:r>
      <w:r>
        <w:t>的方法主要包括以下几种：一是焚烧法，二是高温化制法，三是填埋法。</w:t>
      </w:r>
    </w:p>
    <w:p>
      <w:pPr>
        <w:pStyle w:val="7"/>
        <w:spacing w:before="2"/>
        <w:ind w:left="1020"/>
        <w:jc w:val="both"/>
      </w:pPr>
      <w:r>
        <w:t>①焚烧法</w:t>
      </w:r>
    </w:p>
    <w:p>
      <w:pPr>
        <w:pStyle w:val="7"/>
        <w:spacing w:before="160" w:line="364" w:lineRule="auto"/>
        <w:ind w:right="457" w:firstLine="480"/>
      </w:pPr>
      <w:r>
        <w:rPr>
          <w:spacing w:val="-8"/>
        </w:rPr>
        <w:t>焚烧法是指在焚烧容器内，使动物尸体及相关动物产品在富氧或无氧条件下</w:t>
      </w:r>
      <w:r>
        <w:rPr>
          <w:spacing w:val="-13"/>
        </w:rPr>
        <w:t>进行氧化反应或热解反应的方法，主要有直接焚烧法和碳化焚烧法。直接焚烧法</w:t>
      </w:r>
      <w:r>
        <w:rPr>
          <w:spacing w:val="-21"/>
        </w:rPr>
        <w:t>是将动物尸体及相关动物产品或破碎产物，投至焚烧炉本体燃烧室，经充分氧化、</w:t>
      </w:r>
      <w:r>
        <w:rPr>
          <w:spacing w:val="-9"/>
        </w:rPr>
        <w:t>热解，产生的高温烟气进入二燃室继续燃烧，产生的炉渣经出渣机排出。炭化焚烧法是将动物尸体及相关动物产品投至热解炭化室，在无氧情况下经充分热解，</w:t>
      </w:r>
      <w:r>
        <w:rPr>
          <w:spacing w:val="-12"/>
        </w:rPr>
        <w:t>产生的热解烟气进入燃烧</w:t>
      </w:r>
      <w:r>
        <w:t>（二燃</w:t>
      </w:r>
      <w:r>
        <w:rPr>
          <w:spacing w:val="-32"/>
        </w:rPr>
        <w:t>）</w:t>
      </w:r>
      <w:r>
        <w:rPr>
          <w:spacing w:val="-6"/>
        </w:rPr>
        <w:t>室继续燃烧，产生的固体炭化物残渣经热解炭化室排出。</w:t>
      </w:r>
    </w:p>
    <w:p>
      <w:pPr>
        <w:pStyle w:val="7"/>
        <w:spacing w:before="5" w:line="364" w:lineRule="auto"/>
        <w:ind w:right="455" w:firstLine="480"/>
        <w:jc w:val="both"/>
      </w:pPr>
      <w:r>
        <w:t>焚烧法无害化程度高，适合大批量处理动物尸体，但由于焚烧设备成本高，</w:t>
      </w:r>
      <w:r>
        <w:rPr>
          <w:spacing w:val="-15"/>
        </w:rPr>
        <w:t>燃油费用高，投资大，且处理过程中还会产生大量灰尘、一氧化碳、氮氧化合物、</w:t>
      </w:r>
      <w:r>
        <w:t>硫化物等污染物，因而没有得到广泛的应用。</w:t>
      </w:r>
    </w:p>
    <w:p>
      <w:pPr>
        <w:pStyle w:val="7"/>
        <w:spacing w:before="1"/>
        <w:ind w:left="1020"/>
        <w:jc w:val="both"/>
      </w:pPr>
      <w:r>
        <w:t>②高温化制法</w:t>
      </w:r>
    </w:p>
    <w:p>
      <w:pPr>
        <w:pStyle w:val="7"/>
        <w:spacing w:before="143" w:line="364" w:lineRule="auto"/>
        <w:ind w:right="577"/>
      </w:pPr>
      <w:r>
        <w:rPr>
          <w:spacing w:val="-7"/>
        </w:rPr>
        <w:t>高温化制法是指在密闭的高压容器内，通过向容器夹层或容器通入高温饱和</w:t>
      </w:r>
      <w:r>
        <w:rPr>
          <w:spacing w:val="-11"/>
        </w:rPr>
        <w:t>蒸汽，在干热、压力或高温、压力的作用下，处理动物尸体及相关动物产品的方法，主要为干化法和湿化法。干化法是将动物尸体及相关动物产品或破碎产物输</w:t>
      </w:r>
      <w:r>
        <w:rPr>
          <w:spacing w:val="-9"/>
        </w:rPr>
        <w:t>送入高温高压容器，加热烘干产生的热蒸汽经废气处理系统后排出，加热烘干产</w:t>
      </w:r>
      <w:r>
        <w:rPr>
          <w:spacing w:val="-7"/>
        </w:rPr>
        <w:t>生的动物尸体残渣传输至压榨系统处理。湿化法是将动物尸体及相关动物产品或</w:t>
      </w:r>
      <w:r>
        <w:rPr>
          <w:spacing w:val="-2"/>
        </w:rPr>
        <w:t>破碎产物送入高温高压容器，总质量不得超过容器总承受力的</w:t>
      </w:r>
      <w:r>
        <w:rPr>
          <w:rFonts w:ascii="Times New Roman" w:eastAsia="Times New Roman"/>
        </w:rPr>
        <w:t>4/5</w:t>
      </w:r>
      <w:r>
        <w:rPr>
          <w:spacing w:val="-3"/>
        </w:rPr>
        <w:t>，高温高压结</w:t>
      </w:r>
      <w:r>
        <w:rPr>
          <w:spacing w:val="-10"/>
        </w:rPr>
        <w:t>束后，对处理物进行初次固液分离，固体物经破碎处理后，送入烘干系统；液体</w:t>
      </w:r>
      <w:r>
        <w:t>部分送入油水分离系统处理。</w:t>
      </w:r>
    </w:p>
    <w:p>
      <w:pPr>
        <w:pStyle w:val="7"/>
        <w:spacing w:before="1" w:line="364" w:lineRule="auto"/>
        <w:ind w:right="577" w:firstLine="480"/>
        <w:jc w:val="both"/>
      </w:pPr>
      <w:r>
        <w:rPr>
          <w:spacing w:val="-7"/>
        </w:rPr>
        <w:t>高温化制法无害化程度高，处理量大，一次可处理数吨至数十吨，减量化可</w:t>
      </w:r>
      <w:r>
        <w:rPr>
          <w:spacing w:val="-13"/>
        </w:rPr>
        <w:t>达到</w:t>
      </w:r>
      <w:r>
        <w:rPr>
          <w:rFonts w:ascii="Times New Roman" w:eastAsia="Times New Roman"/>
        </w:rPr>
        <w:t>80%</w:t>
      </w:r>
      <w:r>
        <w:t>。处理后安全排放，对环境无污染。但设备投入成本很大，每套至少</w:t>
      </w:r>
      <w:r>
        <w:rPr>
          <w:rFonts w:ascii="Times New Roman" w:eastAsia="Times New Roman"/>
        </w:rPr>
        <w:t>40</w:t>
      </w:r>
      <w:r>
        <w:t>万以上，且规模养殖场无法满足处理的数量，而设备无论多少都需要相同的</w:t>
      </w:r>
    </w:p>
    <w:p>
      <w:pPr>
        <w:pStyle w:val="7"/>
        <w:spacing w:before="2" w:line="364" w:lineRule="auto"/>
        <w:ind w:right="577"/>
        <w:jc w:val="both"/>
      </w:pPr>
      <w:r>
        <w:rPr>
          <w:spacing w:val="-9"/>
        </w:rPr>
        <w:t>加温与发酵成本，处理成本很高。处理一次需要</w:t>
      </w:r>
      <w:r>
        <w:rPr>
          <w:rFonts w:ascii="Times New Roman" w:eastAsia="Times New Roman"/>
        </w:rPr>
        <w:t>3</w:t>
      </w:r>
      <w:r>
        <w:rPr>
          <w:spacing w:val="-7"/>
        </w:rPr>
        <w:t>天左右，无法将每天随时的病</w:t>
      </w:r>
      <w:r>
        <w:t>死动物随时处理，还需要建设配套冷库。</w:t>
      </w:r>
    </w:p>
    <w:p>
      <w:pPr>
        <w:pStyle w:val="7"/>
        <w:spacing w:before="1"/>
        <w:ind w:left="1020"/>
        <w:jc w:val="both"/>
      </w:pPr>
      <w:r>
        <w:t>③填埋法</w:t>
      </w:r>
    </w:p>
    <w:p>
      <w:pPr>
        <w:pStyle w:val="7"/>
        <w:spacing w:before="160" w:line="364" w:lineRule="auto"/>
        <w:ind w:right="577" w:firstLine="480"/>
        <w:jc w:val="both"/>
      </w:pPr>
      <w:r>
        <w:rPr>
          <w:spacing w:val="2"/>
        </w:rPr>
        <w:t>填埋法是指按照相关规定，将动物尸体及相关动物产品投入填埋井中并覆</w:t>
      </w:r>
      <w:r>
        <w:rPr>
          <w:spacing w:val="-10"/>
        </w:rPr>
        <w:t>盖、消毒，发酵或分解动物尸体及相关动物产品的方法。填埋井必须采用防渗结</w:t>
      </w:r>
      <w:r>
        <w:rPr>
          <w:spacing w:val="-11"/>
        </w:rPr>
        <w:t>构，井口加盖密闭，进行填埋时，在每次投入动物尸体后，覆盖一层熟石灰，从</w:t>
      </w:r>
      <w:r>
        <w:t>而达到杀菌效果，填埋井填满后，用粘土填埋压实并封口。</w:t>
      </w:r>
    </w:p>
    <w:p>
      <w:pPr>
        <w:pStyle w:val="7"/>
        <w:spacing w:before="3" w:line="364" w:lineRule="auto"/>
        <w:ind w:right="455" w:firstLine="480"/>
      </w:pPr>
      <w:r>
        <w:rPr>
          <w:spacing w:val="-5"/>
        </w:rPr>
        <w:t>本项目采用干化法畜禽无害化处理方式处理。场区病羊进入隔离场进行注射</w:t>
      </w:r>
      <w:r>
        <w:rPr>
          <w:spacing w:val="-11"/>
        </w:rPr>
        <w:t>治疗，治理康复后继续饲养，疫病羊按照《病害动物和病害动物产品生物安全处</w:t>
      </w:r>
      <w:r>
        <w:rPr>
          <w:spacing w:val="-12"/>
        </w:rPr>
        <w:t>理规程》</w:t>
      </w:r>
      <w:r>
        <w:t>（</w:t>
      </w:r>
      <w:r>
        <w:rPr>
          <w:rFonts w:ascii="Times New Roman" w:eastAsia="Times New Roman"/>
        </w:rPr>
        <w:t>GB16548-2006</w:t>
      </w:r>
      <w:r>
        <w:t>）</w:t>
      </w:r>
      <w:r>
        <w:rPr>
          <w:spacing w:val="-3"/>
        </w:rPr>
        <w:t>的相关要求，采用干化法畜禽无害化处理方式处理。</w:t>
      </w:r>
      <w:r>
        <w:t>胎盘将进入畜禽无害化处理车间进行无害化处理。</w:t>
      </w:r>
    </w:p>
    <w:p>
      <w:pPr>
        <w:pStyle w:val="7"/>
        <w:spacing w:before="2" w:line="364" w:lineRule="auto"/>
        <w:ind w:right="485" w:firstLine="480"/>
      </w:pPr>
      <w:r>
        <w:rPr>
          <w:spacing w:val="-6"/>
        </w:rPr>
        <w:t>计划项目区拟建畜禽无害化处理车间，面积</w:t>
      </w:r>
      <w:r>
        <w:rPr>
          <w:rFonts w:ascii="Times New Roman" w:hAnsi="Times New Roman" w:eastAsia="Times New Roman"/>
          <w:spacing w:val="-5"/>
        </w:rPr>
        <w:t>300m</w:t>
      </w:r>
      <w:r>
        <w:rPr>
          <w:rFonts w:ascii="Times New Roman" w:hAnsi="Times New Roman" w:eastAsia="Times New Roman"/>
          <w:spacing w:val="-5"/>
          <w:position w:val="8"/>
          <w:sz w:val="15"/>
        </w:rPr>
        <w:t>2</w:t>
      </w:r>
      <w:r>
        <w:rPr>
          <w:spacing w:val="-2"/>
        </w:rPr>
        <w:t>，并且购进畜禽无害化处</w:t>
      </w:r>
      <w:r>
        <w:rPr>
          <w:spacing w:val="-22"/>
        </w:rPr>
        <w:t>理</w:t>
      </w:r>
      <w:r>
        <w:rPr>
          <w:rFonts w:ascii="Times New Roman" w:hAnsi="Times New Roman" w:eastAsia="Times New Roman"/>
        </w:rPr>
        <w:t>1</w:t>
      </w:r>
      <w:r>
        <w:t>吨</w:t>
      </w:r>
      <w:r>
        <w:rPr>
          <w:rFonts w:ascii="Times New Roman" w:hAnsi="Times New Roman" w:eastAsia="Times New Roman"/>
        </w:rPr>
        <w:t>/</w:t>
      </w:r>
      <w:r>
        <w:t>次成套设备，适用于病死畜禽无害化处理，处理设备采用高温高压灭菌</w:t>
      </w:r>
      <w:r>
        <w:rPr>
          <w:spacing w:val="-1"/>
        </w:rPr>
        <w:t>技术，大型动物无需肢解，可直接进行处理。废弃畜禽是一种极好的生物资源，</w:t>
      </w:r>
      <w:r>
        <w:rPr>
          <w:spacing w:val="-6"/>
        </w:rPr>
        <w:t>蛋白质和脂肪含量为</w:t>
      </w:r>
      <w:r>
        <w:rPr>
          <w:rFonts w:ascii="Times New Roman" w:hAnsi="Times New Roman" w:eastAsia="Times New Roman"/>
        </w:rPr>
        <w:t>12%-20%</w:t>
      </w:r>
      <w:r>
        <w:rPr>
          <w:spacing w:val="-8"/>
        </w:rPr>
        <w:t>，矿物质含量</w:t>
      </w:r>
      <w:r>
        <w:rPr>
          <w:rFonts w:ascii="Times New Roman" w:hAnsi="Times New Roman" w:eastAsia="Times New Roman"/>
        </w:rPr>
        <w:t>3%-5%</w:t>
      </w:r>
      <w:r>
        <w:t>。因此处理后的产物（肉骨粉干品和工业用油脂</w:t>
      </w:r>
      <w:r>
        <w:rPr>
          <w:spacing w:val="-24"/>
        </w:rPr>
        <w:t>）</w:t>
      </w:r>
      <w:r>
        <w:rPr>
          <w:spacing w:val="-9"/>
        </w:rPr>
        <w:t>可出售，综合利用，符合国家防疫法规要求。主设备使用寿命≥</w:t>
      </w:r>
      <w:r>
        <w:rPr>
          <w:rFonts w:ascii="Times New Roman" w:hAnsi="Times New Roman" w:eastAsia="Times New Roman"/>
          <w:spacing w:val="-9"/>
        </w:rPr>
        <w:t>8</w:t>
      </w:r>
      <w:r>
        <w:rPr>
          <w:spacing w:val="-9"/>
        </w:rPr>
        <w:t>年，维护费用低。</w:t>
      </w:r>
    </w:p>
    <w:p>
      <w:pPr>
        <w:pStyle w:val="7"/>
        <w:spacing w:before="4" w:line="364" w:lineRule="auto"/>
        <w:ind w:right="577" w:firstLine="480"/>
        <w:jc w:val="both"/>
      </w:pPr>
      <w:r>
        <w:rPr>
          <w:rFonts w:ascii="Times New Roman" w:eastAsia="Times New Roman"/>
        </w:rPr>
        <w:t>A</w:t>
      </w:r>
      <w:r>
        <w:rPr>
          <w:spacing w:val="-6"/>
        </w:rPr>
        <w:t>、无害化处理原理：干化法畜禽无害化处理方式是将病死动物尸体碎化处</w:t>
      </w:r>
      <w:r>
        <w:rPr>
          <w:spacing w:val="-9"/>
        </w:rPr>
        <w:t>理后输送至密闭容器内，在不断搅拌的同时，通过在夹层导入高温循环热源对病</w:t>
      </w:r>
      <w:r>
        <w:rPr>
          <w:spacing w:val="-6"/>
        </w:rPr>
        <w:t>死畜禽尸肉进行高温高压灭菌处理的工艺技术，处理工程中热源不直接接触病死</w:t>
      </w:r>
      <w:r>
        <w:rPr>
          <w:spacing w:val="-10"/>
        </w:rPr>
        <w:t>动物尸肉，利用动物体内水分加热汽化产生压力，化制完成后通过真空干燥、脱</w:t>
      </w:r>
      <w:r>
        <w:rPr>
          <w:spacing w:val="-11"/>
        </w:rPr>
        <w:t>脂、冷却、粉碎等工序，最终得到肉骨粉干品和工业用油脂，是目前国际上最被</w:t>
      </w:r>
      <w:r>
        <w:t>认可的处理方式。</w:t>
      </w:r>
    </w:p>
    <w:p>
      <w:pPr>
        <w:pStyle w:val="7"/>
        <w:spacing w:before="143" w:line="364" w:lineRule="auto"/>
        <w:ind w:right="572"/>
        <w:jc w:val="both"/>
        <w:rPr>
          <w:rFonts w:ascii="Times New Roman" w:eastAsia="Times New Roman"/>
        </w:rPr>
      </w:pPr>
      <w:r>
        <w:rPr>
          <w:rFonts w:ascii="Times New Roman" w:hAnsi="Times New Roman" w:eastAsia="Times New Roman"/>
        </w:rPr>
        <w:t>B</w:t>
      </w:r>
      <w:r>
        <w:t>、工艺参数：处理物中心温度≥</w:t>
      </w:r>
      <w:r>
        <w:rPr>
          <w:rFonts w:ascii="Times New Roman" w:hAnsi="Times New Roman" w:eastAsia="Times New Roman"/>
        </w:rPr>
        <w:t>135</w:t>
      </w:r>
      <w:r>
        <w:t>℃，压力≥</w:t>
      </w:r>
      <w:r>
        <w:rPr>
          <w:rFonts w:ascii="Times New Roman" w:hAnsi="Times New Roman" w:eastAsia="Times New Roman"/>
        </w:rPr>
        <w:t>0.35MPa</w:t>
      </w:r>
      <w:r>
        <w:t>（绝对压力），保时间≥</w:t>
      </w:r>
      <w:r>
        <w:rPr>
          <w:rFonts w:ascii="Times New Roman" w:hAnsi="Times New Roman" w:eastAsia="Times New Roman"/>
        </w:rPr>
        <w:t>30min</w:t>
      </w:r>
      <w:r>
        <w:t>（欧美灭菌标准，也可根据不同物料调整压力和温度），真空干燥</w:t>
      </w:r>
      <w:r>
        <w:rPr>
          <w:spacing w:val="-16"/>
        </w:rPr>
        <w:t>时间</w:t>
      </w:r>
      <w:r>
        <w:rPr>
          <w:rFonts w:ascii="Times New Roman" w:hAnsi="Times New Roman" w:eastAsia="Times New Roman"/>
          <w:spacing w:val="2"/>
        </w:rPr>
        <w:t>120min</w:t>
      </w:r>
      <w:r>
        <w:rPr>
          <w:spacing w:val="2"/>
        </w:rPr>
        <w:t>（</w:t>
      </w:r>
      <w:r>
        <w:rPr>
          <w:rFonts w:ascii="Times New Roman" w:hAnsi="Times New Roman" w:eastAsia="Times New Roman"/>
          <w:spacing w:val="2"/>
        </w:rPr>
        <w:t>2h</w:t>
      </w:r>
      <w:r>
        <w:rPr>
          <w:spacing w:val="2"/>
        </w:rPr>
        <w:t>）</w:t>
      </w:r>
      <w:r>
        <w:rPr>
          <w:spacing w:val="-3"/>
        </w:rPr>
        <w:t>，完整化制时间约</w:t>
      </w:r>
      <w:r>
        <w:rPr>
          <w:rFonts w:ascii="Times New Roman" w:hAnsi="Times New Roman" w:eastAsia="Times New Roman"/>
          <w:spacing w:val="2"/>
        </w:rPr>
        <w:t>240min</w:t>
      </w:r>
      <w:r>
        <w:rPr>
          <w:spacing w:val="2"/>
        </w:rPr>
        <w:t>（</w:t>
      </w:r>
      <w:r>
        <w:rPr>
          <w:rFonts w:ascii="Times New Roman" w:hAnsi="Times New Roman" w:eastAsia="Times New Roman"/>
          <w:spacing w:val="2"/>
        </w:rPr>
        <w:t>4h</w:t>
      </w:r>
      <w:r>
        <w:rPr>
          <w:spacing w:val="2"/>
        </w:rPr>
        <w:t>）</w:t>
      </w:r>
      <w:r>
        <w:rPr>
          <w:spacing w:val="-3"/>
        </w:rPr>
        <w:t>，全部处理过程约</w:t>
      </w:r>
      <w:r>
        <w:rPr>
          <w:rFonts w:ascii="Times New Roman" w:hAnsi="Times New Roman" w:eastAsia="Times New Roman"/>
        </w:rPr>
        <w:t>480min</w:t>
      </w:r>
      <w:r>
        <w:t>（</w:t>
      </w:r>
      <w:r>
        <w:rPr>
          <w:rFonts w:ascii="Times New Roman" w:eastAsia="Times New Roman"/>
        </w:rPr>
        <w:t>8h</w:t>
      </w:r>
      <w:r>
        <w:t>）</w:t>
      </w:r>
      <w:r>
        <w:rPr>
          <w:spacing w:val="-3"/>
        </w:rPr>
        <w:t>。每处理一吨病死动物，产出肉骨粉</w:t>
      </w:r>
      <w:r>
        <w:rPr>
          <w:rFonts w:ascii="Times New Roman" w:eastAsia="Times New Roman"/>
        </w:rPr>
        <w:t>270kg</w:t>
      </w:r>
      <w:r>
        <w:rPr>
          <w:spacing w:val="-5"/>
        </w:rPr>
        <w:t>左右、产出工业用油脂</w:t>
      </w:r>
      <w:r>
        <w:rPr>
          <w:rFonts w:ascii="Times New Roman" w:eastAsia="Times New Roman"/>
        </w:rPr>
        <w:t>70kg</w:t>
      </w:r>
    </w:p>
    <w:p>
      <w:pPr>
        <w:pStyle w:val="7"/>
        <w:spacing w:before="160"/>
        <w:jc w:val="left"/>
      </w:pPr>
      <w:r>
        <w:t>左右。</w:t>
      </w:r>
    </w:p>
    <w:p>
      <w:pPr>
        <w:pStyle w:val="7"/>
        <w:spacing w:before="161" w:line="364" w:lineRule="auto"/>
        <w:ind w:right="455" w:firstLine="480"/>
        <w:jc w:val="both"/>
      </w:pPr>
      <w:r>
        <w:rPr>
          <w:rFonts w:ascii="Times New Roman" w:eastAsia="Times New Roman"/>
        </w:rPr>
        <w:t>C</w:t>
      </w:r>
      <w:r>
        <w:rPr>
          <w:spacing w:val="-13"/>
        </w:rPr>
        <w:t>、工艺特点：干化法畜禽无害化处理方式具有处理速度快，杀菌完全彻底，</w:t>
      </w:r>
      <w:r>
        <w:rPr>
          <w:spacing w:val="-16"/>
        </w:rPr>
        <w:t>不产生二次污染，高度自动化，劳动强度低，成品纯度高，处理过程环保等特点，</w:t>
      </w:r>
      <w:r>
        <w:rPr>
          <w:spacing w:val="-5"/>
        </w:rPr>
        <w:t>有传统的发酵式处理工艺无法比拟的优点，是发酵式处理方式和湿化法处理方式</w:t>
      </w:r>
      <w:r>
        <w:rPr>
          <w:spacing w:val="-11"/>
        </w:rPr>
        <w:t>理想的替代方案。填埋法处理成本低，运行维护费用低，适合少量动物尸体的处理，如不做好防渗，动物尸体腐烂释放出的物质会污染地下水。</w:t>
      </w:r>
    </w:p>
    <w:p>
      <w:pPr>
        <w:pStyle w:val="7"/>
        <w:spacing w:before="3" w:line="364" w:lineRule="auto"/>
        <w:ind w:right="457" w:firstLine="480"/>
        <w:jc w:val="both"/>
        <w:rPr>
          <w:color w:val="0000FF"/>
        </w:rPr>
      </w:pPr>
      <w:r>
        <w:rPr>
          <w:color w:val="0000FF"/>
          <w:spacing w:val="-16"/>
        </w:rPr>
        <w:t>综合分析，在焚烧、高温化制和填埋三种处理方法中，焚烧法一次性投资大、</w:t>
      </w:r>
      <w:r>
        <w:rPr>
          <w:color w:val="0000FF"/>
        </w:rPr>
        <w:t>运行成本高、能源消耗大，会产生烟尘、恶臭等污染物，需配套烟气净化措施，</w:t>
      </w:r>
      <w:r>
        <w:rPr>
          <w:color w:val="0000FF"/>
          <w:spacing w:val="-10"/>
        </w:rPr>
        <w:t>投资高昂。高温化制法一次性处理量大，本项目病死羊及分娩物的年产生总量为</w:t>
      </w:r>
      <w:r>
        <w:rPr>
          <w:rFonts w:ascii="Times New Roman" w:eastAsia="Times New Roman"/>
          <w:color w:val="0000FF"/>
          <w:spacing w:val="-9"/>
        </w:rPr>
        <w:t>8t</w:t>
      </w:r>
      <w:r>
        <w:rPr>
          <w:color w:val="0000FF"/>
          <w:spacing w:val="-8"/>
        </w:rPr>
        <w:t>，能满足其数量要求，病死畜禽无害化处理最终得到肉骨粉干品和工业用油</w:t>
      </w:r>
      <w:r>
        <w:rPr>
          <w:color w:val="0000FF"/>
          <w:spacing w:val="-9"/>
        </w:rPr>
        <w:t>脂。肉骨粉可出售给肉骨粉干品生产厂；油脂出售给工业用油脂厂。因此，本评</w:t>
      </w:r>
      <w:r>
        <w:rPr>
          <w:color w:val="0000FF"/>
          <w:spacing w:val="-12"/>
        </w:rPr>
        <w:t>价认为，建设单位在严格落实防渗措施的条件下采用高温化制法处理病死羊及分娩物，从经济和环保角度上看，方案可行。</w:t>
      </w:r>
    </w:p>
    <w:p>
      <w:pPr>
        <w:pStyle w:val="17"/>
        <w:numPr>
          <w:ilvl w:val="3"/>
          <w:numId w:val="67"/>
        </w:numPr>
        <w:tabs>
          <w:tab w:val="left" w:pos="1320"/>
        </w:tabs>
        <w:spacing w:before="14" w:after="0" w:line="240" w:lineRule="auto"/>
        <w:ind w:left="1320" w:right="0" w:hanging="780"/>
        <w:jc w:val="left"/>
        <w:rPr>
          <w:sz w:val="24"/>
        </w:rPr>
      </w:pPr>
      <w:bookmarkStart w:id="400" w:name="6.2.4.3 医疗废弃物处置措施"/>
      <w:bookmarkEnd w:id="400"/>
      <w:bookmarkStart w:id="401" w:name="6.2.4.3 医疗废弃物处置措施"/>
      <w:bookmarkEnd w:id="401"/>
      <w:r>
        <w:rPr>
          <w:sz w:val="24"/>
        </w:rPr>
        <w:t>医疗废弃物处置措施</w:t>
      </w:r>
    </w:p>
    <w:p>
      <w:pPr>
        <w:pStyle w:val="7"/>
        <w:spacing w:before="167" w:line="364" w:lineRule="auto"/>
        <w:ind w:right="365" w:firstLine="480"/>
        <w:jc w:val="both"/>
      </w:pPr>
      <w:r>
        <w:rPr>
          <w:spacing w:val="-4"/>
        </w:rPr>
        <w:t>肉羊在生长过程接种免疫或发病期接受治疗产生的少量医疗废物</w:t>
      </w:r>
      <w:r>
        <w:t>（包括各种</w:t>
      </w:r>
      <w:r>
        <w:rPr>
          <w:spacing w:val="-12"/>
        </w:rPr>
        <w:t>疫</w:t>
      </w:r>
      <w:r>
        <w:t>（菌</w:t>
      </w:r>
      <w:r>
        <w:rPr>
          <w:spacing w:val="-12"/>
        </w:rPr>
        <w:t>）</w:t>
      </w:r>
      <w:r>
        <w:rPr>
          <w:spacing w:val="-4"/>
        </w:rPr>
        <w:t>苗空瓶、抗生药物的瓶</w:t>
      </w:r>
      <w:r>
        <w:t>（袋</w:t>
      </w:r>
      <w:r>
        <w:rPr>
          <w:spacing w:val="-12"/>
        </w:rPr>
        <w:t>）</w:t>
      </w:r>
      <w:r>
        <w:rPr>
          <w:spacing w:val="-5"/>
        </w:rPr>
        <w:t>、动物药物废弃瓶</w:t>
      </w:r>
      <w:r>
        <w:t>（袋</w:t>
      </w:r>
      <w:r>
        <w:rPr>
          <w:spacing w:val="-12"/>
        </w:rPr>
        <w:t>）</w:t>
      </w:r>
      <w:r>
        <w:rPr>
          <w:spacing w:val="-3"/>
        </w:rPr>
        <w:t>、过期药物等</w:t>
      </w:r>
      <w:r>
        <w:rPr>
          <w:spacing w:val="-16"/>
        </w:rPr>
        <w:t>），</w:t>
      </w:r>
      <w:r>
        <w:t>属于危险废物（废物类别：</w:t>
      </w:r>
      <w:r>
        <w:rPr>
          <w:rFonts w:ascii="Times New Roman" w:eastAsia="Times New Roman"/>
        </w:rPr>
        <w:t>HW01</w:t>
      </w:r>
      <w:r>
        <w:t>医疗废物，废物代码：</w:t>
      </w:r>
      <w:r>
        <w:rPr>
          <w:rFonts w:ascii="Times New Roman" w:eastAsia="Times New Roman"/>
        </w:rPr>
        <w:t>900-001-01</w:t>
      </w:r>
      <w:r>
        <w:t>），本项目充分发挥</w:t>
      </w:r>
      <w:r>
        <w:rPr>
          <w:rFonts w:hint="eastAsia"/>
          <w:lang w:eastAsia="zh-CN"/>
        </w:rPr>
        <w:t>莎车</w:t>
      </w:r>
      <w:r>
        <w:t>县农业农村局和</w:t>
      </w:r>
      <w:r>
        <w:rPr>
          <w:rFonts w:hint="eastAsia"/>
          <w:lang w:eastAsia="zh-CN"/>
        </w:rPr>
        <w:t>莎车</w:t>
      </w:r>
      <w:r>
        <w:t>乡镇兽医站以及村级防疫中心在养殖工作的</w:t>
      </w:r>
      <w:r>
        <w:rPr>
          <w:spacing w:val="-9"/>
        </w:rPr>
        <w:t>作用，负责标准化羊产业养殖场的日常防疫工作；</w:t>
      </w:r>
      <w:r>
        <w:rPr>
          <w:rFonts w:hint="eastAsia"/>
          <w:spacing w:val="-9"/>
          <w:lang w:eastAsia="zh-CN"/>
        </w:rPr>
        <w:t>莎车</w:t>
      </w:r>
      <w:r>
        <w:rPr>
          <w:spacing w:val="-9"/>
        </w:rPr>
        <w:t>县农业农村局作为技术指</w:t>
      </w:r>
      <w:r>
        <w:rPr>
          <w:spacing w:val="-11"/>
        </w:rPr>
        <w:t>导单位，负责羊产业养殖场的全局防疫工作。由项目所在乡镇</w:t>
      </w:r>
      <w:r>
        <w:rPr>
          <w:rFonts w:hint="eastAsia"/>
          <w:spacing w:val="-11"/>
          <w:lang w:eastAsia="zh-CN"/>
        </w:rPr>
        <w:t>莎车</w:t>
      </w:r>
      <w:r>
        <w:rPr>
          <w:spacing w:val="-11"/>
        </w:rPr>
        <w:t>乡兽医站以及</w:t>
      </w:r>
      <w:r>
        <w:rPr>
          <w:spacing w:val="-16"/>
        </w:rPr>
        <w:t>村级防疫中心委托有资质的单位处理处置。该类危废处置单位的经营范围应包含</w:t>
      </w:r>
      <w:r>
        <w:rPr>
          <w:spacing w:val="-14"/>
        </w:rPr>
        <w:t>处置医疗废物</w:t>
      </w:r>
      <w:r>
        <w:t>（</w:t>
      </w:r>
      <w:r>
        <w:rPr>
          <w:rFonts w:ascii="Times New Roman" w:eastAsia="Times New Roman"/>
        </w:rPr>
        <w:t>HW01</w:t>
      </w:r>
      <w:r>
        <w:t>）</w:t>
      </w:r>
      <w:r>
        <w:rPr>
          <w:spacing w:val="-3"/>
        </w:rPr>
        <w:t>。与危废处置单位签订危险废物委托处置合同，并委托危废处置单位代为处理本项目的医疗废物。</w:t>
      </w:r>
    </w:p>
    <w:p>
      <w:pPr>
        <w:pStyle w:val="17"/>
        <w:numPr>
          <w:ilvl w:val="3"/>
          <w:numId w:val="67"/>
        </w:numPr>
        <w:tabs>
          <w:tab w:val="left" w:pos="1320"/>
        </w:tabs>
        <w:spacing w:before="13" w:after="0" w:line="240" w:lineRule="auto"/>
        <w:ind w:left="1320" w:right="0" w:hanging="780"/>
        <w:jc w:val="left"/>
        <w:rPr>
          <w:sz w:val="24"/>
        </w:rPr>
      </w:pPr>
      <w:bookmarkStart w:id="402" w:name="6.2.4.4 固废管理措施"/>
      <w:bookmarkEnd w:id="402"/>
      <w:bookmarkStart w:id="403" w:name="6.2.4.4 固废管理措施"/>
      <w:bookmarkEnd w:id="403"/>
      <w:r>
        <w:rPr>
          <w:sz w:val="24"/>
        </w:rPr>
        <w:t>固废管理措施</w:t>
      </w:r>
    </w:p>
    <w:p>
      <w:pPr>
        <w:pStyle w:val="7"/>
        <w:spacing w:before="168" w:line="364" w:lineRule="auto"/>
        <w:ind w:right="577" w:firstLine="480"/>
      </w:pPr>
      <w:r>
        <w:rPr>
          <w:spacing w:val="-7"/>
        </w:rPr>
        <w:t>建设项目采取以上处理措施后，固体废物均得到合理处置，同时固体废物在</w:t>
      </w:r>
      <w:r>
        <w:t>厂内收集及储存过程中应加强管理，尽量减少或消除固体废物对环境的影响。</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7"/>
        <w:numPr>
          <w:ilvl w:val="4"/>
          <w:numId w:val="67"/>
        </w:numPr>
        <w:tabs>
          <w:tab w:val="left" w:pos="1621"/>
        </w:tabs>
        <w:spacing w:before="143" w:after="0" w:line="240" w:lineRule="auto"/>
        <w:ind w:left="1621" w:right="0" w:hanging="601"/>
        <w:jc w:val="left"/>
        <w:rPr>
          <w:sz w:val="24"/>
        </w:rPr>
      </w:pPr>
      <w:r>
        <w:rPr>
          <w:sz w:val="24"/>
        </w:rPr>
        <w:t>一般固废管理措施</w:t>
      </w:r>
    </w:p>
    <w:p>
      <w:pPr>
        <w:pStyle w:val="7"/>
        <w:spacing w:before="160" w:line="364" w:lineRule="auto"/>
        <w:ind w:right="577" w:firstLine="480"/>
        <w:jc w:val="both"/>
      </w:pPr>
      <w:r>
        <w:rPr>
          <w:spacing w:val="-1"/>
        </w:rPr>
        <w:t>①对固体废物实行从产生、收集、运输、贮存直至最终处理实行全过程管</w:t>
      </w:r>
      <w:r>
        <w:rPr>
          <w:spacing w:val="-12"/>
        </w:rPr>
        <w:t>理，按照有关法律、法规的要求，对固体废弃物全过程管理应报当地环保行政主</w:t>
      </w:r>
      <w:r>
        <w:t>管部门等批准；</w:t>
      </w:r>
    </w:p>
    <w:p>
      <w:pPr>
        <w:pStyle w:val="7"/>
        <w:spacing w:before="2" w:line="364" w:lineRule="auto"/>
        <w:ind w:right="577" w:firstLine="480"/>
        <w:jc w:val="both"/>
      </w:pPr>
      <w:r>
        <w:rPr>
          <w:spacing w:val="-1"/>
        </w:rPr>
        <w:t>②加强固体废物规范化管理，固体废物分类定点堆放，堆放场所远离办公</w:t>
      </w:r>
      <w:r>
        <w:rPr>
          <w:spacing w:val="-8"/>
        </w:rPr>
        <w:t>区和周围环境敏感点。本项目一般固废主要为羊粪，收集后立即利用，不在场内</w:t>
      </w:r>
      <w:r>
        <w:t>长期堆放；</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w:t>
      </w:r>
      <w:r>
        <w:t>；</w:t>
      </w:r>
    </w:p>
    <w:p>
      <w:pPr>
        <w:pStyle w:val="7"/>
        <w:spacing w:before="2"/>
        <w:ind w:left="1020"/>
        <w:jc w:val="both"/>
      </w:pPr>
      <w:r>
        <w:t>③固体废物及时清运，避免产生二次污染；</w:t>
      </w:r>
    </w:p>
    <w:p>
      <w:pPr>
        <w:pStyle w:val="7"/>
        <w:spacing w:before="160"/>
        <w:ind w:left="1020"/>
        <w:jc w:val="both"/>
      </w:pPr>
      <w:r>
        <w:t>④固体废物运输过程中应做到密闭运输，防治固废的泄露，减少污染。</w:t>
      </w:r>
    </w:p>
    <w:p>
      <w:pPr>
        <w:pStyle w:val="17"/>
        <w:numPr>
          <w:ilvl w:val="4"/>
          <w:numId w:val="67"/>
        </w:numPr>
        <w:tabs>
          <w:tab w:val="left" w:pos="1621"/>
        </w:tabs>
        <w:spacing w:before="161" w:after="0" w:line="240" w:lineRule="auto"/>
        <w:ind w:left="1621" w:right="0" w:hanging="601"/>
        <w:jc w:val="left"/>
        <w:rPr>
          <w:sz w:val="24"/>
        </w:rPr>
      </w:pPr>
      <w:r>
        <w:rPr>
          <w:sz w:val="24"/>
        </w:rPr>
        <w:t>危险固废管理措施</w:t>
      </w:r>
    </w:p>
    <w:p>
      <w:pPr>
        <w:pStyle w:val="7"/>
        <w:spacing w:before="160" w:line="364" w:lineRule="auto"/>
        <w:ind w:right="405" w:firstLine="480"/>
      </w:pPr>
      <w:r>
        <w:t>危险废物的管理严格执行《危险废物贮存污染控制标准》（</w:t>
      </w:r>
      <w:r>
        <w:rPr>
          <w:rFonts w:ascii="Times New Roman" w:eastAsia="Times New Roman"/>
        </w:rPr>
        <w:t>GB18597-2001</w:t>
      </w:r>
      <w:r>
        <w:t>）中相关规定。</w:t>
      </w:r>
    </w:p>
    <w:p>
      <w:pPr>
        <w:pStyle w:val="7"/>
        <w:spacing w:before="2" w:line="364" w:lineRule="auto"/>
        <w:ind w:right="580" w:firstLine="480"/>
      </w:pPr>
      <w:r>
        <w:t>①采取室内贮存方式，设置环境保护图形标志和警示标志，并清楚地标明废物类别、数量、危险特性等；</w:t>
      </w:r>
    </w:p>
    <w:p>
      <w:pPr>
        <w:pStyle w:val="7"/>
        <w:spacing w:before="1"/>
        <w:ind w:left="1020"/>
      </w:pPr>
      <w:r>
        <w:t>②按类别放入相应的容器内，不同的危险废物分开存放并设有隔离间隔断；</w:t>
      </w:r>
    </w:p>
    <w:p>
      <w:pPr>
        <w:pStyle w:val="7"/>
        <w:spacing w:before="160" w:line="364" w:lineRule="auto"/>
        <w:ind w:right="577" w:firstLine="480"/>
        <w:jc w:val="both"/>
      </w:pPr>
      <w:r>
        <w:rPr>
          <w:spacing w:val="-1"/>
        </w:rPr>
        <w:t>③堆放场为封闭砖混构筑物，室内地面为水泥地，具有耐腐蚀性，基础设</w:t>
      </w:r>
      <w:r>
        <w:rPr>
          <w:spacing w:val="-15"/>
        </w:rPr>
        <w:t>置至少</w:t>
      </w:r>
      <w:r>
        <w:rPr>
          <w:rFonts w:ascii="Times New Roman" w:hAnsi="Times New Roman" w:eastAsia="Times New Roman"/>
        </w:rPr>
        <w:t>0.5m</w:t>
      </w:r>
      <w:r>
        <w:rPr>
          <w:spacing w:val="-1"/>
        </w:rPr>
        <w:t>厚粘土层作为防渗层，室内四周设置围堰，具有防渗、防晒、防雨</w:t>
      </w:r>
      <w:r>
        <w:t>和防风的效果；</w:t>
      </w:r>
    </w:p>
    <w:p>
      <w:pPr>
        <w:pStyle w:val="7"/>
        <w:spacing w:before="2" w:line="364" w:lineRule="auto"/>
        <w:ind w:right="580" w:firstLine="480"/>
        <w:jc w:val="both"/>
      </w:pPr>
      <w:r>
        <w:rPr>
          <w:spacing w:val="-1"/>
        </w:rPr>
        <w:t>④废物运输过程中应做好危废的密闭储存措施，防止运输时危废的泄漏，</w:t>
      </w:r>
      <w:r>
        <w:t>造成环境污染；</w:t>
      </w:r>
    </w:p>
    <w:p>
      <w:pPr>
        <w:pStyle w:val="7"/>
        <w:spacing w:before="1" w:line="364" w:lineRule="auto"/>
        <w:ind w:right="580" w:firstLine="480"/>
        <w:jc w:val="both"/>
      </w:pPr>
      <w:r>
        <w:t>⑤建立档案制度，对暂存的废物种类、数量、特性、包装容器类别、存放库位、存入日期、运出日期等详细记录在案并长期保存；</w:t>
      </w:r>
    </w:p>
    <w:p>
      <w:pPr>
        <w:pStyle w:val="7"/>
        <w:spacing w:before="1"/>
        <w:ind w:left="1020"/>
        <w:jc w:val="both"/>
      </w:pPr>
      <w:r>
        <w:t>⑥建立定期巡查、维护制度。</w:t>
      </w:r>
    </w:p>
    <w:p>
      <w:pPr>
        <w:pStyle w:val="7"/>
        <w:spacing w:before="161" w:line="364" w:lineRule="auto"/>
        <w:ind w:right="577" w:firstLine="480"/>
      </w:pPr>
      <w:r>
        <w:rPr>
          <w:spacing w:val="-10"/>
        </w:rPr>
        <w:t>综上所述，本项目对产生的固体废物均采取了妥善的处理或处置措施，不会</w:t>
      </w:r>
      <w:r>
        <w:t>对环境产生二次污染。</w:t>
      </w:r>
    </w:p>
    <w:p>
      <w:pPr>
        <w:pStyle w:val="5"/>
        <w:numPr>
          <w:ilvl w:val="2"/>
          <w:numId w:val="59"/>
        </w:numPr>
        <w:tabs>
          <w:tab w:val="left" w:pos="1241"/>
        </w:tabs>
        <w:spacing w:before="115" w:after="0" w:line="240" w:lineRule="auto"/>
        <w:ind w:left="1240" w:right="0" w:hanging="701"/>
        <w:jc w:val="left"/>
        <w:outlineLvl w:val="2"/>
      </w:pPr>
      <w:bookmarkStart w:id="404" w:name="6.2.5 地下水污染防治措施分析"/>
      <w:bookmarkEnd w:id="404"/>
      <w:bookmarkStart w:id="405" w:name="6.2.5 地下水污染防治措施分析"/>
      <w:bookmarkEnd w:id="405"/>
      <w:bookmarkStart w:id="406" w:name="_Toc3484"/>
      <w:r>
        <w:t>地下水污染防治措施分析</w:t>
      </w:r>
      <w:bookmarkEnd w:id="406"/>
    </w:p>
    <w:p>
      <w:pPr>
        <w:pStyle w:val="7"/>
        <w:spacing w:before="1"/>
        <w:ind w:left="0"/>
        <w:rPr>
          <w:b/>
          <w:sz w:val="22"/>
        </w:rPr>
      </w:pPr>
    </w:p>
    <w:p>
      <w:pPr>
        <w:pStyle w:val="17"/>
        <w:numPr>
          <w:ilvl w:val="3"/>
          <w:numId w:val="68"/>
        </w:numPr>
        <w:tabs>
          <w:tab w:val="left" w:pos="1320"/>
        </w:tabs>
        <w:spacing w:before="1" w:after="0" w:line="240" w:lineRule="auto"/>
        <w:ind w:left="1320" w:right="0" w:hanging="780"/>
        <w:jc w:val="left"/>
        <w:rPr>
          <w:sz w:val="24"/>
        </w:rPr>
      </w:pPr>
      <w:bookmarkStart w:id="407" w:name="6.2.5.1 污染防治措施"/>
      <w:bookmarkEnd w:id="407"/>
      <w:bookmarkStart w:id="408" w:name="6.2.5.1 污染防治措施"/>
      <w:bookmarkEnd w:id="408"/>
      <w:r>
        <w:rPr>
          <w:sz w:val="24"/>
        </w:rPr>
        <w:t>污染防治措施</w:t>
      </w:r>
    </w:p>
    <w:p>
      <w:pPr>
        <w:pStyle w:val="17"/>
        <w:numPr>
          <w:ilvl w:val="4"/>
          <w:numId w:val="68"/>
        </w:numPr>
        <w:tabs>
          <w:tab w:val="left" w:pos="1621"/>
        </w:tabs>
        <w:spacing w:before="143" w:after="0" w:line="240" w:lineRule="auto"/>
        <w:ind w:left="1621" w:right="0" w:hanging="601"/>
        <w:jc w:val="left"/>
        <w:rPr>
          <w:sz w:val="24"/>
          <w:szCs w:val="24"/>
        </w:rPr>
      </w:pPr>
      <w:r>
        <w:rPr>
          <w:spacing w:val="-10"/>
          <w:sz w:val="24"/>
          <w:szCs w:val="24"/>
        </w:rPr>
        <w:t>根据主要影响环节分析，评价认为项目在采取相关措施后可避免评价区地下</w:t>
      </w:r>
      <w:r>
        <w:rPr>
          <w:sz w:val="24"/>
          <w:szCs w:val="24"/>
        </w:rPr>
        <w:t>水的影响：</w:t>
      </w:r>
    </w:p>
    <w:p>
      <w:pPr>
        <w:pStyle w:val="17"/>
        <w:numPr>
          <w:ilvl w:val="4"/>
          <w:numId w:val="68"/>
        </w:numPr>
        <w:tabs>
          <w:tab w:val="left" w:pos="1621"/>
        </w:tabs>
        <w:spacing w:before="143" w:after="0" w:line="240" w:lineRule="auto"/>
        <w:ind w:left="1621" w:right="0" w:hanging="601"/>
        <w:jc w:val="left"/>
        <w:rPr>
          <w:sz w:val="24"/>
        </w:rPr>
      </w:pPr>
      <w:r>
        <w:rPr>
          <w:sz w:val="24"/>
        </w:rPr>
        <w:t>对堆肥厂和无害化处理车间等采取严格的防渗措施；</w:t>
      </w:r>
    </w:p>
    <w:p>
      <w:pPr>
        <w:pStyle w:val="17"/>
        <w:numPr>
          <w:ilvl w:val="4"/>
          <w:numId w:val="68"/>
        </w:numPr>
        <w:tabs>
          <w:tab w:val="left" w:pos="1621"/>
        </w:tabs>
        <w:spacing w:before="160" w:after="0" w:line="364" w:lineRule="auto"/>
        <w:ind w:left="540" w:right="581" w:firstLine="480"/>
        <w:jc w:val="both"/>
        <w:rPr>
          <w:sz w:val="24"/>
        </w:rPr>
      </w:pPr>
      <w:r>
        <w:rPr>
          <w:sz w:val="24"/>
        </w:rPr>
        <w:t>本项目废气污染源均采取了有效地治理措施，使排入环境空气中的污</w:t>
      </w:r>
      <w:r>
        <w:rPr>
          <w:spacing w:val="-8"/>
          <w:sz w:val="24"/>
        </w:rPr>
        <w:t>染物得到了较好的控制，均可做到达标排放。因此，本项目排放的废气不会对地</w:t>
      </w:r>
      <w:r>
        <w:rPr>
          <w:sz w:val="24"/>
        </w:rPr>
        <w:t>下水造成明显不利影响。</w:t>
      </w:r>
    </w:p>
    <w:p>
      <w:pPr>
        <w:pStyle w:val="17"/>
        <w:numPr>
          <w:ilvl w:val="4"/>
          <w:numId w:val="68"/>
        </w:numPr>
        <w:tabs>
          <w:tab w:val="left" w:pos="1621"/>
        </w:tabs>
        <w:spacing w:before="2" w:after="0" w:line="364" w:lineRule="auto"/>
        <w:ind w:left="540" w:right="605" w:firstLine="480"/>
        <w:jc w:val="left"/>
        <w:rPr>
          <w:sz w:val="24"/>
        </w:rPr>
      </w:pPr>
      <w:r>
        <w:rPr>
          <w:spacing w:val="-1"/>
          <w:sz w:val="24"/>
        </w:rPr>
        <w:t>本项目建设区无不良地质现象，也无采矿等形成的采空区，因相关自</w:t>
      </w:r>
      <w:r>
        <w:rPr>
          <w:sz w:val="24"/>
        </w:rPr>
        <w:t>然等原因导致的废水渗漏因素也较小。</w:t>
      </w:r>
    </w:p>
    <w:p>
      <w:pPr>
        <w:pStyle w:val="17"/>
        <w:numPr>
          <w:ilvl w:val="4"/>
          <w:numId w:val="68"/>
        </w:numPr>
        <w:tabs>
          <w:tab w:val="left" w:pos="1621"/>
        </w:tabs>
        <w:spacing w:before="1" w:after="0" w:line="240" w:lineRule="auto"/>
        <w:ind w:left="1621" w:right="0" w:hanging="601"/>
        <w:jc w:val="left"/>
        <w:rPr>
          <w:sz w:val="24"/>
        </w:rPr>
      </w:pPr>
      <w:r>
        <w:rPr>
          <w:sz w:val="24"/>
        </w:rPr>
        <w:t>地下水污染监控</w:t>
      </w:r>
    </w:p>
    <w:p>
      <w:pPr>
        <w:pStyle w:val="7"/>
        <w:spacing w:before="161" w:line="364" w:lineRule="auto"/>
        <w:ind w:right="577" w:firstLine="480"/>
        <w:jc w:val="both"/>
      </w:pPr>
      <w:r>
        <w:rPr>
          <w:spacing w:val="-5"/>
        </w:rPr>
        <w:t>建设单位应定期委托有资质机构对基地内的土壤和地下水进行分析，以了解</w:t>
      </w:r>
      <w:r>
        <w:rPr>
          <w:spacing w:val="-8"/>
        </w:rPr>
        <w:t>基地地下水的水质情况。具体监测要求见环境管理与监测计划章节相关内容。同</w:t>
      </w:r>
      <w:r>
        <w:rPr>
          <w:spacing w:val="-10"/>
        </w:rPr>
        <w:t>时，应对各污染防治区域进行定期检查，如发现泄漏或发生事故，应及时确定泄</w:t>
      </w:r>
      <w:r>
        <w:t>漏污染源，并采取应急措施。</w:t>
      </w:r>
    </w:p>
    <w:p>
      <w:pPr>
        <w:pStyle w:val="17"/>
        <w:numPr>
          <w:ilvl w:val="3"/>
          <w:numId w:val="68"/>
        </w:numPr>
        <w:tabs>
          <w:tab w:val="left" w:pos="1320"/>
        </w:tabs>
        <w:spacing w:before="12" w:after="0" w:line="240" w:lineRule="auto"/>
        <w:ind w:left="1320" w:right="0" w:hanging="780"/>
        <w:jc w:val="both"/>
        <w:rPr>
          <w:sz w:val="24"/>
        </w:rPr>
      </w:pPr>
      <w:bookmarkStart w:id="409" w:name="6.2.5.2 地下水分区防控措施"/>
      <w:bookmarkEnd w:id="409"/>
      <w:bookmarkStart w:id="410" w:name="6.2.5.2 地下水分区防控措施"/>
      <w:bookmarkEnd w:id="410"/>
      <w:r>
        <w:rPr>
          <w:sz w:val="24"/>
        </w:rPr>
        <w:t>地下水分区防控措施</w:t>
      </w:r>
    </w:p>
    <w:p>
      <w:pPr>
        <w:pStyle w:val="17"/>
        <w:numPr>
          <w:ilvl w:val="0"/>
          <w:numId w:val="69"/>
        </w:numPr>
        <w:tabs>
          <w:tab w:val="left" w:pos="1621"/>
        </w:tabs>
        <w:spacing w:before="167" w:after="0" w:line="240" w:lineRule="auto"/>
        <w:ind w:left="1621" w:right="0" w:hanging="601"/>
        <w:jc w:val="left"/>
        <w:rPr>
          <w:sz w:val="24"/>
        </w:rPr>
      </w:pPr>
      <w:r>
        <w:rPr>
          <w:sz w:val="24"/>
        </w:rPr>
        <w:t>源头防控</w:t>
      </w:r>
    </w:p>
    <w:p>
      <w:pPr>
        <w:pStyle w:val="7"/>
        <w:spacing w:before="161" w:line="364" w:lineRule="auto"/>
        <w:ind w:right="577" w:firstLine="480"/>
        <w:jc w:val="both"/>
      </w:pPr>
      <w:r>
        <w:rPr>
          <w:spacing w:val="-7"/>
        </w:rPr>
        <w:t>主要通过清洁生产减少项目废水、废物产生量；对污水收集管道、污水收集</w:t>
      </w:r>
      <w:r>
        <w:t>池体及其余相关建构筑物采取污染可控制措施，将污染物跑冒滴漏降到最低限度。</w:t>
      </w:r>
    </w:p>
    <w:p>
      <w:pPr>
        <w:pStyle w:val="17"/>
        <w:numPr>
          <w:ilvl w:val="0"/>
          <w:numId w:val="69"/>
        </w:numPr>
        <w:tabs>
          <w:tab w:val="left" w:pos="1621"/>
        </w:tabs>
        <w:spacing w:before="2" w:after="0" w:line="240" w:lineRule="auto"/>
        <w:ind w:left="1621" w:right="0" w:hanging="601"/>
        <w:jc w:val="left"/>
        <w:rPr>
          <w:sz w:val="24"/>
        </w:rPr>
      </w:pPr>
      <w:r>
        <w:rPr>
          <w:sz w:val="24"/>
        </w:rPr>
        <w:t>分区防渗</w:t>
      </w:r>
    </w:p>
    <w:p>
      <w:pPr>
        <w:pStyle w:val="7"/>
        <w:spacing w:before="160" w:line="364" w:lineRule="auto"/>
        <w:ind w:right="577" w:firstLine="480"/>
      </w:pPr>
      <w:r>
        <w:t>根据《环境影响评价技术导则</w:t>
      </w:r>
      <w:r>
        <w:rPr>
          <w:rFonts w:ascii="Times New Roman" w:hAnsi="Times New Roman" w:eastAsia="Times New Roman"/>
        </w:rPr>
        <w:t>·</w:t>
      </w:r>
      <w:r>
        <w:t>地下水环境》（</w:t>
      </w:r>
      <w:r>
        <w:rPr>
          <w:rFonts w:ascii="Times New Roman" w:hAnsi="Times New Roman" w:eastAsia="Times New Roman"/>
        </w:rPr>
        <w:t>HJ610-2016</w:t>
      </w:r>
      <w:r>
        <w:t>），以及本项目平面布局，环评要求厂区采用分区防渗，将厂区分为不同等级防渗区域：</w:t>
      </w:r>
    </w:p>
    <w:p>
      <w:pPr>
        <w:pStyle w:val="7"/>
        <w:spacing w:before="1"/>
        <w:ind w:left="1020"/>
      </w:pPr>
      <w:r>
        <w:t>①重点防渗区</w:t>
      </w:r>
    </w:p>
    <w:p>
      <w:pPr>
        <w:pStyle w:val="7"/>
        <w:spacing w:before="161" w:line="364" w:lineRule="auto"/>
        <w:ind w:right="452" w:firstLine="480"/>
      </w:pPr>
      <w:r>
        <w:rPr>
          <w:spacing w:val="-5"/>
        </w:rPr>
        <w:t>病死尸体无害化处理车间为重点防渗区。污染区防渗措施：地面采取粘土铺</w:t>
      </w:r>
      <w:r>
        <w:rPr>
          <w:spacing w:val="-2"/>
        </w:rPr>
        <w:t>底，再在上层铺</w:t>
      </w:r>
      <w:r>
        <w:rPr>
          <w:rFonts w:ascii="Times New Roman" w:hAnsi="Times New Roman" w:eastAsia="Times New Roman"/>
        </w:rPr>
        <w:t>10</w:t>
      </w:r>
      <w:r>
        <w:t>～</w:t>
      </w:r>
      <w:r>
        <w:rPr>
          <w:rFonts w:ascii="Times New Roman" w:hAnsi="Times New Roman" w:eastAsia="Times New Roman"/>
        </w:rPr>
        <w:t>15cm</w:t>
      </w:r>
      <w:r>
        <w:t>的水泥进行硬化，并涂覆环氧树脂防腐防渗。通过上述措施可使污染区各单元防渗达到等效黏土防渗层</w:t>
      </w:r>
      <w:r>
        <w:rPr>
          <w:rFonts w:ascii="Times New Roman" w:hAnsi="Times New Roman" w:eastAsia="Times New Roman"/>
          <w:spacing w:val="-1"/>
        </w:rPr>
        <w:t>M</w:t>
      </w:r>
      <w:r>
        <w:rPr>
          <w:rFonts w:ascii="Times New Roman" w:hAnsi="Times New Roman" w:eastAsia="Times New Roman"/>
          <w:spacing w:val="-2"/>
        </w:rPr>
        <w:t>b</w:t>
      </w:r>
      <w:r>
        <w:rPr>
          <w:spacing w:val="-1"/>
        </w:rPr>
        <w:t>≥</w:t>
      </w:r>
      <w:r>
        <w:rPr>
          <w:rFonts w:ascii="Times New Roman" w:hAnsi="Times New Roman" w:eastAsia="Times New Roman"/>
          <w:spacing w:val="-1"/>
        </w:rPr>
        <w:t>6.0m</w:t>
      </w:r>
      <w:r>
        <w:rPr>
          <w:spacing w:val="-66"/>
        </w:rPr>
        <w:t>，</w:t>
      </w:r>
      <w:r>
        <w:rPr>
          <w:rFonts w:ascii="Times New Roman" w:hAnsi="Times New Roman" w:eastAsia="Times New Roman"/>
          <w:spacing w:val="-2"/>
        </w:rPr>
        <w:t>K</w:t>
      </w:r>
      <w:r>
        <w:rPr>
          <w:spacing w:val="-1"/>
        </w:rPr>
        <w:t>≤</w:t>
      </w:r>
      <w:r>
        <w:rPr>
          <w:rFonts w:ascii="Times New Roman" w:hAnsi="Times New Roman" w:eastAsia="Times New Roman"/>
          <w:spacing w:val="-1"/>
        </w:rPr>
        <w:t>1.0</w:t>
      </w:r>
      <w:r>
        <w:rPr>
          <w:rFonts w:ascii="Times New Roman" w:hAnsi="Times New Roman" w:eastAsia="Times New Roman"/>
          <w:spacing w:val="-2"/>
        </w:rPr>
        <w:t>×</w:t>
      </w:r>
      <w:r>
        <w:rPr>
          <w:rFonts w:ascii="Times New Roman" w:hAnsi="Times New Roman" w:eastAsia="Times New Roman"/>
          <w:spacing w:val="-1"/>
        </w:rPr>
        <w:t>10</w:t>
      </w:r>
      <w:r>
        <w:rPr>
          <w:rFonts w:ascii="Times New Roman" w:hAnsi="Times New Roman" w:eastAsia="Times New Roman"/>
          <w:spacing w:val="-3"/>
          <w:w w:val="104"/>
          <w:position w:val="8"/>
          <w:sz w:val="15"/>
        </w:rPr>
        <w:t>-</w:t>
      </w:r>
      <w:r>
        <w:rPr>
          <w:rFonts w:ascii="Times New Roman" w:hAnsi="Times New Roman" w:eastAsia="Times New Roman"/>
          <w:spacing w:val="0"/>
          <w:w w:val="104"/>
          <w:position w:val="8"/>
          <w:sz w:val="15"/>
        </w:rPr>
        <w:t>7</w:t>
      </w:r>
      <w:r>
        <w:rPr>
          <w:rFonts w:ascii="Times New Roman" w:hAnsi="Times New Roman" w:eastAsia="Times New Roman"/>
          <w:spacing w:val="-2"/>
        </w:rPr>
        <w:t>c</w:t>
      </w:r>
      <w:r>
        <w:rPr>
          <w:rFonts w:ascii="Times New Roman" w:hAnsi="Times New Roman" w:eastAsia="Times New Roman"/>
          <w:spacing w:val="-1"/>
        </w:rPr>
        <w:t>m/s</w:t>
      </w:r>
      <w:r>
        <w:rPr>
          <w:spacing w:val="-1"/>
        </w:rPr>
        <w:t>；</w:t>
      </w:r>
      <w:r>
        <w:t>或参照</w:t>
      </w:r>
      <w:r>
        <w:rPr>
          <w:rFonts w:ascii="Times New Roman" w:hAnsi="Times New Roman" w:eastAsia="Times New Roman"/>
        </w:rPr>
        <w:t>GB18598</w:t>
      </w:r>
      <w:r>
        <w:t>执行。</w:t>
      </w:r>
    </w:p>
    <w:p>
      <w:pPr>
        <w:pStyle w:val="7"/>
        <w:spacing w:before="2"/>
        <w:ind w:left="1020"/>
      </w:pPr>
      <w:r>
        <w:t>②一般防渗区</w:t>
      </w:r>
    </w:p>
    <w:p>
      <w:pPr>
        <w:pStyle w:val="7"/>
        <w:spacing w:before="161" w:line="364" w:lineRule="auto"/>
        <w:ind w:right="577" w:firstLine="480"/>
      </w:pPr>
      <w:r>
        <w:rPr>
          <w:spacing w:val="-11"/>
        </w:rPr>
        <w:t>项目羊舍、堆肥厂、和青储池地面等为一般防渗区。污染区防渗措施：地面</w:t>
      </w:r>
      <w:r>
        <w:t>采取粘土铺底，再在上层铺</w:t>
      </w:r>
      <w:r>
        <w:rPr>
          <w:rFonts w:ascii="Times New Roman" w:hAnsi="Times New Roman" w:eastAsia="Times New Roman"/>
        </w:rPr>
        <w:t>10</w:t>
      </w:r>
      <w:r>
        <w:t>～</w:t>
      </w:r>
      <w:r>
        <w:rPr>
          <w:rFonts w:ascii="Times New Roman" w:hAnsi="Times New Roman" w:eastAsia="Times New Roman"/>
        </w:rPr>
        <w:t>15cm</w:t>
      </w:r>
      <w:r>
        <w:t>的水泥进行硬化。通过上述措施可使污染区各单元防渗达到等效黏土防渗层</w:t>
      </w:r>
      <w:r>
        <w:rPr>
          <w:rFonts w:ascii="Times New Roman" w:hAnsi="Times New Roman" w:eastAsia="Times New Roman"/>
        </w:rPr>
        <w:t>Mb</w:t>
      </w:r>
      <w:r>
        <w:t>≥</w:t>
      </w:r>
      <w:r>
        <w:rPr>
          <w:rFonts w:ascii="Times New Roman" w:hAnsi="Times New Roman" w:eastAsia="Times New Roman"/>
        </w:rPr>
        <w:t>1.5m</w:t>
      </w:r>
      <w:r>
        <w:rPr>
          <w:spacing w:val="-82"/>
        </w:rPr>
        <w:t>，</w:t>
      </w:r>
      <w:r>
        <w:rPr>
          <w:rFonts w:ascii="Times New Roman" w:hAnsi="Times New Roman" w:eastAsia="Times New Roman"/>
          <w:spacing w:val="1"/>
        </w:rPr>
        <w:t>K</w:t>
      </w:r>
      <w:r>
        <w:t>≤</w:t>
      </w:r>
      <w:r>
        <w:rPr>
          <w:rFonts w:ascii="Times New Roman" w:hAnsi="Times New Roman" w:eastAsia="Times New Roman"/>
        </w:rPr>
        <w:t>1.0</w:t>
      </w:r>
      <w:r>
        <w:rPr>
          <w:rFonts w:ascii="Times New Roman" w:hAnsi="Times New Roman" w:eastAsia="Times New Roman"/>
          <w:spacing w:val="-1"/>
        </w:rPr>
        <w:t>×</w:t>
      </w:r>
      <w:r>
        <w:rPr>
          <w:rFonts w:ascii="Times New Roman" w:hAnsi="Times New Roman" w:eastAsia="Times New Roman"/>
        </w:rPr>
        <w:t>10</w:t>
      </w:r>
      <w:r>
        <w:rPr>
          <w:rFonts w:ascii="Times New Roman" w:hAnsi="Times New Roman" w:eastAsia="Times New Roman"/>
          <w:spacing w:val="-2"/>
          <w:w w:val="104"/>
          <w:position w:val="8"/>
          <w:sz w:val="15"/>
        </w:rPr>
        <w:t>-</w:t>
      </w:r>
      <w:r>
        <w:rPr>
          <w:rFonts w:ascii="Times New Roman" w:hAnsi="Times New Roman" w:eastAsia="Times New Roman"/>
          <w:spacing w:val="1"/>
          <w:w w:val="104"/>
          <w:position w:val="8"/>
          <w:sz w:val="15"/>
        </w:rPr>
        <w:t>7</w:t>
      </w:r>
      <w:r>
        <w:rPr>
          <w:rFonts w:ascii="Times New Roman" w:hAnsi="Times New Roman" w:eastAsia="Times New Roman"/>
          <w:spacing w:val="-1"/>
        </w:rPr>
        <w:t>c</w:t>
      </w:r>
      <w:r>
        <w:rPr>
          <w:rFonts w:ascii="Times New Roman" w:hAnsi="Times New Roman" w:eastAsia="Times New Roman"/>
        </w:rPr>
        <w:t>m/s</w:t>
      </w:r>
      <w:r>
        <w:rPr>
          <w:spacing w:val="-21"/>
        </w:rPr>
        <w:t>；或参照</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16899</w:t>
      </w:r>
      <w:r>
        <w:t>执行。</w:t>
      </w:r>
    </w:p>
    <w:p>
      <w:pPr>
        <w:spacing w:after="0" w:line="364" w:lineRule="auto"/>
        <w:sectPr>
          <w:footerReference r:id="rId21"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jc w:val="both"/>
      </w:pPr>
      <w:r>
        <w:t>③简单防渗区</w:t>
      </w:r>
    </w:p>
    <w:p>
      <w:pPr>
        <w:pStyle w:val="7"/>
        <w:spacing w:before="160" w:line="364" w:lineRule="auto"/>
        <w:ind w:right="577" w:firstLine="480"/>
        <w:jc w:val="both"/>
      </w:pPr>
      <w:r>
        <w:rPr>
          <w:spacing w:val="-11"/>
        </w:rPr>
        <w:t>项目管理区、库房、道路和空地等区域为简单防渗区。对于基本上不产生污</w:t>
      </w:r>
      <w:r>
        <w:rPr>
          <w:spacing w:val="-9"/>
        </w:rPr>
        <w:t>染物的非污染防治区，仅进行一般地面硬化，不采取专门针对地下水污染的防治</w:t>
      </w:r>
      <w:r>
        <w:t>措施。</w:t>
      </w:r>
    </w:p>
    <w:p>
      <w:pPr>
        <w:pStyle w:val="7"/>
        <w:spacing w:before="2" w:line="364" w:lineRule="auto"/>
        <w:ind w:right="577" w:firstLine="480"/>
      </w:pPr>
      <w:r>
        <w:t>地下水防渗分区参照表</w:t>
      </w:r>
      <w:r>
        <w:rPr>
          <w:rFonts w:ascii="Times New Roman" w:eastAsia="Times New Roman"/>
        </w:rPr>
        <w:t>6.2-1</w:t>
      </w:r>
      <w:r>
        <w:t>，本项目地下水防渗分区情况见表</w:t>
      </w:r>
      <w:r>
        <w:rPr>
          <w:rFonts w:ascii="Times New Roman" w:eastAsia="Times New Roman"/>
        </w:rPr>
        <w:t>6.2-2</w:t>
      </w:r>
      <w:r>
        <w:t>，分区防渗图见图</w:t>
      </w:r>
      <w:r>
        <w:rPr>
          <w:rFonts w:ascii="Times New Roman" w:eastAsia="Times New Roman"/>
        </w:rPr>
        <w:t>6.2-3</w:t>
      </w:r>
      <w:r>
        <w:t>。</w:t>
      </w:r>
    </w:p>
    <w:p>
      <w:pPr>
        <w:pStyle w:val="7"/>
        <w:bidi w:val="0"/>
        <w:jc w:val="center"/>
      </w:pPr>
      <w:r>
        <w:t>表</w:t>
      </w:r>
      <w:r>
        <w:rPr>
          <w:rFonts w:ascii="Times New Roman" w:eastAsia="Times New Roman"/>
        </w:rPr>
        <w:t>6.2-1</w:t>
      </w:r>
      <w:r>
        <w:rPr>
          <w:rFonts w:ascii="Times New Roman" w:eastAsia="Times New Roman"/>
        </w:rPr>
        <w:tab/>
      </w:r>
      <w:r>
        <w:t>地下水防渗分区参照表</w:t>
      </w:r>
    </w:p>
    <w:tbl>
      <w:tblPr>
        <w:tblStyle w:val="14"/>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1320"/>
        <w:gridCol w:w="1185"/>
        <w:gridCol w:w="1710"/>
        <w:gridCol w:w="30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83" w:type="dxa"/>
          </w:tcPr>
          <w:p>
            <w:pPr>
              <w:pStyle w:val="18"/>
              <w:spacing w:before="103"/>
              <w:ind w:left="94" w:right="84"/>
              <w:rPr>
                <w:b/>
                <w:sz w:val="21"/>
              </w:rPr>
            </w:pPr>
            <w:r>
              <w:rPr>
                <w:b/>
                <w:sz w:val="21"/>
              </w:rPr>
              <w:t>防渗分区</w:t>
            </w:r>
          </w:p>
        </w:tc>
        <w:tc>
          <w:tcPr>
            <w:tcW w:w="1320" w:type="dxa"/>
          </w:tcPr>
          <w:p>
            <w:pPr>
              <w:pStyle w:val="18"/>
              <w:spacing w:before="1" w:line="240" w:lineRule="exact"/>
              <w:ind w:left="240" w:right="121" w:hanging="106"/>
              <w:jc w:val="left"/>
              <w:rPr>
                <w:b/>
                <w:sz w:val="21"/>
              </w:rPr>
            </w:pPr>
            <w:r>
              <w:rPr>
                <w:b/>
                <w:sz w:val="21"/>
              </w:rPr>
              <w:t>天然包气带防污性能</w:t>
            </w:r>
          </w:p>
        </w:tc>
        <w:tc>
          <w:tcPr>
            <w:tcW w:w="1185" w:type="dxa"/>
          </w:tcPr>
          <w:p>
            <w:pPr>
              <w:pStyle w:val="18"/>
              <w:spacing w:before="1" w:line="240" w:lineRule="exact"/>
              <w:ind w:left="171" w:right="159"/>
              <w:jc w:val="left"/>
              <w:rPr>
                <w:b/>
                <w:sz w:val="21"/>
              </w:rPr>
            </w:pPr>
            <w:r>
              <w:rPr>
                <w:b/>
                <w:sz w:val="21"/>
              </w:rPr>
              <w:t>污染控制难易程度</w:t>
            </w:r>
          </w:p>
        </w:tc>
        <w:tc>
          <w:tcPr>
            <w:tcW w:w="1710" w:type="dxa"/>
          </w:tcPr>
          <w:p>
            <w:pPr>
              <w:pStyle w:val="18"/>
              <w:spacing w:before="103"/>
              <w:ind w:left="308" w:right="297"/>
              <w:rPr>
                <w:b/>
                <w:sz w:val="21"/>
              </w:rPr>
            </w:pPr>
            <w:r>
              <w:rPr>
                <w:b/>
                <w:sz w:val="21"/>
              </w:rPr>
              <w:t>污染物类型</w:t>
            </w:r>
          </w:p>
        </w:tc>
        <w:tc>
          <w:tcPr>
            <w:tcW w:w="3024" w:type="dxa"/>
          </w:tcPr>
          <w:p>
            <w:pPr>
              <w:pStyle w:val="18"/>
              <w:spacing w:before="103"/>
              <w:ind w:left="859" w:right="849"/>
              <w:rPr>
                <w:b/>
                <w:sz w:val="21"/>
              </w:rPr>
            </w:pPr>
            <w:r>
              <w:rPr>
                <w:b/>
                <w:sz w:val="21"/>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83" w:type="dxa"/>
            <w:vMerge w:val="restart"/>
          </w:tcPr>
          <w:p>
            <w:pPr>
              <w:pStyle w:val="18"/>
              <w:spacing w:before="5"/>
              <w:jc w:val="left"/>
              <w:rPr>
                <w:b/>
                <w:sz w:val="25"/>
              </w:rPr>
            </w:pPr>
          </w:p>
          <w:p>
            <w:pPr>
              <w:pStyle w:val="18"/>
              <w:spacing w:line="213" w:lineRule="auto"/>
              <w:ind w:left="534" w:right="107" w:hanging="420"/>
              <w:jc w:val="left"/>
              <w:rPr>
                <w:sz w:val="21"/>
              </w:rPr>
            </w:pPr>
            <w:r>
              <w:rPr>
                <w:sz w:val="21"/>
              </w:rPr>
              <w:t>重点防渗分区</w:t>
            </w:r>
          </w:p>
        </w:tc>
        <w:tc>
          <w:tcPr>
            <w:tcW w:w="1320" w:type="dxa"/>
          </w:tcPr>
          <w:p>
            <w:pPr>
              <w:pStyle w:val="18"/>
              <w:spacing w:before="46"/>
              <w:ind w:left="9"/>
              <w:rPr>
                <w:sz w:val="21"/>
              </w:rPr>
            </w:pPr>
            <w:r>
              <w:rPr>
                <w:w w:val="99"/>
                <w:sz w:val="21"/>
              </w:rPr>
              <w:t>弱</w:t>
            </w:r>
          </w:p>
        </w:tc>
        <w:tc>
          <w:tcPr>
            <w:tcW w:w="1185" w:type="dxa"/>
          </w:tcPr>
          <w:p>
            <w:pPr>
              <w:pStyle w:val="18"/>
              <w:spacing w:before="46"/>
              <w:ind w:left="5"/>
              <w:rPr>
                <w:sz w:val="21"/>
              </w:rPr>
            </w:pPr>
            <w:r>
              <w:rPr>
                <w:w w:val="99"/>
                <w:sz w:val="21"/>
              </w:rPr>
              <w:t>难</w:t>
            </w:r>
          </w:p>
        </w:tc>
        <w:tc>
          <w:tcPr>
            <w:tcW w:w="1710" w:type="dxa"/>
            <w:vMerge w:val="restart"/>
          </w:tcPr>
          <w:p>
            <w:pPr>
              <w:pStyle w:val="18"/>
              <w:spacing w:before="5"/>
              <w:jc w:val="left"/>
              <w:rPr>
                <w:b/>
                <w:sz w:val="25"/>
              </w:rPr>
            </w:pPr>
          </w:p>
          <w:p>
            <w:pPr>
              <w:pStyle w:val="18"/>
              <w:spacing w:line="213" w:lineRule="auto"/>
              <w:ind w:left="224" w:right="110" w:hanging="106"/>
              <w:jc w:val="left"/>
              <w:rPr>
                <w:sz w:val="21"/>
              </w:rPr>
            </w:pPr>
            <w:r>
              <w:rPr>
                <w:sz w:val="21"/>
              </w:rPr>
              <w:t>重金属、持久性有机物污染物</w:t>
            </w:r>
          </w:p>
        </w:tc>
        <w:tc>
          <w:tcPr>
            <w:tcW w:w="3024" w:type="dxa"/>
            <w:vMerge w:val="restart"/>
          </w:tcPr>
          <w:p>
            <w:pPr>
              <w:pStyle w:val="18"/>
              <w:spacing w:before="183" w:line="255" w:lineRule="exact"/>
              <w:ind w:left="108"/>
              <w:jc w:val="left"/>
              <w:rPr>
                <w:rFonts w:ascii="Times New Roman" w:hAnsi="Times New Roman" w:eastAsia="Times New Roman"/>
                <w:sz w:val="21"/>
              </w:rPr>
            </w:pPr>
            <w:r>
              <w:rPr>
                <w:spacing w:val="-9"/>
                <w:sz w:val="21"/>
              </w:rPr>
              <w:t>等效黏土防渗层</w:t>
            </w:r>
            <w:r>
              <w:rPr>
                <w:rFonts w:ascii="Times New Roman" w:hAnsi="Times New Roman" w:eastAsia="Times New Roman"/>
                <w:sz w:val="21"/>
              </w:rPr>
              <w:t>Mb</w:t>
            </w:r>
            <w:r>
              <w:rPr>
                <w:sz w:val="21"/>
              </w:rPr>
              <w:t>≥</w:t>
            </w:r>
            <w:r>
              <w:rPr>
                <w:rFonts w:ascii="Times New Roman" w:hAnsi="Times New Roman" w:eastAsia="Times New Roman"/>
                <w:sz w:val="21"/>
              </w:rPr>
              <w:t>6.0m</w:t>
            </w:r>
            <w:r>
              <w:rPr>
                <w:sz w:val="21"/>
              </w:rPr>
              <w:t>，</w:t>
            </w:r>
            <w:r>
              <w:rPr>
                <w:rFonts w:ascii="Times New Roman" w:hAnsi="Times New Roman" w:eastAsia="Times New Roman"/>
                <w:sz w:val="21"/>
              </w:rPr>
              <w:t>K</w:t>
            </w:r>
          </w:p>
          <w:p>
            <w:pPr>
              <w:pStyle w:val="18"/>
              <w:spacing w:line="240" w:lineRule="exact"/>
              <w:ind w:left="108"/>
              <w:jc w:val="left"/>
              <w:rPr>
                <w:rFonts w:ascii="Times New Roman" w:hAnsi="Times New Roman" w:eastAsia="Times New Roman"/>
                <w:sz w:val="21"/>
              </w:rPr>
            </w:pPr>
            <w:r>
              <w:rPr>
                <w:spacing w:val="-1"/>
                <w:w w:val="99"/>
                <w:sz w:val="21"/>
              </w:rPr>
              <w:t>≤</w:t>
            </w:r>
            <w:r>
              <w:rPr>
                <w:rFonts w:ascii="Times New Roman" w:hAnsi="Times New Roman" w:eastAsia="Times New Roman"/>
                <w:spacing w:val="1"/>
                <w:w w:val="99"/>
                <w:sz w:val="21"/>
              </w:rPr>
              <w:t>1</w:t>
            </w:r>
            <w:r>
              <w:rPr>
                <w:rFonts w:ascii="Times New Roman" w:hAnsi="Times New Roman" w:eastAsia="Times New Roman"/>
                <w:spacing w:val="-1"/>
                <w:w w:val="99"/>
                <w:sz w:val="21"/>
              </w:rPr>
              <w:t>×</w:t>
            </w:r>
            <w:r>
              <w:rPr>
                <w:rFonts w:ascii="Times New Roman" w:hAnsi="Times New Roman" w:eastAsia="Times New Roman"/>
                <w:spacing w:val="1"/>
                <w:w w:val="99"/>
                <w:sz w:val="21"/>
              </w:rPr>
              <w:t>10</w:t>
            </w:r>
            <w:r>
              <w:rPr>
                <w:rFonts w:ascii="Times New Roman" w:hAnsi="Times New Roman" w:eastAsia="Times New Roman"/>
                <w:spacing w:val="-3"/>
                <w:w w:val="105"/>
                <w:position w:val="7"/>
                <w:sz w:val="13"/>
              </w:rPr>
              <w:t>-</w:t>
            </w:r>
            <w:r>
              <w:rPr>
                <w:rFonts w:ascii="Times New Roman" w:hAnsi="Times New Roman" w:eastAsia="Times New Roman"/>
                <w:spacing w:val="1"/>
                <w:w w:val="105"/>
                <w:position w:val="7"/>
                <w:sz w:val="13"/>
              </w:rPr>
              <w:t>7</w:t>
            </w:r>
            <w:r>
              <w:rPr>
                <w:rFonts w:ascii="Times New Roman" w:hAnsi="Times New Roman" w:eastAsia="Times New Roman"/>
                <w:w w:val="99"/>
                <w:sz w:val="21"/>
              </w:rPr>
              <w:t>c</w:t>
            </w:r>
            <w:r>
              <w:rPr>
                <w:rFonts w:ascii="Times New Roman" w:hAnsi="Times New Roman" w:eastAsia="Times New Roman"/>
                <w:spacing w:val="-2"/>
                <w:w w:val="99"/>
                <w:sz w:val="21"/>
              </w:rPr>
              <w:t>m</w:t>
            </w:r>
            <w:r>
              <w:rPr>
                <w:rFonts w:ascii="Times New Roman" w:hAnsi="Times New Roman" w:eastAsia="Times New Roman"/>
                <w:spacing w:val="1"/>
                <w:w w:val="99"/>
                <w:sz w:val="21"/>
              </w:rPr>
              <w:t>/</w:t>
            </w:r>
            <w:r>
              <w:rPr>
                <w:rFonts w:ascii="Times New Roman" w:hAnsi="Times New Roman" w:eastAsia="Times New Roman"/>
                <w:w w:val="99"/>
                <w:sz w:val="21"/>
              </w:rPr>
              <w:t>s</w:t>
            </w:r>
            <w:r>
              <w:rPr>
                <w:spacing w:val="-14"/>
                <w:w w:val="99"/>
                <w:sz w:val="21"/>
              </w:rPr>
              <w:t>；或参照</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1"/>
                <w:w w:val="99"/>
                <w:sz w:val="21"/>
              </w:rPr>
              <w:t>1859</w:t>
            </w:r>
            <w:r>
              <w:rPr>
                <w:rFonts w:ascii="Times New Roman" w:hAnsi="Times New Roman" w:eastAsia="Times New Roman"/>
                <w:w w:val="99"/>
                <w:sz w:val="21"/>
              </w:rPr>
              <w:t>8</w:t>
            </w:r>
          </w:p>
          <w:p>
            <w:pPr>
              <w:pStyle w:val="18"/>
              <w:spacing w:line="255" w:lineRule="exact"/>
              <w:ind w:left="108"/>
              <w:jc w:val="left"/>
              <w:rPr>
                <w:sz w:val="21"/>
              </w:rPr>
            </w:pP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8"/>
              <w:spacing w:before="45"/>
              <w:ind w:left="113" w:right="106"/>
              <w:rPr>
                <w:sz w:val="21"/>
              </w:rPr>
            </w:pPr>
            <w:r>
              <w:rPr>
                <w:sz w:val="21"/>
              </w:rPr>
              <w:t>中</w:t>
            </w:r>
            <w:r>
              <w:rPr>
                <w:rFonts w:ascii="Times New Roman" w:eastAsia="Times New Roman"/>
                <w:sz w:val="21"/>
              </w:rPr>
              <w:t>-</w:t>
            </w:r>
            <w:r>
              <w:rPr>
                <w:sz w:val="21"/>
              </w:rPr>
              <w:t>强</w:t>
            </w:r>
          </w:p>
        </w:tc>
        <w:tc>
          <w:tcPr>
            <w:tcW w:w="1185" w:type="dxa"/>
          </w:tcPr>
          <w:p>
            <w:pPr>
              <w:pStyle w:val="18"/>
              <w:spacing w:before="45"/>
              <w:ind w:left="5"/>
              <w:rPr>
                <w:sz w:val="21"/>
              </w:rPr>
            </w:pPr>
            <w:r>
              <w:rPr>
                <w:w w:val="99"/>
                <w:sz w:val="21"/>
              </w:rPr>
              <w:t>难</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83" w:type="dxa"/>
            <w:vMerge w:val="continue"/>
            <w:tcBorders>
              <w:top w:val="nil"/>
            </w:tcBorders>
          </w:tcPr>
          <w:p>
            <w:pPr>
              <w:rPr>
                <w:sz w:val="2"/>
                <w:szCs w:val="2"/>
              </w:rPr>
            </w:pPr>
          </w:p>
        </w:tc>
        <w:tc>
          <w:tcPr>
            <w:tcW w:w="1320" w:type="dxa"/>
          </w:tcPr>
          <w:p>
            <w:pPr>
              <w:pStyle w:val="18"/>
              <w:spacing w:before="45"/>
              <w:ind w:left="9"/>
              <w:rPr>
                <w:sz w:val="21"/>
              </w:rPr>
            </w:pPr>
            <w:r>
              <w:rPr>
                <w:w w:val="99"/>
                <w:sz w:val="21"/>
              </w:rPr>
              <w:t>弱</w:t>
            </w:r>
          </w:p>
        </w:tc>
        <w:tc>
          <w:tcPr>
            <w:tcW w:w="1185" w:type="dxa"/>
          </w:tcPr>
          <w:p>
            <w:pPr>
              <w:pStyle w:val="18"/>
              <w:spacing w:before="45"/>
              <w:ind w:left="5"/>
              <w:rPr>
                <w:sz w:val="21"/>
              </w:rPr>
            </w:pPr>
            <w:r>
              <w:rPr>
                <w:w w:val="99"/>
                <w:sz w:val="21"/>
              </w:rPr>
              <w:t>易</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restart"/>
          </w:tcPr>
          <w:p>
            <w:pPr>
              <w:pStyle w:val="18"/>
              <w:jc w:val="left"/>
              <w:rPr>
                <w:b/>
                <w:sz w:val="20"/>
              </w:rPr>
            </w:pPr>
          </w:p>
          <w:p>
            <w:pPr>
              <w:pStyle w:val="18"/>
              <w:spacing w:before="12"/>
              <w:jc w:val="left"/>
              <w:rPr>
                <w:b/>
                <w:sz w:val="27"/>
              </w:rPr>
            </w:pPr>
          </w:p>
          <w:p>
            <w:pPr>
              <w:pStyle w:val="18"/>
              <w:ind w:left="114"/>
              <w:jc w:val="left"/>
              <w:rPr>
                <w:sz w:val="21"/>
              </w:rPr>
            </w:pPr>
            <w:r>
              <w:rPr>
                <w:sz w:val="21"/>
              </w:rPr>
              <w:t>一般防渗区</w:t>
            </w:r>
          </w:p>
        </w:tc>
        <w:tc>
          <w:tcPr>
            <w:tcW w:w="1320" w:type="dxa"/>
          </w:tcPr>
          <w:p>
            <w:pPr>
              <w:pStyle w:val="18"/>
              <w:spacing w:before="45"/>
              <w:ind w:left="9"/>
              <w:rPr>
                <w:sz w:val="21"/>
              </w:rPr>
            </w:pPr>
            <w:r>
              <w:rPr>
                <w:w w:val="99"/>
                <w:sz w:val="21"/>
              </w:rPr>
              <w:t>弱</w:t>
            </w:r>
          </w:p>
        </w:tc>
        <w:tc>
          <w:tcPr>
            <w:tcW w:w="1185" w:type="dxa"/>
          </w:tcPr>
          <w:p>
            <w:pPr>
              <w:pStyle w:val="18"/>
              <w:spacing w:before="45"/>
              <w:ind w:left="327" w:right="317"/>
              <w:rPr>
                <w:sz w:val="21"/>
              </w:rPr>
            </w:pPr>
            <w:r>
              <w:rPr>
                <w:sz w:val="21"/>
              </w:rPr>
              <w:t>易</w:t>
            </w:r>
            <w:r>
              <w:rPr>
                <w:rFonts w:ascii="Times New Roman" w:eastAsia="Times New Roman"/>
                <w:sz w:val="21"/>
              </w:rPr>
              <w:t>-</w:t>
            </w:r>
            <w:r>
              <w:rPr>
                <w:sz w:val="21"/>
              </w:rPr>
              <w:t>难</w:t>
            </w:r>
          </w:p>
        </w:tc>
        <w:tc>
          <w:tcPr>
            <w:tcW w:w="1710" w:type="dxa"/>
            <w:vMerge w:val="restart"/>
          </w:tcPr>
          <w:p>
            <w:pPr>
              <w:pStyle w:val="18"/>
              <w:spacing w:before="4"/>
              <w:jc w:val="left"/>
              <w:rPr>
                <w:b/>
                <w:sz w:val="18"/>
              </w:rPr>
            </w:pPr>
          </w:p>
          <w:p>
            <w:pPr>
              <w:pStyle w:val="18"/>
              <w:ind w:left="435"/>
              <w:jc w:val="left"/>
              <w:rPr>
                <w:sz w:val="21"/>
              </w:rPr>
            </w:pPr>
            <w:r>
              <w:rPr>
                <w:sz w:val="21"/>
              </w:rPr>
              <w:t>其他类型</w:t>
            </w:r>
          </w:p>
        </w:tc>
        <w:tc>
          <w:tcPr>
            <w:tcW w:w="3024" w:type="dxa"/>
            <w:vMerge w:val="restart"/>
          </w:tcPr>
          <w:p>
            <w:pPr>
              <w:pStyle w:val="18"/>
              <w:spacing w:before="2"/>
              <w:jc w:val="left"/>
              <w:rPr>
                <w:b/>
                <w:sz w:val="29"/>
              </w:rPr>
            </w:pPr>
          </w:p>
          <w:p>
            <w:pPr>
              <w:pStyle w:val="18"/>
              <w:spacing w:line="255" w:lineRule="exact"/>
              <w:ind w:left="108"/>
              <w:jc w:val="left"/>
              <w:rPr>
                <w:rFonts w:ascii="Times New Roman" w:hAnsi="Times New Roman" w:eastAsia="Times New Roman"/>
                <w:sz w:val="21"/>
              </w:rPr>
            </w:pPr>
            <w:r>
              <w:rPr>
                <w:spacing w:val="-9"/>
                <w:sz w:val="21"/>
              </w:rPr>
              <w:t>等效黏土防渗层</w:t>
            </w:r>
            <w:r>
              <w:rPr>
                <w:rFonts w:ascii="Times New Roman" w:hAnsi="Times New Roman" w:eastAsia="Times New Roman"/>
                <w:sz w:val="21"/>
              </w:rPr>
              <w:t>Mb</w:t>
            </w:r>
            <w:r>
              <w:rPr>
                <w:sz w:val="21"/>
              </w:rPr>
              <w:t>≥</w:t>
            </w:r>
            <w:r>
              <w:rPr>
                <w:rFonts w:ascii="Times New Roman" w:hAnsi="Times New Roman" w:eastAsia="Times New Roman"/>
                <w:sz w:val="21"/>
              </w:rPr>
              <w:t>1.5m</w:t>
            </w:r>
            <w:r>
              <w:rPr>
                <w:sz w:val="21"/>
              </w:rPr>
              <w:t>，</w:t>
            </w:r>
            <w:r>
              <w:rPr>
                <w:rFonts w:ascii="Times New Roman" w:hAnsi="Times New Roman" w:eastAsia="Times New Roman"/>
                <w:sz w:val="21"/>
              </w:rPr>
              <w:t>K</w:t>
            </w:r>
          </w:p>
          <w:p>
            <w:pPr>
              <w:pStyle w:val="18"/>
              <w:spacing w:line="240" w:lineRule="exact"/>
              <w:ind w:left="108"/>
              <w:jc w:val="left"/>
              <w:rPr>
                <w:rFonts w:ascii="Times New Roman" w:hAnsi="Times New Roman" w:eastAsia="Times New Roman"/>
                <w:sz w:val="21"/>
              </w:rPr>
            </w:pPr>
            <w:r>
              <w:rPr>
                <w:spacing w:val="-1"/>
                <w:w w:val="99"/>
                <w:sz w:val="21"/>
              </w:rPr>
              <w:t>≤</w:t>
            </w:r>
            <w:r>
              <w:rPr>
                <w:rFonts w:ascii="Times New Roman" w:hAnsi="Times New Roman" w:eastAsia="Times New Roman"/>
                <w:spacing w:val="1"/>
                <w:w w:val="99"/>
                <w:sz w:val="21"/>
              </w:rPr>
              <w:t>1</w:t>
            </w:r>
            <w:r>
              <w:rPr>
                <w:rFonts w:ascii="Times New Roman" w:hAnsi="Times New Roman" w:eastAsia="Times New Roman"/>
                <w:spacing w:val="-1"/>
                <w:w w:val="99"/>
                <w:sz w:val="21"/>
              </w:rPr>
              <w:t>×</w:t>
            </w:r>
            <w:r>
              <w:rPr>
                <w:rFonts w:ascii="Times New Roman" w:hAnsi="Times New Roman" w:eastAsia="Times New Roman"/>
                <w:spacing w:val="1"/>
                <w:w w:val="99"/>
                <w:sz w:val="21"/>
              </w:rPr>
              <w:t>10</w:t>
            </w:r>
            <w:r>
              <w:rPr>
                <w:rFonts w:ascii="Times New Roman" w:hAnsi="Times New Roman" w:eastAsia="Times New Roman"/>
                <w:spacing w:val="-3"/>
                <w:w w:val="105"/>
                <w:position w:val="7"/>
                <w:sz w:val="13"/>
              </w:rPr>
              <w:t>-</w:t>
            </w:r>
            <w:r>
              <w:rPr>
                <w:rFonts w:ascii="Times New Roman" w:hAnsi="Times New Roman" w:eastAsia="Times New Roman"/>
                <w:spacing w:val="1"/>
                <w:w w:val="105"/>
                <w:position w:val="7"/>
                <w:sz w:val="13"/>
              </w:rPr>
              <w:t>7</w:t>
            </w:r>
            <w:r>
              <w:rPr>
                <w:rFonts w:ascii="Times New Roman" w:hAnsi="Times New Roman" w:eastAsia="Times New Roman"/>
                <w:w w:val="99"/>
                <w:sz w:val="21"/>
              </w:rPr>
              <w:t>c</w:t>
            </w:r>
            <w:r>
              <w:rPr>
                <w:rFonts w:ascii="Times New Roman" w:hAnsi="Times New Roman" w:eastAsia="Times New Roman"/>
                <w:spacing w:val="-2"/>
                <w:w w:val="99"/>
                <w:sz w:val="21"/>
              </w:rPr>
              <w:t>m</w:t>
            </w:r>
            <w:r>
              <w:rPr>
                <w:rFonts w:ascii="Times New Roman" w:hAnsi="Times New Roman" w:eastAsia="Times New Roman"/>
                <w:spacing w:val="1"/>
                <w:w w:val="99"/>
                <w:sz w:val="21"/>
              </w:rPr>
              <w:t>/</w:t>
            </w:r>
            <w:r>
              <w:rPr>
                <w:rFonts w:ascii="Times New Roman" w:hAnsi="Times New Roman" w:eastAsia="Times New Roman"/>
                <w:w w:val="99"/>
                <w:sz w:val="21"/>
              </w:rPr>
              <w:t>s</w:t>
            </w:r>
            <w:r>
              <w:rPr>
                <w:spacing w:val="-14"/>
                <w:w w:val="99"/>
                <w:sz w:val="21"/>
              </w:rPr>
              <w:t>；或参照</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1"/>
                <w:w w:val="99"/>
                <w:sz w:val="21"/>
              </w:rPr>
              <w:t>1688</w:t>
            </w:r>
            <w:r>
              <w:rPr>
                <w:rFonts w:ascii="Times New Roman" w:hAnsi="Times New Roman" w:eastAsia="Times New Roman"/>
                <w:w w:val="99"/>
                <w:sz w:val="21"/>
              </w:rPr>
              <w:t>9</w:t>
            </w:r>
          </w:p>
          <w:p>
            <w:pPr>
              <w:pStyle w:val="18"/>
              <w:spacing w:line="255" w:lineRule="exact"/>
              <w:ind w:left="108"/>
              <w:jc w:val="left"/>
              <w:rPr>
                <w:sz w:val="21"/>
              </w:rPr>
            </w:pP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83" w:type="dxa"/>
            <w:vMerge w:val="continue"/>
            <w:tcBorders>
              <w:top w:val="nil"/>
            </w:tcBorders>
          </w:tcPr>
          <w:p>
            <w:pPr>
              <w:rPr>
                <w:sz w:val="2"/>
                <w:szCs w:val="2"/>
              </w:rPr>
            </w:pPr>
          </w:p>
        </w:tc>
        <w:tc>
          <w:tcPr>
            <w:tcW w:w="1320" w:type="dxa"/>
          </w:tcPr>
          <w:p>
            <w:pPr>
              <w:pStyle w:val="18"/>
              <w:spacing w:before="48"/>
              <w:ind w:left="113" w:right="106"/>
              <w:rPr>
                <w:sz w:val="21"/>
              </w:rPr>
            </w:pPr>
            <w:r>
              <w:rPr>
                <w:sz w:val="21"/>
              </w:rPr>
              <w:t>中</w:t>
            </w:r>
            <w:r>
              <w:rPr>
                <w:rFonts w:ascii="Times New Roman" w:eastAsia="Times New Roman"/>
                <w:sz w:val="21"/>
              </w:rPr>
              <w:t>-</w:t>
            </w:r>
            <w:r>
              <w:rPr>
                <w:sz w:val="21"/>
              </w:rPr>
              <w:t>强</w:t>
            </w:r>
          </w:p>
        </w:tc>
        <w:tc>
          <w:tcPr>
            <w:tcW w:w="1185" w:type="dxa"/>
          </w:tcPr>
          <w:p>
            <w:pPr>
              <w:pStyle w:val="18"/>
              <w:spacing w:before="48"/>
              <w:ind w:left="5"/>
              <w:rPr>
                <w:sz w:val="21"/>
              </w:rPr>
            </w:pPr>
            <w:r>
              <w:rPr>
                <w:w w:val="99"/>
                <w:sz w:val="21"/>
              </w:rPr>
              <w:t>难</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8"/>
              <w:spacing w:before="48"/>
              <w:ind w:left="9"/>
              <w:rPr>
                <w:sz w:val="21"/>
              </w:rPr>
            </w:pPr>
            <w:r>
              <w:rPr>
                <w:w w:val="99"/>
                <w:sz w:val="21"/>
              </w:rPr>
              <w:t>中</w:t>
            </w:r>
          </w:p>
        </w:tc>
        <w:tc>
          <w:tcPr>
            <w:tcW w:w="1185" w:type="dxa"/>
          </w:tcPr>
          <w:p>
            <w:pPr>
              <w:pStyle w:val="18"/>
              <w:spacing w:before="48"/>
              <w:ind w:left="5"/>
              <w:rPr>
                <w:sz w:val="21"/>
              </w:rPr>
            </w:pPr>
            <w:r>
              <w:rPr>
                <w:w w:val="99"/>
                <w:sz w:val="21"/>
              </w:rPr>
              <w:t>易</w:t>
            </w:r>
          </w:p>
        </w:tc>
        <w:tc>
          <w:tcPr>
            <w:tcW w:w="1710" w:type="dxa"/>
            <w:vMerge w:val="restart"/>
          </w:tcPr>
          <w:p>
            <w:pPr>
              <w:pStyle w:val="18"/>
              <w:spacing w:before="138" w:line="213" w:lineRule="auto"/>
              <w:ind w:left="224" w:right="110" w:hanging="106"/>
              <w:jc w:val="left"/>
              <w:rPr>
                <w:sz w:val="21"/>
              </w:rPr>
            </w:pPr>
            <w:r>
              <w:rPr>
                <w:sz w:val="21"/>
              </w:rPr>
              <w:t>重金属、持久性有机物污染物</w:t>
            </w: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8"/>
              <w:spacing w:before="48"/>
              <w:ind w:left="9"/>
              <w:rPr>
                <w:sz w:val="21"/>
              </w:rPr>
            </w:pPr>
            <w:r>
              <w:rPr>
                <w:w w:val="99"/>
                <w:sz w:val="21"/>
              </w:rPr>
              <w:t>强</w:t>
            </w:r>
          </w:p>
        </w:tc>
        <w:tc>
          <w:tcPr>
            <w:tcW w:w="1185" w:type="dxa"/>
          </w:tcPr>
          <w:p>
            <w:pPr>
              <w:pStyle w:val="18"/>
              <w:spacing w:before="48"/>
              <w:ind w:left="5"/>
              <w:rPr>
                <w:sz w:val="21"/>
              </w:rPr>
            </w:pPr>
            <w:r>
              <w:rPr>
                <w:w w:val="99"/>
                <w:sz w:val="21"/>
              </w:rPr>
              <w:t>易</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tcPr>
          <w:p>
            <w:pPr>
              <w:pStyle w:val="18"/>
              <w:spacing w:before="48"/>
              <w:ind w:left="94" w:right="89"/>
              <w:rPr>
                <w:sz w:val="21"/>
              </w:rPr>
            </w:pPr>
            <w:r>
              <w:rPr>
                <w:sz w:val="21"/>
              </w:rPr>
              <w:t>简单防渗区</w:t>
            </w:r>
          </w:p>
        </w:tc>
        <w:tc>
          <w:tcPr>
            <w:tcW w:w="1320" w:type="dxa"/>
          </w:tcPr>
          <w:p>
            <w:pPr>
              <w:pStyle w:val="18"/>
              <w:spacing w:before="48"/>
              <w:ind w:left="113" w:right="106"/>
              <w:rPr>
                <w:sz w:val="21"/>
              </w:rPr>
            </w:pPr>
            <w:r>
              <w:rPr>
                <w:sz w:val="21"/>
              </w:rPr>
              <w:t>中</w:t>
            </w:r>
            <w:r>
              <w:rPr>
                <w:rFonts w:ascii="Times New Roman" w:eastAsia="Times New Roman"/>
                <w:sz w:val="21"/>
              </w:rPr>
              <w:t>-</w:t>
            </w:r>
            <w:r>
              <w:rPr>
                <w:sz w:val="21"/>
              </w:rPr>
              <w:t>强</w:t>
            </w:r>
          </w:p>
        </w:tc>
        <w:tc>
          <w:tcPr>
            <w:tcW w:w="1185" w:type="dxa"/>
          </w:tcPr>
          <w:p>
            <w:pPr>
              <w:pStyle w:val="18"/>
              <w:spacing w:before="48"/>
              <w:ind w:left="5"/>
              <w:rPr>
                <w:sz w:val="21"/>
              </w:rPr>
            </w:pPr>
            <w:r>
              <w:rPr>
                <w:w w:val="99"/>
                <w:sz w:val="21"/>
              </w:rPr>
              <w:t>易</w:t>
            </w:r>
          </w:p>
        </w:tc>
        <w:tc>
          <w:tcPr>
            <w:tcW w:w="1710" w:type="dxa"/>
          </w:tcPr>
          <w:p>
            <w:pPr>
              <w:pStyle w:val="18"/>
              <w:spacing w:before="48"/>
              <w:ind w:left="306" w:right="297"/>
              <w:rPr>
                <w:sz w:val="21"/>
              </w:rPr>
            </w:pPr>
            <w:r>
              <w:rPr>
                <w:sz w:val="21"/>
              </w:rPr>
              <w:t>其他类型</w:t>
            </w:r>
          </w:p>
        </w:tc>
        <w:tc>
          <w:tcPr>
            <w:tcW w:w="3024" w:type="dxa"/>
          </w:tcPr>
          <w:p>
            <w:pPr>
              <w:pStyle w:val="18"/>
              <w:spacing w:before="48"/>
              <w:ind w:left="854" w:right="849"/>
              <w:rPr>
                <w:sz w:val="21"/>
              </w:rPr>
            </w:pPr>
            <w:r>
              <w:rPr>
                <w:sz w:val="21"/>
              </w:rPr>
              <w:t>一般地面硬化</w:t>
            </w:r>
          </w:p>
        </w:tc>
      </w:tr>
    </w:tbl>
    <w:p>
      <w:pPr>
        <w:tabs>
          <w:tab w:val="left" w:pos="1519"/>
        </w:tabs>
        <w:spacing w:before="158" w:after="3"/>
        <w:ind w:left="0" w:right="28" w:firstLine="0"/>
        <w:jc w:val="center"/>
        <w:rPr>
          <w:b/>
          <w:sz w:val="24"/>
        </w:rPr>
      </w:pPr>
      <w:r>
        <w:rPr>
          <w:b/>
          <w:sz w:val="24"/>
        </w:rPr>
        <w:t>表</w:t>
      </w:r>
      <w:r>
        <w:rPr>
          <w:rFonts w:ascii="Times New Roman" w:eastAsia="Times New Roman"/>
          <w:b/>
          <w:sz w:val="24"/>
        </w:rPr>
        <w:t>6.2-2</w:t>
      </w:r>
      <w:r>
        <w:rPr>
          <w:rFonts w:ascii="Times New Roman" w:eastAsia="Times New Roman"/>
          <w:b/>
          <w:sz w:val="24"/>
        </w:rPr>
        <w:tab/>
      </w:r>
      <w:r>
        <w:rPr>
          <w:b/>
          <w:sz w:val="24"/>
        </w:rPr>
        <w:t>本项目地下水防渗分区情况</w:t>
      </w:r>
    </w:p>
    <w:tbl>
      <w:tblPr>
        <w:tblStyle w:val="14"/>
        <w:tblW w:w="0" w:type="auto"/>
        <w:tblInd w:w="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987"/>
        <w:gridCol w:w="1365"/>
        <w:gridCol w:w="1185"/>
        <w:gridCol w:w="900"/>
        <w:gridCol w:w="2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8" w:type="dxa"/>
          </w:tcPr>
          <w:p>
            <w:pPr>
              <w:pStyle w:val="18"/>
              <w:spacing w:line="236" w:lineRule="exact"/>
              <w:ind w:left="267"/>
              <w:jc w:val="left"/>
              <w:rPr>
                <w:b/>
                <w:sz w:val="21"/>
              </w:rPr>
            </w:pPr>
            <w:r>
              <w:rPr>
                <w:b/>
                <w:w w:val="95"/>
                <w:sz w:val="21"/>
              </w:rPr>
              <w:t>防渗</w:t>
            </w:r>
          </w:p>
          <w:p>
            <w:pPr>
              <w:pStyle w:val="18"/>
              <w:spacing w:line="224" w:lineRule="exact"/>
              <w:ind w:left="267"/>
              <w:jc w:val="left"/>
              <w:rPr>
                <w:b/>
                <w:sz w:val="21"/>
              </w:rPr>
            </w:pPr>
            <w:r>
              <w:rPr>
                <w:b/>
                <w:w w:val="95"/>
                <w:sz w:val="21"/>
              </w:rPr>
              <w:t>分区</w:t>
            </w:r>
          </w:p>
        </w:tc>
        <w:tc>
          <w:tcPr>
            <w:tcW w:w="1987" w:type="dxa"/>
          </w:tcPr>
          <w:p>
            <w:pPr>
              <w:pStyle w:val="18"/>
              <w:spacing w:before="101"/>
              <w:ind w:left="657" w:right="647"/>
              <w:rPr>
                <w:b/>
                <w:sz w:val="21"/>
              </w:rPr>
            </w:pPr>
            <w:r>
              <w:rPr>
                <w:b/>
                <w:sz w:val="21"/>
              </w:rPr>
              <w:t>构筑物</w:t>
            </w:r>
          </w:p>
        </w:tc>
        <w:tc>
          <w:tcPr>
            <w:tcW w:w="1365" w:type="dxa"/>
          </w:tcPr>
          <w:p>
            <w:pPr>
              <w:pStyle w:val="18"/>
              <w:spacing w:line="236" w:lineRule="exact"/>
              <w:ind w:left="157"/>
              <w:jc w:val="left"/>
              <w:rPr>
                <w:b/>
                <w:sz w:val="21"/>
              </w:rPr>
            </w:pPr>
            <w:r>
              <w:rPr>
                <w:b/>
                <w:sz w:val="21"/>
              </w:rPr>
              <w:t>天然包气带</w:t>
            </w:r>
          </w:p>
          <w:p>
            <w:pPr>
              <w:pStyle w:val="18"/>
              <w:spacing w:line="224" w:lineRule="exact"/>
              <w:ind w:left="260"/>
              <w:jc w:val="left"/>
              <w:rPr>
                <w:b/>
                <w:sz w:val="21"/>
              </w:rPr>
            </w:pPr>
            <w:r>
              <w:rPr>
                <w:b/>
                <w:sz w:val="21"/>
              </w:rPr>
              <w:t>防污性能</w:t>
            </w:r>
          </w:p>
        </w:tc>
        <w:tc>
          <w:tcPr>
            <w:tcW w:w="1185" w:type="dxa"/>
          </w:tcPr>
          <w:p>
            <w:pPr>
              <w:pStyle w:val="18"/>
              <w:spacing w:line="236" w:lineRule="exact"/>
              <w:ind w:left="172"/>
              <w:jc w:val="left"/>
              <w:rPr>
                <w:b/>
                <w:sz w:val="21"/>
              </w:rPr>
            </w:pPr>
            <w:r>
              <w:rPr>
                <w:b/>
                <w:w w:val="95"/>
                <w:sz w:val="21"/>
              </w:rPr>
              <w:t>污染控制</w:t>
            </w:r>
          </w:p>
          <w:p>
            <w:pPr>
              <w:pStyle w:val="18"/>
              <w:spacing w:line="224" w:lineRule="exact"/>
              <w:ind w:left="172"/>
              <w:jc w:val="left"/>
              <w:rPr>
                <w:b/>
                <w:sz w:val="21"/>
              </w:rPr>
            </w:pPr>
            <w:r>
              <w:rPr>
                <w:b/>
                <w:w w:val="95"/>
                <w:sz w:val="21"/>
              </w:rPr>
              <w:t>难易程度</w:t>
            </w:r>
          </w:p>
        </w:tc>
        <w:tc>
          <w:tcPr>
            <w:tcW w:w="900" w:type="dxa"/>
          </w:tcPr>
          <w:p>
            <w:pPr>
              <w:pStyle w:val="18"/>
              <w:spacing w:line="236" w:lineRule="exact"/>
              <w:ind w:left="113" w:right="103"/>
              <w:rPr>
                <w:b/>
                <w:sz w:val="21"/>
              </w:rPr>
            </w:pPr>
            <w:r>
              <w:rPr>
                <w:b/>
                <w:sz w:val="21"/>
              </w:rPr>
              <w:t>污染物</w:t>
            </w:r>
          </w:p>
          <w:p>
            <w:pPr>
              <w:pStyle w:val="18"/>
              <w:spacing w:line="224" w:lineRule="exact"/>
              <w:ind w:left="113" w:right="103"/>
              <w:rPr>
                <w:b/>
                <w:sz w:val="21"/>
              </w:rPr>
            </w:pPr>
            <w:r>
              <w:rPr>
                <w:b/>
                <w:sz w:val="21"/>
              </w:rPr>
              <w:t>类型</w:t>
            </w:r>
          </w:p>
        </w:tc>
        <w:tc>
          <w:tcPr>
            <w:tcW w:w="2121" w:type="dxa"/>
          </w:tcPr>
          <w:p>
            <w:pPr>
              <w:pStyle w:val="18"/>
              <w:spacing w:before="101"/>
              <w:ind w:left="105" w:right="94"/>
              <w:rPr>
                <w:b/>
                <w:sz w:val="21"/>
              </w:rPr>
            </w:pPr>
            <w:r>
              <w:rPr>
                <w:b/>
                <w:sz w:val="21"/>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958" w:type="dxa"/>
          </w:tcPr>
          <w:p>
            <w:pPr>
              <w:pStyle w:val="18"/>
              <w:spacing w:before="2"/>
              <w:jc w:val="left"/>
              <w:rPr>
                <w:b/>
                <w:sz w:val="19"/>
              </w:rPr>
            </w:pPr>
          </w:p>
          <w:p>
            <w:pPr>
              <w:pStyle w:val="18"/>
              <w:spacing w:before="1" w:line="213" w:lineRule="auto"/>
              <w:ind w:left="267" w:right="152" w:hanging="104"/>
              <w:jc w:val="left"/>
              <w:rPr>
                <w:sz w:val="21"/>
              </w:rPr>
            </w:pPr>
            <w:r>
              <w:rPr>
                <w:sz w:val="21"/>
              </w:rPr>
              <w:t>重点防渗区</w:t>
            </w:r>
          </w:p>
        </w:tc>
        <w:tc>
          <w:tcPr>
            <w:tcW w:w="1987" w:type="dxa"/>
          </w:tcPr>
          <w:p>
            <w:pPr>
              <w:pStyle w:val="18"/>
              <w:spacing w:before="2"/>
              <w:jc w:val="left"/>
              <w:rPr>
                <w:b/>
                <w:sz w:val="19"/>
              </w:rPr>
            </w:pPr>
          </w:p>
          <w:p>
            <w:pPr>
              <w:pStyle w:val="18"/>
              <w:spacing w:before="1" w:line="213" w:lineRule="auto"/>
              <w:ind w:left="677" w:right="144" w:hanging="526"/>
              <w:jc w:val="left"/>
              <w:rPr>
                <w:sz w:val="21"/>
              </w:rPr>
            </w:pPr>
            <w:r>
              <w:rPr>
                <w:sz w:val="21"/>
              </w:rPr>
              <w:t>病死尸体无害化处理车间</w:t>
            </w:r>
          </w:p>
        </w:tc>
        <w:tc>
          <w:tcPr>
            <w:tcW w:w="1365" w:type="dxa"/>
          </w:tcPr>
          <w:p>
            <w:pPr>
              <w:pStyle w:val="18"/>
              <w:spacing w:before="10"/>
              <w:jc w:val="left"/>
              <w:rPr>
                <w:b/>
                <w:sz w:val="26"/>
              </w:rPr>
            </w:pPr>
          </w:p>
          <w:p>
            <w:pPr>
              <w:pStyle w:val="18"/>
              <w:ind w:left="416" w:right="408"/>
              <w:rPr>
                <w:sz w:val="21"/>
              </w:rPr>
            </w:pPr>
            <w:r>
              <w:rPr>
                <w:sz w:val="21"/>
              </w:rPr>
              <w:t>中</w:t>
            </w:r>
            <w:r>
              <w:rPr>
                <w:rFonts w:ascii="Times New Roman" w:eastAsia="Times New Roman"/>
                <w:sz w:val="21"/>
              </w:rPr>
              <w:t>-</w:t>
            </w:r>
            <w:r>
              <w:rPr>
                <w:sz w:val="21"/>
              </w:rPr>
              <w:t>强</w:t>
            </w:r>
          </w:p>
        </w:tc>
        <w:tc>
          <w:tcPr>
            <w:tcW w:w="1185" w:type="dxa"/>
          </w:tcPr>
          <w:p>
            <w:pPr>
              <w:pStyle w:val="18"/>
              <w:spacing w:before="10"/>
              <w:jc w:val="left"/>
              <w:rPr>
                <w:b/>
                <w:sz w:val="26"/>
              </w:rPr>
            </w:pPr>
          </w:p>
          <w:p>
            <w:pPr>
              <w:pStyle w:val="18"/>
              <w:ind w:left="7"/>
              <w:rPr>
                <w:sz w:val="21"/>
              </w:rPr>
            </w:pPr>
            <w:r>
              <w:rPr>
                <w:w w:val="99"/>
                <w:sz w:val="21"/>
              </w:rPr>
              <w:t>难</w:t>
            </w:r>
          </w:p>
        </w:tc>
        <w:tc>
          <w:tcPr>
            <w:tcW w:w="900" w:type="dxa"/>
          </w:tcPr>
          <w:p>
            <w:pPr>
              <w:pStyle w:val="18"/>
              <w:spacing w:before="126" w:line="213" w:lineRule="auto"/>
              <w:ind w:left="134" w:right="124"/>
              <w:jc w:val="both"/>
              <w:rPr>
                <w:sz w:val="21"/>
              </w:rPr>
            </w:pPr>
            <w:r>
              <w:rPr>
                <w:sz w:val="21"/>
              </w:rPr>
              <w:t>持久性有机物污染物</w:t>
            </w:r>
          </w:p>
        </w:tc>
        <w:tc>
          <w:tcPr>
            <w:tcW w:w="2121" w:type="dxa"/>
          </w:tcPr>
          <w:p>
            <w:pPr>
              <w:pStyle w:val="18"/>
              <w:spacing w:line="238" w:lineRule="exact"/>
              <w:ind w:left="105" w:right="98"/>
              <w:rPr>
                <w:rFonts w:ascii="Times New Roman" w:eastAsia="Times New Roman"/>
                <w:sz w:val="21"/>
              </w:rPr>
            </w:pPr>
            <w:r>
              <w:rPr>
                <w:sz w:val="21"/>
              </w:rPr>
              <w:t>等效黏土防渗层</w:t>
            </w:r>
            <w:r>
              <w:rPr>
                <w:rFonts w:ascii="Times New Roman" w:eastAsia="Times New Roman"/>
                <w:sz w:val="21"/>
              </w:rPr>
              <w:t>Mb</w:t>
            </w:r>
          </w:p>
          <w:p>
            <w:pPr>
              <w:pStyle w:val="18"/>
              <w:spacing w:line="240" w:lineRule="exact"/>
              <w:ind w:left="105" w:right="97"/>
              <w:rPr>
                <w:sz w:val="21"/>
              </w:rPr>
            </w:pPr>
            <w:r>
              <w:rPr>
                <w:sz w:val="21"/>
              </w:rPr>
              <w:t>≥</w:t>
            </w:r>
            <w:r>
              <w:rPr>
                <w:rFonts w:ascii="Times New Roman" w:hAnsi="Times New Roman" w:eastAsia="Times New Roman"/>
                <w:sz w:val="21"/>
              </w:rPr>
              <w:t>6.0m</w:t>
            </w:r>
            <w:r>
              <w:rPr>
                <w:sz w:val="21"/>
              </w:rPr>
              <w:t>，</w:t>
            </w:r>
            <w:r>
              <w:rPr>
                <w:rFonts w:ascii="Times New Roman" w:hAnsi="Times New Roman" w:eastAsia="Times New Roman"/>
                <w:sz w:val="21"/>
              </w:rPr>
              <w:t>K</w:t>
            </w:r>
            <w:r>
              <w:rPr>
                <w:sz w:val="21"/>
              </w:rPr>
              <w:t>≤</w:t>
            </w:r>
          </w:p>
          <w:p>
            <w:pPr>
              <w:pStyle w:val="18"/>
              <w:spacing w:before="3" w:line="240" w:lineRule="exact"/>
              <w:ind w:left="105" w:right="92"/>
              <w:rPr>
                <w:sz w:val="21"/>
              </w:rPr>
            </w:pPr>
            <w:r>
              <w:rPr>
                <w:rFonts w:ascii="Times New Roman" w:hAnsi="Times New Roman" w:eastAsia="Times New Roman"/>
                <w:sz w:val="21"/>
              </w:rPr>
              <w:t>1×10</w:t>
            </w:r>
            <w:r>
              <w:rPr>
                <w:rFonts w:ascii="Times New Roman" w:hAnsi="Times New Roman" w:eastAsia="Times New Roman"/>
                <w:position w:val="7"/>
                <w:sz w:val="13"/>
              </w:rPr>
              <w:t>-7</w:t>
            </w:r>
            <w:r>
              <w:rPr>
                <w:rFonts w:ascii="Times New Roman" w:hAnsi="Times New Roman" w:eastAsia="Times New Roman"/>
                <w:sz w:val="21"/>
              </w:rPr>
              <w:t>cm/s</w:t>
            </w:r>
            <w:r>
              <w:rPr>
                <w:sz w:val="21"/>
              </w:rPr>
              <w:t>；或参照</w:t>
            </w:r>
            <w:r>
              <w:rPr>
                <w:rFonts w:ascii="Times New Roman" w:hAnsi="Times New Roman" w:eastAsia="Times New Roman"/>
                <w:sz w:val="21"/>
              </w:rPr>
              <w:t>GB18598</w:t>
            </w: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958" w:type="dxa"/>
          </w:tcPr>
          <w:p>
            <w:pPr>
              <w:pStyle w:val="18"/>
              <w:spacing w:before="1"/>
              <w:jc w:val="left"/>
              <w:rPr>
                <w:b/>
                <w:sz w:val="19"/>
              </w:rPr>
            </w:pPr>
          </w:p>
          <w:p>
            <w:pPr>
              <w:pStyle w:val="18"/>
              <w:spacing w:line="213" w:lineRule="auto"/>
              <w:ind w:left="267" w:right="152" w:hanging="104"/>
              <w:jc w:val="left"/>
              <w:rPr>
                <w:sz w:val="21"/>
              </w:rPr>
            </w:pPr>
            <w:r>
              <w:rPr>
                <w:sz w:val="21"/>
              </w:rPr>
              <w:t>一般防渗区</w:t>
            </w:r>
          </w:p>
        </w:tc>
        <w:tc>
          <w:tcPr>
            <w:tcW w:w="1987" w:type="dxa"/>
          </w:tcPr>
          <w:p>
            <w:pPr>
              <w:pStyle w:val="18"/>
              <w:spacing w:before="1"/>
              <w:jc w:val="left"/>
              <w:rPr>
                <w:b/>
                <w:sz w:val="19"/>
              </w:rPr>
            </w:pPr>
          </w:p>
          <w:p>
            <w:pPr>
              <w:pStyle w:val="18"/>
              <w:spacing w:line="213" w:lineRule="auto"/>
              <w:ind w:left="783" w:right="142" w:hanging="632"/>
              <w:jc w:val="left"/>
              <w:rPr>
                <w:sz w:val="21"/>
              </w:rPr>
            </w:pPr>
            <w:r>
              <w:rPr>
                <w:sz w:val="21"/>
              </w:rPr>
              <w:t>羊舍、堆肥厂、青储池</w:t>
            </w:r>
          </w:p>
        </w:tc>
        <w:tc>
          <w:tcPr>
            <w:tcW w:w="1365" w:type="dxa"/>
          </w:tcPr>
          <w:p>
            <w:pPr>
              <w:pStyle w:val="18"/>
              <w:spacing w:before="8"/>
              <w:jc w:val="left"/>
              <w:rPr>
                <w:b/>
                <w:sz w:val="26"/>
              </w:rPr>
            </w:pPr>
          </w:p>
          <w:p>
            <w:pPr>
              <w:pStyle w:val="18"/>
              <w:spacing w:before="1"/>
              <w:ind w:left="416" w:right="408"/>
              <w:rPr>
                <w:sz w:val="21"/>
              </w:rPr>
            </w:pPr>
            <w:r>
              <w:rPr>
                <w:sz w:val="21"/>
              </w:rPr>
              <w:t>中</w:t>
            </w:r>
            <w:r>
              <w:rPr>
                <w:rFonts w:ascii="Times New Roman" w:eastAsia="Times New Roman"/>
                <w:sz w:val="21"/>
              </w:rPr>
              <w:t>-</w:t>
            </w:r>
            <w:r>
              <w:rPr>
                <w:sz w:val="21"/>
              </w:rPr>
              <w:t>强</w:t>
            </w:r>
          </w:p>
        </w:tc>
        <w:tc>
          <w:tcPr>
            <w:tcW w:w="1185" w:type="dxa"/>
          </w:tcPr>
          <w:p>
            <w:pPr>
              <w:pStyle w:val="18"/>
              <w:spacing w:before="8"/>
              <w:jc w:val="left"/>
              <w:rPr>
                <w:b/>
                <w:sz w:val="26"/>
              </w:rPr>
            </w:pPr>
          </w:p>
          <w:p>
            <w:pPr>
              <w:pStyle w:val="18"/>
              <w:spacing w:before="1"/>
              <w:ind w:left="7"/>
              <w:rPr>
                <w:sz w:val="21"/>
              </w:rPr>
            </w:pPr>
            <w:r>
              <w:rPr>
                <w:w w:val="99"/>
                <w:sz w:val="21"/>
              </w:rPr>
              <w:t>难</w:t>
            </w:r>
          </w:p>
        </w:tc>
        <w:tc>
          <w:tcPr>
            <w:tcW w:w="900" w:type="dxa"/>
          </w:tcPr>
          <w:p>
            <w:pPr>
              <w:pStyle w:val="18"/>
              <w:spacing w:before="1"/>
              <w:jc w:val="left"/>
              <w:rPr>
                <w:b/>
                <w:sz w:val="19"/>
              </w:rPr>
            </w:pPr>
          </w:p>
          <w:p>
            <w:pPr>
              <w:pStyle w:val="18"/>
              <w:spacing w:line="213" w:lineRule="auto"/>
              <w:ind w:left="345" w:right="124" w:hanging="212"/>
              <w:jc w:val="left"/>
              <w:rPr>
                <w:sz w:val="21"/>
              </w:rPr>
            </w:pPr>
            <w:r>
              <w:rPr>
                <w:sz w:val="21"/>
              </w:rPr>
              <w:t>其他类型</w:t>
            </w:r>
          </w:p>
        </w:tc>
        <w:tc>
          <w:tcPr>
            <w:tcW w:w="2121" w:type="dxa"/>
          </w:tcPr>
          <w:p>
            <w:pPr>
              <w:pStyle w:val="18"/>
              <w:spacing w:line="237" w:lineRule="exact"/>
              <w:ind w:left="105" w:right="98"/>
              <w:rPr>
                <w:rFonts w:ascii="Times New Roman" w:eastAsia="Times New Roman"/>
                <w:sz w:val="21"/>
              </w:rPr>
            </w:pPr>
            <w:r>
              <w:rPr>
                <w:sz w:val="21"/>
              </w:rPr>
              <w:t>等效黏土防渗层</w:t>
            </w:r>
            <w:r>
              <w:rPr>
                <w:rFonts w:ascii="Times New Roman" w:eastAsia="Times New Roman"/>
                <w:sz w:val="21"/>
              </w:rPr>
              <w:t>Mb</w:t>
            </w:r>
          </w:p>
          <w:p>
            <w:pPr>
              <w:pStyle w:val="18"/>
              <w:spacing w:line="240" w:lineRule="exact"/>
              <w:ind w:left="105" w:right="97"/>
              <w:rPr>
                <w:sz w:val="21"/>
              </w:rPr>
            </w:pPr>
            <w:r>
              <w:rPr>
                <w:sz w:val="21"/>
              </w:rPr>
              <w:t>≥</w:t>
            </w:r>
            <w:r>
              <w:rPr>
                <w:rFonts w:ascii="Times New Roman" w:hAnsi="Times New Roman" w:eastAsia="Times New Roman"/>
                <w:sz w:val="21"/>
              </w:rPr>
              <w:t>1.5m</w:t>
            </w:r>
            <w:r>
              <w:rPr>
                <w:sz w:val="21"/>
              </w:rPr>
              <w:t>，</w:t>
            </w:r>
            <w:r>
              <w:rPr>
                <w:rFonts w:ascii="Times New Roman" w:hAnsi="Times New Roman" w:eastAsia="Times New Roman"/>
                <w:sz w:val="21"/>
              </w:rPr>
              <w:t>K</w:t>
            </w:r>
            <w:r>
              <w:rPr>
                <w:sz w:val="21"/>
              </w:rPr>
              <w:t>≤</w:t>
            </w:r>
          </w:p>
          <w:p>
            <w:pPr>
              <w:pStyle w:val="18"/>
              <w:spacing w:before="3" w:line="240" w:lineRule="exact"/>
              <w:ind w:left="105" w:right="92"/>
              <w:rPr>
                <w:sz w:val="21"/>
              </w:rPr>
            </w:pPr>
            <w:r>
              <w:rPr>
                <w:rFonts w:ascii="Times New Roman" w:hAnsi="Times New Roman" w:eastAsia="Times New Roman"/>
                <w:sz w:val="21"/>
              </w:rPr>
              <w:t>1×10</w:t>
            </w:r>
            <w:r>
              <w:rPr>
                <w:rFonts w:ascii="Times New Roman" w:hAnsi="Times New Roman" w:eastAsia="Times New Roman"/>
                <w:position w:val="7"/>
                <w:sz w:val="13"/>
              </w:rPr>
              <w:t>-7</w:t>
            </w:r>
            <w:r>
              <w:rPr>
                <w:rFonts w:ascii="Times New Roman" w:hAnsi="Times New Roman" w:eastAsia="Times New Roman"/>
                <w:sz w:val="21"/>
              </w:rPr>
              <w:t>cm/s</w:t>
            </w:r>
            <w:r>
              <w:rPr>
                <w:sz w:val="21"/>
              </w:rPr>
              <w:t>；或参照</w:t>
            </w:r>
            <w:r>
              <w:rPr>
                <w:rFonts w:ascii="Times New Roman" w:hAnsi="Times New Roman" w:eastAsia="Times New Roman"/>
                <w:sz w:val="21"/>
              </w:rPr>
              <w:t>GB16889</w:t>
            </w: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8" w:type="dxa"/>
          </w:tcPr>
          <w:p>
            <w:pPr>
              <w:pStyle w:val="18"/>
              <w:spacing w:line="240" w:lineRule="exact"/>
              <w:ind w:left="267" w:right="152" w:hanging="104"/>
              <w:jc w:val="left"/>
              <w:rPr>
                <w:sz w:val="21"/>
              </w:rPr>
            </w:pPr>
            <w:r>
              <w:rPr>
                <w:sz w:val="21"/>
              </w:rPr>
              <w:t>简单防渗区</w:t>
            </w:r>
          </w:p>
        </w:tc>
        <w:tc>
          <w:tcPr>
            <w:tcW w:w="1987" w:type="dxa"/>
          </w:tcPr>
          <w:p>
            <w:pPr>
              <w:pStyle w:val="18"/>
              <w:spacing w:line="240" w:lineRule="exact"/>
              <w:ind w:left="152" w:right="-15" w:hanging="46"/>
              <w:jc w:val="left"/>
              <w:rPr>
                <w:sz w:val="21"/>
              </w:rPr>
            </w:pPr>
            <w:r>
              <w:rPr>
                <w:spacing w:val="-3"/>
                <w:sz w:val="21"/>
              </w:rPr>
              <w:t>办公用房、门卫室、辅助用房、道路等</w:t>
            </w:r>
          </w:p>
        </w:tc>
        <w:tc>
          <w:tcPr>
            <w:tcW w:w="1365" w:type="dxa"/>
          </w:tcPr>
          <w:p>
            <w:pPr>
              <w:pStyle w:val="18"/>
              <w:spacing w:before="102"/>
              <w:ind w:left="416" w:right="408"/>
              <w:rPr>
                <w:sz w:val="21"/>
              </w:rPr>
            </w:pPr>
            <w:r>
              <w:rPr>
                <w:sz w:val="21"/>
              </w:rPr>
              <w:t>中</w:t>
            </w:r>
            <w:r>
              <w:rPr>
                <w:rFonts w:ascii="Times New Roman" w:eastAsia="Times New Roman"/>
                <w:sz w:val="21"/>
              </w:rPr>
              <w:t>-</w:t>
            </w:r>
            <w:r>
              <w:rPr>
                <w:sz w:val="21"/>
              </w:rPr>
              <w:t>强</w:t>
            </w:r>
          </w:p>
        </w:tc>
        <w:tc>
          <w:tcPr>
            <w:tcW w:w="1185" w:type="dxa"/>
          </w:tcPr>
          <w:p>
            <w:pPr>
              <w:pStyle w:val="18"/>
              <w:spacing w:before="102"/>
              <w:ind w:left="7"/>
              <w:rPr>
                <w:sz w:val="21"/>
              </w:rPr>
            </w:pPr>
            <w:r>
              <w:rPr>
                <w:w w:val="99"/>
                <w:sz w:val="21"/>
              </w:rPr>
              <w:t>易</w:t>
            </w:r>
          </w:p>
        </w:tc>
        <w:tc>
          <w:tcPr>
            <w:tcW w:w="900" w:type="dxa"/>
          </w:tcPr>
          <w:p>
            <w:pPr>
              <w:pStyle w:val="18"/>
              <w:spacing w:line="240" w:lineRule="exact"/>
              <w:ind w:left="345" w:right="124" w:hanging="212"/>
              <w:jc w:val="left"/>
              <w:rPr>
                <w:sz w:val="21"/>
              </w:rPr>
            </w:pPr>
            <w:r>
              <w:rPr>
                <w:sz w:val="21"/>
              </w:rPr>
              <w:t>其他类型</w:t>
            </w:r>
          </w:p>
        </w:tc>
        <w:tc>
          <w:tcPr>
            <w:tcW w:w="2121" w:type="dxa"/>
          </w:tcPr>
          <w:p>
            <w:pPr>
              <w:pStyle w:val="18"/>
              <w:spacing w:before="102"/>
              <w:ind w:left="104" w:right="98"/>
              <w:rPr>
                <w:sz w:val="21"/>
              </w:rPr>
            </w:pPr>
            <w:r>
              <w:rPr>
                <w:sz w:val="21"/>
              </w:rPr>
              <w:t>一般地面硬化</w:t>
            </w:r>
          </w:p>
        </w:tc>
      </w:tr>
    </w:tbl>
    <w:p>
      <w:pPr>
        <w:pStyle w:val="7"/>
        <w:spacing w:before="7"/>
        <w:ind w:left="0"/>
        <w:rPr>
          <w:b/>
          <w:sz w:val="18"/>
        </w:rPr>
      </w:pPr>
    </w:p>
    <w:p>
      <w:pPr>
        <w:pStyle w:val="7"/>
        <w:spacing w:line="364" w:lineRule="auto"/>
        <w:ind w:right="577" w:firstLine="480"/>
      </w:pPr>
      <w:r>
        <w:rPr>
          <w:spacing w:val="-10"/>
        </w:rPr>
        <w:t>综上，项目场内实行严格的分区防渗、加强废水的监控、科学合理的规划用</w:t>
      </w:r>
      <w:r>
        <w:t>地情况下，项目区内废水对地下水影响较小。</w:t>
      </w:r>
    </w:p>
    <w:p>
      <w:pPr>
        <w:pStyle w:val="5"/>
        <w:numPr>
          <w:ilvl w:val="2"/>
          <w:numId w:val="59"/>
        </w:numPr>
        <w:tabs>
          <w:tab w:val="left" w:pos="1241"/>
        </w:tabs>
        <w:spacing w:before="115" w:after="0" w:line="240" w:lineRule="auto"/>
        <w:ind w:left="1240" w:right="0" w:hanging="701"/>
        <w:jc w:val="left"/>
        <w:outlineLvl w:val="2"/>
      </w:pPr>
      <w:bookmarkStart w:id="411" w:name="6.2.6 土壤污染防治措施"/>
      <w:bookmarkEnd w:id="411"/>
      <w:bookmarkStart w:id="412" w:name="6.2.6 土壤污染防治措施"/>
      <w:bookmarkEnd w:id="412"/>
      <w:bookmarkStart w:id="413" w:name="_Toc23599"/>
      <w:r>
        <w:t>土壤污染防治措施</w:t>
      </w:r>
      <w:bookmarkEnd w:id="413"/>
    </w:p>
    <w:p>
      <w:pPr>
        <w:pStyle w:val="7"/>
        <w:spacing w:before="4"/>
        <w:ind w:left="0"/>
        <w:rPr>
          <w:b/>
          <w:sz w:val="21"/>
        </w:rPr>
      </w:pPr>
    </w:p>
    <w:p>
      <w:pPr>
        <w:pStyle w:val="7"/>
        <w:spacing w:before="1" w:line="364" w:lineRule="auto"/>
        <w:ind w:right="577" w:firstLine="480"/>
        <w:jc w:val="both"/>
        <w:rPr>
          <w:color w:val="0000FF"/>
        </w:rPr>
      </w:pPr>
      <w:r>
        <w:rPr>
          <w:spacing w:val="-6"/>
        </w:rPr>
        <w:t>本</w:t>
      </w:r>
      <w:r>
        <w:rPr>
          <w:color w:val="0000FF"/>
          <w:spacing w:val="-6"/>
        </w:rPr>
        <w:t>项目的建设性质为新建项目，占地面积为</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color w:val="0000FF"/>
          <w:lang w:val="en-US" w:eastAsia="zh-CN"/>
        </w:rPr>
        <w:t>31.095</w:t>
      </w:r>
      <w:r>
        <w:rPr>
          <w:color w:val="0000FF"/>
        </w:rPr>
        <w:t>亩</w:t>
      </w:r>
      <w:r>
        <w:rPr>
          <w:color w:val="0000FF"/>
          <w:spacing w:val="-15"/>
        </w:rPr>
        <w:t>）</w:t>
      </w:r>
      <w:r>
        <w:rPr>
          <w:color w:val="0000FF"/>
          <w:spacing w:val="-7"/>
        </w:rPr>
        <w:t>。从土壤环境质量现状监测结果来看，项目占地范围内不存在超标现象。项目土壤污染措施</w:t>
      </w:r>
      <w:r>
        <w:rPr>
          <w:color w:val="0000FF"/>
        </w:rPr>
        <w:t>主要从源头削减和过程控制两方面着手切实做好项目营运期土壤污染工作。</w:t>
      </w:r>
    </w:p>
    <w:p>
      <w:pPr>
        <w:spacing w:after="0" w:line="364" w:lineRule="auto"/>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firstLine="480"/>
        <w:jc w:val="both"/>
      </w:pPr>
      <w:r>
        <w:rPr>
          <w:spacing w:val="-8"/>
        </w:rPr>
        <w:t>扎实做好源头削减，确保项目废水、废气污染物达标排放，并满足污染物总</w:t>
      </w:r>
      <w:r>
        <w:rPr>
          <w:spacing w:val="-9"/>
        </w:rPr>
        <w:t>量控制指标的要求；按环评要求落实无组织污染物排放控制措施。确保项目产生</w:t>
      </w:r>
      <w:r>
        <w:rPr>
          <w:spacing w:val="-5"/>
        </w:rPr>
        <w:t>的一般固体废物和危险废物按相应的环境管理要求进行暂存、转移、处置，不得</w:t>
      </w:r>
      <w:r>
        <w:t>随意堆弃。</w:t>
      </w:r>
    </w:p>
    <w:p>
      <w:pPr>
        <w:pStyle w:val="7"/>
        <w:spacing w:before="2" w:line="364" w:lineRule="auto"/>
        <w:ind w:right="577" w:firstLine="480"/>
        <w:jc w:val="both"/>
      </w:pPr>
      <w:r>
        <w:rPr>
          <w:spacing w:val="-10"/>
        </w:rPr>
        <w:t>严格过程防控，在厂区占地范围内采取绿化措施，种植对特征污染物氨和硫</w:t>
      </w:r>
      <w:r>
        <w:rPr>
          <w:spacing w:val="-6"/>
        </w:rPr>
        <w:t>化氢具有较强吸附能力的植物为主；在装置界区进行地面硬化，危废暂存间设置</w:t>
      </w:r>
      <w:r>
        <w:t>围堰，按要求执行分区防渗措施。</w:t>
      </w:r>
    </w:p>
    <w:p>
      <w:pPr>
        <w:pStyle w:val="5"/>
        <w:numPr>
          <w:ilvl w:val="2"/>
          <w:numId w:val="59"/>
        </w:numPr>
        <w:tabs>
          <w:tab w:val="left" w:pos="1241"/>
        </w:tabs>
        <w:spacing w:before="116" w:after="0" w:line="240" w:lineRule="auto"/>
        <w:ind w:left="1240" w:right="0" w:hanging="701"/>
        <w:jc w:val="left"/>
        <w:outlineLvl w:val="2"/>
      </w:pPr>
      <w:bookmarkStart w:id="414" w:name="6.2.7 风险防范措施"/>
      <w:bookmarkEnd w:id="414"/>
      <w:bookmarkStart w:id="415" w:name="6.2.7 风险防范措施"/>
      <w:bookmarkEnd w:id="415"/>
      <w:bookmarkStart w:id="416" w:name="_Toc28882"/>
      <w:r>
        <w:rPr>
          <w:spacing w:val="-1"/>
          <w:w w:val="95"/>
        </w:rPr>
        <w:t>风险防范措施</w:t>
      </w:r>
      <w:bookmarkEnd w:id="416"/>
    </w:p>
    <w:p>
      <w:pPr>
        <w:pStyle w:val="7"/>
        <w:spacing w:before="1"/>
        <w:ind w:left="0"/>
        <w:rPr>
          <w:b/>
          <w:sz w:val="22"/>
        </w:rPr>
      </w:pPr>
    </w:p>
    <w:p>
      <w:pPr>
        <w:pStyle w:val="17"/>
        <w:numPr>
          <w:ilvl w:val="3"/>
          <w:numId w:val="70"/>
        </w:numPr>
        <w:tabs>
          <w:tab w:val="left" w:pos="1320"/>
        </w:tabs>
        <w:spacing w:before="0" w:after="0" w:line="240" w:lineRule="auto"/>
        <w:ind w:left="1320" w:right="0" w:hanging="780"/>
        <w:jc w:val="left"/>
        <w:rPr>
          <w:sz w:val="24"/>
        </w:rPr>
      </w:pPr>
      <w:bookmarkStart w:id="417" w:name="6.2.7.1 疫病风险防范措施"/>
      <w:bookmarkEnd w:id="417"/>
      <w:bookmarkStart w:id="418" w:name="6.2.7.1 疫病风险防范措施"/>
      <w:bookmarkEnd w:id="418"/>
      <w:r>
        <w:rPr>
          <w:sz w:val="24"/>
        </w:rPr>
        <w:t>疫病风险防范措施</w:t>
      </w:r>
    </w:p>
    <w:p>
      <w:pPr>
        <w:pStyle w:val="17"/>
        <w:numPr>
          <w:ilvl w:val="4"/>
          <w:numId w:val="70"/>
        </w:numPr>
        <w:tabs>
          <w:tab w:val="left" w:pos="1621"/>
        </w:tabs>
        <w:spacing w:before="168" w:after="0" w:line="240" w:lineRule="auto"/>
        <w:ind w:left="1621" w:right="0" w:hanging="601"/>
        <w:jc w:val="left"/>
        <w:rPr>
          <w:sz w:val="24"/>
        </w:rPr>
      </w:pPr>
      <w:r>
        <w:rPr>
          <w:sz w:val="24"/>
        </w:rPr>
        <w:t>建立的兽医综合防疫体系</w:t>
      </w:r>
    </w:p>
    <w:p>
      <w:pPr>
        <w:pStyle w:val="7"/>
        <w:spacing w:before="161" w:line="364" w:lineRule="auto"/>
        <w:ind w:right="577" w:firstLine="480"/>
        <w:jc w:val="both"/>
      </w:pPr>
      <w:r>
        <w:rPr>
          <w:spacing w:val="-6"/>
        </w:rPr>
        <w:t>建立的兽医综合防疫体系，可为羊群的健康提供切实的保障。如注射“免疫</w:t>
      </w:r>
      <w:r>
        <w:rPr>
          <w:spacing w:val="-10"/>
        </w:rPr>
        <w:t>增强剂”，对病毒性疾病有特殊的防治效果，能提高动物自身的免疫功能。并开</w:t>
      </w:r>
      <w:r>
        <w:t>发疫病早期快速预警机制，在疫情产生危害前发现并消灭它。</w:t>
      </w:r>
    </w:p>
    <w:p>
      <w:pPr>
        <w:pStyle w:val="17"/>
        <w:numPr>
          <w:ilvl w:val="4"/>
          <w:numId w:val="70"/>
        </w:numPr>
        <w:tabs>
          <w:tab w:val="left" w:pos="1621"/>
        </w:tabs>
        <w:spacing w:before="1" w:after="0" w:line="240" w:lineRule="auto"/>
        <w:ind w:left="1621" w:right="0" w:hanging="601"/>
        <w:jc w:val="left"/>
        <w:rPr>
          <w:sz w:val="24"/>
        </w:rPr>
      </w:pPr>
      <w:r>
        <w:rPr>
          <w:sz w:val="24"/>
        </w:rPr>
        <w:t>建立环绕防疫体系</w:t>
      </w:r>
    </w:p>
    <w:p>
      <w:pPr>
        <w:pStyle w:val="7"/>
        <w:spacing w:before="161" w:line="364" w:lineRule="auto"/>
        <w:ind w:right="575" w:firstLine="480"/>
      </w:pPr>
      <w:r>
        <w:rPr>
          <w:spacing w:val="-8"/>
        </w:rPr>
        <w:t>建立环绕防疫体系，包围生产区，防止老鼠、爬行类动物等进入生产区，带</w:t>
      </w:r>
      <w:r>
        <w:t>来病源。</w:t>
      </w:r>
    </w:p>
    <w:p>
      <w:pPr>
        <w:pStyle w:val="17"/>
        <w:numPr>
          <w:ilvl w:val="4"/>
          <w:numId w:val="70"/>
        </w:numPr>
        <w:tabs>
          <w:tab w:val="left" w:pos="1621"/>
        </w:tabs>
        <w:spacing w:before="1" w:after="0" w:line="240" w:lineRule="auto"/>
        <w:ind w:left="1621" w:right="0" w:hanging="601"/>
        <w:jc w:val="left"/>
        <w:rPr>
          <w:sz w:val="24"/>
        </w:rPr>
      </w:pPr>
      <w:r>
        <w:rPr>
          <w:sz w:val="24"/>
        </w:rPr>
        <w:t>消毒防疫制度</w:t>
      </w:r>
    </w:p>
    <w:p>
      <w:pPr>
        <w:pStyle w:val="7"/>
        <w:spacing w:before="161" w:line="364" w:lineRule="auto"/>
        <w:ind w:right="455" w:firstLine="480"/>
      </w:pPr>
      <w:r>
        <w:rPr>
          <w:spacing w:val="-4"/>
        </w:rPr>
        <w:t>所有进入生产区的人员在进入生产区之前要进行洗浴和紫外线消毒。进入羊</w:t>
      </w:r>
      <w:r>
        <w:rPr>
          <w:spacing w:val="-11"/>
        </w:rPr>
        <w:t>舍要更换工作服，换下的工作服用臭氧消毒。同舍羊群为同一日龄饲养，同一批</w:t>
      </w:r>
      <w:r>
        <w:rPr>
          <w:spacing w:val="-17"/>
        </w:rPr>
        <w:t>入舍或出舍，避免交叉感染。在育雏区和成羊区的各羊舍进出口分设净道、污道，</w:t>
      </w:r>
      <w:r>
        <w:t>平行布置，互不干扰，以利防疫。</w:t>
      </w:r>
    </w:p>
    <w:p>
      <w:pPr>
        <w:pStyle w:val="17"/>
        <w:numPr>
          <w:ilvl w:val="3"/>
          <w:numId w:val="70"/>
        </w:numPr>
        <w:tabs>
          <w:tab w:val="left" w:pos="1320"/>
        </w:tabs>
        <w:spacing w:before="12" w:after="0" w:line="240" w:lineRule="auto"/>
        <w:ind w:left="1320" w:right="0" w:hanging="780"/>
        <w:jc w:val="left"/>
        <w:rPr>
          <w:sz w:val="24"/>
        </w:rPr>
      </w:pPr>
      <w:bookmarkStart w:id="419" w:name="6.2.7.2 污染物泄漏风险防范措施"/>
      <w:bookmarkEnd w:id="419"/>
      <w:bookmarkStart w:id="420" w:name="6.2.7.2 污染物泄漏风险防范措施"/>
      <w:bookmarkEnd w:id="420"/>
      <w:r>
        <w:rPr>
          <w:sz w:val="24"/>
        </w:rPr>
        <w:t>污染物泄漏风险防范措施</w:t>
      </w:r>
    </w:p>
    <w:p>
      <w:pPr>
        <w:pStyle w:val="17"/>
        <w:numPr>
          <w:ilvl w:val="0"/>
          <w:numId w:val="71"/>
        </w:numPr>
        <w:tabs>
          <w:tab w:val="left" w:pos="1621"/>
        </w:tabs>
        <w:spacing w:before="167" w:after="0" w:line="364" w:lineRule="auto"/>
        <w:ind w:left="540" w:right="580" w:firstLine="480"/>
        <w:jc w:val="left"/>
        <w:rPr>
          <w:sz w:val="24"/>
        </w:rPr>
      </w:pPr>
      <w:r>
        <w:rPr>
          <w:spacing w:val="-1"/>
          <w:sz w:val="24"/>
        </w:rPr>
        <w:t>加强废水处理设施的维护和管理，及时发现处理设备的隐患，确保处</w:t>
      </w:r>
      <w:r>
        <w:rPr>
          <w:sz w:val="24"/>
        </w:rPr>
        <w:t>理系统正常运行。</w:t>
      </w:r>
    </w:p>
    <w:p>
      <w:pPr>
        <w:pStyle w:val="17"/>
        <w:numPr>
          <w:ilvl w:val="0"/>
          <w:numId w:val="71"/>
        </w:numPr>
        <w:tabs>
          <w:tab w:val="left" w:pos="1621"/>
        </w:tabs>
        <w:spacing w:before="1" w:after="0" w:line="364" w:lineRule="auto"/>
        <w:ind w:left="540" w:right="580" w:firstLine="480"/>
        <w:jc w:val="left"/>
        <w:rPr>
          <w:sz w:val="24"/>
        </w:rPr>
      </w:pPr>
      <w:r>
        <w:rPr>
          <w:spacing w:val="-1"/>
          <w:sz w:val="24"/>
        </w:rPr>
        <w:t>要有专人管理污水处理系统，发现污水处理系统构筑物池底破裂，应</w:t>
      </w:r>
      <w:r>
        <w:rPr>
          <w:sz w:val="24"/>
        </w:rPr>
        <w:t>立刻组织人员维修，待设备正常运转后，方可继续处理污水。</w:t>
      </w:r>
    </w:p>
    <w:p>
      <w:pPr>
        <w:pStyle w:val="17"/>
        <w:numPr>
          <w:ilvl w:val="0"/>
          <w:numId w:val="71"/>
        </w:numPr>
        <w:tabs>
          <w:tab w:val="left" w:pos="1621"/>
        </w:tabs>
        <w:spacing w:before="2" w:after="0" w:line="364" w:lineRule="auto"/>
        <w:ind w:left="540" w:right="581" w:firstLine="480"/>
        <w:jc w:val="left"/>
        <w:rPr>
          <w:sz w:val="24"/>
        </w:rPr>
      </w:pPr>
      <w:r>
        <w:rPr>
          <w:spacing w:val="-1"/>
          <w:sz w:val="24"/>
        </w:rPr>
        <w:t>加强施工质量，羊舍、堆肥厂、病死尸体无害化处理车间等区域采取</w:t>
      </w:r>
      <w:r>
        <w:rPr>
          <w:sz w:val="24"/>
        </w:rPr>
        <w:t>严格的防渗措施，在做好基层防渗的基础上进行水泥硬化。</w:t>
      </w:r>
    </w:p>
    <w:p>
      <w:pPr>
        <w:pStyle w:val="17"/>
        <w:numPr>
          <w:ilvl w:val="0"/>
          <w:numId w:val="71"/>
        </w:numPr>
        <w:tabs>
          <w:tab w:val="left" w:pos="1621"/>
        </w:tabs>
        <w:spacing w:before="1" w:after="0" w:line="240" w:lineRule="auto"/>
        <w:ind w:left="1621" w:right="0" w:hanging="601"/>
        <w:jc w:val="left"/>
        <w:rPr>
          <w:sz w:val="24"/>
        </w:rPr>
      </w:pPr>
      <w:r>
        <w:rPr>
          <w:sz w:val="24"/>
        </w:rPr>
        <w:t>场区边界建设雨水截流沟、排水沟，及时拦截和导排雨水，减少废水</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产生量，降低事故风险。</w:t>
      </w:r>
    </w:p>
    <w:p>
      <w:pPr>
        <w:pStyle w:val="17"/>
        <w:numPr>
          <w:ilvl w:val="3"/>
          <w:numId w:val="70"/>
        </w:numPr>
        <w:tabs>
          <w:tab w:val="left" w:pos="1320"/>
        </w:tabs>
        <w:spacing w:before="170" w:after="0" w:line="240" w:lineRule="auto"/>
        <w:ind w:left="1320" w:right="0" w:hanging="780"/>
        <w:jc w:val="left"/>
        <w:rPr>
          <w:sz w:val="24"/>
        </w:rPr>
      </w:pPr>
      <w:bookmarkStart w:id="421" w:name="6.2.7.3 绿化"/>
      <w:bookmarkEnd w:id="421"/>
      <w:bookmarkStart w:id="422" w:name="6.2.7.3 绿化"/>
      <w:bookmarkEnd w:id="422"/>
      <w:r>
        <w:rPr>
          <w:sz w:val="24"/>
        </w:rPr>
        <w:t>绿化</w:t>
      </w:r>
    </w:p>
    <w:p>
      <w:pPr>
        <w:pStyle w:val="7"/>
        <w:spacing w:before="168" w:line="364" w:lineRule="auto"/>
        <w:ind w:right="577" w:firstLine="480"/>
        <w:jc w:val="both"/>
      </w:pPr>
      <w:r>
        <w:rPr>
          <w:spacing w:val="-6"/>
        </w:rPr>
        <w:t>羊场的绿化不仅可以为羊群提供一个天然氧吧、美化场区环境，而且还有一</w:t>
      </w:r>
      <w:r>
        <w:rPr>
          <w:spacing w:val="-8"/>
        </w:rPr>
        <w:t>个重要的环境功能就是吸收臭味，净化空气，减轻各种恶臭气体对周围环境的影</w:t>
      </w:r>
      <w:r>
        <w:t>响。</w:t>
      </w:r>
    </w:p>
    <w:p>
      <w:pPr>
        <w:pStyle w:val="7"/>
        <w:spacing w:before="1"/>
        <w:ind w:left="1020"/>
        <w:jc w:val="both"/>
      </w:pPr>
      <w:r>
        <w:t>①在羊场四周设立绿化防护隔离带</w:t>
      </w:r>
    </w:p>
    <w:p>
      <w:pPr>
        <w:pStyle w:val="7"/>
        <w:spacing w:before="161" w:line="364" w:lineRule="auto"/>
        <w:ind w:right="577" w:firstLine="480"/>
      </w:pPr>
      <w:r>
        <w:rPr>
          <w:spacing w:val="-6"/>
        </w:rPr>
        <w:t>在场区内部增加绿化面积，并采用立体交叉绿化方法进行植树、种草、设置</w:t>
      </w:r>
      <w:r>
        <w:t>花坛等。</w:t>
      </w:r>
    </w:p>
    <w:p>
      <w:pPr>
        <w:pStyle w:val="7"/>
        <w:spacing w:before="1" w:line="364" w:lineRule="auto"/>
        <w:ind w:right="580" w:firstLine="480"/>
      </w:pPr>
      <w:r>
        <w:t>②在树种选择上，应种植抗污染能力较强、有较好的净化空气能力、适应性强的树种，如白杨、法桐、垂柳、槐树等。</w:t>
      </w:r>
    </w:p>
    <w:p>
      <w:pPr>
        <w:pStyle w:val="7"/>
        <w:spacing w:before="1"/>
        <w:ind w:left="1020"/>
      </w:pPr>
      <w:r>
        <w:t>③在主要噪声源附近应多种植一些树木花草以起到隔声、减噪作用。</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5"/>
        <w:outlineLvl w:val="0"/>
      </w:pPr>
      <w:bookmarkStart w:id="423" w:name="_bookmark30"/>
      <w:bookmarkEnd w:id="423"/>
      <w:bookmarkStart w:id="424" w:name="第七章  环境经济损益分析"/>
      <w:bookmarkEnd w:id="424"/>
      <w:bookmarkStart w:id="425" w:name="_Toc18051"/>
      <w:r>
        <w:t>第七章</w:t>
      </w:r>
      <w:r>
        <w:tab/>
      </w:r>
      <w:r>
        <w:t>环境经济损益分析</w:t>
      </w:r>
      <w:bookmarkEnd w:id="425"/>
    </w:p>
    <w:p>
      <w:pPr>
        <w:pStyle w:val="7"/>
        <w:spacing w:before="162" w:line="364" w:lineRule="auto"/>
        <w:ind w:right="485" w:firstLine="480"/>
        <w:jc w:val="both"/>
      </w:pPr>
      <w:r>
        <w:rPr>
          <w:spacing w:val="2"/>
        </w:rPr>
        <w:t>环境影响经济损益分析的主要任务是衡量项目的环保投资所能收到的环境</w:t>
      </w:r>
      <w:r>
        <w:rPr>
          <w:spacing w:val="1"/>
        </w:rPr>
        <w:t>效益和经济效益；建设项目应力争达到经济效益、社会效益、环境效益的统一，</w:t>
      </w:r>
      <w:r>
        <w:rPr>
          <w:spacing w:val="-6"/>
        </w:rPr>
        <w:t>这样可符合可持续发展的要求，实现经济的持续发展和环境质量的不断改善。本</w:t>
      </w:r>
      <w:r>
        <w:rPr>
          <w:spacing w:val="-7"/>
        </w:rPr>
        <w:t>项目属于畜牧养殖行业，其建设在一定程度上会给周围环境带来一些负面影响，</w:t>
      </w:r>
      <w:r>
        <w:rPr>
          <w:spacing w:val="-6"/>
        </w:rPr>
        <w:t>因此有必要进行经济效益、社会效益、环境效益的综合分析，使项目的建设论证</w:t>
      </w:r>
      <w:r>
        <w:rPr>
          <w:spacing w:val="-11"/>
        </w:rPr>
        <w:t>更加充分可靠，工程的设计和实施更加完善，以实现经济的持续增长、社会的良性发展和环境质量的保持与改善。</w:t>
      </w:r>
    </w:p>
    <w:p>
      <w:pPr>
        <w:pStyle w:val="4"/>
        <w:numPr>
          <w:ilvl w:val="1"/>
          <w:numId w:val="72"/>
        </w:numPr>
        <w:tabs>
          <w:tab w:val="left" w:pos="1100"/>
        </w:tabs>
        <w:spacing w:before="158" w:after="0" w:line="240" w:lineRule="auto"/>
        <w:ind w:left="1099" w:right="0" w:hanging="560"/>
        <w:jc w:val="left"/>
        <w:outlineLvl w:val="1"/>
      </w:pPr>
      <w:bookmarkStart w:id="426" w:name="_bookmark31"/>
      <w:bookmarkEnd w:id="426"/>
      <w:bookmarkStart w:id="427" w:name="_bookmark31"/>
      <w:bookmarkEnd w:id="427"/>
      <w:bookmarkStart w:id="428" w:name="7.1 经济效益分析"/>
      <w:bookmarkEnd w:id="428"/>
      <w:bookmarkStart w:id="429" w:name="_Toc3224"/>
      <w:r>
        <w:rPr>
          <w:w w:val="95"/>
        </w:rPr>
        <w:t>经济效益分析</w:t>
      </w:r>
      <w:bookmarkEnd w:id="429"/>
    </w:p>
    <w:p>
      <w:pPr>
        <w:pStyle w:val="7"/>
        <w:spacing w:before="5"/>
        <w:ind w:left="0"/>
        <w:rPr>
          <w:b/>
          <w:sz w:val="28"/>
        </w:rPr>
      </w:pPr>
    </w:p>
    <w:p>
      <w:pPr>
        <w:pStyle w:val="5"/>
        <w:numPr>
          <w:ilvl w:val="2"/>
          <w:numId w:val="72"/>
        </w:numPr>
        <w:tabs>
          <w:tab w:val="left" w:pos="1241"/>
        </w:tabs>
        <w:spacing w:before="0" w:after="0" w:line="240" w:lineRule="auto"/>
        <w:ind w:left="1240" w:right="0" w:hanging="701"/>
        <w:jc w:val="left"/>
        <w:outlineLvl w:val="2"/>
      </w:pPr>
      <w:bookmarkStart w:id="430" w:name="7.1.1 投资构成"/>
      <w:bookmarkEnd w:id="430"/>
      <w:bookmarkStart w:id="431" w:name="7.1.1 投资构成"/>
      <w:bookmarkEnd w:id="431"/>
      <w:bookmarkStart w:id="432" w:name="_Toc7950"/>
      <w:r>
        <w:t>投资构成</w:t>
      </w:r>
      <w:bookmarkEnd w:id="432"/>
    </w:p>
    <w:p>
      <w:pPr>
        <w:pStyle w:val="7"/>
        <w:spacing w:before="5"/>
        <w:ind w:left="0"/>
        <w:rPr>
          <w:b/>
          <w:sz w:val="21"/>
        </w:rPr>
      </w:pPr>
    </w:p>
    <w:p>
      <w:pPr>
        <w:pStyle w:val="17"/>
        <w:numPr>
          <w:ilvl w:val="3"/>
          <w:numId w:val="16"/>
        </w:numPr>
        <w:tabs>
          <w:tab w:val="left" w:pos="1621"/>
        </w:tabs>
        <w:spacing w:before="160" w:after="0" w:line="364" w:lineRule="auto"/>
        <w:ind w:left="540" w:right="457" w:firstLine="480"/>
        <w:jc w:val="both"/>
        <w:rPr>
          <w:color w:val="0000FF"/>
          <w:sz w:val="24"/>
        </w:rPr>
      </w:pPr>
      <w:r>
        <w:rPr>
          <w:rFonts w:hint="eastAsia" w:asciiTheme="minorEastAsia" w:hAnsiTheme="minorEastAsia" w:eastAsiaTheme="minorEastAsia" w:cstheme="minorEastAsia"/>
          <w:color w:val="0000FF"/>
          <w:spacing w:val="-7"/>
          <w:sz w:val="24"/>
          <w:szCs w:val="24"/>
        </w:rPr>
        <w:t>本项目建设投资由土建工程费、设备及工器具购置费、安装工程费、其它费</w:t>
      </w:r>
      <w:r>
        <w:rPr>
          <w:rFonts w:hint="eastAsia" w:asciiTheme="minorEastAsia" w:hAnsiTheme="minorEastAsia" w:eastAsiaTheme="minorEastAsia" w:cstheme="minorEastAsia"/>
          <w:color w:val="0000FF"/>
          <w:spacing w:val="-18"/>
          <w:sz w:val="24"/>
          <w:szCs w:val="24"/>
        </w:rPr>
        <w:t>用以及工程预备费等组成。</w:t>
      </w:r>
      <w:r>
        <w:rPr>
          <w:rFonts w:hint="eastAsia" w:asciiTheme="minorEastAsia" w:hAnsiTheme="minorEastAsia" w:eastAsiaTheme="minorEastAsia" w:cstheme="minorEastAsia"/>
          <w:color w:val="0000FF"/>
          <w:spacing w:val="-7"/>
          <w:sz w:val="24"/>
          <w:szCs w:val="24"/>
        </w:rPr>
        <w:t>项目总投资：本工程总投资</w:t>
      </w:r>
      <w:r>
        <w:rPr>
          <w:rFonts w:hint="eastAsia" w:asciiTheme="minorEastAsia" w:hAnsiTheme="minorEastAsia" w:eastAsiaTheme="minorEastAsia" w:cstheme="minorEastAsia"/>
          <w:color w:val="0000FF"/>
          <w:sz w:val="24"/>
          <w:szCs w:val="24"/>
          <w:lang w:val="en-US" w:eastAsia="zh-CN"/>
        </w:rPr>
        <w:t>3120.00</w:t>
      </w:r>
      <w:r>
        <w:rPr>
          <w:rFonts w:hint="eastAsia" w:asciiTheme="minorEastAsia" w:hAnsiTheme="minorEastAsia" w:eastAsiaTheme="minorEastAsia" w:cstheme="minorEastAsia"/>
          <w:color w:val="0000FF"/>
          <w:spacing w:val="-9"/>
          <w:sz w:val="24"/>
          <w:szCs w:val="24"/>
        </w:rPr>
        <w:t>万元，</w:t>
      </w:r>
      <w:r>
        <w:rPr>
          <w:color w:val="0000FF"/>
          <w:spacing w:val="-9"/>
          <w:sz w:val="24"/>
        </w:rPr>
        <w:t>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5"/>
        <w:numPr>
          <w:ilvl w:val="2"/>
          <w:numId w:val="72"/>
        </w:numPr>
        <w:tabs>
          <w:tab w:val="left" w:pos="1241"/>
        </w:tabs>
        <w:spacing w:before="117" w:after="0" w:line="240" w:lineRule="auto"/>
        <w:ind w:left="1240" w:right="0" w:hanging="701"/>
        <w:jc w:val="left"/>
        <w:outlineLvl w:val="2"/>
      </w:pPr>
      <w:bookmarkStart w:id="433" w:name="7.1.2 经济分析"/>
      <w:bookmarkEnd w:id="433"/>
      <w:bookmarkStart w:id="434" w:name="7.1.2 经济分析"/>
      <w:bookmarkEnd w:id="434"/>
      <w:bookmarkStart w:id="435" w:name="_Toc19194"/>
      <w:r>
        <w:t>经济分析</w:t>
      </w:r>
      <w:bookmarkEnd w:id="435"/>
    </w:p>
    <w:p>
      <w:pPr>
        <w:pStyle w:val="7"/>
        <w:spacing w:before="1"/>
        <w:ind w:left="0"/>
        <w:rPr>
          <w:b/>
          <w:sz w:val="22"/>
        </w:rPr>
      </w:pPr>
    </w:p>
    <w:p>
      <w:pPr>
        <w:pStyle w:val="17"/>
        <w:numPr>
          <w:ilvl w:val="3"/>
          <w:numId w:val="72"/>
        </w:numPr>
        <w:tabs>
          <w:tab w:val="left" w:pos="1320"/>
        </w:tabs>
        <w:spacing w:before="1" w:after="0" w:line="240" w:lineRule="auto"/>
        <w:ind w:left="1320" w:right="0" w:hanging="780"/>
        <w:jc w:val="left"/>
        <w:rPr>
          <w:sz w:val="24"/>
        </w:rPr>
      </w:pPr>
      <w:bookmarkStart w:id="436" w:name="7.1.2.1 总成本费用"/>
      <w:bookmarkEnd w:id="436"/>
      <w:bookmarkStart w:id="437" w:name="7.1.2.1 总成本费用"/>
      <w:bookmarkEnd w:id="437"/>
      <w:r>
        <w:rPr>
          <w:sz w:val="24"/>
        </w:rPr>
        <w:t>总成本费用</w:t>
      </w:r>
    </w:p>
    <w:p>
      <w:pPr>
        <w:pStyle w:val="17"/>
        <w:numPr>
          <w:ilvl w:val="4"/>
          <w:numId w:val="72"/>
        </w:numPr>
        <w:tabs>
          <w:tab w:val="left" w:pos="1621"/>
        </w:tabs>
        <w:spacing w:before="167" w:after="0" w:line="240" w:lineRule="auto"/>
        <w:ind w:left="1621" w:right="0" w:hanging="601"/>
        <w:jc w:val="left"/>
        <w:rPr>
          <w:sz w:val="24"/>
        </w:rPr>
      </w:pPr>
      <w:r>
        <w:rPr>
          <w:sz w:val="24"/>
        </w:rPr>
        <w:t>购置成本</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39" w:right="187" w:rightChars="85" w:firstLine="480" w:firstLineChars="200"/>
        <w:textAlignment w:val="auto"/>
        <w:rPr>
          <w:color w:val="0000FF"/>
        </w:rPr>
      </w:pPr>
      <w:r>
        <w:rPr>
          <w:color w:val="0000FF"/>
        </w:rPr>
        <w:t>引进繁育羊</w:t>
      </w:r>
      <w:r>
        <w:rPr>
          <w:rFonts w:hint="eastAsia" w:ascii="Times New Roman" w:eastAsia="宋体"/>
          <w:color w:val="0000FF"/>
          <w:lang w:val="en-US" w:eastAsia="zh-CN"/>
        </w:rPr>
        <w:t>9157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只，平均</w:t>
      </w:r>
      <w:r>
        <w:rPr>
          <w:rFonts w:hint="eastAsia" w:ascii="Times New Roman" w:eastAsia="宋体"/>
          <w:color w:val="0000FF"/>
          <w:lang w:val="en-US" w:eastAsia="zh-CN"/>
        </w:rPr>
        <w:t>1200</w:t>
      </w:r>
      <w:r>
        <w:rPr>
          <w:color w:val="0000FF"/>
        </w:rPr>
        <w:t>元</w:t>
      </w:r>
      <w:r>
        <w:rPr>
          <w:rFonts w:ascii="Times New Roman" w:eastAsia="Times New Roman"/>
          <w:color w:val="0000FF"/>
        </w:rPr>
        <w:t>/</w:t>
      </w:r>
      <w:r>
        <w:rPr>
          <w:color w:val="0000FF"/>
        </w:rPr>
        <w:t>只；</w:t>
      </w:r>
      <w:r>
        <w:rPr>
          <w:rFonts w:ascii="宋?" w:hAnsi="宋?" w:cs="宋?"/>
          <w:color w:val="0000FF"/>
          <w:kern w:val="0"/>
          <w:sz w:val="24"/>
          <w:szCs w:val="24"/>
        </w:rPr>
        <w:t>萨福克种公羊</w:t>
      </w:r>
      <w:r>
        <w:rPr>
          <w:rFonts w:hint="eastAsia" w:ascii="宋?" w:hAnsi="宋?" w:cs="宋?"/>
          <w:color w:val="0000FF"/>
          <w:kern w:val="0"/>
          <w:sz w:val="24"/>
          <w:szCs w:val="24"/>
          <w:lang w:val="en-US" w:eastAsia="zh-CN"/>
        </w:rPr>
        <w:t>20只</w:t>
      </w:r>
      <w:r>
        <w:rPr>
          <w:color w:val="0000FF"/>
        </w:rPr>
        <w:t>，平均</w:t>
      </w:r>
      <w:r>
        <w:rPr>
          <w:rFonts w:hint="eastAsia"/>
          <w:color w:val="0000FF"/>
          <w:lang w:val="en-US" w:eastAsia="zh-CN"/>
        </w:rPr>
        <w:t>75</w:t>
      </w:r>
      <w:r>
        <w:rPr>
          <w:rFonts w:ascii="Times New Roman" w:eastAsia="Times New Roman"/>
          <w:color w:val="0000FF"/>
        </w:rPr>
        <w:t>00</w:t>
      </w:r>
      <w:r>
        <w:rPr>
          <w:color w:val="0000FF"/>
        </w:rPr>
        <w:t>元</w:t>
      </w:r>
      <w:r>
        <w:rPr>
          <w:rFonts w:ascii="Times New Roman" w:eastAsia="Times New Roman"/>
          <w:color w:val="0000FF"/>
        </w:rPr>
        <w:t>/</w:t>
      </w:r>
      <w:r>
        <w:rPr>
          <w:color w:val="0000FF"/>
        </w:rPr>
        <w:t>只；</w:t>
      </w:r>
      <w:r>
        <w:rPr>
          <w:rFonts w:ascii="宋?" w:hAnsi="宋?" w:cs="宋?"/>
          <w:color w:val="0000FF"/>
          <w:kern w:val="0"/>
          <w:sz w:val="24"/>
          <w:szCs w:val="24"/>
        </w:rPr>
        <w:t>湖羊种公羊</w:t>
      </w:r>
      <w:r>
        <w:rPr>
          <w:rFonts w:hint="eastAsia" w:ascii="宋?" w:hAnsi="宋?" w:cs="宋?"/>
          <w:color w:val="0000FF"/>
          <w:kern w:val="0"/>
          <w:sz w:val="24"/>
          <w:szCs w:val="24"/>
          <w:lang w:val="en-US" w:eastAsia="zh-CN"/>
        </w:rPr>
        <w:t>20</w:t>
      </w:r>
      <w:r>
        <w:rPr>
          <w:color w:val="0000FF"/>
        </w:rPr>
        <w:t>只，平均</w:t>
      </w:r>
      <w:r>
        <w:rPr>
          <w:rFonts w:hint="eastAsia"/>
          <w:color w:val="0000FF"/>
          <w:lang w:val="en-US" w:eastAsia="zh-CN"/>
        </w:rPr>
        <w:t>5500</w:t>
      </w:r>
      <w:r>
        <w:rPr>
          <w:color w:val="0000FF"/>
        </w:rPr>
        <w:t>元</w:t>
      </w:r>
      <w:r>
        <w:rPr>
          <w:rFonts w:ascii="Times New Roman" w:eastAsia="Times New Roman"/>
          <w:color w:val="0000FF"/>
        </w:rPr>
        <w:t>/</w:t>
      </w:r>
      <w:r>
        <w:rPr>
          <w:color w:val="0000FF"/>
        </w:rPr>
        <w:t>只。需要投资</w:t>
      </w:r>
      <w:r>
        <w:rPr>
          <w:rFonts w:hint="eastAsia" w:ascii="Times New Roman" w:eastAsia="宋体"/>
          <w:color w:val="0000FF"/>
          <w:lang w:val="en-US" w:eastAsia="zh-CN"/>
        </w:rPr>
        <w:t>1120</w:t>
      </w:r>
      <w:r>
        <w:rPr>
          <w:color w:val="0000FF"/>
        </w:rPr>
        <w:t>万元。</w:t>
      </w:r>
    </w:p>
    <w:p>
      <w:pPr>
        <w:pStyle w:val="17"/>
        <w:numPr>
          <w:ilvl w:val="4"/>
          <w:numId w:val="72"/>
        </w:numPr>
        <w:tabs>
          <w:tab w:val="left" w:pos="1621"/>
        </w:tabs>
        <w:spacing w:before="160" w:after="0" w:line="240" w:lineRule="auto"/>
        <w:ind w:left="1621" w:right="0" w:hanging="601"/>
        <w:jc w:val="left"/>
        <w:rPr>
          <w:color w:val="0000FF"/>
          <w:sz w:val="24"/>
        </w:rPr>
      </w:pPr>
      <w:r>
        <w:rPr>
          <w:color w:val="0000FF"/>
          <w:sz w:val="24"/>
        </w:rPr>
        <w:t>养殖消耗</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567" w:right="220" w:rightChars="100" w:firstLine="448" w:firstLineChars="200"/>
        <w:jc w:val="both"/>
        <w:textAlignment w:val="auto"/>
        <w:rPr>
          <w:color w:val="0000FF"/>
        </w:rPr>
      </w:pPr>
      <w:r>
        <w:rPr>
          <w:color w:val="0000FF"/>
          <w:spacing w:val="-8"/>
        </w:rPr>
        <w:t>正常年出栏肉羊</w:t>
      </w:r>
      <w:r>
        <w:rPr>
          <w:rFonts w:ascii="Times New Roman" w:eastAsia="Times New Roman"/>
          <w:color w:val="0000FF"/>
        </w:rPr>
        <w:t>4</w:t>
      </w:r>
      <w:r>
        <w:rPr>
          <w:color w:val="0000FF"/>
          <w:spacing w:val="-5"/>
        </w:rPr>
        <w:t>万只，按粗饲料及青贮年用量</w:t>
      </w:r>
      <w:r>
        <w:rPr>
          <w:rFonts w:ascii="Times New Roman" w:eastAsia="Times New Roman"/>
          <w:color w:val="0000FF"/>
        </w:rPr>
        <w:t>600</w:t>
      </w:r>
      <w:r>
        <w:rPr>
          <w:color w:val="0000FF"/>
        </w:rPr>
        <w:t>公斤</w:t>
      </w:r>
      <w:r>
        <w:rPr>
          <w:rFonts w:ascii="Times New Roman" w:eastAsia="Times New Roman"/>
          <w:color w:val="0000FF"/>
        </w:rPr>
        <w:t>/</w:t>
      </w:r>
      <w:r>
        <w:rPr>
          <w:color w:val="0000FF"/>
        </w:rPr>
        <w:t>头量，混合精</w:t>
      </w:r>
      <w:r>
        <w:rPr>
          <w:color w:val="0000FF"/>
          <w:spacing w:val="-31"/>
        </w:rPr>
        <w:t>料</w:t>
      </w:r>
      <w:r>
        <w:rPr>
          <w:rFonts w:ascii="Times New Roman" w:eastAsia="Times New Roman"/>
          <w:color w:val="0000FF"/>
        </w:rPr>
        <w:t>70</w:t>
      </w:r>
      <w:r>
        <w:rPr>
          <w:color w:val="0000FF"/>
        </w:rPr>
        <w:t>公斤</w:t>
      </w:r>
      <w:r>
        <w:rPr>
          <w:rFonts w:ascii="Times New Roman" w:eastAsia="Times New Roman"/>
          <w:color w:val="0000FF"/>
        </w:rPr>
        <w:t>/</w:t>
      </w:r>
      <w:r>
        <w:rPr>
          <w:color w:val="0000FF"/>
          <w:spacing w:val="-12"/>
        </w:rPr>
        <w:t>头量，青贮单价</w:t>
      </w:r>
      <w:r>
        <w:rPr>
          <w:rFonts w:ascii="Times New Roman" w:eastAsia="Times New Roman"/>
          <w:color w:val="0000FF"/>
        </w:rPr>
        <w:t>0.3</w:t>
      </w:r>
      <w:r>
        <w:rPr>
          <w:color w:val="0000FF"/>
        </w:rPr>
        <w:t>元</w:t>
      </w:r>
      <w:r>
        <w:rPr>
          <w:rFonts w:ascii="Times New Roman" w:eastAsia="Times New Roman"/>
          <w:color w:val="0000FF"/>
        </w:rPr>
        <w:t>/</w:t>
      </w:r>
      <w:r>
        <w:rPr>
          <w:color w:val="0000FF"/>
          <w:spacing w:val="-12"/>
        </w:rPr>
        <w:t>公斤，精料单价</w:t>
      </w:r>
      <w:r>
        <w:rPr>
          <w:rFonts w:ascii="Times New Roman" w:eastAsia="Times New Roman"/>
          <w:color w:val="0000FF"/>
        </w:rPr>
        <w:t>2.0</w:t>
      </w:r>
      <w:r>
        <w:rPr>
          <w:color w:val="0000FF"/>
        </w:rPr>
        <w:t>元</w:t>
      </w:r>
      <w:r>
        <w:rPr>
          <w:rFonts w:ascii="Times New Roman" w:eastAsia="Times New Roman"/>
          <w:color w:val="0000FF"/>
        </w:rPr>
        <w:t>/</w:t>
      </w:r>
      <w:r>
        <w:rPr>
          <w:color w:val="0000FF"/>
          <w:spacing w:val="-4"/>
        </w:rPr>
        <w:t>公斤，则共计需要费用</w:t>
      </w:r>
      <w:r>
        <w:rPr>
          <w:rFonts w:hint="eastAsia" w:ascii="Times New Roman" w:eastAsia="宋体"/>
          <w:color w:val="0000FF"/>
          <w:lang w:val="en-US" w:eastAsia="zh-CN"/>
        </w:rPr>
        <w:t>1280</w:t>
      </w:r>
      <w:r>
        <w:rPr>
          <w:color w:val="0000FF"/>
        </w:rPr>
        <w:t>万元。</w:t>
      </w:r>
    </w:p>
    <w:p>
      <w:pPr>
        <w:pStyle w:val="17"/>
        <w:numPr>
          <w:ilvl w:val="4"/>
          <w:numId w:val="72"/>
        </w:numPr>
        <w:tabs>
          <w:tab w:val="left" w:pos="1621"/>
        </w:tabs>
        <w:spacing w:before="160" w:after="0" w:line="240" w:lineRule="auto"/>
        <w:ind w:left="1621" w:right="0" w:hanging="601"/>
        <w:jc w:val="left"/>
        <w:rPr>
          <w:sz w:val="24"/>
        </w:rPr>
      </w:pPr>
      <w:r>
        <w:rPr>
          <w:sz w:val="24"/>
        </w:rPr>
        <w:t>工资费用</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养殖人员工资按每月</w:t>
      </w:r>
      <w:r>
        <w:rPr>
          <w:rFonts w:ascii="Times New Roman" w:hAnsi="Times New Roman" w:eastAsia="Times New Roman"/>
        </w:rPr>
        <w:t>3500</w:t>
      </w:r>
      <w:r>
        <w:t>元计算，则养殖员工每个养殖期段工资为</w:t>
      </w:r>
      <w:r>
        <w:rPr>
          <w:rFonts w:ascii="Times New Roman" w:hAnsi="Times New Roman" w:eastAsia="Times New Roman"/>
        </w:rPr>
        <w:t>3500</w:t>
      </w:r>
      <w:r>
        <w:t>×</w:t>
      </w:r>
    </w:p>
    <w:p>
      <w:pPr>
        <w:pStyle w:val="7"/>
        <w:spacing w:before="160"/>
      </w:pPr>
      <w:r>
        <w:rPr>
          <w:rFonts w:ascii="Times New Roman" w:hAnsi="Times New Roman" w:eastAsia="Times New Roman"/>
        </w:rPr>
        <w:t>12</w:t>
      </w:r>
      <w:r>
        <w:t>×</w:t>
      </w:r>
      <w:r>
        <w:rPr>
          <w:rFonts w:ascii="Times New Roman" w:hAnsi="Times New Roman" w:eastAsia="Times New Roman"/>
        </w:rPr>
        <w:t>30=126</w:t>
      </w:r>
      <w:r>
        <w:t>万元。</w:t>
      </w:r>
    </w:p>
    <w:p>
      <w:pPr>
        <w:pStyle w:val="17"/>
        <w:numPr>
          <w:ilvl w:val="4"/>
          <w:numId w:val="72"/>
        </w:numPr>
        <w:tabs>
          <w:tab w:val="left" w:pos="1621"/>
        </w:tabs>
        <w:spacing w:before="161" w:after="0" w:line="240" w:lineRule="auto"/>
        <w:ind w:left="1621" w:right="0" w:hanging="601"/>
        <w:jc w:val="left"/>
        <w:rPr>
          <w:sz w:val="24"/>
        </w:rPr>
      </w:pPr>
      <w:r>
        <w:rPr>
          <w:sz w:val="24"/>
        </w:rPr>
        <w:t>其他费用</w:t>
      </w:r>
    </w:p>
    <w:p>
      <w:pPr>
        <w:pStyle w:val="7"/>
        <w:spacing w:before="160" w:line="364" w:lineRule="auto"/>
        <w:ind w:right="577" w:firstLine="480"/>
      </w:pPr>
      <w:r>
        <w:rPr>
          <w:rFonts w:hint="eastAsia"/>
          <w:spacing w:val="-6"/>
          <w:lang w:val="en-US" w:eastAsia="zh-CN"/>
        </w:rPr>
        <w:t>1.</w:t>
      </w:r>
      <w:r>
        <w:rPr>
          <w:spacing w:val="-6"/>
        </w:rPr>
        <w:t>燃料及动力：本项目能源消耗主要为电力，预计本工程年耗电</w:t>
      </w:r>
      <w:r>
        <w:rPr>
          <w:rFonts w:ascii="Times New Roman" w:hAnsi="Times New Roman" w:eastAsia="Times New Roman"/>
        </w:rPr>
        <w:t>126.50</w:t>
      </w:r>
      <w:r>
        <w:rPr>
          <w:spacing w:val="-16"/>
        </w:rPr>
        <w:t>万</w:t>
      </w:r>
      <w:r>
        <w:rPr>
          <w:spacing w:val="-5"/>
        </w:rPr>
        <w:t>度，电价采用当地用电标准</w:t>
      </w:r>
      <w:r>
        <w:rPr>
          <w:rFonts w:ascii="Times New Roman" w:hAnsi="Times New Roman" w:eastAsia="Times New Roman"/>
        </w:rPr>
        <w:t>0.50</w:t>
      </w:r>
      <w:r>
        <w:t>元</w:t>
      </w:r>
      <w:r>
        <w:rPr>
          <w:rFonts w:ascii="Times New Roman" w:hAnsi="Times New Roman" w:eastAsia="Times New Roman"/>
        </w:rPr>
        <w:t>/</w:t>
      </w:r>
      <w:r>
        <w:rPr>
          <w:spacing w:val="-9"/>
        </w:rPr>
        <w:t>度，年费用为</w:t>
      </w:r>
      <w:r>
        <w:rPr>
          <w:rFonts w:ascii="Times New Roman" w:hAnsi="Times New Roman" w:eastAsia="Times New Roman"/>
        </w:rPr>
        <w:t>63.25</w:t>
      </w:r>
      <w:r>
        <w:t>万元。</w:t>
      </w:r>
    </w:p>
    <w:p>
      <w:pPr>
        <w:pStyle w:val="7"/>
        <w:spacing w:before="1"/>
        <w:ind w:left="1020"/>
      </w:pPr>
      <w:r>
        <w:rPr>
          <w:rFonts w:hint="eastAsia"/>
          <w:lang w:val="en-US" w:eastAsia="zh-CN"/>
        </w:rPr>
        <w:t>2.</w:t>
      </w:r>
      <w:r>
        <w:t>折旧费：本项目固定资产折旧采用平均年限法计算折旧，预计净残值取</w:t>
      </w:r>
    </w:p>
    <w:p>
      <w:pPr>
        <w:pStyle w:val="7"/>
        <w:spacing w:before="161"/>
      </w:pPr>
      <w:r>
        <w:rPr>
          <w:rFonts w:ascii="Times New Roman" w:eastAsia="Times New Roman"/>
        </w:rPr>
        <w:t>5</w:t>
      </w:r>
      <w:r>
        <w:rPr>
          <w:spacing w:val="-5"/>
        </w:rPr>
        <w:t>％，建筑工程折旧年限为</w:t>
      </w:r>
      <w:r>
        <w:rPr>
          <w:rFonts w:ascii="Times New Roman" w:eastAsia="Times New Roman"/>
        </w:rPr>
        <w:t>15</w:t>
      </w:r>
      <w:r>
        <w:rPr>
          <w:spacing w:val="-4"/>
        </w:rPr>
        <w:t>年，设备及其他工程折旧年限为</w:t>
      </w:r>
      <w:r>
        <w:rPr>
          <w:rFonts w:ascii="Times New Roman" w:eastAsia="Times New Roman"/>
        </w:rPr>
        <w:t>10</w:t>
      </w:r>
      <w:r>
        <w:t>年，则到建设</w:t>
      </w:r>
    </w:p>
    <w:p>
      <w:pPr>
        <w:pStyle w:val="7"/>
        <w:spacing w:before="160"/>
      </w:pPr>
      <w:r>
        <w:t>期末，年折旧费合计</w:t>
      </w:r>
      <w:r>
        <w:rPr>
          <w:rFonts w:hint="eastAsia" w:ascii="Times New Roman" w:eastAsia="宋体"/>
          <w:lang w:val="en-US" w:eastAsia="zh-CN"/>
        </w:rPr>
        <w:t>156</w:t>
      </w:r>
      <w:r>
        <w:t>万元。</w:t>
      </w:r>
    </w:p>
    <w:p>
      <w:pPr>
        <w:pStyle w:val="7"/>
        <w:spacing w:before="161"/>
        <w:ind w:left="1020"/>
        <w:rPr>
          <w:rFonts w:hint="default" w:ascii="Times New Roman" w:hAnsi="Times New Roman" w:eastAsia="宋体"/>
          <w:lang w:val="en-US" w:eastAsia="zh-CN"/>
        </w:rPr>
      </w:pPr>
      <w:r>
        <w:rPr>
          <w:rFonts w:hint="eastAsia"/>
          <w:lang w:val="en-US" w:eastAsia="zh-CN"/>
        </w:rPr>
        <w:t>3.</w:t>
      </w:r>
      <w:r>
        <w:t>大修理费及维修费：按固定资产投资的</w:t>
      </w:r>
      <w:r>
        <w:rPr>
          <w:rFonts w:ascii="Times New Roman" w:hAnsi="Times New Roman" w:eastAsia="Times New Roman"/>
        </w:rPr>
        <w:t>3.5%</w:t>
      </w:r>
      <w:r>
        <w:t>计算，大修理费用为</w:t>
      </w:r>
      <w:r>
        <w:rPr>
          <w:rFonts w:hint="eastAsia" w:ascii="Times New Roman" w:hAnsi="Times New Roman" w:eastAsia="宋体"/>
          <w:lang w:val="en-US" w:eastAsia="zh-CN"/>
        </w:rPr>
        <w:t>109.2</w:t>
      </w:r>
    </w:p>
    <w:p>
      <w:pPr>
        <w:pStyle w:val="7"/>
        <w:spacing w:before="160"/>
      </w:pPr>
      <w:r>
        <w:t>元。</w:t>
      </w:r>
    </w:p>
    <w:p>
      <w:pPr>
        <w:pStyle w:val="7"/>
        <w:spacing w:before="160"/>
        <w:ind w:left="1020"/>
        <w:rPr>
          <w:rFonts w:hint="default" w:ascii="Times New Roman" w:hAnsi="Times New Roman" w:eastAsia="宋体"/>
          <w:lang w:val="en-US" w:eastAsia="zh-CN"/>
        </w:rPr>
      </w:pPr>
      <w:r>
        <w:rPr>
          <w:rFonts w:hint="eastAsia"/>
          <w:lang w:val="en-US" w:eastAsia="zh-CN"/>
        </w:rPr>
        <w:t>4.</w:t>
      </w:r>
      <w:r>
        <w:t>销售费用：根据国家有关规定，销售费用按销售收入的</w:t>
      </w:r>
      <w:r>
        <w:rPr>
          <w:rFonts w:ascii="Times New Roman" w:hAnsi="Times New Roman" w:eastAsia="Times New Roman"/>
        </w:rPr>
        <w:t>5%</w:t>
      </w:r>
      <w:r>
        <w:t>计算为</w:t>
      </w:r>
      <w:r>
        <w:rPr>
          <w:rFonts w:hint="eastAsia" w:ascii="Times New Roman" w:hAnsi="Times New Roman" w:eastAsia="宋体"/>
          <w:lang w:val="en-US" w:eastAsia="zh-CN"/>
        </w:rPr>
        <w:t>290</w:t>
      </w:r>
    </w:p>
    <w:p>
      <w:pPr>
        <w:pStyle w:val="7"/>
        <w:spacing w:before="161"/>
      </w:pPr>
      <w:r>
        <w:t>万元。</w:t>
      </w:r>
    </w:p>
    <w:p>
      <w:pPr>
        <w:pStyle w:val="7"/>
        <w:spacing w:before="160"/>
        <w:ind w:left="1020"/>
        <w:rPr>
          <w:rFonts w:ascii="Times New Roman" w:hAnsi="Times New Roman" w:eastAsia="Times New Roman"/>
        </w:rPr>
      </w:pPr>
      <w:r>
        <w:rPr>
          <w:rFonts w:hint="eastAsia"/>
          <w:lang w:val="en-US" w:eastAsia="zh-CN"/>
        </w:rPr>
        <w:t>5.</w:t>
      </w:r>
      <w:r>
        <w:t>管理费用：根据国家有关规定和实际情况，管理费按生产成本费用的</w:t>
      </w:r>
      <w:r>
        <w:rPr>
          <w:rFonts w:ascii="Times New Roman" w:hAnsi="Times New Roman" w:eastAsia="Times New Roman"/>
        </w:rPr>
        <w:t>10%</w:t>
      </w:r>
    </w:p>
    <w:p>
      <w:pPr>
        <w:pStyle w:val="7"/>
        <w:spacing w:before="161"/>
      </w:pPr>
      <w:r>
        <w:t>计算，为</w:t>
      </w:r>
      <w:r>
        <w:rPr>
          <w:rFonts w:hint="eastAsia" w:ascii="Times New Roman" w:eastAsia="宋体"/>
          <w:lang w:val="en-US" w:eastAsia="zh-CN"/>
        </w:rPr>
        <w:t>112</w:t>
      </w:r>
      <w:r>
        <w:t>万元。</w:t>
      </w:r>
    </w:p>
    <w:p>
      <w:pPr>
        <w:pStyle w:val="7"/>
        <w:spacing w:before="160"/>
        <w:ind w:left="1020"/>
      </w:pPr>
      <w:r>
        <w:t>以上各项合计为项目总成本费用</w:t>
      </w:r>
      <w:r>
        <w:rPr>
          <w:rFonts w:hint="eastAsia"/>
          <w:lang w:val="en-US" w:eastAsia="zh-CN"/>
        </w:rPr>
        <w:t>3247.4</w:t>
      </w:r>
      <w:r>
        <w:t>万元。</w:t>
      </w:r>
    </w:p>
    <w:p>
      <w:pPr>
        <w:pStyle w:val="17"/>
        <w:numPr>
          <w:ilvl w:val="3"/>
          <w:numId w:val="72"/>
        </w:numPr>
        <w:tabs>
          <w:tab w:val="left" w:pos="1320"/>
        </w:tabs>
        <w:spacing w:before="171" w:after="0" w:line="240" w:lineRule="auto"/>
        <w:ind w:left="1320" w:right="0" w:hanging="780"/>
        <w:jc w:val="left"/>
        <w:rPr>
          <w:sz w:val="24"/>
        </w:rPr>
      </w:pPr>
      <w:bookmarkStart w:id="438" w:name="7.1.2.2 销售收入"/>
      <w:bookmarkEnd w:id="438"/>
      <w:bookmarkStart w:id="439" w:name="7.1.2.2 销售收入"/>
      <w:bookmarkEnd w:id="439"/>
      <w:r>
        <w:rPr>
          <w:sz w:val="24"/>
        </w:rPr>
        <w:t>销售收入</w:t>
      </w:r>
    </w:p>
    <w:p>
      <w:pPr>
        <w:pStyle w:val="7"/>
        <w:spacing w:before="167" w:line="364" w:lineRule="auto"/>
        <w:ind w:right="577" w:firstLine="480"/>
      </w:pPr>
      <w:r>
        <w:rPr>
          <w:spacing w:val="-5"/>
        </w:rPr>
        <w:t>本项目产品的销售价格参照近几年市场上同类产品的销售平均价格、目前的</w:t>
      </w:r>
      <w:r>
        <w:t>市场价格及当地目前的实际销售价格测算。</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482" w:right="187" w:rightChars="85" w:firstLine="480" w:firstLineChars="200"/>
        <w:textAlignment w:val="auto"/>
        <w:rPr>
          <w:color w:val="0000FF"/>
        </w:rPr>
      </w:pPr>
      <w:r>
        <w:rPr>
          <w:color w:val="0000FF"/>
        </w:rPr>
        <w:t>项目建成后可实现年标准肉羊出栏量</w:t>
      </w:r>
      <w:r>
        <w:rPr>
          <w:rFonts w:hint="eastAsia" w:ascii="Times New Roman" w:eastAsia="宋体"/>
          <w:color w:val="0000FF"/>
          <w:lang w:val="en-US" w:eastAsia="zh-CN"/>
        </w:rPr>
        <w:t>4</w:t>
      </w:r>
      <w:r>
        <w:rPr>
          <w:color w:val="0000FF"/>
        </w:rPr>
        <w:t>万只（</w:t>
      </w:r>
      <w:r>
        <w:rPr>
          <w:rFonts w:ascii="Times New Roman" w:eastAsia="Times New Roman"/>
          <w:color w:val="0000FF"/>
        </w:rPr>
        <w:t>100%</w:t>
      </w:r>
      <w:r>
        <w:rPr>
          <w:color w:val="0000FF"/>
        </w:rPr>
        <w:t>计），按死淘率</w:t>
      </w:r>
      <w:r>
        <w:rPr>
          <w:rFonts w:ascii="Times New Roman" w:eastAsia="Times New Roman"/>
          <w:color w:val="0000FF"/>
        </w:rPr>
        <w:t>10%</w:t>
      </w:r>
      <w:r>
        <w:rPr>
          <w:color w:val="0000FF"/>
        </w:rPr>
        <w:t>计算，年出售</w:t>
      </w:r>
      <w:r>
        <w:rPr>
          <w:rFonts w:hint="eastAsia" w:ascii="Times New Roman" w:eastAsia="宋体"/>
          <w:color w:val="0000FF"/>
          <w:lang w:val="en-US" w:eastAsia="zh-CN"/>
        </w:rPr>
        <w:t>3.</w:t>
      </w:r>
      <w:r>
        <w:rPr>
          <w:rFonts w:ascii="Times New Roman" w:eastAsia="Times New Roman"/>
          <w:color w:val="0000FF"/>
        </w:rPr>
        <w:t>6</w:t>
      </w:r>
      <w:r>
        <w:rPr>
          <w:color w:val="0000FF"/>
        </w:rPr>
        <w:t>万只标准化肉羊，每只羊售价</w:t>
      </w:r>
      <w:r>
        <w:rPr>
          <w:rFonts w:ascii="Times New Roman" w:eastAsia="Times New Roman"/>
          <w:color w:val="0000FF"/>
        </w:rPr>
        <w:t>1500</w:t>
      </w:r>
      <w:r>
        <w:rPr>
          <w:color w:val="0000FF"/>
        </w:rPr>
        <w:t>元，年销售收入</w:t>
      </w:r>
      <w:r>
        <w:rPr>
          <w:rFonts w:hint="eastAsia" w:ascii="Times New Roman" w:eastAsia="宋体"/>
          <w:color w:val="0000FF"/>
          <w:lang w:val="en-US" w:eastAsia="zh-CN"/>
        </w:rPr>
        <w:t>5400</w:t>
      </w:r>
      <w:r>
        <w:rPr>
          <w:color w:val="0000FF"/>
        </w:rPr>
        <w:t>万元。羊粪每只羊</w:t>
      </w:r>
      <w:r>
        <w:rPr>
          <w:rFonts w:ascii="Times New Roman" w:eastAsia="Times New Roman"/>
          <w:color w:val="0000FF"/>
        </w:rPr>
        <w:t>10</w:t>
      </w:r>
      <w:r>
        <w:rPr>
          <w:color w:val="0000FF"/>
        </w:rPr>
        <w:t>元</w:t>
      </w:r>
      <w:r>
        <w:rPr>
          <w:rFonts w:ascii="Times New Roman" w:eastAsia="Times New Roman"/>
          <w:color w:val="0000FF"/>
        </w:rPr>
        <w:t>/</w:t>
      </w:r>
      <w:r>
        <w:rPr>
          <w:color w:val="0000FF"/>
        </w:rPr>
        <w:t>只，可收入</w:t>
      </w:r>
      <w:r>
        <w:rPr>
          <w:rFonts w:hint="eastAsia"/>
          <w:color w:val="0000FF"/>
          <w:lang w:val="en-US" w:eastAsia="zh-CN"/>
        </w:rPr>
        <w:t>400</w:t>
      </w:r>
      <w:r>
        <w:rPr>
          <w:color w:val="0000FF"/>
        </w:rPr>
        <w:t>万元。正常年共计销售收入</w:t>
      </w:r>
      <w:r>
        <w:rPr>
          <w:rFonts w:hint="eastAsia" w:ascii="Times New Roman" w:eastAsia="宋体"/>
          <w:color w:val="0000FF"/>
          <w:lang w:val="en-US" w:eastAsia="zh-CN"/>
        </w:rPr>
        <w:t>5800</w:t>
      </w:r>
      <w:r>
        <w:rPr>
          <w:color w:val="0000FF"/>
        </w:rPr>
        <w:t>万元。</w:t>
      </w:r>
    </w:p>
    <w:p>
      <w:pPr>
        <w:pStyle w:val="7"/>
        <w:spacing w:before="160"/>
        <w:ind w:left="1020"/>
      </w:pPr>
      <w:r>
        <w:t>通过以上分析，本项目经济效益十分显著，项目属于完全可行的范畴。</w:t>
      </w:r>
    </w:p>
    <w:p>
      <w:pPr>
        <w:pStyle w:val="7"/>
        <w:spacing w:before="4"/>
        <w:ind w:left="0"/>
      </w:pPr>
    </w:p>
    <w:p>
      <w:pPr>
        <w:pStyle w:val="4"/>
        <w:numPr>
          <w:ilvl w:val="1"/>
          <w:numId w:val="73"/>
        </w:numPr>
        <w:tabs>
          <w:tab w:val="left" w:pos="1100"/>
        </w:tabs>
        <w:spacing w:before="0" w:after="0" w:line="240" w:lineRule="auto"/>
        <w:ind w:left="1099" w:right="0" w:hanging="560"/>
        <w:jc w:val="left"/>
        <w:outlineLvl w:val="1"/>
      </w:pPr>
      <w:bookmarkStart w:id="440" w:name="_bookmark32"/>
      <w:bookmarkEnd w:id="440"/>
      <w:bookmarkStart w:id="441" w:name="_bookmark32"/>
      <w:bookmarkEnd w:id="441"/>
      <w:bookmarkStart w:id="442" w:name="7.2 社会效益分析"/>
      <w:bookmarkEnd w:id="442"/>
      <w:bookmarkStart w:id="443" w:name="_Toc10488"/>
      <w:r>
        <w:t>社会效益分析</w:t>
      </w:r>
      <w:bookmarkEnd w:id="443"/>
    </w:p>
    <w:p>
      <w:pPr>
        <w:pStyle w:val="7"/>
        <w:spacing w:before="5"/>
        <w:ind w:left="0"/>
        <w:rPr>
          <w:b/>
        </w:rPr>
      </w:pPr>
    </w:p>
    <w:p>
      <w:pPr>
        <w:pStyle w:val="7"/>
        <w:spacing w:before="1"/>
        <w:ind w:left="1020"/>
      </w:pPr>
      <w:r>
        <w:t>本项目的社会效益主要体现在以下几个方面：</w:t>
      </w:r>
    </w:p>
    <w:p>
      <w:pPr>
        <w:pStyle w:val="7"/>
        <w:spacing w:before="143" w:line="364" w:lineRule="auto"/>
        <w:ind w:right="577" w:firstLine="456" w:firstLineChars="200"/>
        <w:jc w:val="both"/>
        <w:rPr>
          <w:color w:val="0000FF"/>
        </w:rPr>
      </w:pPr>
      <w:bookmarkStart w:id="602" w:name="_GoBack"/>
      <w:bookmarkEnd w:id="602"/>
      <w:r>
        <w:rPr>
          <w:color w:val="0000FF"/>
          <w:spacing w:val="-6"/>
          <w:sz w:val="24"/>
        </w:rPr>
        <w:t>项目的建设，充分发挥了资源优势，每年可为社会提供</w:t>
      </w:r>
      <w:r>
        <w:rPr>
          <w:rFonts w:hint="eastAsia"/>
          <w:color w:val="0000FF"/>
          <w:spacing w:val="-6"/>
          <w:sz w:val="24"/>
          <w:lang w:val="en-US" w:eastAsia="zh-CN"/>
        </w:rPr>
        <w:t>4</w:t>
      </w:r>
      <w:r>
        <w:rPr>
          <w:color w:val="0000FF"/>
          <w:spacing w:val="-5"/>
          <w:sz w:val="24"/>
        </w:rPr>
        <w:t>万只商品</w:t>
      </w:r>
      <w:r>
        <w:rPr>
          <w:color w:val="0000FF"/>
          <w:spacing w:val="-9"/>
          <w:sz w:val="24"/>
        </w:rPr>
        <w:t>羊，为促进当地农副食品产业发挥一定作用。同时，由经济效益分析可见，本项目的建成投产，具有良好的经济效益，这样一方面可为国家带来一定的利税，另</w:t>
      </w:r>
      <w:r>
        <w:rPr>
          <w:color w:val="0000FF"/>
          <w:spacing w:val="-10"/>
        </w:rPr>
        <w:t>一方面，也可带动当地相关企业的发展，促进地区经济的活跃，为当地带来新的</w:t>
      </w:r>
      <w:r>
        <w:rPr>
          <w:color w:val="0000FF"/>
        </w:rPr>
        <w:t>经济增长点。</w:t>
      </w:r>
    </w:p>
    <w:p>
      <w:pPr>
        <w:pStyle w:val="17"/>
        <w:numPr>
          <w:ilvl w:val="2"/>
          <w:numId w:val="73"/>
        </w:numPr>
        <w:tabs>
          <w:tab w:val="left" w:pos="1621"/>
        </w:tabs>
        <w:spacing w:before="1" w:after="0" w:line="364" w:lineRule="auto"/>
        <w:ind w:left="540" w:right="580" w:firstLine="480"/>
        <w:jc w:val="left"/>
        <w:rPr>
          <w:sz w:val="24"/>
        </w:rPr>
      </w:pPr>
      <w:r>
        <w:rPr>
          <w:spacing w:val="-1"/>
          <w:sz w:val="24"/>
        </w:rPr>
        <w:t>项目的实施，调整了种植业结构，加大农业综合开发利用的力度，将</w:t>
      </w:r>
      <w:r>
        <w:rPr>
          <w:sz w:val="24"/>
        </w:rPr>
        <w:t>现有的资源优势转化为产业优势，提高了土地的产出效益。</w:t>
      </w:r>
    </w:p>
    <w:p>
      <w:pPr>
        <w:pStyle w:val="17"/>
        <w:numPr>
          <w:ilvl w:val="2"/>
          <w:numId w:val="73"/>
        </w:numPr>
        <w:tabs>
          <w:tab w:val="left" w:pos="1621"/>
        </w:tabs>
        <w:spacing w:before="1" w:after="0" w:line="364" w:lineRule="auto"/>
        <w:ind w:left="540" w:right="577" w:firstLine="480"/>
        <w:jc w:val="both"/>
        <w:rPr>
          <w:sz w:val="24"/>
        </w:rPr>
      </w:pPr>
      <w:r>
        <w:rPr>
          <w:spacing w:val="-1"/>
          <w:sz w:val="24"/>
        </w:rPr>
        <w:t>本项目未来的标准化、规模化建设将形成农村能源产业，由此所需的</w:t>
      </w:r>
      <w:r>
        <w:rPr>
          <w:spacing w:val="-10"/>
          <w:sz w:val="24"/>
        </w:rPr>
        <w:t>技术、管理队伍可就地吸纳农村剩余劳动力，有利于维护农村社会稳定，对提高</w:t>
      </w:r>
      <w:r>
        <w:rPr>
          <w:sz w:val="24"/>
        </w:rPr>
        <w:t>人民生活水平起到积极作用。</w:t>
      </w:r>
    </w:p>
    <w:p>
      <w:pPr>
        <w:pStyle w:val="17"/>
        <w:numPr>
          <w:ilvl w:val="2"/>
          <w:numId w:val="73"/>
        </w:numPr>
        <w:tabs>
          <w:tab w:val="left" w:pos="1621"/>
        </w:tabs>
        <w:spacing w:before="2" w:after="0" w:line="364" w:lineRule="auto"/>
        <w:ind w:left="540" w:right="577" w:firstLine="480"/>
        <w:jc w:val="both"/>
        <w:rPr>
          <w:sz w:val="24"/>
        </w:rPr>
      </w:pPr>
      <w:r>
        <w:rPr>
          <w:spacing w:val="-1"/>
          <w:sz w:val="24"/>
        </w:rPr>
        <w:t>项目的建设可拉动周边畜禽养殖业、肉制品加工业、饲料加工业等行</w:t>
      </w:r>
      <w:r>
        <w:rPr>
          <w:spacing w:val="-9"/>
          <w:sz w:val="24"/>
        </w:rPr>
        <w:t>业的快速发展，同时为周围种植业提供了大量优质有机肥，降低了化肥、农药在</w:t>
      </w:r>
      <w:r>
        <w:rPr>
          <w:spacing w:val="-8"/>
          <w:sz w:val="24"/>
        </w:rPr>
        <w:t>农产品生产中的使用量，为无公害农产品生产提供了有利条件，有利于促进周围</w:t>
      </w:r>
      <w:r>
        <w:rPr>
          <w:sz w:val="24"/>
        </w:rPr>
        <w:t>农村产业结构调整。</w:t>
      </w:r>
    </w:p>
    <w:p>
      <w:pPr>
        <w:pStyle w:val="17"/>
        <w:numPr>
          <w:ilvl w:val="2"/>
          <w:numId w:val="73"/>
        </w:numPr>
        <w:tabs>
          <w:tab w:val="left" w:pos="1621"/>
        </w:tabs>
        <w:spacing w:before="2" w:after="0" w:line="364" w:lineRule="auto"/>
        <w:ind w:left="540" w:right="580" w:firstLine="480"/>
        <w:jc w:val="left"/>
        <w:rPr>
          <w:sz w:val="24"/>
        </w:rPr>
      </w:pPr>
      <w:r>
        <w:rPr>
          <w:spacing w:val="-1"/>
          <w:sz w:val="24"/>
        </w:rPr>
        <w:t>项目投产后，可增加当地财政收入，提高当地社会经济发展水平，对</w:t>
      </w:r>
      <w:r>
        <w:rPr>
          <w:sz w:val="24"/>
        </w:rPr>
        <w:t>区域社会稳定发挥了较强作用。</w:t>
      </w:r>
    </w:p>
    <w:p>
      <w:pPr>
        <w:pStyle w:val="7"/>
        <w:spacing w:before="2"/>
        <w:ind w:left="1020"/>
      </w:pPr>
      <w:r>
        <w:t>由此可见，本工程的社会效益正大于负，正效益显著。</w:t>
      </w:r>
    </w:p>
    <w:p>
      <w:pPr>
        <w:pStyle w:val="7"/>
        <w:spacing w:before="5"/>
        <w:ind w:left="0"/>
      </w:pPr>
    </w:p>
    <w:p>
      <w:pPr>
        <w:pStyle w:val="4"/>
        <w:numPr>
          <w:ilvl w:val="1"/>
          <w:numId w:val="73"/>
        </w:numPr>
        <w:tabs>
          <w:tab w:val="left" w:pos="1100"/>
        </w:tabs>
        <w:spacing w:before="0" w:after="0" w:line="240" w:lineRule="auto"/>
        <w:ind w:left="1099" w:right="0" w:hanging="560"/>
        <w:jc w:val="left"/>
        <w:outlineLvl w:val="1"/>
      </w:pPr>
      <w:bookmarkStart w:id="444" w:name="_bookmark33"/>
      <w:bookmarkEnd w:id="444"/>
      <w:bookmarkStart w:id="445" w:name="7.3 环境效益分析"/>
      <w:bookmarkEnd w:id="445"/>
      <w:bookmarkStart w:id="446" w:name="_bookmark33"/>
      <w:bookmarkEnd w:id="446"/>
      <w:bookmarkStart w:id="447" w:name="_Toc1703"/>
      <w:r>
        <w:t>环境效益分析</w:t>
      </w:r>
      <w:bookmarkEnd w:id="447"/>
    </w:p>
    <w:p>
      <w:pPr>
        <w:pStyle w:val="7"/>
        <w:spacing w:before="6"/>
        <w:ind w:left="0"/>
        <w:rPr>
          <w:b/>
          <w:sz w:val="28"/>
        </w:rPr>
      </w:pPr>
    </w:p>
    <w:p>
      <w:pPr>
        <w:pStyle w:val="5"/>
        <w:numPr>
          <w:ilvl w:val="2"/>
          <w:numId w:val="74"/>
        </w:numPr>
        <w:tabs>
          <w:tab w:val="left" w:pos="1241"/>
        </w:tabs>
        <w:spacing w:before="0" w:after="0" w:line="240" w:lineRule="auto"/>
        <w:ind w:left="1240" w:right="0" w:hanging="701"/>
        <w:jc w:val="left"/>
        <w:outlineLvl w:val="2"/>
      </w:pPr>
      <w:bookmarkStart w:id="448" w:name="7.3.1 环保投资估算"/>
      <w:bookmarkEnd w:id="448"/>
      <w:bookmarkStart w:id="449" w:name="7.3.1 环保投资估算"/>
      <w:bookmarkEnd w:id="449"/>
      <w:bookmarkStart w:id="450" w:name="_Toc28625"/>
      <w:r>
        <w:t>环保投资估算</w:t>
      </w:r>
      <w:bookmarkEnd w:id="450"/>
    </w:p>
    <w:p>
      <w:pPr>
        <w:pStyle w:val="7"/>
        <w:spacing w:before="3"/>
        <w:ind w:left="0"/>
        <w:rPr>
          <w:b/>
          <w:sz w:val="21"/>
        </w:rPr>
      </w:pPr>
    </w:p>
    <w:p>
      <w:pPr>
        <w:pStyle w:val="7"/>
        <w:spacing w:before="67"/>
        <w:ind w:left="1020"/>
      </w:pPr>
      <w:r>
        <w:t>环保投资比按下式计算：</w:t>
      </w:r>
    </w:p>
    <w:p>
      <w:pPr>
        <w:spacing w:before="192" w:line="383" w:lineRule="exact"/>
        <w:ind w:left="449" w:right="17" w:firstLine="0"/>
        <w:jc w:val="center"/>
        <w:rPr>
          <w:rFonts w:ascii="Times New Roman" w:hAnsi="Times New Roman"/>
          <w:sz w:val="24"/>
        </w:rPr>
      </w:pPr>
      <w:r>
        <mc:AlternateContent>
          <mc:Choice Requires="wps">
            <w:drawing>
              <wp:anchor distT="0" distB="0" distL="114300" distR="114300" simplePos="0" relativeHeight="232339456" behindDoc="1" locked="0" layoutInCell="1" allowOverlap="1">
                <wp:simplePos x="0" y="0"/>
                <wp:positionH relativeFrom="page">
                  <wp:posOffset>3756025</wp:posOffset>
                </wp:positionH>
                <wp:positionV relativeFrom="paragraph">
                  <wp:posOffset>320675</wp:posOffset>
                </wp:positionV>
                <wp:extent cx="236220" cy="0"/>
                <wp:effectExtent l="0" t="0" r="0" b="0"/>
                <wp:wrapNone/>
                <wp:docPr id="44" name="直线 148"/>
                <wp:cNvGraphicFramePr/>
                <a:graphic xmlns:a="http://schemas.openxmlformats.org/drawingml/2006/main">
                  <a:graphicData uri="http://schemas.microsoft.com/office/word/2010/wordprocessingShape">
                    <wps:wsp>
                      <wps:cNvCnPr/>
                      <wps:spPr>
                        <a:xfrm>
                          <a:off x="0" y="0"/>
                          <a:ext cx="236220" cy="0"/>
                        </a:xfrm>
                        <a:prstGeom prst="line">
                          <a:avLst/>
                        </a:prstGeom>
                        <a:ln w="6388" cap="flat" cmpd="sng">
                          <a:solidFill>
                            <a:srgbClr val="000000"/>
                          </a:solidFill>
                          <a:prstDash val="solid"/>
                          <a:headEnd type="none" w="med" len="med"/>
                          <a:tailEnd type="none" w="med" len="med"/>
                        </a:ln>
                      </wps:spPr>
                      <wps:bodyPr upright="1"/>
                    </wps:wsp>
                  </a:graphicData>
                </a:graphic>
              </wp:anchor>
            </w:drawing>
          </mc:Choice>
          <mc:Fallback>
            <w:pict>
              <v:line id="直线 148" o:spid="_x0000_s1026" o:spt="20" style="position:absolute;left:0pt;margin-left:295.75pt;margin-top:25.25pt;height:0pt;width:18.6pt;mso-position-horizontal-relative:page;z-index:-270977024;mso-width-relative:page;mso-height-relative:page;" filled="f" stroked="t" coordsize="21600,21600" o:gfxdata="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6R+aHVAAAACQEAAA8AAAAAAAAAAQAgAAAAIgAAAGRy&#10;cy9kb3ducmV2LnhtbFBLAQIUABQAAAAIAIdO4kDNDZSVzwEAAI8DAAAOAAAAAAAAAAEAIAAAACQB&#10;AABkcnMvZTJvRG9jLnhtbFBLBQYAAAAABgAGAFkBAABlBQAAAAA=&#10;">
                <v:fill on="f" focussize="0,0"/>
                <v:stroke weight="0.502992125984252pt" color="#000000" joinstyle="round"/>
                <v:imagedata o:title=""/>
                <o:lock v:ext="edit" aspectratio="f"/>
              </v:line>
            </w:pict>
          </mc:Fallback>
        </mc:AlternateContent>
      </w:r>
      <w:r>
        <w:rPr>
          <w:rFonts w:ascii="Times New Roman" w:hAnsi="Times New Roman"/>
          <w:i/>
          <w:sz w:val="24"/>
        </w:rPr>
        <w:t>HJ</w:t>
      </w:r>
      <w:r>
        <w:rPr>
          <w:rFonts w:ascii="Symbol" w:hAnsi="Symbol"/>
          <w:sz w:val="24"/>
        </w:rPr>
        <w:t></w:t>
      </w:r>
      <w:r>
        <w:rPr>
          <w:rFonts w:ascii="Times New Roman" w:hAnsi="Times New Roman"/>
          <w:i/>
          <w:position w:val="15"/>
          <w:sz w:val="24"/>
        </w:rPr>
        <w:t>HT</w:t>
      </w:r>
      <w:r>
        <w:rPr>
          <w:rFonts w:ascii="Symbol" w:hAnsi="Symbol"/>
          <w:sz w:val="24"/>
        </w:rPr>
        <w:t></w:t>
      </w:r>
      <w:r>
        <w:rPr>
          <w:rFonts w:ascii="Times New Roman" w:hAnsi="Times New Roman"/>
          <w:sz w:val="24"/>
        </w:rPr>
        <w:t>100%</w:t>
      </w:r>
    </w:p>
    <w:p>
      <w:pPr>
        <w:spacing w:before="0" w:line="232" w:lineRule="exact"/>
        <w:ind w:left="285" w:right="40" w:firstLine="0"/>
        <w:jc w:val="center"/>
        <w:rPr>
          <w:rFonts w:ascii="Times New Roman"/>
          <w:i/>
          <w:sz w:val="24"/>
        </w:rPr>
      </w:pPr>
      <w:r>
        <w:rPr>
          <w:rFonts w:ascii="Times New Roman"/>
          <w:i/>
          <w:sz w:val="24"/>
        </w:rPr>
        <w:t>JI</w:t>
      </w:r>
    </w:p>
    <w:p>
      <w:pPr>
        <w:pStyle w:val="7"/>
        <w:spacing w:before="9"/>
        <w:ind w:left="0"/>
        <w:rPr>
          <w:rFonts w:ascii="Times New Roman"/>
          <w:i/>
          <w:sz w:val="19"/>
        </w:rPr>
      </w:pPr>
    </w:p>
    <w:p>
      <w:pPr>
        <w:pStyle w:val="7"/>
        <w:spacing w:before="74"/>
        <w:ind w:left="0" w:right="3157"/>
        <w:jc w:val="center"/>
      </w:pPr>
      <w:r>
        <w:t>式中：</w:t>
      </w:r>
      <w:r>
        <w:rPr>
          <w:rFonts w:ascii="Times New Roman" w:hAnsi="Times New Roman" w:eastAsia="Times New Roman"/>
        </w:rPr>
        <w:t>HJ</w:t>
      </w:r>
      <w:r>
        <w:t>——环保费用投资比，</w:t>
      </w:r>
      <w:r>
        <w:rPr>
          <w:rFonts w:ascii="Times New Roman" w:hAnsi="Times New Roman" w:eastAsia="Times New Roman"/>
        </w:rPr>
        <w:t>100</w:t>
      </w:r>
      <w:r>
        <w:t>％；</w:t>
      </w:r>
    </w:p>
    <w:p>
      <w:pPr>
        <w:pStyle w:val="7"/>
        <w:spacing w:before="173" w:line="374" w:lineRule="auto"/>
        <w:ind w:left="1740" w:right="4871" w:hanging="94"/>
        <w:jc w:val="center"/>
      </w:pPr>
      <w:r>
        <w:rPr>
          <w:rFonts w:ascii="Times New Roman" w:hAnsi="Times New Roman" w:eastAsia="Times New Roman"/>
        </w:rPr>
        <w:t>HT</w:t>
      </w:r>
      <w:r>
        <w:t>——环保投资，万元；</w:t>
      </w:r>
      <w:r>
        <w:rPr>
          <w:rFonts w:ascii="Times New Roman" w:hAnsi="Times New Roman" w:eastAsia="Times New Roman"/>
        </w:rPr>
        <w:t>JI</w:t>
      </w:r>
      <w:r>
        <w:t>——项目总投资，万元。</w:t>
      </w:r>
    </w:p>
    <w:p>
      <w:pPr>
        <w:pStyle w:val="7"/>
        <w:spacing w:line="374" w:lineRule="auto"/>
        <w:ind w:right="577" w:firstLine="480"/>
      </w:pPr>
      <w:r>
        <w:t>本项目环境保护投入全部为扶贫资金，估算见表</w:t>
      </w:r>
      <w:r>
        <w:rPr>
          <w:rFonts w:ascii="Times New Roman" w:eastAsia="Times New Roman"/>
        </w:rPr>
        <w:t>7.3-1</w:t>
      </w:r>
      <w:r>
        <w:t>。本项目总投资</w:t>
      </w:r>
      <w:r>
        <w:rPr>
          <w:rFonts w:hint="eastAsia" w:ascii="Times New Roman" w:eastAsia="宋体"/>
          <w:lang w:val="en-US" w:eastAsia="zh-CN"/>
        </w:rPr>
        <w:t>3120</w:t>
      </w:r>
      <w:r>
        <w:t>万元，其中，环境保护投入建设费用</w:t>
      </w:r>
      <w:r>
        <w:rPr>
          <w:rFonts w:hint="eastAsia" w:ascii="Times New Roman"/>
          <w:lang w:val="en-US" w:eastAsia="zh-CN"/>
        </w:rPr>
        <w:t>156</w:t>
      </w:r>
      <w:r>
        <w:t>万元，占总投资的</w:t>
      </w:r>
      <w:r>
        <w:rPr>
          <w:rFonts w:hint="eastAsia" w:ascii="Times New Roman" w:eastAsia="宋体"/>
          <w:lang w:val="en-US" w:eastAsia="zh-CN"/>
        </w:rPr>
        <w:t>5</w:t>
      </w:r>
      <w:r>
        <w:rPr>
          <w:rFonts w:ascii="Times New Roman" w:eastAsia="Times New Roman"/>
        </w:rPr>
        <w:t>%</w:t>
      </w:r>
      <w:r>
        <w:t>。</w:t>
      </w:r>
    </w:p>
    <w:p>
      <w:pPr>
        <w:spacing w:after="0" w:line="37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spacing w:before="9"/>
        <w:ind w:left="0"/>
        <w:rPr>
          <w:sz w:val="15"/>
        </w:rPr>
      </w:pPr>
    </w:p>
    <w:p>
      <w:pPr>
        <w:pStyle w:val="7"/>
        <w:bidi w:val="0"/>
        <w:jc w:val="center"/>
      </w:pPr>
      <w:r>
        <w:t>表</w:t>
      </w:r>
      <w:r>
        <w:rPr>
          <w:rFonts w:ascii="Times New Roman" w:eastAsia="Times New Roman"/>
        </w:rPr>
        <w:t>7.3-1</w:t>
      </w:r>
      <w:r>
        <w:rPr>
          <w:rFonts w:ascii="Times New Roman" w:eastAsia="Times New Roman"/>
        </w:rPr>
        <w:tab/>
      </w:r>
      <w:r>
        <w:t>环保投资估算一览表</w:t>
      </w:r>
    </w:p>
    <w:tbl>
      <w:tblPr>
        <w:tblStyle w:val="14"/>
        <w:tblpPr w:leftFromText="180" w:rightFromText="180" w:vertAnchor="text" w:horzAnchor="page" w:tblpX="1711"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082"/>
        <w:gridCol w:w="2195"/>
        <w:gridCol w:w="3436"/>
        <w:gridCol w:w="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tcPr>
          <w:p>
            <w:pPr>
              <w:pStyle w:val="18"/>
              <w:spacing w:line="240" w:lineRule="exact"/>
              <w:ind w:left="209" w:right="197"/>
              <w:jc w:val="left"/>
              <w:rPr>
                <w:b/>
                <w:color w:val="0000FF"/>
                <w:sz w:val="21"/>
              </w:rPr>
            </w:pPr>
            <w:r>
              <w:rPr>
                <w:b/>
                <w:color w:val="0000FF"/>
                <w:sz w:val="21"/>
              </w:rPr>
              <w:t>实施阶段</w:t>
            </w:r>
          </w:p>
        </w:tc>
        <w:tc>
          <w:tcPr>
            <w:tcW w:w="3277" w:type="dxa"/>
            <w:gridSpan w:val="2"/>
          </w:tcPr>
          <w:p>
            <w:pPr>
              <w:pStyle w:val="18"/>
              <w:spacing w:before="102"/>
              <w:ind w:left="1196" w:right="1185"/>
              <w:rPr>
                <w:b/>
                <w:color w:val="0000FF"/>
                <w:sz w:val="21"/>
              </w:rPr>
            </w:pPr>
            <w:r>
              <w:rPr>
                <w:b/>
                <w:color w:val="0000FF"/>
                <w:sz w:val="21"/>
              </w:rPr>
              <w:t>污染源</w:t>
            </w:r>
          </w:p>
        </w:tc>
        <w:tc>
          <w:tcPr>
            <w:tcW w:w="3436" w:type="dxa"/>
          </w:tcPr>
          <w:p>
            <w:pPr>
              <w:pStyle w:val="18"/>
              <w:spacing w:before="102"/>
              <w:ind w:left="328" w:right="317"/>
              <w:rPr>
                <w:b/>
                <w:color w:val="0000FF"/>
                <w:sz w:val="21"/>
              </w:rPr>
            </w:pPr>
            <w:r>
              <w:rPr>
                <w:b/>
                <w:color w:val="0000FF"/>
                <w:sz w:val="21"/>
              </w:rPr>
              <w:t>治理设施内容</w:t>
            </w:r>
          </w:p>
        </w:tc>
        <w:tc>
          <w:tcPr>
            <w:tcW w:w="966" w:type="dxa"/>
          </w:tcPr>
          <w:p>
            <w:pPr>
              <w:pStyle w:val="18"/>
              <w:spacing w:line="237" w:lineRule="exact"/>
              <w:ind w:left="8"/>
              <w:rPr>
                <w:b/>
                <w:color w:val="0000FF"/>
                <w:sz w:val="21"/>
              </w:rPr>
            </w:pPr>
            <w:r>
              <w:rPr>
                <w:b/>
                <w:color w:val="0000FF"/>
                <w:sz w:val="21"/>
              </w:rPr>
              <w:t>投资</w:t>
            </w:r>
          </w:p>
          <w:p>
            <w:pPr>
              <w:pStyle w:val="18"/>
              <w:spacing w:line="223" w:lineRule="exact"/>
              <w:ind w:left="102"/>
              <w:rPr>
                <w:b/>
                <w:color w:val="0000FF"/>
                <w:sz w:val="21"/>
              </w:rPr>
            </w:pPr>
            <w:r>
              <w:rPr>
                <w:b/>
                <w:color w:val="0000FF"/>
                <w:sz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restart"/>
          </w:tcPr>
          <w:p>
            <w:pPr>
              <w:pStyle w:val="18"/>
              <w:jc w:val="left"/>
              <w:rPr>
                <w:b/>
                <w:color w:val="0000FF"/>
                <w:sz w:val="20"/>
              </w:rPr>
            </w:pPr>
          </w:p>
          <w:p>
            <w:pPr>
              <w:pStyle w:val="18"/>
              <w:spacing w:before="1"/>
              <w:jc w:val="left"/>
              <w:rPr>
                <w:b/>
                <w:color w:val="0000FF"/>
                <w:sz w:val="18"/>
              </w:rPr>
            </w:pPr>
          </w:p>
          <w:p>
            <w:pPr>
              <w:pStyle w:val="18"/>
              <w:spacing w:before="1" w:line="278" w:lineRule="auto"/>
              <w:ind w:left="315" w:right="200" w:hanging="106"/>
              <w:jc w:val="left"/>
              <w:rPr>
                <w:color w:val="0000FF"/>
                <w:sz w:val="21"/>
              </w:rPr>
            </w:pPr>
            <w:r>
              <w:rPr>
                <w:color w:val="0000FF"/>
                <w:sz w:val="21"/>
              </w:rPr>
              <w:t>施工期</w:t>
            </w:r>
          </w:p>
        </w:tc>
        <w:tc>
          <w:tcPr>
            <w:tcW w:w="1082" w:type="dxa"/>
          </w:tcPr>
          <w:p>
            <w:pPr>
              <w:pStyle w:val="18"/>
              <w:spacing w:before="35"/>
              <w:ind w:left="100" w:right="92"/>
              <w:rPr>
                <w:color w:val="0000FF"/>
                <w:sz w:val="21"/>
              </w:rPr>
            </w:pPr>
            <w:r>
              <w:rPr>
                <w:color w:val="0000FF"/>
                <w:sz w:val="21"/>
              </w:rPr>
              <w:t>噪声防治</w:t>
            </w:r>
          </w:p>
        </w:tc>
        <w:tc>
          <w:tcPr>
            <w:tcW w:w="2195" w:type="dxa"/>
          </w:tcPr>
          <w:p>
            <w:pPr>
              <w:pStyle w:val="18"/>
              <w:spacing w:before="35"/>
              <w:ind w:left="130" w:right="123"/>
              <w:rPr>
                <w:color w:val="0000FF"/>
                <w:sz w:val="21"/>
              </w:rPr>
            </w:pPr>
            <w:r>
              <w:rPr>
                <w:color w:val="0000FF"/>
                <w:sz w:val="21"/>
              </w:rPr>
              <w:t>噪声</w:t>
            </w:r>
          </w:p>
        </w:tc>
        <w:tc>
          <w:tcPr>
            <w:tcW w:w="3436" w:type="dxa"/>
          </w:tcPr>
          <w:p>
            <w:pPr>
              <w:pStyle w:val="18"/>
              <w:spacing w:before="35"/>
              <w:ind w:left="328" w:right="320"/>
              <w:rPr>
                <w:color w:val="0000FF"/>
                <w:sz w:val="21"/>
              </w:rPr>
            </w:pPr>
            <w:r>
              <w:rPr>
                <w:color w:val="0000FF"/>
                <w:sz w:val="21"/>
              </w:rPr>
              <w:t>设备维护保养及噪声环境管理</w:t>
            </w:r>
          </w:p>
        </w:tc>
        <w:tc>
          <w:tcPr>
            <w:tcW w:w="966" w:type="dxa"/>
          </w:tcPr>
          <w:p>
            <w:pPr>
              <w:pStyle w:val="18"/>
              <w:spacing w:before="49"/>
              <w:ind w:left="9"/>
              <w:rPr>
                <w:rFonts w:hint="default" w:ascii="Times New Roman" w:eastAsia="宋体"/>
                <w:color w:val="0000FF"/>
                <w:sz w:val="21"/>
                <w:lang w:val="en-US" w:eastAsia="zh-CN"/>
              </w:rPr>
            </w:pPr>
            <w:r>
              <w:rPr>
                <w:rFonts w:hint="eastAsia" w:ascii="Times New Roman"/>
                <w:color w:val="0000FF"/>
                <w:sz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vMerge w:val="continue"/>
            <w:tcBorders>
              <w:top w:val="nil"/>
            </w:tcBorders>
          </w:tcPr>
          <w:p>
            <w:pPr>
              <w:rPr>
                <w:color w:val="0000FF"/>
                <w:sz w:val="2"/>
                <w:szCs w:val="2"/>
              </w:rPr>
            </w:pPr>
          </w:p>
        </w:tc>
        <w:tc>
          <w:tcPr>
            <w:tcW w:w="1082" w:type="dxa"/>
          </w:tcPr>
          <w:p>
            <w:pPr>
              <w:pStyle w:val="18"/>
              <w:spacing w:before="105"/>
              <w:ind w:left="100" w:right="92"/>
              <w:rPr>
                <w:color w:val="0000FF"/>
                <w:sz w:val="21"/>
              </w:rPr>
            </w:pPr>
            <w:r>
              <w:rPr>
                <w:color w:val="0000FF"/>
                <w:sz w:val="21"/>
              </w:rPr>
              <w:t>废气治理</w:t>
            </w:r>
          </w:p>
        </w:tc>
        <w:tc>
          <w:tcPr>
            <w:tcW w:w="2195" w:type="dxa"/>
          </w:tcPr>
          <w:p>
            <w:pPr>
              <w:pStyle w:val="18"/>
              <w:spacing w:before="105"/>
              <w:ind w:left="130" w:right="123"/>
              <w:rPr>
                <w:color w:val="0000FF"/>
                <w:sz w:val="21"/>
              </w:rPr>
            </w:pPr>
            <w:r>
              <w:rPr>
                <w:color w:val="0000FF"/>
                <w:sz w:val="21"/>
              </w:rPr>
              <w:t>扬尘及尾气污染</w:t>
            </w:r>
          </w:p>
        </w:tc>
        <w:tc>
          <w:tcPr>
            <w:tcW w:w="3436" w:type="dxa"/>
          </w:tcPr>
          <w:p>
            <w:pPr>
              <w:pStyle w:val="18"/>
              <w:spacing w:line="240" w:lineRule="exact"/>
              <w:ind w:left="108" w:right="-15"/>
              <w:jc w:val="left"/>
              <w:rPr>
                <w:color w:val="0000FF"/>
                <w:sz w:val="21"/>
              </w:rPr>
            </w:pPr>
            <w:r>
              <w:rPr>
                <w:color w:val="0000FF"/>
                <w:spacing w:val="-6"/>
                <w:sz w:val="21"/>
              </w:rPr>
              <w:t>洒水抑尘、设置围栏，防尘布覆盖，车辆冲洗等</w:t>
            </w:r>
          </w:p>
        </w:tc>
        <w:tc>
          <w:tcPr>
            <w:tcW w:w="966" w:type="dxa"/>
          </w:tcPr>
          <w:p>
            <w:pPr>
              <w:pStyle w:val="18"/>
              <w:spacing w:before="119"/>
              <w:ind w:left="9"/>
              <w:rPr>
                <w:rFonts w:hint="default" w:ascii="Times New Roman" w:eastAsia="宋体"/>
                <w:color w:val="0000FF"/>
                <w:sz w:val="21"/>
                <w:lang w:val="en-US" w:eastAsia="zh-CN"/>
              </w:rPr>
            </w:pPr>
            <w:r>
              <w:rPr>
                <w:rFonts w:hint="eastAsia" w:ascii="Times New Roman"/>
                <w:color w:val="0000FF"/>
                <w:sz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0" w:type="dxa"/>
            <w:vMerge w:val="continue"/>
            <w:tcBorders>
              <w:top w:val="nil"/>
            </w:tcBorders>
          </w:tcPr>
          <w:p>
            <w:pPr>
              <w:rPr>
                <w:color w:val="0000FF"/>
                <w:sz w:val="2"/>
                <w:szCs w:val="2"/>
              </w:rPr>
            </w:pPr>
          </w:p>
        </w:tc>
        <w:tc>
          <w:tcPr>
            <w:tcW w:w="1082" w:type="dxa"/>
          </w:tcPr>
          <w:p>
            <w:pPr>
              <w:pStyle w:val="18"/>
              <w:spacing w:before="6"/>
              <w:jc w:val="left"/>
              <w:rPr>
                <w:b/>
                <w:color w:val="0000FF"/>
                <w:sz w:val="17"/>
              </w:rPr>
            </w:pPr>
          </w:p>
          <w:p>
            <w:pPr>
              <w:pStyle w:val="18"/>
              <w:spacing w:before="1"/>
              <w:ind w:left="100" w:right="92"/>
              <w:rPr>
                <w:color w:val="0000FF"/>
                <w:sz w:val="21"/>
              </w:rPr>
            </w:pPr>
            <w:r>
              <w:rPr>
                <w:color w:val="0000FF"/>
                <w:sz w:val="21"/>
              </w:rPr>
              <w:t>固废治理</w:t>
            </w:r>
          </w:p>
        </w:tc>
        <w:tc>
          <w:tcPr>
            <w:tcW w:w="2195" w:type="dxa"/>
          </w:tcPr>
          <w:p>
            <w:pPr>
              <w:pStyle w:val="18"/>
              <w:spacing w:before="6"/>
              <w:jc w:val="left"/>
              <w:rPr>
                <w:b/>
                <w:color w:val="0000FF"/>
                <w:sz w:val="17"/>
              </w:rPr>
            </w:pPr>
          </w:p>
          <w:p>
            <w:pPr>
              <w:pStyle w:val="18"/>
              <w:spacing w:before="1"/>
              <w:ind w:left="132" w:right="123"/>
              <w:rPr>
                <w:color w:val="0000FF"/>
                <w:sz w:val="21"/>
              </w:rPr>
            </w:pPr>
            <w:r>
              <w:rPr>
                <w:color w:val="0000FF"/>
                <w:sz w:val="21"/>
              </w:rPr>
              <w:t>生活垃圾、建筑垃圾</w:t>
            </w:r>
          </w:p>
        </w:tc>
        <w:tc>
          <w:tcPr>
            <w:tcW w:w="3436" w:type="dxa"/>
          </w:tcPr>
          <w:p>
            <w:pPr>
              <w:pStyle w:val="18"/>
              <w:spacing w:line="240" w:lineRule="exact"/>
              <w:ind w:left="108" w:right="-15"/>
              <w:jc w:val="left"/>
              <w:rPr>
                <w:color w:val="0000FF"/>
                <w:sz w:val="21"/>
              </w:rPr>
            </w:pPr>
            <w:r>
              <w:rPr>
                <w:color w:val="0000FF"/>
                <w:spacing w:val="-5"/>
                <w:sz w:val="21"/>
              </w:rPr>
              <w:t>临时生活垃圾箱，交市政部门处理；集中收集，运至环保部门指定的建筑垃圾填埋场填埋处置</w:t>
            </w:r>
          </w:p>
        </w:tc>
        <w:tc>
          <w:tcPr>
            <w:tcW w:w="966" w:type="dxa"/>
          </w:tcPr>
          <w:p>
            <w:pPr>
              <w:pStyle w:val="18"/>
              <w:spacing w:before="8"/>
              <w:jc w:val="left"/>
              <w:rPr>
                <w:b/>
                <w:color w:val="0000FF"/>
                <w:sz w:val="18"/>
              </w:rPr>
            </w:pPr>
          </w:p>
          <w:p>
            <w:pPr>
              <w:pStyle w:val="18"/>
              <w:ind w:left="9"/>
              <w:rPr>
                <w:rFonts w:hint="default" w:ascii="Times New Roman" w:eastAsia="宋体"/>
                <w:color w:val="0000FF"/>
                <w:sz w:val="21"/>
                <w:lang w:val="en-US" w:eastAsia="zh-CN"/>
              </w:rPr>
            </w:pPr>
            <w:r>
              <w:rPr>
                <w:rFonts w:hint="eastAsia" w:ascii="Times New Roman"/>
                <w:color w:val="0000FF"/>
                <w:sz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vMerge w:val="restart"/>
          </w:tcPr>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spacing w:before="10"/>
              <w:jc w:val="left"/>
              <w:rPr>
                <w:b/>
                <w:color w:val="0000FF"/>
                <w:sz w:val="15"/>
              </w:rPr>
            </w:pPr>
          </w:p>
          <w:p>
            <w:pPr>
              <w:pStyle w:val="18"/>
              <w:spacing w:before="1" w:line="278" w:lineRule="auto"/>
              <w:ind w:left="315" w:right="200" w:hanging="106"/>
              <w:jc w:val="left"/>
              <w:rPr>
                <w:color w:val="0000FF"/>
                <w:sz w:val="21"/>
              </w:rPr>
            </w:pPr>
            <w:r>
              <w:rPr>
                <w:color w:val="0000FF"/>
                <w:sz w:val="21"/>
              </w:rPr>
              <w:t>运营期</w:t>
            </w:r>
          </w:p>
        </w:tc>
        <w:tc>
          <w:tcPr>
            <w:tcW w:w="1082" w:type="dxa"/>
            <w:vMerge w:val="restart"/>
          </w:tcPr>
          <w:p>
            <w:pPr>
              <w:pStyle w:val="18"/>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color w:val="0000FF"/>
                <w:sz w:val="21"/>
              </w:rPr>
            </w:pPr>
          </w:p>
          <w:p>
            <w:pPr>
              <w:pStyle w:val="18"/>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color w:val="0000FF"/>
                <w:sz w:val="21"/>
              </w:rPr>
            </w:pPr>
            <w:r>
              <w:rPr>
                <w:color w:val="0000FF"/>
                <w:sz w:val="21"/>
              </w:rPr>
              <w:t>废水治理</w:t>
            </w:r>
          </w:p>
        </w:tc>
        <w:tc>
          <w:tcPr>
            <w:tcW w:w="2195" w:type="dxa"/>
          </w:tcPr>
          <w:p>
            <w:pPr>
              <w:pStyle w:val="18"/>
              <w:spacing w:before="104"/>
              <w:ind w:left="127" w:right="123"/>
              <w:rPr>
                <w:color w:val="0000FF"/>
                <w:sz w:val="21"/>
              </w:rPr>
            </w:pPr>
            <w:r>
              <w:rPr>
                <w:color w:val="0000FF"/>
                <w:sz w:val="21"/>
              </w:rPr>
              <w:t>防渗工程</w:t>
            </w:r>
          </w:p>
        </w:tc>
        <w:tc>
          <w:tcPr>
            <w:tcW w:w="3436" w:type="dxa"/>
          </w:tcPr>
          <w:p>
            <w:pPr>
              <w:pStyle w:val="18"/>
              <w:spacing w:line="240" w:lineRule="exact"/>
              <w:ind w:left="108" w:right="128"/>
              <w:jc w:val="left"/>
              <w:rPr>
                <w:color w:val="0000FF"/>
                <w:sz w:val="21"/>
              </w:rPr>
            </w:pPr>
            <w:r>
              <w:rPr>
                <w:color w:val="0000FF"/>
                <w:sz w:val="21"/>
              </w:rPr>
              <w:t>羊舍、储液池、发酵区、安全填埋井和羊粪堆场防渗处理措施</w:t>
            </w:r>
          </w:p>
        </w:tc>
        <w:tc>
          <w:tcPr>
            <w:tcW w:w="966" w:type="dxa"/>
          </w:tcPr>
          <w:p>
            <w:pPr>
              <w:pStyle w:val="18"/>
              <w:spacing w:before="118"/>
              <w:ind w:left="9"/>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40" w:type="dxa"/>
            <w:vMerge w:val="continue"/>
          </w:tcPr>
          <w:p>
            <w:pPr>
              <w:pStyle w:val="18"/>
              <w:spacing w:before="1" w:line="278" w:lineRule="auto"/>
              <w:ind w:left="315" w:right="200" w:hanging="106"/>
              <w:jc w:val="left"/>
              <w:rPr>
                <w:color w:val="0000FF"/>
                <w:sz w:val="21"/>
              </w:rPr>
            </w:pPr>
          </w:p>
        </w:tc>
        <w:tc>
          <w:tcPr>
            <w:tcW w:w="1082" w:type="dxa"/>
            <w:vMerge w:val="continue"/>
          </w:tcPr>
          <w:p>
            <w:pPr>
              <w:pStyle w:val="18"/>
              <w:spacing w:before="104"/>
              <w:ind w:left="100" w:right="92"/>
              <w:rPr>
                <w:color w:val="0000FF"/>
                <w:sz w:val="21"/>
              </w:rPr>
            </w:pPr>
          </w:p>
        </w:tc>
        <w:tc>
          <w:tcPr>
            <w:tcW w:w="2195" w:type="dxa"/>
          </w:tcPr>
          <w:p>
            <w:pPr>
              <w:pStyle w:val="18"/>
              <w:spacing w:before="104"/>
              <w:ind w:left="127" w:right="123"/>
              <w:rPr>
                <w:rFonts w:hint="default" w:eastAsia="宋体"/>
                <w:color w:val="0000FF"/>
                <w:sz w:val="21"/>
                <w:lang w:val="en-US" w:eastAsia="zh-CN"/>
              </w:rPr>
            </w:pPr>
            <w:r>
              <w:rPr>
                <w:rFonts w:hint="eastAsia"/>
                <w:color w:val="0000FF"/>
                <w:sz w:val="21"/>
                <w:lang w:val="en-US" w:eastAsia="zh-CN"/>
              </w:rPr>
              <w:t>污水处理</w:t>
            </w:r>
          </w:p>
        </w:tc>
        <w:tc>
          <w:tcPr>
            <w:tcW w:w="3436" w:type="dxa"/>
          </w:tcPr>
          <w:p>
            <w:pPr>
              <w:pStyle w:val="18"/>
              <w:keepNext w:val="0"/>
              <w:keepLines w:val="0"/>
              <w:pageBreakBefore w:val="0"/>
              <w:widowControl w:val="0"/>
              <w:kinsoku/>
              <w:wordWrap/>
              <w:overflowPunct/>
              <w:topLinePunct w:val="0"/>
              <w:autoSpaceDE w:val="0"/>
              <w:autoSpaceDN w:val="0"/>
              <w:bidi w:val="0"/>
              <w:adjustRightInd/>
              <w:snapToGrid/>
              <w:spacing w:before="0" w:beforeLines="50" w:line="240" w:lineRule="auto"/>
              <w:ind w:left="108" w:right="130"/>
              <w:jc w:val="both"/>
              <w:textAlignment w:val="auto"/>
              <w:rPr>
                <w:color w:val="0000FF"/>
                <w:sz w:val="21"/>
              </w:rPr>
            </w:pP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p>
        </w:tc>
        <w:tc>
          <w:tcPr>
            <w:tcW w:w="966" w:type="dxa"/>
          </w:tcPr>
          <w:p>
            <w:pPr>
              <w:pStyle w:val="18"/>
              <w:spacing w:before="118"/>
              <w:ind w:left="9"/>
              <w:rPr>
                <w:rFonts w:hint="default" w:ascii="Times New Roman"/>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40" w:type="dxa"/>
            <w:vMerge w:val="continue"/>
            <w:tcBorders>
              <w:top w:val="nil"/>
            </w:tcBorders>
          </w:tcPr>
          <w:p>
            <w:pPr>
              <w:rPr>
                <w:color w:val="0000FF"/>
                <w:sz w:val="2"/>
                <w:szCs w:val="2"/>
              </w:rPr>
            </w:pPr>
          </w:p>
        </w:tc>
        <w:tc>
          <w:tcPr>
            <w:tcW w:w="1082" w:type="dxa"/>
            <w:vMerge w:val="restart"/>
          </w:tcPr>
          <w:p>
            <w:pPr>
              <w:pStyle w:val="18"/>
              <w:jc w:val="left"/>
              <w:rPr>
                <w:b/>
                <w:color w:val="0000FF"/>
                <w:sz w:val="20"/>
              </w:rPr>
            </w:pPr>
          </w:p>
          <w:p>
            <w:pPr>
              <w:pStyle w:val="18"/>
              <w:spacing w:before="6"/>
              <w:jc w:val="left"/>
              <w:rPr>
                <w:b/>
                <w:color w:val="0000FF"/>
                <w:sz w:val="20"/>
              </w:rPr>
            </w:pPr>
          </w:p>
          <w:p>
            <w:pPr>
              <w:pStyle w:val="18"/>
              <w:ind w:left="121"/>
              <w:jc w:val="left"/>
              <w:rPr>
                <w:color w:val="0000FF"/>
                <w:sz w:val="21"/>
              </w:rPr>
            </w:pPr>
            <w:r>
              <w:rPr>
                <w:color w:val="0000FF"/>
                <w:sz w:val="21"/>
              </w:rPr>
              <w:t>废气治理</w:t>
            </w:r>
          </w:p>
        </w:tc>
        <w:tc>
          <w:tcPr>
            <w:tcW w:w="2195" w:type="dxa"/>
          </w:tcPr>
          <w:p>
            <w:pPr>
              <w:pStyle w:val="18"/>
              <w:spacing w:before="10"/>
              <w:jc w:val="left"/>
              <w:rPr>
                <w:b/>
                <w:color w:val="0000FF"/>
                <w:sz w:val="26"/>
              </w:rPr>
            </w:pPr>
          </w:p>
          <w:p>
            <w:pPr>
              <w:pStyle w:val="18"/>
              <w:spacing w:before="1"/>
              <w:ind w:left="130" w:right="123"/>
              <w:rPr>
                <w:color w:val="0000FF"/>
                <w:sz w:val="21"/>
              </w:rPr>
            </w:pPr>
            <w:r>
              <w:rPr>
                <w:color w:val="0000FF"/>
                <w:sz w:val="21"/>
              </w:rPr>
              <w:t>恶臭</w:t>
            </w:r>
          </w:p>
        </w:tc>
        <w:tc>
          <w:tcPr>
            <w:tcW w:w="3436" w:type="dxa"/>
          </w:tcPr>
          <w:p>
            <w:pPr>
              <w:pStyle w:val="18"/>
              <w:spacing w:before="4" w:line="213" w:lineRule="auto"/>
              <w:ind w:left="108" w:right="166"/>
              <w:jc w:val="both"/>
              <w:rPr>
                <w:rFonts w:hint="eastAsia" w:ascii="宋体" w:hAnsi="宋体" w:eastAsia="宋体" w:cs="宋体"/>
                <w:color w:val="0000FF"/>
                <w:sz w:val="21"/>
                <w:szCs w:val="21"/>
              </w:rPr>
            </w:pPr>
            <w:r>
              <w:rPr>
                <w:rFonts w:hint="eastAsia" w:ascii="宋体" w:hAnsi="宋体" w:eastAsia="宋体" w:cs="宋体"/>
                <w:b w:val="0"/>
                <w:bCs w:val="0"/>
                <w:color w:val="0000FF"/>
                <w:w w:val="95"/>
                <w:sz w:val="21"/>
                <w:szCs w:val="21"/>
              </w:rPr>
              <w:t>羊粪采用密闭的清粪车输送，及时</w:t>
            </w:r>
            <w:r>
              <w:rPr>
                <w:rFonts w:hint="eastAsia" w:ascii="宋体" w:hAnsi="宋体" w:eastAsia="宋体" w:cs="宋体"/>
                <w:color w:val="0000FF"/>
                <w:spacing w:val="-1"/>
                <w:sz w:val="21"/>
                <w:szCs w:val="21"/>
              </w:rPr>
              <w:t>清运，减少恶臭；发酵区应加入发</w:t>
            </w:r>
            <w:r>
              <w:rPr>
                <w:rFonts w:hint="eastAsia" w:ascii="宋体" w:hAnsi="宋体" w:eastAsia="宋体" w:cs="宋体"/>
                <w:color w:val="0000FF"/>
                <w:w w:val="95"/>
                <w:sz w:val="21"/>
                <w:szCs w:val="21"/>
              </w:rPr>
              <w:t>酵专用菌剂；羊舍通风换气系统、</w:t>
            </w:r>
          </w:p>
          <w:p>
            <w:pPr>
              <w:pStyle w:val="18"/>
              <w:spacing w:line="217" w:lineRule="exact"/>
              <w:ind w:left="108"/>
              <w:jc w:val="left"/>
              <w:rPr>
                <w:color w:val="0000FF"/>
                <w:sz w:val="21"/>
              </w:rPr>
            </w:pPr>
            <w:r>
              <w:rPr>
                <w:rFonts w:hint="eastAsia" w:ascii="宋体" w:hAnsi="宋体" w:eastAsia="宋体" w:cs="宋体"/>
                <w:color w:val="0000FF"/>
                <w:w w:val="95"/>
                <w:sz w:val="21"/>
                <w:szCs w:val="21"/>
              </w:rPr>
              <w:t>喷洒除臭剂；羊粪堆场喷洒除臭剂</w:t>
            </w:r>
          </w:p>
        </w:tc>
        <w:tc>
          <w:tcPr>
            <w:tcW w:w="966" w:type="dxa"/>
          </w:tcPr>
          <w:p>
            <w:pPr>
              <w:pStyle w:val="18"/>
              <w:spacing w:before="12"/>
              <w:jc w:val="left"/>
              <w:rPr>
                <w:b/>
                <w:color w:val="0000FF"/>
                <w:sz w:val="27"/>
              </w:rPr>
            </w:pPr>
          </w:p>
          <w:p>
            <w:pPr>
              <w:pStyle w:val="18"/>
              <w:ind w:left="9"/>
              <w:rPr>
                <w:rFonts w:hint="default" w:ascii="Times New Roman" w:eastAsia="宋体"/>
                <w:color w:val="0000FF"/>
                <w:sz w:val="21"/>
                <w:lang w:val="en-US" w:eastAsia="zh-CN"/>
              </w:rPr>
            </w:pPr>
            <w:r>
              <w:rPr>
                <w:rFonts w:hint="eastAsia" w:ascii="Times New Roman"/>
                <w:color w:val="0000FF"/>
                <w:sz w:val="21"/>
                <w:lang w:val="en-US"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continue"/>
            <w:tcBorders>
              <w:top w:val="nil"/>
            </w:tcBorders>
          </w:tcPr>
          <w:p>
            <w:pPr>
              <w:rPr>
                <w:color w:val="0000FF"/>
                <w:sz w:val="2"/>
                <w:szCs w:val="2"/>
              </w:rPr>
            </w:pPr>
          </w:p>
        </w:tc>
        <w:tc>
          <w:tcPr>
            <w:tcW w:w="2195" w:type="dxa"/>
          </w:tcPr>
          <w:p>
            <w:pPr>
              <w:pStyle w:val="18"/>
              <w:spacing w:before="34"/>
              <w:ind w:left="132" w:right="123"/>
              <w:rPr>
                <w:color w:val="0000FF"/>
                <w:sz w:val="21"/>
              </w:rPr>
            </w:pPr>
            <w:r>
              <w:rPr>
                <w:color w:val="0000FF"/>
                <w:sz w:val="21"/>
              </w:rPr>
              <w:t>无害化处理车间废气</w:t>
            </w:r>
          </w:p>
        </w:tc>
        <w:tc>
          <w:tcPr>
            <w:tcW w:w="3436" w:type="dxa"/>
          </w:tcPr>
          <w:p>
            <w:pPr>
              <w:pStyle w:val="18"/>
              <w:spacing w:before="31"/>
              <w:ind w:left="328" w:right="322"/>
              <w:rPr>
                <w:color w:val="0000FF"/>
                <w:sz w:val="21"/>
              </w:rPr>
            </w:pPr>
            <w:r>
              <w:rPr>
                <w:color w:val="0000FF"/>
                <w:sz w:val="21"/>
              </w:rPr>
              <w:t>光解除臭装置＋</w:t>
            </w:r>
            <w:r>
              <w:rPr>
                <w:rFonts w:ascii="Times New Roman" w:eastAsia="Times New Roman"/>
                <w:color w:val="0000FF"/>
                <w:sz w:val="21"/>
              </w:rPr>
              <w:t>15m</w:t>
            </w:r>
            <w:r>
              <w:rPr>
                <w:color w:val="0000FF"/>
                <w:sz w:val="21"/>
              </w:rPr>
              <w:t>高排气筒</w:t>
            </w:r>
          </w:p>
        </w:tc>
        <w:tc>
          <w:tcPr>
            <w:tcW w:w="966" w:type="dxa"/>
          </w:tcPr>
          <w:p>
            <w:pPr>
              <w:pStyle w:val="18"/>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restart"/>
          </w:tcPr>
          <w:p>
            <w:pPr>
              <w:pStyle w:val="18"/>
              <w:spacing w:before="4"/>
              <w:jc w:val="left"/>
              <w:rPr>
                <w:b/>
                <w:color w:val="0000FF"/>
                <w:sz w:val="16"/>
              </w:rPr>
            </w:pPr>
          </w:p>
          <w:p>
            <w:pPr>
              <w:pStyle w:val="18"/>
              <w:ind w:left="121"/>
              <w:jc w:val="left"/>
              <w:rPr>
                <w:color w:val="0000FF"/>
                <w:sz w:val="21"/>
              </w:rPr>
            </w:pPr>
            <w:r>
              <w:rPr>
                <w:color w:val="0000FF"/>
                <w:sz w:val="21"/>
              </w:rPr>
              <w:t>固废处理</w:t>
            </w:r>
          </w:p>
        </w:tc>
        <w:tc>
          <w:tcPr>
            <w:tcW w:w="2195" w:type="dxa"/>
          </w:tcPr>
          <w:p>
            <w:pPr>
              <w:pStyle w:val="18"/>
              <w:spacing w:before="34"/>
              <w:ind w:left="130" w:right="123"/>
              <w:rPr>
                <w:color w:val="0000FF"/>
                <w:sz w:val="21"/>
              </w:rPr>
            </w:pPr>
            <w:r>
              <w:rPr>
                <w:color w:val="0000FF"/>
                <w:sz w:val="21"/>
              </w:rPr>
              <w:t>病死羊及分娩物</w:t>
            </w:r>
          </w:p>
        </w:tc>
        <w:tc>
          <w:tcPr>
            <w:tcW w:w="3436" w:type="dxa"/>
          </w:tcPr>
          <w:p>
            <w:pPr>
              <w:pStyle w:val="18"/>
              <w:spacing w:before="34"/>
              <w:ind w:left="328" w:right="322"/>
              <w:rPr>
                <w:color w:val="0000FF"/>
                <w:sz w:val="21"/>
              </w:rPr>
            </w:pPr>
            <w:r>
              <w:rPr>
                <w:color w:val="0000FF"/>
                <w:sz w:val="21"/>
              </w:rPr>
              <w:t>无害化处理设备</w:t>
            </w:r>
          </w:p>
        </w:tc>
        <w:tc>
          <w:tcPr>
            <w:tcW w:w="966" w:type="dxa"/>
          </w:tcPr>
          <w:p>
            <w:pPr>
              <w:pStyle w:val="18"/>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continue"/>
            <w:tcBorders>
              <w:top w:val="nil"/>
            </w:tcBorders>
          </w:tcPr>
          <w:p>
            <w:pPr>
              <w:rPr>
                <w:color w:val="0000FF"/>
                <w:sz w:val="2"/>
                <w:szCs w:val="2"/>
              </w:rPr>
            </w:pPr>
          </w:p>
        </w:tc>
        <w:tc>
          <w:tcPr>
            <w:tcW w:w="2195" w:type="dxa"/>
          </w:tcPr>
          <w:p>
            <w:pPr>
              <w:pStyle w:val="18"/>
              <w:spacing w:before="34"/>
              <w:ind w:left="127" w:right="123"/>
              <w:rPr>
                <w:color w:val="0000FF"/>
                <w:sz w:val="21"/>
              </w:rPr>
            </w:pPr>
            <w:r>
              <w:rPr>
                <w:color w:val="0000FF"/>
                <w:sz w:val="21"/>
              </w:rPr>
              <w:t>生活垃圾</w:t>
            </w:r>
          </w:p>
        </w:tc>
        <w:tc>
          <w:tcPr>
            <w:tcW w:w="3436" w:type="dxa"/>
          </w:tcPr>
          <w:p>
            <w:pPr>
              <w:pStyle w:val="18"/>
              <w:spacing w:before="34"/>
              <w:ind w:left="328" w:right="320"/>
              <w:rPr>
                <w:color w:val="0000FF"/>
                <w:sz w:val="21"/>
              </w:rPr>
            </w:pPr>
            <w:r>
              <w:rPr>
                <w:color w:val="0000FF"/>
                <w:sz w:val="21"/>
              </w:rPr>
              <w:t>垃圾桶、清运设备等</w:t>
            </w:r>
          </w:p>
        </w:tc>
        <w:tc>
          <w:tcPr>
            <w:tcW w:w="966" w:type="dxa"/>
          </w:tcPr>
          <w:p>
            <w:pPr>
              <w:pStyle w:val="18"/>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tcPr>
          <w:p>
            <w:pPr>
              <w:pStyle w:val="18"/>
              <w:spacing w:before="35"/>
              <w:ind w:left="100" w:right="92"/>
              <w:rPr>
                <w:color w:val="0000FF"/>
                <w:sz w:val="21"/>
              </w:rPr>
            </w:pPr>
            <w:r>
              <w:rPr>
                <w:color w:val="0000FF"/>
                <w:sz w:val="21"/>
              </w:rPr>
              <w:t>噪声防治</w:t>
            </w:r>
          </w:p>
        </w:tc>
        <w:tc>
          <w:tcPr>
            <w:tcW w:w="2195" w:type="dxa"/>
          </w:tcPr>
          <w:p>
            <w:pPr>
              <w:pStyle w:val="18"/>
              <w:spacing w:before="35"/>
              <w:ind w:left="130" w:right="123"/>
              <w:rPr>
                <w:color w:val="0000FF"/>
                <w:sz w:val="21"/>
              </w:rPr>
            </w:pPr>
            <w:r>
              <w:rPr>
                <w:color w:val="0000FF"/>
                <w:sz w:val="21"/>
              </w:rPr>
              <w:t>机械设备噪声</w:t>
            </w:r>
          </w:p>
        </w:tc>
        <w:tc>
          <w:tcPr>
            <w:tcW w:w="3436" w:type="dxa"/>
          </w:tcPr>
          <w:p>
            <w:pPr>
              <w:pStyle w:val="18"/>
              <w:spacing w:before="35"/>
              <w:ind w:left="328" w:right="320"/>
              <w:rPr>
                <w:color w:val="0000FF"/>
                <w:sz w:val="21"/>
              </w:rPr>
            </w:pPr>
            <w:r>
              <w:rPr>
                <w:color w:val="0000FF"/>
                <w:sz w:val="21"/>
              </w:rPr>
              <w:t>噪声设备的消声、减振措施</w:t>
            </w:r>
          </w:p>
        </w:tc>
        <w:tc>
          <w:tcPr>
            <w:tcW w:w="966" w:type="dxa"/>
          </w:tcPr>
          <w:p>
            <w:pPr>
              <w:pStyle w:val="18"/>
              <w:spacing w:before="49"/>
              <w:ind w:left="9"/>
              <w:rPr>
                <w:rFonts w:hint="eastAsia" w:ascii="Times New Roman" w:eastAsia="宋体"/>
                <w:color w:val="0000FF"/>
                <w:sz w:val="21"/>
                <w:lang w:eastAsia="zh-CN"/>
              </w:rPr>
            </w:pPr>
            <w:r>
              <w:rPr>
                <w:rFonts w:hint="eastAsia" w:ascii="Times New Roman"/>
                <w:color w:val="0000FF"/>
                <w:sz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3277" w:type="dxa"/>
            <w:gridSpan w:val="2"/>
          </w:tcPr>
          <w:p>
            <w:pPr>
              <w:pStyle w:val="18"/>
              <w:spacing w:before="35"/>
              <w:ind w:left="1196" w:right="1190"/>
              <w:rPr>
                <w:color w:val="0000FF"/>
                <w:sz w:val="21"/>
              </w:rPr>
            </w:pPr>
            <w:r>
              <w:rPr>
                <w:color w:val="0000FF"/>
                <w:sz w:val="21"/>
              </w:rPr>
              <w:t>绿化工程</w:t>
            </w:r>
          </w:p>
        </w:tc>
        <w:tc>
          <w:tcPr>
            <w:tcW w:w="3436" w:type="dxa"/>
          </w:tcPr>
          <w:p>
            <w:pPr>
              <w:pStyle w:val="18"/>
              <w:spacing w:before="35"/>
              <w:ind w:left="328" w:right="322"/>
              <w:rPr>
                <w:color w:val="0000FF"/>
                <w:sz w:val="21"/>
              </w:rPr>
            </w:pPr>
            <w:r>
              <w:rPr>
                <w:color w:val="0000FF"/>
                <w:sz w:val="21"/>
              </w:rPr>
              <w:t>场区及厂界种树</w:t>
            </w:r>
          </w:p>
        </w:tc>
        <w:tc>
          <w:tcPr>
            <w:tcW w:w="966" w:type="dxa"/>
          </w:tcPr>
          <w:p>
            <w:pPr>
              <w:pStyle w:val="18"/>
              <w:spacing w:before="49"/>
              <w:ind w:left="7"/>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3277" w:type="dxa"/>
            <w:gridSpan w:val="2"/>
          </w:tcPr>
          <w:p>
            <w:pPr>
              <w:pStyle w:val="18"/>
              <w:spacing w:before="36"/>
              <w:ind w:left="1196" w:right="1190"/>
              <w:rPr>
                <w:color w:val="0000FF"/>
                <w:sz w:val="21"/>
              </w:rPr>
            </w:pPr>
            <w:r>
              <w:rPr>
                <w:color w:val="0000FF"/>
                <w:sz w:val="21"/>
              </w:rPr>
              <w:t>环境监测</w:t>
            </w:r>
          </w:p>
        </w:tc>
        <w:tc>
          <w:tcPr>
            <w:tcW w:w="3436" w:type="dxa"/>
          </w:tcPr>
          <w:p>
            <w:pPr>
              <w:pStyle w:val="18"/>
              <w:spacing w:before="36"/>
              <w:ind w:left="328" w:right="322"/>
              <w:rPr>
                <w:color w:val="0000FF"/>
                <w:sz w:val="21"/>
              </w:rPr>
            </w:pPr>
            <w:r>
              <w:rPr>
                <w:color w:val="0000FF"/>
                <w:sz w:val="21"/>
              </w:rPr>
              <w:t>定期委托监测</w:t>
            </w:r>
          </w:p>
        </w:tc>
        <w:tc>
          <w:tcPr>
            <w:tcW w:w="966" w:type="dxa"/>
          </w:tcPr>
          <w:p>
            <w:pPr>
              <w:pStyle w:val="18"/>
              <w:spacing w:before="50"/>
              <w:ind w:left="9"/>
              <w:rPr>
                <w:rFonts w:hint="eastAsia" w:ascii="Times New Roman" w:eastAsia="宋体"/>
                <w:color w:val="0000FF"/>
                <w:sz w:val="21"/>
                <w:lang w:eastAsia="zh-CN"/>
              </w:rPr>
            </w:pPr>
            <w:r>
              <w:rPr>
                <w:rFonts w:hint="eastAsia" w:ascii="Times New Roman"/>
                <w:color w:val="0000FF"/>
                <w:w w:val="99"/>
                <w:sz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53" w:type="dxa"/>
            <w:gridSpan w:val="4"/>
          </w:tcPr>
          <w:p>
            <w:pPr>
              <w:pStyle w:val="18"/>
              <w:spacing w:before="34"/>
              <w:ind w:left="3544" w:right="3539"/>
              <w:rPr>
                <w:color w:val="0000FF"/>
                <w:sz w:val="21"/>
              </w:rPr>
            </w:pPr>
            <w:r>
              <w:rPr>
                <w:color w:val="0000FF"/>
                <w:sz w:val="21"/>
              </w:rPr>
              <w:t>合计</w:t>
            </w:r>
          </w:p>
        </w:tc>
        <w:tc>
          <w:tcPr>
            <w:tcW w:w="966" w:type="dxa"/>
          </w:tcPr>
          <w:p>
            <w:pPr>
              <w:pStyle w:val="18"/>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156</w:t>
            </w:r>
          </w:p>
        </w:tc>
      </w:tr>
    </w:tbl>
    <w:p/>
    <w:p>
      <w:pPr>
        <w:pStyle w:val="17"/>
        <w:numPr>
          <w:ilvl w:val="2"/>
          <w:numId w:val="74"/>
        </w:numPr>
        <w:tabs>
          <w:tab w:val="left" w:pos="1241"/>
        </w:tabs>
        <w:spacing w:before="195" w:after="0" w:line="240" w:lineRule="auto"/>
        <w:ind w:left="1240" w:right="0" w:hanging="701"/>
        <w:jc w:val="left"/>
        <w:outlineLvl w:val="2"/>
        <w:rPr>
          <w:b/>
          <w:sz w:val="28"/>
        </w:rPr>
      </w:pPr>
      <w:bookmarkStart w:id="451" w:name="7.3.2 环境效益分析"/>
      <w:bookmarkEnd w:id="451"/>
      <w:bookmarkStart w:id="452" w:name="7.3.2 环境效益分析"/>
      <w:bookmarkEnd w:id="452"/>
      <w:bookmarkStart w:id="453" w:name="_Toc12834"/>
      <w:r>
        <w:rPr>
          <w:b/>
          <w:sz w:val="28"/>
        </w:rPr>
        <w:t>环境效益分析</w:t>
      </w:r>
      <w:bookmarkEnd w:id="453"/>
    </w:p>
    <w:p>
      <w:pPr>
        <w:pStyle w:val="7"/>
        <w:spacing w:before="7"/>
        <w:ind w:left="0"/>
        <w:rPr>
          <w:b/>
          <w:sz w:val="21"/>
        </w:rPr>
      </w:pPr>
    </w:p>
    <w:p>
      <w:pPr>
        <w:pStyle w:val="7"/>
        <w:spacing w:line="364" w:lineRule="auto"/>
        <w:ind w:right="577" w:firstLine="480"/>
        <w:jc w:val="both"/>
      </w:pPr>
      <w:r>
        <w:rPr>
          <w:spacing w:val="-8"/>
        </w:rPr>
        <w:t>通过环保投资，采取各种环保措施对废气、废水、噪声、固体废物污染进行</w:t>
      </w:r>
      <w:r>
        <w:rPr>
          <w:spacing w:val="-10"/>
        </w:rPr>
        <w:t>控制，实现了废物资源化利用，同时减少了项目对环境造成的污染，达到了削减</w:t>
      </w:r>
      <w:r>
        <w:t>污染物排放量，保护环境的目的。具体表现在以下方面：</w:t>
      </w:r>
    </w:p>
    <w:p>
      <w:pPr>
        <w:pStyle w:val="17"/>
        <w:numPr>
          <w:ilvl w:val="3"/>
          <w:numId w:val="74"/>
        </w:numPr>
        <w:tabs>
          <w:tab w:val="left" w:pos="1621"/>
        </w:tabs>
        <w:spacing w:before="2" w:after="0" w:line="364" w:lineRule="auto"/>
        <w:ind w:left="540" w:right="485" w:firstLine="480"/>
        <w:jc w:val="left"/>
        <w:rPr>
          <w:sz w:val="24"/>
        </w:rPr>
      </w:pPr>
      <w:r>
        <w:rPr>
          <w:sz w:val="24"/>
        </w:rPr>
        <w:t>本项目每天产生的粪便由人工清理至堆肥厂通过高温堆肥发酵处理方式对固体粪污进行无害化处理，符合《粪便无害化卫生要求》（</w:t>
      </w:r>
      <w:r>
        <w:rPr>
          <w:rFonts w:ascii="Times New Roman" w:eastAsia="Times New Roman"/>
          <w:sz w:val="24"/>
        </w:rPr>
        <w:t>GB7959-2012</w:t>
      </w:r>
      <w:r>
        <w:rPr>
          <w:sz w:val="24"/>
        </w:rPr>
        <w:t>）</w:t>
      </w:r>
      <w:r>
        <w:rPr>
          <w:spacing w:val="-11"/>
          <w:sz w:val="24"/>
        </w:rPr>
        <w:t>后，外售给附近村民，直接还田进行土地利用，禁止未经处理的畜禽粪便直接施</w:t>
      </w:r>
      <w:r>
        <w:rPr>
          <w:spacing w:val="-10"/>
          <w:sz w:val="24"/>
        </w:rPr>
        <w:t>入农田。本项目养殖场每栋羊舍地面为混凝土地面，上端覆盖</w:t>
      </w:r>
      <w:r>
        <w:rPr>
          <w:rFonts w:ascii="Times New Roman" w:eastAsia="Times New Roman"/>
          <w:sz w:val="24"/>
        </w:rPr>
        <w:t>35cm</w:t>
      </w:r>
      <w:r>
        <w:rPr>
          <w:spacing w:val="-3"/>
          <w:sz w:val="24"/>
        </w:rPr>
        <w:t>厚垫料，铺</w:t>
      </w:r>
      <w:r>
        <w:rPr>
          <w:spacing w:val="-9"/>
          <w:sz w:val="24"/>
        </w:rPr>
        <w:t>设垫床一般采用废气杂草、农作物秸秆粉、锯末等农业材料，羊排泄的尿液和粪</w:t>
      </w:r>
      <w:r>
        <w:rPr>
          <w:spacing w:val="-11"/>
          <w:sz w:val="24"/>
        </w:rPr>
        <w:t>便进入垫料，经羊踩结形成粪床。根据业主提供的资料，粪床每</w:t>
      </w:r>
      <w:r>
        <w:rPr>
          <w:rFonts w:ascii="Times New Roman" w:eastAsia="Times New Roman"/>
          <w:sz w:val="24"/>
        </w:rPr>
        <w:t>1</w:t>
      </w:r>
      <w:r>
        <w:rPr>
          <w:spacing w:val="-4"/>
          <w:sz w:val="24"/>
        </w:rPr>
        <w:t>年清理一次，</w:t>
      </w:r>
      <w:r>
        <w:rPr>
          <w:spacing w:val="-8"/>
          <w:sz w:val="24"/>
        </w:rPr>
        <w:t>垫料层与羊粪、粪渣一起进入堆肥厂高温发酵无害化处理，不外排，实现综合利用。</w:t>
      </w:r>
    </w:p>
    <w:p>
      <w:pPr>
        <w:pStyle w:val="17"/>
        <w:numPr>
          <w:ilvl w:val="3"/>
          <w:numId w:val="74"/>
        </w:numPr>
        <w:tabs>
          <w:tab w:val="left" w:pos="1621"/>
        </w:tabs>
        <w:spacing w:before="5" w:after="0" w:line="364" w:lineRule="auto"/>
        <w:ind w:left="540" w:right="577" w:firstLine="480"/>
        <w:jc w:val="left"/>
        <w:rPr>
          <w:sz w:val="24"/>
        </w:rPr>
      </w:pPr>
      <w:r>
        <w:rPr>
          <w:spacing w:val="-1"/>
          <w:sz w:val="24"/>
        </w:rPr>
        <w:t>项目制成的有机肥施用于农田，使羊粪的减量化、无害化、资源化处</w:t>
      </w:r>
      <w:r>
        <w:rPr>
          <w:spacing w:val="-8"/>
          <w:sz w:val="24"/>
        </w:rPr>
        <w:t>理与处置满足环境保护要求，形成肉羊养殖</w:t>
      </w:r>
      <w:r>
        <w:rPr>
          <w:rFonts w:ascii="Times New Roman" w:hAnsi="Times New Roman" w:eastAsia="Times New Roman"/>
          <w:sz w:val="24"/>
        </w:rPr>
        <w:t>→</w:t>
      </w:r>
      <w:r>
        <w:rPr>
          <w:sz w:val="24"/>
        </w:rPr>
        <w:t>粪污</w:t>
      </w:r>
      <w:r>
        <w:rPr>
          <w:rFonts w:ascii="Times New Roman" w:hAnsi="Times New Roman" w:eastAsia="Times New Roman"/>
          <w:sz w:val="24"/>
        </w:rPr>
        <w:t>→</w:t>
      </w:r>
      <w:r>
        <w:rPr>
          <w:sz w:val="24"/>
        </w:rPr>
        <w:t>肥料还田</w:t>
      </w:r>
      <w:r>
        <w:rPr>
          <w:rFonts w:ascii="Times New Roman" w:hAnsi="Times New Roman" w:eastAsia="Times New Roman"/>
          <w:sz w:val="24"/>
        </w:rPr>
        <w:t>→</w:t>
      </w:r>
      <w:r>
        <w:rPr>
          <w:sz w:val="24"/>
        </w:rPr>
        <w:t>生产粮食</w:t>
      </w:r>
      <w:r>
        <w:rPr>
          <w:rFonts w:ascii="Times New Roman" w:hAnsi="Times New Roman" w:eastAsia="Times New Roman"/>
          <w:sz w:val="24"/>
        </w:rPr>
        <w:t>→</w:t>
      </w:r>
      <w:r>
        <w:rPr>
          <w:spacing w:val="-8"/>
          <w:sz w:val="24"/>
        </w:rPr>
        <w:t>养羊</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55"/>
      </w:pPr>
      <w:r>
        <w:rPr>
          <w:spacing w:val="-13"/>
        </w:rPr>
        <w:t>饲料良性循环的产业结构链，对项目区域农业生态环境、大气环境、地表水环境、</w:t>
      </w:r>
      <w:r>
        <w:t>地下水环境的改善都将产生积极作用。</w:t>
      </w:r>
    </w:p>
    <w:p>
      <w:pPr>
        <w:pStyle w:val="17"/>
        <w:numPr>
          <w:ilvl w:val="3"/>
          <w:numId w:val="74"/>
        </w:numPr>
        <w:tabs>
          <w:tab w:val="left" w:pos="1623"/>
        </w:tabs>
        <w:spacing w:before="1" w:after="0" w:line="364" w:lineRule="auto"/>
        <w:ind w:left="540" w:right="577" w:firstLine="480"/>
        <w:jc w:val="both"/>
        <w:rPr>
          <w:sz w:val="24"/>
        </w:rPr>
      </w:pPr>
      <w:r>
        <w:rPr>
          <w:spacing w:val="-1"/>
          <w:sz w:val="24"/>
        </w:rPr>
        <w:t>本项目病死畜禽无害化处理最终得到肉骨粉干品和工业用油脂。肉骨</w:t>
      </w:r>
      <w:r>
        <w:rPr>
          <w:spacing w:val="-8"/>
          <w:sz w:val="24"/>
        </w:rPr>
        <w:t>粉可出售给肉骨粉干品生产厂；油脂可作为化工用油及生物柴油的原料出售给工</w:t>
      </w:r>
      <w:r>
        <w:rPr>
          <w:sz w:val="24"/>
        </w:rPr>
        <w:t>业用油脂厂。</w:t>
      </w:r>
    </w:p>
    <w:p>
      <w:pPr>
        <w:pStyle w:val="17"/>
        <w:numPr>
          <w:ilvl w:val="3"/>
          <w:numId w:val="74"/>
        </w:numPr>
        <w:tabs>
          <w:tab w:val="left" w:pos="1621"/>
        </w:tabs>
        <w:spacing w:before="2" w:after="0" w:line="364" w:lineRule="auto"/>
        <w:ind w:left="540" w:right="580" w:firstLine="480"/>
        <w:jc w:val="left"/>
        <w:rPr>
          <w:sz w:val="24"/>
        </w:rPr>
      </w:pPr>
      <w:r>
        <w:rPr>
          <w:spacing w:val="-1"/>
          <w:sz w:val="24"/>
        </w:rPr>
        <w:t>项目噪声源经采取隔声减振等消声、降噪处理措施后，厂界噪声能达</w:t>
      </w:r>
      <w:r>
        <w:rPr>
          <w:sz w:val="24"/>
        </w:rPr>
        <w:t>到相关的标准要求，生产噪声对外环境的影响将减轻。</w:t>
      </w:r>
    </w:p>
    <w:p>
      <w:pPr>
        <w:pStyle w:val="17"/>
        <w:numPr>
          <w:ilvl w:val="3"/>
          <w:numId w:val="74"/>
        </w:numPr>
        <w:tabs>
          <w:tab w:val="left" w:pos="1623"/>
        </w:tabs>
        <w:spacing w:before="1" w:after="0" w:line="364" w:lineRule="auto"/>
        <w:ind w:left="540" w:right="577" w:firstLine="480"/>
        <w:jc w:val="left"/>
        <w:rPr>
          <w:sz w:val="24"/>
        </w:rPr>
      </w:pPr>
      <w:r>
        <w:rPr>
          <w:spacing w:val="-1"/>
          <w:sz w:val="24"/>
        </w:rPr>
        <w:t>病死尸体无害化处理车间配套安装光解除臭装置，臭气经处理后可达</w:t>
      </w:r>
      <w:r>
        <w:rPr>
          <w:sz w:val="24"/>
        </w:rPr>
        <w:t>标排放。</w:t>
      </w:r>
    </w:p>
    <w:p>
      <w:pPr>
        <w:pStyle w:val="17"/>
        <w:numPr>
          <w:ilvl w:val="3"/>
          <w:numId w:val="74"/>
        </w:numPr>
        <w:tabs>
          <w:tab w:val="left" w:pos="1621"/>
        </w:tabs>
        <w:spacing w:before="1" w:after="0" w:line="240" w:lineRule="auto"/>
        <w:ind w:left="1621" w:right="0" w:hanging="601"/>
        <w:jc w:val="left"/>
        <w:rPr>
          <w:sz w:val="24"/>
        </w:rPr>
      </w:pPr>
      <w:r>
        <w:rPr>
          <w:sz w:val="24"/>
        </w:rPr>
        <w:t>项目产生固废均得到了综合利用和合理处置。</w:t>
      </w:r>
    </w:p>
    <w:p>
      <w:pPr>
        <w:pStyle w:val="7"/>
        <w:spacing w:before="161" w:line="364" w:lineRule="auto"/>
        <w:ind w:right="577" w:firstLine="480"/>
        <w:jc w:val="both"/>
      </w:pPr>
      <w:r>
        <w:rPr>
          <w:spacing w:val="-6"/>
        </w:rPr>
        <w:t>环保设施的经济效益不仅表现在其创造了多少产值，还表现在它的间接经济</w:t>
      </w:r>
      <w:r>
        <w:rPr>
          <w:spacing w:val="-5"/>
        </w:rPr>
        <w:t>效益即环保设施的有效运行保证了人类良好的生活条件、生存环境和生产活动的</w:t>
      </w:r>
      <w:r>
        <w:rPr>
          <w:spacing w:val="-6"/>
        </w:rPr>
        <w:t>可持续发展以及由此创造的可观经济效益。从该意义上讲，项目环保设施的间接</w:t>
      </w:r>
      <w:r>
        <w:t>经济效益是非常明显的。</w:t>
      </w:r>
    </w:p>
    <w:p>
      <w:pPr>
        <w:pStyle w:val="4"/>
        <w:numPr>
          <w:ilvl w:val="1"/>
          <w:numId w:val="73"/>
        </w:numPr>
        <w:tabs>
          <w:tab w:val="left" w:pos="1100"/>
        </w:tabs>
        <w:spacing w:before="155" w:after="0" w:line="240" w:lineRule="auto"/>
        <w:ind w:left="1099" w:right="0" w:hanging="560"/>
        <w:jc w:val="left"/>
        <w:outlineLvl w:val="1"/>
      </w:pPr>
      <w:bookmarkStart w:id="454" w:name="7.4 环境经济损益分析结论"/>
      <w:bookmarkEnd w:id="454"/>
      <w:bookmarkStart w:id="455" w:name="_bookmark34"/>
      <w:bookmarkEnd w:id="455"/>
      <w:bookmarkStart w:id="456" w:name="_bookmark34"/>
      <w:bookmarkEnd w:id="456"/>
      <w:bookmarkStart w:id="457" w:name="_Toc9336"/>
      <w:r>
        <w:t>环境经济损益分析结论</w:t>
      </w:r>
      <w:bookmarkEnd w:id="457"/>
    </w:p>
    <w:p>
      <w:pPr>
        <w:pStyle w:val="7"/>
        <w:spacing w:before="3"/>
        <w:ind w:left="0"/>
        <w:rPr>
          <w:b/>
        </w:rPr>
      </w:pPr>
    </w:p>
    <w:p>
      <w:pPr>
        <w:pStyle w:val="7"/>
        <w:spacing w:line="364" w:lineRule="auto"/>
        <w:ind w:right="577" w:firstLine="480"/>
        <w:jc w:val="both"/>
      </w:pPr>
      <w:r>
        <w:rPr>
          <w:spacing w:val="-10"/>
        </w:rPr>
        <w:t>综上所述，通过对本项目的经济、社会和环境效益分析可知，在落实本评价</w:t>
      </w:r>
      <w:r>
        <w:rPr>
          <w:spacing w:val="-6"/>
        </w:rPr>
        <w:t>提出的各项污染防治措施的前提下，本项目的建设能够达到经济效益、社会效益</w:t>
      </w:r>
      <w:r>
        <w:rPr>
          <w:spacing w:val="-9"/>
        </w:rPr>
        <w:t>和环境效益的统一，既为地方经济发展做出贡献，又使污染物排放量在环境容量容许的范围内降低到最低。因此本项目的建设从环境经济损益的角度分析是可行</w:t>
      </w:r>
      <w:r>
        <w:t>的。</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outlineLvl w:val="0"/>
      </w:pPr>
      <w:bookmarkStart w:id="458" w:name="第八章  环境管理及监测计划"/>
      <w:bookmarkEnd w:id="458"/>
      <w:bookmarkStart w:id="459" w:name="_bookmark35"/>
      <w:bookmarkEnd w:id="459"/>
      <w:bookmarkStart w:id="460" w:name="_Toc18825"/>
      <w:r>
        <w:t>第八章</w:t>
      </w:r>
      <w:r>
        <w:tab/>
      </w:r>
      <w:r>
        <w:t>环境管理及监测计划</w:t>
      </w:r>
      <w:bookmarkEnd w:id="460"/>
    </w:p>
    <w:p>
      <w:pPr>
        <w:pStyle w:val="4"/>
        <w:numPr>
          <w:ilvl w:val="1"/>
          <w:numId w:val="75"/>
        </w:numPr>
        <w:tabs>
          <w:tab w:val="left" w:pos="1100"/>
        </w:tabs>
        <w:spacing w:before="315" w:after="0" w:line="240" w:lineRule="auto"/>
        <w:ind w:left="1099" w:right="0" w:hanging="560"/>
        <w:jc w:val="left"/>
        <w:outlineLvl w:val="1"/>
      </w:pPr>
      <w:bookmarkStart w:id="461" w:name="_bookmark36"/>
      <w:bookmarkEnd w:id="461"/>
      <w:bookmarkStart w:id="462" w:name="8.1 环境管理"/>
      <w:bookmarkEnd w:id="462"/>
      <w:bookmarkStart w:id="463" w:name="_bookmark36"/>
      <w:bookmarkEnd w:id="463"/>
      <w:bookmarkStart w:id="464" w:name="_Toc11850"/>
      <w:r>
        <w:t>环境管理</w:t>
      </w:r>
      <w:bookmarkEnd w:id="464"/>
    </w:p>
    <w:p>
      <w:pPr>
        <w:pStyle w:val="7"/>
        <w:spacing w:before="6"/>
        <w:ind w:left="0"/>
        <w:rPr>
          <w:b/>
          <w:sz w:val="28"/>
        </w:rPr>
      </w:pPr>
    </w:p>
    <w:p>
      <w:pPr>
        <w:pStyle w:val="5"/>
        <w:numPr>
          <w:ilvl w:val="2"/>
          <w:numId w:val="75"/>
        </w:numPr>
        <w:tabs>
          <w:tab w:val="left" w:pos="1241"/>
        </w:tabs>
        <w:spacing w:before="0" w:after="0" w:line="240" w:lineRule="auto"/>
        <w:ind w:left="1240" w:right="0" w:hanging="701"/>
        <w:jc w:val="left"/>
        <w:outlineLvl w:val="2"/>
      </w:pPr>
      <w:bookmarkStart w:id="465" w:name="8.1.1 环境管理的必要性"/>
      <w:bookmarkEnd w:id="465"/>
      <w:bookmarkStart w:id="466" w:name="8.1.1 环境管理的必要性"/>
      <w:bookmarkEnd w:id="466"/>
      <w:bookmarkStart w:id="467" w:name="_Toc27550"/>
      <w:r>
        <w:t>环境管理的必要性</w:t>
      </w:r>
      <w:bookmarkEnd w:id="467"/>
    </w:p>
    <w:p>
      <w:pPr>
        <w:pStyle w:val="7"/>
        <w:spacing w:before="5"/>
        <w:ind w:left="0"/>
        <w:rPr>
          <w:b/>
          <w:sz w:val="21"/>
        </w:rPr>
      </w:pPr>
    </w:p>
    <w:p>
      <w:pPr>
        <w:pStyle w:val="7"/>
        <w:spacing w:line="364" w:lineRule="auto"/>
        <w:ind w:right="577" w:firstLine="480"/>
        <w:jc w:val="both"/>
      </w:pPr>
      <w:r>
        <w:rPr>
          <w:spacing w:val="-6"/>
        </w:rPr>
        <w:t>环境管理是企业管理中的重要环节之一。在企业中，建立健全环保机构，加</w:t>
      </w:r>
      <w:r>
        <w:rPr>
          <w:spacing w:val="-8"/>
        </w:rPr>
        <w:t>强环保管理工作，开展厂内环境监测、监督，并把环保工作纳入生产管理，对于减少企业污染物排放，促进资源的合理利用与回收，提高经济效益和环境效益有</w:t>
      </w:r>
      <w:r>
        <w:t>着重要意义。</w:t>
      </w:r>
    </w:p>
    <w:p>
      <w:pPr>
        <w:pStyle w:val="7"/>
        <w:spacing w:before="2" w:line="364" w:lineRule="auto"/>
        <w:ind w:right="485" w:firstLine="480"/>
        <w:jc w:val="both"/>
      </w:pPr>
      <w:r>
        <w:rPr>
          <w:spacing w:val="-4"/>
        </w:rPr>
        <w:t>本项目在营运期将不可避免会对周围环境产生一定的影响，建设单位应根据</w:t>
      </w:r>
      <w:r>
        <w:rPr>
          <w:spacing w:val="-10"/>
        </w:rPr>
        <w:t>本项目的生产工艺特点、排污性质，从环境保护的角度出发，建立健全环保机构</w:t>
      </w:r>
      <w:r>
        <w:rPr>
          <w:spacing w:val="-14"/>
        </w:rPr>
        <w:t>和加强环境监测管理，同时定期进行环境监测，以便及时了解工程在不同时期的</w:t>
      </w:r>
      <w:r>
        <w:rPr>
          <w:spacing w:val="-13"/>
        </w:rPr>
        <w:t>环境影响，采取相应措施，消除不利因素，减轻环境污染，以实现预定的各项环</w:t>
      </w:r>
      <w:r>
        <w:rPr>
          <w:spacing w:val="-14"/>
        </w:rPr>
        <w:t>保目标，从而提高企业的管理水平和改善区域环境质量，使企业持续健康发展。</w:t>
      </w:r>
    </w:p>
    <w:p>
      <w:pPr>
        <w:pStyle w:val="5"/>
        <w:numPr>
          <w:ilvl w:val="2"/>
          <w:numId w:val="75"/>
        </w:numPr>
        <w:tabs>
          <w:tab w:val="left" w:pos="1241"/>
        </w:tabs>
        <w:spacing w:before="117" w:after="0" w:line="240" w:lineRule="auto"/>
        <w:ind w:left="1240" w:right="0" w:hanging="701"/>
        <w:jc w:val="left"/>
        <w:outlineLvl w:val="2"/>
      </w:pPr>
      <w:bookmarkStart w:id="468" w:name="8.1.2 环境管理机构的设置"/>
      <w:bookmarkEnd w:id="468"/>
      <w:bookmarkStart w:id="469" w:name="8.1.2 环境管理机构的设置"/>
      <w:bookmarkEnd w:id="469"/>
      <w:bookmarkStart w:id="470" w:name="_Toc31373"/>
      <w:r>
        <w:t>环境管理机构的设置</w:t>
      </w:r>
      <w:bookmarkEnd w:id="470"/>
    </w:p>
    <w:p>
      <w:pPr>
        <w:pStyle w:val="7"/>
        <w:spacing w:before="7"/>
        <w:ind w:left="0"/>
        <w:rPr>
          <w:b/>
          <w:sz w:val="21"/>
        </w:rPr>
      </w:pPr>
    </w:p>
    <w:p>
      <w:pPr>
        <w:pStyle w:val="7"/>
        <w:spacing w:line="364" w:lineRule="auto"/>
        <w:ind w:right="577" w:firstLine="480"/>
      </w:pPr>
      <w:r>
        <w:t>根据国家、新疆维吾尔自治区有关环保法规和《建设项目环境保护设计规</w:t>
      </w:r>
      <w:r>
        <w:rPr>
          <w:spacing w:val="-11"/>
        </w:rPr>
        <w:t>定》，本项目建成后必须在全厂范围内建立环保监督管理网络，设置环境保护管</w:t>
      </w:r>
      <w:r>
        <w:rPr>
          <w:spacing w:val="-10"/>
        </w:rPr>
        <w:t>理及监测机构，建立健全环保管理机构，设置环保科，由公司分管生产的副总负</w:t>
      </w:r>
      <w:r>
        <w:rPr>
          <w:spacing w:val="-11"/>
        </w:rPr>
        <w:t>责分管，配备相应的环境管理人员，环保科内设专职环保管理人员及监测分析人</w:t>
      </w:r>
      <w:r>
        <w:rPr>
          <w:spacing w:val="-10"/>
        </w:rPr>
        <w:t>员，组成环保机构组织网络。组织网络由环保管理部门、监测分析化验、环保设</w:t>
      </w:r>
      <w:r>
        <w:t>施运营、设备维修、监督巡回检查等部分组成。</w:t>
      </w:r>
    </w:p>
    <w:p>
      <w:pPr>
        <w:pStyle w:val="5"/>
        <w:numPr>
          <w:ilvl w:val="2"/>
          <w:numId w:val="75"/>
        </w:numPr>
        <w:tabs>
          <w:tab w:val="left" w:pos="1241"/>
        </w:tabs>
        <w:spacing w:before="118" w:after="0" w:line="240" w:lineRule="auto"/>
        <w:ind w:left="1240" w:right="0" w:hanging="701"/>
        <w:jc w:val="left"/>
        <w:outlineLvl w:val="2"/>
      </w:pPr>
      <w:bookmarkStart w:id="471" w:name="8.1.3 环境管理机构主要职责"/>
      <w:bookmarkEnd w:id="471"/>
      <w:bookmarkStart w:id="472" w:name="8.1.3 环境管理机构主要职责"/>
      <w:bookmarkEnd w:id="472"/>
      <w:bookmarkStart w:id="473" w:name="_Toc7149"/>
      <w:r>
        <w:t>环境管理机构主要职责</w:t>
      </w:r>
      <w:bookmarkEnd w:id="473"/>
    </w:p>
    <w:p>
      <w:pPr>
        <w:pStyle w:val="7"/>
        <w:spacing w:before="7"/>
        <w:ind w:left="0"/>
        <w:rPr>
          <w:b/>
          <w:sz w:val="21"/>
        </w:rPr>
      </w:pPr>
    </w:p>
    <w:p>
      <w:pPr>
        <w:pStyle w:val="17"/>
        <w:numPr>
          <w:ilvl w:val="3"/>
          <w:numId w:val="75"/>
        </w:numPr>
        <w:tabs>
          <w:tab w:val="left" w:pos="1621"/>
        </w:tabs>
        <w:spacing w:before="0" w:after="0" w:line="364" w:lineRule="auto"/>
        <w:ind w:left="540" w:right="577" w:firstLine="480"/>
        <w:jc w:val="both"/>
        <w:rPr>
          <w:sz w:val="24"/>
        </w:rPr>
      </w:pPr>
      <w:r>
        <w:rPr>
          <w:spacing w:val="-1"/>
          <w:sz w:val="24"/>
        </w:rPr>
        <w:t>认真贯彻执行国家和自治区级、市级环保法规及行业环保规定，负责</w:t>
      </w:r>
      <w:r>
        <w:rPr>
          <w:spacing w:val="-10"/>
          <w:sz w:val="24"/>
        </w:rPr>
        <w:t>制定全场近、远期环境保护规划并督促计划实施。落实环保要求，解决存在的环</w:t>
      </w:r>
      <w:r>
        <w:rPr>
          <w:sz w:val="24"/>
        </w:rPr>
        <w:t>保问题。</w:t>
      </w:r>
    </w:p>
    <w:p>
      <w:pPr>
        <w:pStyle w:val="17"/>
        <w:numPr>
          <w:ilvl w:val="3"/>
          <w:numId w:val="75"/>
        </w:numPr>
        <w:tabs>
          <w:tab w:val="left" w:pos="1621"/>
        </w:tabs>
        <w:spacing w:before="2" w:after="0" w:line="240" w:lineRule="auto"/>
        <w:ind w:left="1621" w:right="0" w:hanging="601"/>
        <w:jc w:val="left"/>
        <w:rPr>
          <w:sz w:val="24"/>
        </w:rPr>
      </w:pPr>
      <w:r>
        <w:rPr>
          <w:sz w:val="24"/>
        </w:rPr>
        <w:t>负责制定全场及岗位环保规章制度，督促检查制度的落实情况。</w:t>
      </w:r>
    </w:p>
    <w:p>
      <w:pPr>
        <w:pStyle w:val="17"/>
        <w:numPr>
          <w:ilvl w:val="3"/>
          <w:numId w:val="75"/>
        </w:numPr>
        <w:tabs>
          <w:tab w:val="left" w:pos="1621"/>
        </w:tabs>
        <w:spacing w:before="160" w:after="0" w:line="364" w:lineRule="auto"/>
        <w:ind w:left="540" w:right="580" w:firstLine="480"/>
        <w:jc w:val="left"/>
        <w:rPr>
          <w:sz w:val="24"/>
        </w:rPr>
      </w:pPr>
      <w:r>
        <w:rPr>
          <w:spacing w:val="-1"/>
          <w:sz w:val="24"/>
        </w:rPr>
        <w:t>落实环保设施运行的管理计划、操作规程，及时汇总存在的问题，提</w:t>
      </w:r>
      <w:r>
        <w:rPr>
          <w:sz w:val="24"/>
        </w:rPr>
        <w:t>交技术部门改进解决。</w:t>
      </w:r>
    </w:p>
    <w:p>
      <w:pPr>
        <w:pStyle w:val="17"/>
        <w:numPr>
          <w:ilvl w:val="3"/>
          <w:numId w:val="75"/>
        </w:numPr>
        <w:tabs>
          <w:tab w:val="left" w:pos="1621"/>
        </w:tabs>
        <w:spacing w:before="1" w:after="0" w:line="240" w:lineRule="auto"/>
        <w:ind w:left="1621" w:right="0" w:hanging="601"/>
        <w:jc w:val="left"/>
        <w:rPr>
          <w:sz w:val="24"/>
        </w:rPr>
      </w:pPr>
      <w:r>
        <w:rPr>
          <w:sz w:val="24"/>
        </w:rPr>
        <w:t>监督检查监测站的工作，建立完整的环保档案，掌握各污染源的排放</w:t>
      </w:r>
    </w:p>
    <w:p>
      <w:pPr>
        <w:spacing w:after="0" w:line="240" w:lineRule="auto"/>
        <w:jc w:val="left"/>
        <w:rPr>
          <w:sz w:val="24"/>
        </w:rPr>
        <w:sectPr>
          <w:footerReference r:id="rId22"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状况及环境质量状况，配合环保部门完成各项环保工作。</w:t>
      </w:r>
    </w:p>
    <w:p>
      <w:pPr>
        <w:pStyle w:val="17"/>
        <w:numPr>
          <w:ilvl w:val="3"/>
          <w:numId w:val="75"/>
        </w:numPr>
        <w:tabs>
          <w:tab w:val="left" w:pos="1621"/>
        </w:tabs>
        <w:spacing w:before="160" w:after="0" w:line="240" w:lineRule="auto"/>
        <w:ind w:left="1621" w:right="0" w:hanging="601"/>
        <w:jc w:val="left"/>
        <w:rPr>
          <w:sz w:val="24"/>
        </w:rPr>
      </w:pPr>
      <w:r>
        <w:rPr>
          <w:sz w:val="24"/>
        </w:rPr>
        <w:t>负责全场畜禽污染事故的调查、处理及上报工作。</w:t>
      </w:r>
    </w:p>
    <w:p>
      <w:pPr>
        <w:pStyle w:val="17"/>
        <w:numPr>
          <w:ilvl w:val="3"/>
          <w:numId w:val="75"/>
        </w:numPr>
        <w:tabs>
          <w:tab w:val="left" w:pos="1621"/>
        </w:tabs>
        <w:spacing w:before="161" w:after="0" w:line="364" w:lineRule="auto"/>
        <w:ind w:left="540" w:right="580" w:firstLine="480"/>
        <w:jc w:val="left"/>
        <w:rPr>
          <w:sz w:val="24"/>
        </w:rPr>
      </w:pPr>
      <w:r>
        <w:rPr>
          <w:spacing w:val="-1"/>
          <w:sz w:val="24"/>
        </w:rPr>
        <w:t>负责全场职工的环保教育及培训，不断提高全体员工的环保意识和环</w:t>
      </w:r>
      <w:r>
        <w:rPr>
          <w:sz w:val="24"/>
        </w:rPr>
        <w:t>保专业人员的专业技术水平。</w:t>
      </w:r>
    </w:p>
    <w:p>
      <w:pPr>
        <w:pStyle w:val="5"/>
        <w:numPr>
          <w:ilvl w:val="2"/>
          <w:numId w:val="75"/>
        </w:numPr>
        <w:tabs>
          <w:tab w:val="left" w:pos="1241"/>
        </w:tabs>
        <w:spacing w:before="115" w:after="0" w:line="240" w:lineRule="auto"/>
        <w:ind w:left="1240" w:right="0" w:hanging="701"/>
        <w:jc w:val="left"/>
        <w:outlineLvl w:val="2"/>
      </w:pPr>
      <w:bookmarkStart w:id="474" w:name="8.1.4 环境管理制度的建立"/>
      <w:bookmarkEnd w:id="474"/>
      <w:bookmarkStart w:id="475" w:name="8.1.4 环境管理制度的建立"/>
      <w:bookmarkEnd w:id="475"/>
      <w:bookmarkStart w:id="476" w:name="_Toc32578"/>
      <w:r>
        <w:t>环境管理制度的建立</w:t>
      </w:r>
      <w:bookmarkEnd w:id="476"/>
    </w:p>
    <w:p>
      <w:pPr>
        <w:pStyle w:val="7"/>
        <w:spacing w:before="7"/>
        <w:ind w:left="0"/>
        <w:rPr>
          <w:b/>
          <w:sz w:val="21"/>
        </w:rPr>
      </w:pPr>
    </w:p>
    <w:p>
      <w:pPr>
        <w:pStyle w:val="17"/>
        <w:numPr>
          <w:ilvl w:val="0"/>
          <w:numId w:val="76"/>
        </w:numPr>
        <w:tabs>
          <w:tab w:val="left" w:pos="1621"/>
        </w:tabs>
        <w:spacing w:before="0" w:after="0" w:line="240" w:lineRule="auto"/>
        <w:ind w:left="1621" w:right="0" w:hanging="601"/>
        <w:jc w:val="left"/>
        <w:rPr>
          <w:sz w:val="24"/>
        </w:rPr>
      </w:pPr>
      <w:r>
        <w:rPr>
          <w:sz w:val="24"/>
        </w:rPr>
        <w:t>报告制度</w:t>
      </w:r>
    </w:p>
    <w:p>
      <w:pPr>
        <w:pStyle w:val="7"/>
        <w:spacing w:before="160" w:line="364" w:lineRule="auto"/>
        <w:ind w:right="577" w:firstLine="480"/>
        <w:jc w:val="both"/>
      </w:pPr>
      <w:r>
        <w:rPr>
          <w:spacing w:val="-8"/>
        </w:rPr>
        <w:t>建设单位应严格执行季报制度。即每季度向当地环保部门报告污染治理设施</w:t>
      </w:r>
      <w:r>
        <w:rPr>
          <w:spacing w:val="-10"/>
        </w:rPr>
        <w:t>的运行情况、污染物的排放情况以及污染事故、污染纠纷等情况。企业排污发生</w:t>
      </w:r>
      <w:r>
        <w:t>重大变化、污染治理设施改变或生产运行计划改变等都必须向当地环保部门申报，经审批同意后方可实施。</w:t>
      </w:r>
    </w:p>
    <w:p>
      <w:pPr>
        <w:pStyle w:val="17"/>
        <w:numPr>
          <w:ilvl w:val="0"/>
          <w:numId w:val="76"/>
        </w:numPr>
        <w:tabs>
          <w:tab w:val="left" w:pos="1621"/>
        </w:tabs>
        <w:spacing w:before="3" w:after="0" w:line="240" w:lineRule="auto"/>
        <w:ind w:left="1621" w:right="0" w:hanging="601"/>
        <w:jc w:val="left"/>
        <w:rPr>
          <w:sz w:val="24"/>
        </w:rPr>
      </w:pPr>
      <w:r>
        <w:rPr>
          <w:sz w:val="24"/>
        </w:rPr>
        <w:t>污染处理设施的管理制度</w:t>
      </w:r>
    </w:p>
    <w:p>
      <w:pPr>
        <w:pStyle w:val="7"/>
        <w:spacing w:before="160" w:line="364" w:lineRule="auto"/>
        <w:ind w:right="577" w:firstLine="480"/>
      </w:pPr>
      <w:r>
        <w:rPr>
          <w:spacing w:val="-4"/>
        </w:rPr>
        <w:t>对污染治理设施和管理必须与生产经营活动一起纳入企业的日常管理中，要</w:t>
      </w:r>
      <w:r>
        <w:t>建立岗位责任制，制定操作规程，建立管理台帐。</w:t>
      </w:r>
    </w:p>
    <w:p>
      <w:pPr>
        <w:pStyle w:val="17"/>
        <w:numPr>
          <w:ilvl w:val="0"/>
          <w:numId w:val="76"/>
        </w:numPr>
        <w:tabs>
          <w:tab w:val="left" w:pos="1621"/>
        </w:tabs>
        <w:spacing w:before="2" w:after="0" w:line="240" w:lineRule="auto"/>
        <w:ind w:left="1621" w:right="0" w:hanging="601"/>
        <w:jc w:val="left"/>
        <w:rPr>
          <w:sz w:val="24"/>
        </w:rPr>
      </w:pPr>
      <w:r>
        <w:rPr>
          <w:sz w:val="24"/>
        </w:rPr>
        <w:t>奖惩制度</w:t>
      </w:r>
    </w:p>
    <w:p>
      <w:pPr>
        <w:pStyle w:val="7"/>
        <w:spacing w:before="160" w:line="364" w:lineRule="auto"/>
        <w:ind w:right="577" w:firstLine="480"/>
        <w:jc w:val="both"/>
      </w:pPr>
      <w:r>
        <w:rPr>
          <w:spacing w:val="-7"/>
        </w:rPr>
        <w:t>企业应设置环境保护奖惩制度，对爱护环保设施，节能降耗、改善环境者给</w:t>
      </w:r>
      <w:r>
        <w:rPr>
          <w:spacing w:val="-10"/>
        </w:rPr>
        <w:t>予奖励；对不按环保要求管理，造成环保设施损坏、环境污染和资源、能源浪费</w:t>
      </w:r>
      <w:r>
        <w:t>者予以重罚。</w:t>
      </w:r>
    </w:p>
    <w:p>
      <w:pPr>
        <w:pStyle w:val="5"/>
        <w:numPr>
          <w:ilvl w:val="2"/>
          <w:numId w:val="75"/>
        </w:numPr>
        <w:tabs>
          <w:tab w:val="left" w:pos="1241"/>
        </w:tabs>
        <w:spacing w:before="115" w:after="0" w:line="240" w:lineRule="auto"/>
        <w:ind w:left="1240" w:right="0" w:hanging="701"/>
        <w:jc w:val="left"/>
        <w:outlineLvl w:val="2"/>
      </w:pPr>
      <w:bookmarkStart w:id="477" w:name="8.1.5 环境管理计划"/>
      <w:bookmarkEnd w:id="477"/>
      <w:bookmarkStart w:id="478" w:name="8.1.5 环境管理计划"/>
      <w:bookmarkEnd w:id="478"/>
      <w:bookmarkStart w:id="479" w:name="_Toc8783"/>
      <w:r>
        <w:t>环境管理计划</w:t>
      </w:r>
      <w:bookmarkEnd w:id="479"/>
    </w:p>
    <w:p>
      <w:pPr>
        <w:pStyle w:val="7"/>
        <w:spacing w:before="8"/>
        <w:ind w:left="0"/>
        <w:rPr>
          <w:b/>
          <w:sz w:val="21"/>
        </w:rPr>
      </w:pPr>
    </w:p>
    <w:p>
      <w:pPr>
        <w:pStyle w:val="7"/>
        <w:ind w:left="1020"/>
        <w:rPr>
          <w:rFonts w:ascii="Times New Roman" w:eastAsia="Times New Roman"/>
        </w:rPr>
      </w:pPr>
      <w:r>
        <w:t>项目环境管理计划见表</w:t>
      </w:r>
      <w:r>
        <w:rPr>
          <w:rFonts w:ascii="Times New Roman" w:eastAsia="Times New Roman"/>
        </w:rPr>
        <w:t>8.1-1</w:t>
      </w:r>
    </w:p>
    <w:p>
      <w:pPr>
        <w:pStyle w:val="7"/>
        <w:spacing w:before="7"/>
        <w:ind w:left="0"/>
        <w:rPr>
          <w:rFonts w:ascii="Times New Roman"/>
          <w:sz w:val="20"/>
        </w:rPr>
      </w:pPr>
    </w:p>
    <w:p>
      <w:pPr>
        <w:pStyle w:val="7"/>
        <w:bidi w:val="0"/>
        <w:jc w:val="center"/>
      </w:pPr>
      <w:r>
        <w:t>表</w:t>
      </w:r>
      <w:r>
        <w:rPr>
          <w:rFonts w:ascii="Times New Roman" w:eastAsia="Times New Roman"/>
        </w:rPr>
        <w:t>8.1-1</w:t>
      </w:r>
      <w:r>
        <w:rPr>
          <w:rFonts w:ascii="Times New Roman" w:eastAsia="Times New Roman"/>
        </w:rPr>
        <w:tab/>
      </w:r>
      <w:r>
        <w:t>项目环境管理计划</w:t>
      </w:r>
    </w:p>
    <w:tbl>
      <w:tblPr>
        <w:tblStyle w:val="14"/>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095"/>
        <w:gridCol w:w="5700"/>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6" w:type="dxa"/>
            <w:gridSpan w:val="2"/>
          </w:tcPr>
          <w:p>
            <w:pPr>
              <w:pStyle w:val="18"/>
              <w:spacing w:before="34"/>
              <w:ind w:left="517" w:right="507"/>
              <w:rPr>
                <w:b/>
                <w:sz w:val="21"/>
              </w:rPr>
            </w:pPr>
            <w:r>
              <w:rPr>
                <w:b/>
                <w:sz w:val="21"/>
              </w:rPr>
              <w:t>项目</w:t>
            </w:r>
          </w:p>
        </w:tc>
        <w:tc>
          <w:tcPr>
            <w:tcW w:w="5700" w:type="dxa"/>
          </w:tcPr>
          <w:p>
            <w:pPr>
              <w:pStyle w:val="18"/>
              <w:tabs>
                <w:tab w:val="left" w:pos="429"/>
                <w:tab w:val="left" w:pos="851"/>
                <w:tab w:val="left" w:pos="1271"/>
              </w:tabs>
              <w:spacing w:before="34"/>
              <w:ind w:left="9"/>
              <w:rPr>
                <w:b/>
                <w:sz w:val="21"/>
              </w:rPr>
            </w:pPr>
            <w:r>
              <w:rPr>
                <w:b/>
                <w:sz w:val="21"/>
              </w:rPr>
              <w:t>管</w:t>
            </w:r>
            <w:r>
              <w:rPr>
                <w:b/>
                <w:sz w:val="21"/>
              </w:rPr>
              <w:tab/>
            </w:r>
            <w:r>
              <w:rPr>
                <w:b/>
                <w:sz w:val="21"/>
              </w:rPr>
              <w:t>理</w:t>
            </w:r>
            <w:r>
              <w:rPr>
                <w:b/>
                <w:sz w:val="21"/>
              </w:rPr>
              <w:tab/>
            </w:r>
            <w:r>
              <w:rPr>
                <w:b/>
                <w:sz w:val="21"/>
              </w:rPr>
              <w:t>措</w:t>
            </w:r>
            <w:r>
              <w:rPr>
                <w:b/>
                <w:sz w:val="21"/>
              </w:rPr>
              <w:tab/>
            </w:r>
            <w:r>
              <w:rPr>
                <w:b/>
                <w:sz w:val="21"/>
              </w:rPr>
              <w:t>施</w:t>
            </w:r>
          </w:p>
        </w:tc>
        <w:tc>
          <w:tcPr>
            <w:tcW w:w="1332" w:type="dxa"/>
          </w:tcPr>
          <w:p>
            <w:pPr>
              <w:pStyle w:val="18"/>
              <w:spacing w:before="34"/>
              <w:ind w:left="226" w:right="212"/>
              <w:rPr>
                <w:b/>
                <w:sz w:val="21"/>
              </w:rPr>
            </w:pPr>
            <w:r>
              <w:rPr>
                <w:b/>
                <w:sz w:val="21"/>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8" w:type="dxa"/>
            <w:gridSpan w:val="4"/>
          </w:tcPr>
          <w:p>
            <w:pPr>
              <w:pStyle w:val="18"/>
              <w:spacing w:before="35"/>
              <w:ind w:left="3719" w:right="3709"/>
              <w:rPr>
                <w:sz w:val="21"/>
              </w:rPr>
            </w:pPr>
            <w:r>
              <w:rPr>
                <w:sz w:val="21"/>
              </w:rPr>
              <w:t>一、施工期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01" w:type="dxa"/>
          </w:tcPr>
          <w:p>
            <w:pPr>
              <w:pStyle w:val="18"/>
              <w:spacing w:before="8"/>
              <w:jc w:val="left"/>
              <w:rPr>
                <w:b/>
                <w:sz w:val="18"/>
              </w:rPr>
            </w:pPr>
          </w:p>
          <w:p>
            <w:pPr>
              <w:pStyle w:val="18"/>
              <w:ind w:left="7"/>
              <w:rPr>
                <w:rFonts w:ascii="Times New Roman"/>
                <w:sz w:val="21"/>
              </w:rPr>
            </w:pPr>
            <w:r>
              <w:rPr>
                <w:rFonts w:ascii="Times New Roman"/>
                <w:w w:val="99"/>
                <w:sz w:val="21"/>
              </w:rPr>
              <w:t>1</w:t>
            </w:r>
          </w:p>
        </w:tc>
        <w:tc>
          <w:tcPr>
            <w:tcW w:w="1095" w:type="dxa"/>
          </w:tcPr>
          <w:p>
            <w:pPr>
              <w:pStyle w:val="18"/>
              <w:spacing w:before="7"/>
              <w:jc w:val="left"/>
              <w:rPr>
                <w:b/>
                <w:sz w:val="17"/>
              </w:rPr>
            </w:pPr>
          </w:p>
          <w:p>
            <w:pPr>
              <w:pStyle w:val="18"/>
              <w:ind w:left="106" w:right="99"/>
              <w:rPr>
                <w:sz w:val="21"/>
              </w:rPr>
            </w:pPr>
            <w:r>
              <w:rPr>
                <w:sz w:val="21"/>
              </w:rPr>
              <w:t>空气污染</w:t>
            </w:r>
          </w:p>
        </w:tc>
        <w:tc>
          <w:tcPr>
            <w:tcW w:w="5700" w:type="dxa"/>
          </w:tcPr>
          <w:p>
            <w:pPr>
              <w:pStyle w:val="18"/>
              <w:spacing w:line="240" w:lineRule="exact"/>
              <w:ind w:left="107" w:right="122"/>
              <w:jc w:val="both"/>
              <w:rPr>
                <w:sz w:val="21"/>
              </w:rPr>
            </w:pPr>
            <w:r>
              <w:rPr>
                <w:w w:val="95"/>
                <w:sz w:val="21"/>
              </w:rPr>
              <w:t>施工场地洒水、防尘布覆盖等，降低施工扬尘对周围大气影响；运送建筑材料的车辆采用帆布遮盖；临时土石方防尘布</w:t>
            </w:r>
            <w:r>
              <w:rPr>
                <w:sz w:val="21"/>
              </w:rPr>
              <w:t>覆盖或采用围挡拦挡。</w:t>
            </w:r>
          </w:p>
        </w:tc>
        <w:tc>
          <w:tcPr>
            <w:tcW w:w="1332" w:type="dxa"/>
            <w:vMerge w:val="restart"/>
          </w:tcPr>
          <w:p>
            <w:pPr>
              <w:pStyle w:val="18"/>
              <w:jc w:val="left"/>
              <w:rPr>
                <w:b/>
                <w:sz w:val="20"/>
              </w:rPr>
            </w:pPr>
          </w:p>
          <w:p>
            <w:pPr>
              <w:pStyle w:val="18"/>
              <w:jc w:val="left"/>
              <w:rPr>
                <w:b/>
                <w:sz w:val="20"/>
              </w:rPr>
            </w:pPr>
          </w:p>
          <w:p>
            <w:pPr>
              <w:pStyle w:val="18"/>
              <w:jc w:val="left"/>
              <w:rPr>
                <w:b/>
                <w:sz w:val="20"/>
              </w:rPr>
            </w:pPr>
          </w:p>
          <w:p>
            <w:pPr>
              <w:pStyle w:val="18"/>
              <w:spacing w:before="10"/>
              <w:jc w:val="left"/>
              <w:rPr>
                <w:b/>
                <w:sz w:val="18"/>
              </w:rPr>
            </w:pPr>
          </w:p>
          <w:p>
            <w:pPr>
              <w:pStyle w:val="18"/>
              <w:ind w:left="349"/>
              <w:jc w:val="left"/>
              <w:rPr>
                <w:sz w:val="21"/>
              </w:rPr>
            </w:pPr>
            <w:r>
              <w:rPr>
                <w:sz w:val="21"/>
              </w:rPr>
              <w:t>建设方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8"/>
              <w:spacing w:before="118"/>
              <w:ind w:left="7"/>
              <w:rPr>
                <w:rFonts w:ascii="Times New Roman"/>
                <w:sz w:val="21"/>
              </w:rPr>
            </w:pPr>
            <w:r>
              <w:rPr>
                <w:rFonts w:ascii="Times New Roman"/>
                <w:w w:val="99"/>
                <w:sz w:val="21"/>
              </w:rPr>
              <w:t>2</w:t>
            </w:r>
          </w:p>
        </w:tc>
        <w:tc>
          <w:tcPr>
            <w:tcW w:w="1095" w:type="dxa"/>
          </w:tcPr>
          <w:p>
            <w:pPr>
              <w:pStyle w:val="18"/>
              <w:spacing w:before="105"/>
              <w:ind w:left="104" w:right="99"/>
              <w:rPr>
                <w:sz w:val="21"/>
              </w:rPr>
            </w:pPr>
            <w:r>
              <w:rPr>
                <w:sz w:val="21"/>
              </w:rPr>
              <w:t>废水</w:t>
            </w:r>
          </w:p>
        </w:tc>
        <w:tc>
          <w:tcPr>
            <w:tcW w:w="5700" w:type="dxa"/>
          </w:tcPr>
          <w:p>
            <w:pPr>
              <w:pStyle w:val="18"/>
              <w:spacing w:line="240" w:lineRule="exact"/>
              <w:ind w:left="107" w:right="122"/>
              <w:jc w:val="left"/>
              <w:rPr>
                <w:sz w:val="21"/>
              </w:rPr>
            </w:pPr>
            <w:r>
              <w:rPr>
                <w:w w:val="95"/>
                <w:sz w:val="21"/>
              </w:rPr>
              <w:t>施工期混凝土养护水自然蒸干，冲洗水沉淀后回用，避免随</w:t>
            </w:r>
            <w:r>
              <w:rPr>
                <w:sz w:val="21"/>
              </w:rPr>
              <w:t>意乱排；施工生活污水阿排入防渗旱厕后就近做农肥。</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01" w:type="dxa"/>
          </w:tcPr>
          <w:p>
            <w:pPr>
              <w:pStyle w:val="18"/>
              <w:spacing w:before="7"/>
              <w:jc w:val="left"/>
              <w:rPr>
                <w:b/>
                <w:sz w:val="18"/>
              </w:rPr>
            </w:pPr>
          </w:p>
          <w:p>
            <w:pPr>
              <w:pStyle w:val="18"/>
              <w:ind w:left="7"/>
              <w:rPr>
                <w:rFonts w:ascii="Times New Roman"/>
                <w:sz w:val="21"/>
              </w:rPr>
            </w:pPr>
            <w:r>
              <w:rPr>
                <w:rFonts w:ascii="Times New Roman"/>
                <w:w w:val="99"/>
                <w:sz w:val="21"/>
              </w:rPr>
              <w:t>3</w:t>
            </w:r>
          </w:p>
        </w:tc>
        <w:tc>
          <w:tcPr>
            <w:tcW w:w="1095" w:type="dxa"/>
          </w:tcPr>
          <w:p>
            <w:pPr>
              <w:pStyle w:val="18"/>
              <w:spacing w:before="6"/>
              <w:jc w:val="left"/>
              <w:rPr>
                <w:b/>
                <w:sz w:val="17"/>
              </w:rPr>
            </w:pPr>
          </w:p>
          <w:p>
            <w:pPr>
              <w:pStyle w:val="18"/>
              <w:ind w:left="104" w:right="99"/>
              <w:rPr>
                <w:sz w:val="21"/>
              </w:rPr>
            </w:pPr>
            <w:r>
              <w:rPr>
                <w:sz w:val="21"/>
              </w:rPr>
              <w:t>噪声</w:t>
            </w:r>
          </w:p>
        </w:tc>
        <w:tc>
          <w:tcPr>
            <w:tcW w:w="5700" w:type="dxa"/>
          </w:tcPr>
          <w:p>
            <w:pPr>
              <w:pStyle w:val="18"/>
              <w:spacing w:line="240" w:lineRule="exact"/>
              <w:ind w:left="107" w:right="122"/>
              <w:jc w:val="both"/>
              <w:rPr>
                <w:sz w:val="21"/>
              </w:rPr>
            </w:pPr>
            <w:r>
              <w:rPr>
                <w:w w:val="95"/>
                <w:sz w:val="21"/>
              </w:rPr>
              <w:t>严格执行《建筑施工场界环境噪声排放标准》，高噪声施工不在夜间进行；加强对机械和车辆的维修，保持其较低噪声</w:t>
            </w:r>
            <w:r>
              <w:rPr>
                <w:sz w:val="21"/>
              </w:rPr>
              <w:t>水平。</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8"/>
              <w:spacing w:before="48"/>
              <w:ind w:left="7"/>
              <w:rPr>
                <w:rFonts w:ascii="Times New Roman"/>
                <w:sz w:val="21"/>
              </w:rPr>
            </w:pPr>
            <w:r>
              <w:rPr>
                <w:rFonts w:ascii="Times New Roman"/>
                <w:w w:val="99"/>
                <w:sz w:val="21"/>
              </w:rPr>
              <w:t>4</w:t>
            </w:r>
          </w:p>
        </w:tc>
        <w:tc>
          <w:tcPr>
            <w:tcW w:w="1095" w:type="dxa"/>
          </w:tcPr>
          <w:p>
            <w:pPr>
              <w:pStyle w:val="18"/>
              <w:spacing w:before="34"/>
              <w:ind w:left="106" w:right="99"/>
              <w:rPr>
                <w:sz w:val="21"/>
              </w:rPr>
            </w:pPr>
            <w:r>
              <w:rPr>
                <w:sz w:val="21"/>
              </w:rPr>
              <w:t>固体废物</w:t>
            </w:r>
          </w:p>
        </w:tc>
        <w:tc>
          <w:tcPr>
            <w:tcW w:w="5700" w:type="dxa"/>
          </w:tcPr>
          <w:p>
            <w:pPr>
              <w:pStyle w:val="18"/>
              <w:spacing w:before="34"/>
              <w:ind w:left="6"/>
              <w:rPr>
                <w:sz w:val="21"/>
              </w:rPr>
            </w:pPr>
            <w:r>
              <w:rPr>
                <w:sz w:val="21"/>
              </w:rPr>
              <w:t>建筑垃圾、生活垃圾及时清运。</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8" w:type="dxa"/>
            <w:gridSpan w:val="4"/>
          </w:tcPr>
          <w:p>
            <w:pPr>
              <w:pStyle w:val="18"/>
              <w:spacing w:before="35"/>
              <w:ind w:left="3719" w:right="3709"/>
              <w:rPr>
                <w:sz w:val="21"/>
              </w:rPr>
            </w:pPr>
            <w:r>
              <w:rPr>
                <w:sz w:val="21"/>
              </w:rPr>
              <w:t>二、营运期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01" w:type="dxa"/>
          </w:tcPr>
          <w:p>
            <w:pPr>
              <w:pStyle w:val="18"/>
              <w:spacing w:before="49"/>
              <w:ind w:left="7"/>
              <w:rPr>
                <w:rFonts w:ascii="Times New Roman"/>
                <w:sz w:val="21"/>
              </w:rPr>
            </w:pPr>
            <w:r>
              <w:rPr>
                <w:rFonts w:ascii="Times New Roman"/>
                <w:w w:val="99"/>
                <w:sz w:val="21"/>
              </w:rPr>
              <w:t>1</w:t>
            </w:r>
          </w:p>
        </w:tc>
        <w:tc>
          <w:tcPr>
            <w:tcW w:w="1095" w:type="dxa"/>
          </w:tcPr>
          <w:p>
            <w:pPr>
              <w:pStyle w:val="18"/>
              <w:spacing w:before="35"/>
              <w:ind w:left="106" w:right="99"/>
              <w:rPr>
                <w:sz w:val="21"/>
              </w:rPr>
            </w:pPr>
            <w:r>
              <w:rPr>
                <w:sz w:val="21"/>
              </w:rPr>
              <w:t>大气污染</w:t>
            </w:r>
          </w:p>
        </w:tc>
        <w:tc>
          <w:tcPr>
            <w:tcW w:w="5700" w:type="dxa"/>
          </w:tcPr>
          <w:p>
            <w:pPr>
              <w:pStyle w:val="18"/>
              <w:spacing w:before="35"/>
              <w:ind w:left="9"/>
              <w:rPr>
                <w:sz w:val="21"/>
              </w:rPr>
            </w:pPr>
            <w:r>
              <w:rPr>
                <w:sz w:val="21"/>
              </w:rPr>
              <w:t>加强管理，保证项目废气处理设施正常运行。</w:t>
            </w:r>
          </w:p>
        </w:tc>
        <w:tc>
          <w:tcPr>
            <w:tcW w:w="1332" w:type="dxa"/>
          </w:tcPr>
          <w:p>
            <w:pPr>
              <w:pStyle w:val="18"/>
              <w:spacing w:before="35"/>
              <w:ind w:left="218" w:right="212"/>
              <w:rPr>
                <w:sz w:val="21"/>
              </w:rPr>
            </w:pPr>
            <w:r>
              <w:rPr>
                <w:sz w:val="21"/>
              </w:rPr>
              <w:t>建设方</w:t>
            </w:r>
          </w:p>
        </w:tc>
      </w:tr>
    </w:tbl>
    <w:p>
      <w:pPr>
        <w:spacing w:after="0"/>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4"/>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095"/>
        <w:gridCol w:w="5700"/>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6" w:type="dxa"/>
            <w:gridSpan w:val="2"/>
          </w:tcPr>
          <w:p>
            <w:pPr>
              <w:pStyle w:val="18"/>
              <w:spacing w:before="35"/>
              <w:ind w:left="517" w:right="507"/>
              <w:rPr>
                <w:b/>
                <w:sz w:val="21"/>
              </w:rPr>
            </w:pPr>
            <w:r>
              <w:rPr>
                <w:b/>
                <w:sz w:val="21"/>
              </w:rPr>
              <w:t>项目</w:t>
            </w:r>
          </w:p>
        </w:tc>
        <w:tc>
          <w:tcPr>
            <w:tcW w:w="5700" w:type="dxa"/>
          </w:tcPr>
          <w:p>
            <w:pPr>
              <w:pStyle w:val="18"/>
              <w:tabs>
                <w:tab w:val="left" w:pos="429"/>
                <w:tab w:val="left" w:pos="851"/>
                <w:tab w:val="left" w:pos="1271"/>
              </w:tabs>
              <w:spacing w:before="35"/>
              <w:ind w:left="9"/>
              <w:rPr>
                <w:b/>
                <w:sz w:val="21"/>
              </w:rPr>
            </w:pPr>
            <w:r>
              <w:rPr>
                <w:b/>
                <w:sz w:val="21"/>
              </w:rPr>
              <w:t>管</w:t>
            </w:r>
            <w:r>
              <w:rPr>
                <w:b/>
                <w:sz w:val="21"/>
              </w:rPr>
              <w:tab/>
            </w:r>
            <w:r>
              <w:rPr>
                <w:b/>
                <w:sz w:val="21"/>
              </w:rPr>
              <w:t>理</w:t>
            </w:r>
            <w:r>
              <w:rPr>
                <w:b/>
                <w:sz w:val="21"/>
              </w:rPr>
              <w:tab/>
            </w:r>
            <w:r>
              <w:rPr>
                <w:b/>
                <w:sz w:val="21"/>
              </w:rPr>
              <w:t>措</w:t>
            </w:r>
            <w:r>
              <w:rPr>
                <w:b/>
                <w:sz w:val="21"/>
              </w:rPr>
              <w:tab/>
            </w:r>
            <w:r>
              <w:rPr>
                <w:b/>
                <w:sz w:val="21"/>
              </w:rPr>
              <w:t>施</w:t>
            </w:r>
          </w:p>
        </w:tc>
        <w:tc>
          <w:tcPr>
            <w:tcW w:w="1332" w:type="dxa"/>
          </w:tcPr>
          <w:p>
            <w:pPr>
              <w:pStyle w:val="18"/>
              <w:spacing w:before="35"/>
              <w:ind w:left="246"/>
              <w:jc w:val="left"/>
              <w:rPr>
                <w:b/>
                <w:sz w:val="21"/>
              </w:rPr>
            </w:pPr>
            <w:r>
              <w:rPr>
                <w:b/>
                <w:sz w:val="21"/>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8"/>
              <w:spacing w:before="50"/>
              <w:ind w:left="7"/>
              <w:rPr>
                <w:rFonts w:ascii="Times New Roman"/>
                <w:sz w:val="21"/>
              </w:rPr>
            </w:pPr>
            <w:r>
              <w:rPr>
                <w:rFonts w:ascii="Times New Roman"/>
                <w:w w:val="99"/>
                <w:sz w:val="21"/>
              </w:rPr>
              <w:t>2</w:t>
            </w:r>
          </w:p>
        </w:tc>
        <w:tc>
          <w:tcPr>
            <w:tcW w:w="1095" w:type="dxa"/>
          </w:tcPr>
          <w:p>
            <w:pPr>
              <w:pStyle w:val="18"/>
              <w:spacing w:before="36"/>
              <w:ind w:left="104" w:right="99"/>
              <w:rPr>
                <w:sz w:val="21"/>
              </w:rPr>
            </w:pPr>
            <w:r>
              <w:rPr>
                <w:sz w:val="21"/>
              </w:rPr>
              <w:t>水污染</w:t>
            </w:r>
          </w:p>
        </w:tc>
        <w:tc>
          <w:tcPr>
            <w:tcW w:w="5700" w:type="dxa"/>
          </w:tcPr>
          <w:p>
            <w:pPr>
              <w:pStyle w:val="18"/>
              <w:spacing w:before="36"/>
              <w:ind w:left="6"/>
              <w:rPr>
                <w:sz w:val="21"/>
              </w:rPr>
            </w:pPr>
            <w:r>
              <w:rPr>
                <w:sz w:val="21"/>
              </w:rPr>
              <w:t>加强管理，保证粪污处理设施正常运行。</w:t>
            </w:r>
          </w:p>
        </w:tc>
        <w:tc>
          <w:tcPr>
            <w:tcW w:w="1332" w:type="dxa"/>
            <w:vMerge w:val="restart"/>
          </w:tcPr>
          <w:p>
            <w:pPr>
              <w:pStyle w:val="18"/>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8"/>
              <w:spacing w:before="48"/>
              <w:ind w:left="7"/>
              <w:rPr>
                <w:rFonts w:ascii="Times New Roman"/>
                <w:sz w:val="21"/>
              </w:rPr>
            </w:pPr>
            <w:r>
              <w:rPr>
                <w:rFonts w:ascii="Times New Roman"/>
                <w:w w:val="99"/>
                <w:sz w:val="21"/>
              </w:rPr>
              <w:t>3</w:t>
            </w:r>
          </w:p>
        </w:tc>
        <w:tc>
          <w:tcPr>
            <w:tcW w:w="1095" w:type="dxa"/>
          </w:tcPr>
          <w:p>
            <w:pPr>
              <w:pStyle w:val="18"/>
              <w:spacing w:before="34"/>
              <w:ind w:left="104" w:right="99"/>
              <w:rPr>
                <w:sz w:val="21"/>
              </w:rPr>
            </w:pPr>
            <w:r>
              <w:rPr>
                <w:sz w:val="21"/>
              </w:rPr>
              <w:t>声环境</w:t>
            </w:r>
          </w:p>
        </w:tc>
        <w:tc>
          <w:tcPr>
            <w:tcW w:w="5700" w:type="dxa"/>
          </w:tcPr>
          <w:p>
            <w:pPr>
              <w:pStyle w:val="18"/>
              <w:spacing w:before="34"/>
              <w:ind w:left="9"/>
              <w:rPr>
                <w:sz w:val="21"/>
              </w:rPr>
            </w:pPr>
            <w:r>
              <w:rPr>
                <w:sz w:val="21"/>
              </w:rPr>
              <w:t>加强管理，保证营运期噪声达标排放。</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8"/>
              <w:spacing w:before="118"/>
              <w:ind w:left="7"/>
              <w:rPr>
                <w:rFonts w:ascii="Times New Roman"/>
                <w:sz w:val="21"/>
              </w:rPr>
            </w:pPr>
            <w:r>
              <w:rPr>
                <w:rFonts w:ascii="Times New Roman"/>
                <w:w w:val="99"/>
                <w:sz w:val="21"/>
              </w:rPr>
              <w:t>4</w:t>
            </w:r>
          </w:p>
        </w:tc>
        <w:tc>
          <w:tcPr>
            <w:tcW w:w="1095" w:type="dxa"/>
          </w:tcPr>
          <w:p>
            <w:pPr>
              <w:pStyle w:val="18"/>
              <w:spacing w:before="104"/>
              <w:ind w:left="106" w:right="99"/>
              <w:rPr>
                <w:sz w:val="21"/>
              </w:rPr>
            </w:pPr>
            <w:r>
              <w:rPr>
                <w:sz w:val="21"/>
              </w:rPr>
              <w:t>固体废物</w:t>
            </w:r>
          </w:p>
        </w:tc>
        <w:tc>
          <w:tcPr>
            <w:tcW w:w="5700" w:type="dxa"/>
          </w:tcPr>
          <w:p>
            <w:pPr>
              <w:pStyle w:val="18"/>
              <w:spacing w:line="236" w:lineRule="exact"/>
              <w:ind w:left="107"/>
              <w:jc w:val="left"/>
              <w:rPr>
                <w:sz w:val="21"/>
              </w:rPr>
            </w:pPr>
            <w:r>
              <w:rPr>
                <w:sz w:val="21"/>
              </w:rPr>
              <w:t>加强管理，羊粪、生活垃圾分开收集处置；病死羊及分娩物</w:t>
            </w:r>
          </w:p>
          <w:p>
            <w:pPr>
              <w:pStyle w:val="18"/>
              <w:spacing w:line="224" w:lineRule="exact"/>
              <w:ind w:left="107"/>
              <w:jc w:val="left"/>
              <w:rPr>
                <w:sz w:val="21"/>
              </w:rPr>
            </w:pPr>
            <w:r>
              <w:rPr>
                <w:sz w:val="21"/>
              </w:rPr>
              <w:t>无害化、安全填埋处置。</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8"/>
              <w:spacing w:before="120"/>
              <w:ind w:left="7"/>
              <w:rPr>
                <w:rFonts w:ascii="Times New Roman"/>
                <w:sz w:val="21"/>
              </w:rPr>
            </w:pPr>
            <w:r>
              <w:rPr>
                <w:rFonts w:ascii="Times New Roman"/>
                <w:w w:val="99"/>
                <w:sz w:val="21"/>
              </w:rPr>
              <w:t>5</w:t>
            </w:r>
          </w:p>
        </w:tc>
        <w:tc>
          <w:tcPr>
            <w:tcW w:w="1095" w:type="dxa"/>
          </w:tcPr>
          <w:p>
            <w:pPr>
              <w:pStyle w:val="18"/>
              <w:spacing w:before="106"/>
              <w:ind w:left="106" w:right="99"/>
              <w:rPr>
                <w:sz w:val="21"/>
              </w:rPr>
            </w:pPr>
            <w:r>
              <w:rPr>
                <w:sz w:val="21"/>
              </w:rPr>
              <w:t>环境监测</w:t>
            </w:r>
          </w:p>
        </w:tc>
        <w:tc>
          <w:tcPr>
            <w:tcW w:w="5700" w:type="dxa"/>
          </w:tcPr>
          <w:p>
            <w:pPr>
              <w:pStyle w:val="18"/>
              <w:spacing w:line="236" w:lineRule="exact"/>
              <w:ind w:left="107"/>
              <w:jc w:val="left"/>
              <w:rPr>
                <w:sz w:val="21"/>
              </w:rPr>
            </w:pPr>
            <w:r>
              <w:rPr>
                <w:sz w:val="21"/>
              </w:rPr>
              <w:t>按照环境监测技术规范及国家环保局颁布的监测标准、方法</w:t>
            </w:r>
          </w:p>
          <w:p>
            <w:pPr>
              <w:pStyle w:val="18"/>
              <w:spacing w:line="224" w:lineRule="exact"/>
              <w:ind w:left="107"/>
              <w:jc w:val="left"/>
              <w:rPr>
                <w:sz w:val="21"/>
              </w:rPr>
            </w:pPr>
            <w:r>
              <w:rPr>
                <w:sz w:val="21"/>
              </w:rPr>
              <w:t>执行。</w:t>
            </w:r>
          </w:p>
        </w:tc>
        <w:tc>
          <w:tcPr>
            <w:tcW w:w="1332" w:type="dxa"/>
          </w:tcPr>
          <w:p>
            <w:pPr>
              <w:pStyle w:val="18"/>
              <w:spacing w:line="236" w:lineRule="exact"/>
              <w:ind w:left="107"/>
              <w:jc w:val="left"/>
              <w:rPr>
                <w:sz w:val="21"/>
              </w:rPr>
            </w:pPr>
            <w:r>
              <w:rPr>
                <w:w w:val="95"/>
                <w:sz w:val="21"/>
              </w:rPr>
              <w:t>有资质的环</w:t>
            </w:r>
          </w:p>
          <w:p>
            <w:pPr>
              <w:pStyle w:val="18"/>
              <w:spacing w:line="224" w:lineRule="exact"/>
              <w:ind w:left="107"/>
              <w:jc w:val="left"/>
              <w:rPr>
                <w:sz w:val="21"/>
              </w:rPr>
            </w:pPr>
            <w:r>
              <w:rPr>
                <w:w w:val="95"/>
                <w:sz w:val="21"/>
              </w:rPr>
              <w:t>境监测单位</w:t>
            </w:r>
          </w:p>
        </w:tc>
      </w:tr>
    </w:tbl>
    <w:p>
      <w:pPr>
        <w:pStyle w:val="7"/>
        <w:spacing w:before="9"/>
        <w:ind w:left="0"/>
        <w:rPr>
          <w:b/>
          <w:sz w:val="9"/>
        </w:rPr>
      </w:pPr>
    </w:p>
    <w:p>
      <w:pPr>
        <w:pStyle w:val="17"/>
        <w:numPr>
          <w:ilvl w:val="2"/>
          <w:numId w:val="75"/>
        </w:numPr>
        <w:tabs>
          <w:tab w:val="left" w:pos="1241"/>
        </w:tabs>
        <w:spacing w:before="70" w:after="0" w:line="240" w:lineRule="auto"/>
        <w:ind w:left="1240" w:right="0" w:hanging="701"/>
        <w:jc w:val="left"/>
        <w:outlineLvl w:val="2"/>
        <w:rPr>
          <w:b/>
          <w:sz w:val="28"/>
        </w:rPr>
      </w:pPr>
      <w:bookmarkStart w:id="480" w:name="8.1.6 污染物排放管理要求"/>
      <w:bookmarkEnd w:id="480"/>
      <w:bookmarkStart w:id="481" w:name="8.1.6 污染物排放管理要求"/>
      <w:bookmarkEnd w:id="481"/>
      <w:bookmarkStart w:id="482" w:name="_Toc11481"/>
      <w:r>
        <w:rPr>
          <w:b/>
          <w:sz w:val="28"/>
        </w:rPr>
        <w:t>污染物排放管理要求</w:t>
      </w:r>
      <w:bookmarkEnd w:id="482"/>
    </w:p>
    <w:p>
      <w:pPr>
        <w:pStyle w:val="7"/>
        <w:spacing w:before="7"/>
        <w:ind w:left="0"/>
        <w:rPr>
          <w:b/>
          <w:sz w:val="21"/>
        </w:rPr>
      </w:pPr>
    </w:p>
    <w:p>
      <w:pPr>
        <w:pStyle w:val="7"/>
        <w:spacing w:before="1"/>
        <w:ind w:left="1020"/>
      </w:pPr>
      <w:r>
        <w:t>（</w:t>
      </w:r>
      <w:r>
        <w:rPr>
          <w:rFonts w:ascii="Times New Roman" w:eastAsia="Times New Roman"/>
        </w:rPr>
        <w:t>1</w:t>
      </w:r>
      <w:r>
        <w:t>）污染物排放清单</w:t>
      </w:r>
    </w:p>
    <w:p>
      <w:pPr>
        <w:pStyle w:val="7"/>
        <w:spacing w:before="160"/>
        <w:ind w:left="1020"/>
      </w:pPr>
      <w:r>
        <w:t>本项目污染物排放清单具体见表</w:t>
      </w:r>
      <w:r>
        <w:rPr>
          <w:rFonts w:ascii="Times New Roman" w:eastAsia="Times New Roman"/>
        </w:rPr>
        <w:t>8.1-2</w:t>
      </w:r>
      <w:r>
        <w:t>。</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46" w:after="21"/>
        <w:ind w:left="0" w:right="17" w:firstLine="0"/>
        <w:jc w:val="center"/>
        <w:rPr>
          <w:sz w:val="18"/>
        </w:rPr>
      </w:pPr>
      <w:r>
        <w:rPr>
          <w:rFonts w:hint="eastAsia"/>
          <w:sz w:val="18"/>
          <w:lang w:eastAsia="zh-CN"/>
        </w:rPr>
        <w:t>莎车</w:t>
      </w:r>
      <w:r>
        <w:rPr>
          <w:sz w:val="18"/>
        </w:rPr>
        <w:t>县羊养殖扶贫产业建设项目</w:t>
      </w:r>
    </w:p>
    <w:p>
      <w:pPr>
        <w:pStyle w:val="7"/>
        <w:spacing w:line="20" w:lineRule="exact"/>
        <w:ind w:left="215"/>
        <w:rPr>
          <w:sz w:val="2"/>
        </w:rPr>
      </w:pPr>
      <w:r>
        <w:rPr>
          <w:sz w:val="2"/>
        </w:rPr>
        <mc:AlternateContent>
          <mc:Choice Requires="wpg">
            <w:drawing>
              <wp:inline distT="0" distB="0" distL="114300" distR="114300">
                <wp:extent cx="8863330" cy="6350"/>
                <wp:effectExtent l="0" t="0" r="0" b="0"/>
                <wp:docPr id="99" name="组合 149"/>
                <wp:cNvGraphicFramePr/>
                <a:graphic xmlns:a="http://schemas.openxmlformats.org/drawingml/2006/main">
                  <a:graphicData uri="http://schemas.microsoft.com/office/word/2010/wordprocessingGroup">
                    <wpg:wgp>
                      <wpg:cNvGrpSpPr/>
                      <wpg:grpSpPr>
                        <a:xfrm>
                          <a:off x="0" y="0"/>
                          <a:ext cx="8863330" cy="6350"/>
                          <a:chOff x="0" y="0"/>
                          <a:chExt cx="13958" cy="10"/>
                        </a:xfrm>
                      </wpg:grpSpPr>
                      <wps:wsp>
                        <wps:cNvPr id="98" name="直线 150"/>
                        <wps:cNvCnPr/>
                        <wps:spPr>
                          <a:xfrm>
                            <a:off x="0" y="5"/>
                            <a:ext cx="13958"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49" o:spid="_x0000_s1026" o:spt="203" style="height:0.5pt;width:697.9pt;" coordsize="13958,10" o:gfxdata="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3vR11AAAAAQBAAAPAAAAAAAAAAEAIAAAACIAAABkcnMvZG93bnJldi54&#10;bWxQSwECFAAUAAAACACHTuJAWti1yjcCAAC4BAAADgAAAAAAAAABACAAAAAjAQAAZHJzL2Uyb0Rv&#10;Yy54bWxQSwUGAAAAAAYABgBZAQAAzAUAAAAA&#10;">
                <o:lock v:ext="edit" aspectratio="f"/>
                <v:line id="直线 150" o:spid="_x0000_s1026" o:spt="20" style="position:absolute;left:0;top:5;height:0;width:13958;" filled="f" stroked="t" coordsize="21600,21600" o:gfxdata="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YJL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w10:wrap type="none"/>
                <w10:anchorlock/>
              </v:group>
            </w:pict>
          </mc:Fallback>
        </mc:AlternateContent>
      </w:r>
    </w:p>
    <w:p>
      <w:pPr>
        <w:pStyle w:val="7"/>
        <w:ind w:left="0"/>
        <w:rPr>
          <w:sz w:val="20"/>
        </w:rPr>
      </w:pPr>
    </w:p>
    <w:p>
      <w:pPr>
        <w:pStyle w:val="7"/>
        <w:ind w:left="0"/>
        <w:rPr>
          <w:sz w:val="20"/>
        </w:rPr>
      </w:pPr>
    </w:p>
    <w:p>
      <w:pPr>
        <w:pStyle w:val="7"/>
        <w:spacing w:before="9"/>
        <w:ind w:left="0"/>
        <w:rPr>
          <w:sz w:val="17"/>
        </w:rPr>
      </w:pPr>
    </w:p>
    <w:p>
      <w:pPr>
        <w:pStyle w:val="7"/>
        <w:bidi w:val="0"/>
        <w:jc w:val="center"/>
      </w:pPr>
      <w:r>
        <w:t>表</w:t>
      </w:r>
      <w:r>
        <w:rPr>
          <w:rFonts w:ascii="Times New Roman" w:eastAsia="Times New Roman"/>
        </w:rPr>
        <w:t>8.1-2</w:t>
      </w:r>
      <w:r>
        <w:rPr>
          <w:rFonts w:ascii="Times New Roman" w:eastAsia="Times New Roman"/>
        </w:rPr>
        <w:tab/>
      </w:r>
      <w:r>
        <w:t>项目污染源排放清单</w:t>
      </w: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066"/>
        <w:gridCol w:w="1100"/>
        <w:gridCol w:w="650"/>
        <w:gridCol w:w="1878"/>
        <w:gridCol w:w="1156"/>
        <w:gridCol w:w="1000"/>
        <w:gridCol w:w="1016"/>
        <w:gridCol w:w="1050"/>
        <w:gridCol w:w="1017"/>
        <w:gridCol w:w="2590"/>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restart"/>
          </w:tcPr>
          <w:p>
            <w:pPr>
              <w:pStyle w:val="18"/>
              <w:spacing w:before="97" w:line="213" w:lineRule="auto"/>
              <w:ind w:left="107" w:right="99"/>
              <w:jc w:val="both"/>
              <w:rPr>
                <w:b/>
                <w:sz w:val="21"/>
              </w:rPr>
            </w:pPr>
            <w:r>
              <w:rPr>
                <w:b/>
                <w:sz w:val="21"/>
              </w:rPr>
              <w:t>污染物类型</w:t>
            </w:r>
          </w:p>
        </w:tc>
        <w:tc>
          <w:tcPr>
            <w:tcW w:w="1066" w:type="dxa"/>
            <w:vMerge w:val="restart"/>
          </w:tcPr>
          <w:p>
            <w:pPr>
              <w:pStyle w:val="18"/>
              <w:spacing w:before="6"/>
              <w:jc w:val="left"/>
              <w:rPr>
                <w:b/>
                <w:sz w:val="24"/>
              </w:rPr>
            </w:pPr>
          </w:p>
          <w:p>
            <w:pPr>
              <w:pStyle w:val="18"/>
              <w:ind w:left="111"/>
              <w:jc w:val="left"/>
              <w:rPr>
                <w:b/>
                <w:sz w:val="21"/>
              </w:rPr>
            </w:pPr>
            <w:r>
              <w:rPr>
                <w:b/>
                <w:sz w:val="21"/>
              </w:rPr>
              <w:t>产污环节</w:t>
            </w:r>
          </w:p>
        </w:tc>
        <w:tc>
          <w:tcPr>
            <w:tcW w:w="1100" w:type="dxa"/>
            <w:vMerge w:val="restart"/>
          </w:tcPr>
          <w:p>
            <w:pPr>
              <w:pStyle w:val="18"/>
              <w:spacing w:before="12"/>
              <w:jc w:val="left"/>
              <w:rPr>
                <w:b/>
                <w:sz w:val="16"/>
              </w:rPr>
            </w:pPr>
          </w:p>
          <w:p>
            <w:pPr>
              <w:pStyle w:val="18"/>
              <w:spacing w:line="213" w:lineRule="auto"/>
              <w:ind w:left="454" w:right="159" w:hanging="288"/>
              <w:jc w:val="left"/>
              <w:rPr>
                <w:b/>
                <w:sz w:val="21"/>
              </w:rPr>
            </w:pPr>
            <w:r>
              <w:rPr>
                <w:b/>
                <w:w w:val="90"/>
                <w:sz w:val="21"/>
              </w:rPr>
              <w:t>污染物名</w:t>
            </w:r>
            <w:r>
              <w:rPr>
                <w:b/>
                <w:sz w:val="21"/>
              </w:rPr>
              <w:t>称</w:t>
            </w:r>
          </w:p>
        </w:tc>
        <w:tc>
          <w:tcPr>
            <w:tcW w:w="650" w:type="dxa"/>
            <w:vMerge w:val="restart"/>
          </w:tcPr>
          <w:p>
            <w:pPr>
              <w:pStyle w:val="18"/>
              <w:spacing w:before="12"/>
              <w:jc w:val="left"/>
              <w:rPr>
                <w:b/>
                <w:sz w:val="16"/>
              </w:rPr>
            </w:pPr>
          </w:p>
          <w:p>
            <w:pPr>
              <w:pStyle w:val="18"/>
              <w:spacing w:line="213" w:lineRule="auto"/>
              <w:ind w:left="115" w:right="102"/>
              <w:jc w:val="left"/>
              <w:rPr>
                <w:b/>
                <w:sz w:val="21"/>
              </w:rPr>
            </w:pPr>
            <w:r>
              <w:rPr>
                <w:b/>
                <w:sz w:val="21"/>
              </w:rPr>
              <w:t>排放形式</w:t>
            </w:r>
          </w:p>
        </w:tc>
        <w:tc>
          <w:tcPr>
            <w:tcW w:w="1878" w:type="dxa"/>
            <w:vMerge w:val="restart"/>
          </w:tcPr>
          <w:p>
            <w:pPr>
              <w:pStyle w:val="18"/>
              <w:spacing w:before="12"/>
              <w:jc w:val="left"/>
              <w:rPr>
                <w:b/>
                <w:sz w:val="16"/>
              </w:rPr>
            </w:pPr>
          </w:p>
          <w:p>
            <w:pPr>
              <w:pStyle w:val="18"/>
              <w:spacing w:line="213" w:lineRule="auto"/>
              <w:ind w:left="624" w:right="187" w:hanging="420"/>
              <w:jc w:val="left"/>
              <w:rPr>
                <w:b/>
                <w:sz w:val="21"/>
              </w:rPr>
            </w:pPr>
            <w:r>
              <w:rPr>
                <w:b/>
                <w:sz w:val="21"/>
              </w:rPr>
              <w:t>拟采取的环境保护措施</w:t>
            </w:r>
          </w:p>
        </w:tc>
        <w:tc>
          <w:tcPr>
            <w:tcW w:w="1156" w:type="dxa"/>
            <w:vMerge w:val="restart"/>
          </w:tcPr>
          <w:p>
            <w:pPr>
              <w:pStyle w:val="18"/>
              <w:spacing w:before="1"/>
              <w:jc w:val="left"/>
              <w:rPr>
                <w:b/>
                <w:sz w:val="15"/>
              </w:rPr>
            </w:pPr>
          </w:p>
          <w:p>
            <w:pPr>
              <w:pStyle w:val="18"/>
              <w:spacing w:before="1" w:line="255" w:lineRule="exact"/>
              <w:ind w:left="196"/>
              <w:jc w:val="left"/>
              <w:rPr>
                <w:b/>
                <w:sz w:val="21"/>
              </w:rPr>
            </w:pPr>
            <w:r>
              <w:rPr>
                <w:b/>
                <w:sz w:val="21"/>
              </w:rPr>
              <w:t>排放浓度</w:t>
            </w:r>
          </w:p>
          <w:p>
            <w:pPr>
              <w:pStyle w:val="18"/>
              <w:spacing w:line="255" w:lineRule="exact"/>
              <w:ind w:left="126"/>
              <w:jc w:val="left"/>
              <w:rPr>
                <w:b/>
                <w:sz w:val="21"/>
              </w:rPr>
            </w:pPr>
            <w:r>
              <w:rPr>
                <w:b/>
                <w:w w:val="95"/>
                <w:sz w:val="21"/>
              </w:rPr>
              <w:t>（</w:t>
            </w:r>
            <w:r>
              <w:rPr>
                <w:rFonts w:ascii="Times New Roman" w:eastAsia="Times New Roman"/>
                <w:b/>
                <w:w w:val="95"/>
                <w:sz w:val="21"/>
              </w:rPr>
              <w:t>mg/m</w:t>
            </w:r>
            <w:r>
              <w:rPr>
                <w:rFonts w:ascii="Times New Roman" w:eastAsia="Times New Roman"/>
                <w:b/>
                <w:w w:val="95"/>
                <w:position w:val="7"/>
                <w:sz w:val="13"/>
              </w:rPr>
              <w:t>3</w:t>
            </w:r>
            <w:r>
              <w:rPr>
                <w:b/>
                <w:w w:val="95"/>
                <w:sz w:val="21"/>
              </w:rPr>
              <w:t>）</w:t>
            </w:r>
          </w:p>
        </w:tc>
        <w:tc>
          <w:tcPr>
            <w:tcW w:w="1000" w:type="dxa"/>
            <w:vMerge w:val="restart"/>
          </w:tcPr>
          <w:p>
            <w:pPr>
              <w:pStyle w:val="18"/>
              <w:spacing w:before="1"/>
              <w:jc w:val="left"/>
              <w:rPr>
                <w:b/>
                <w:sz w:val="15"/>
              </w:rPr>
            </w:pPr>
          </w:p>
          <w:p>
            <w:pPr>
              <w:pStyle w:val="18"/>
              <w:spacing w:before="1" w:line="255" w:lineRule="exact"/>
              <w:ind w:left="117"/>
              <w:jc w:val="left"/>
              <w:rPr>
                <w:b/>
                <w:sz w:val="21"/>
              </w:rPr>
            </w:pPr>
            <w:r>
              <w:rPr>
                <w:b/>
                <w:w w:val="95"/>
                <w:sz w:val="21"/>
              </w:rPr>
              <w:t>排放速率</w:t>
            </w:r>
          </w:p>
          <w:p>
            <w:pPr>
              <w:pStyle w:val="18"/>
              <w:spacing w:line="255" w:lineRule="exact"/>
              <w:ind w:left="108"/>
              <w:jc w:val="left"/>
              <w:rPr>
                <w:b/>
                <w:sz w:val="21"/>
              </w:rPr>
            </w:pPr>
            <w:r>
              <w:rPr>
                <w:b/>
                <w:sz w:val="21"/>
              </w:rPr>
              <w:t>（</w:t>
            </w:r>
            <w:r>
              <w:rPr>
                <w:rFonts w:ascii="Times New Roman" w:eastAsia="Times New Roman"/>
                <w:b/>
                <w:sz w:val="21"/>
              </w:rPr>
              <w:t>kg/h</w:t>
            </w:r>
            <w:r>
              <w:rPr>
                <w:b/>
                <w:sz w:val="21"/>
              </w:rPr>
              <w:t>）</w:t>
            </w:r>
          </w:p>
        </w:tc>
        <w:tc>
          <w:tcPr>
            <w:tcW w:w="1016" w:type="dxa"/>
            <w:vMerge w:val="restart"/>
          </w:tcPr>
          <w:p>
            <w:pPr>
              <w:pStyle w:val="18"/>
              <w:spacing w:before="1"/>
              <w:jc w:val="left"/>
              <w:rPr>
                <w:b/>
                <w:sz w:val="15"/>
              </w:rPr>
            </w:pPr>
          </w:p>
          <w:p>
            <w:pPr>
              <w:pStyle w:val="18"/>
              <w:spacing w:before="1" w:line="255" w:lineRule="exact"/>
              <w:ind w:left="219"/>
              <w:jc w:val="left"/>
              <w:rPr>
                <w:b/>
                <w:sz w:val="21"/>
              </w:rPr>
            </w:pPr>
            <w:r>
              <w:rPr>
                <w:b/>
                <w:w w:val="85"/>
                <w:sz w:val="21"/>
              </w:rPr>
              <w:t>排放量</w:t>
            </w:r>
          </w:p>
          <w:p>
            <w:pPr>
              <w:pStyle w:val="18"/>
              <w:spacing w:line="255" w:lineRule="exact"/>
              <w:ind w:left="214"/>
              <w:jc w:val="left"/>
              <w:rPr>
                <w:b/>
                <w:sz w:val="21"/>
              </w:rPr>
            </w:pPr>
            <w:r>
              <w:rPr>
                <w:b/>
                <w:sz w:val="21"/>
              </w:rPr>
              <w:t>（</w:t>
            </w:r>
            <w:r>
              <w:rPr>
                <w:rFonts w:ascii="Times New Roman" w:eastAsia="Times New Roman"/>
                <w:b/>
                <w:sz w:val="21"/>
              </w:rPr>
              <w:t>t/a</w:t>
            </w:r>
            <w:r>
              <w:rPr>
                <w:b/>
                <w:sz w:val="21"/>
              </w:rPr>
              <w:t>）</w:t>
            </w:r>
          </w:p>
        </w:tc>
        <w:tc>
          <w:tcPr>
            <w:tcW w:w="2067" w:type="dxa"/>
            <w:gridSpan w:val="2"/>
          </w:tcPr>
          <w:p>
            <w:pPr>
              <w:pStyle w:val="18"/>
              <w:spacing w:before="33"/>
              <w:ind w:left="612"/>
              <w:jc w:val="left"/>
              <w:rPr>
                <w:b/>
                <w:sz w:val="21"/>
              </w:rPr>
            </w:pPr>
            <w:r>
              <w:rPr>
                <w:b/>
                <w:sz w:val="21"/>
              </w:rPr>
              <w:t>排放标准</w:t>
            </w:r>
          </w:p>
        </w:tc>
        <w:tc>
          <w:tcPr>
            <w:tcW w:w="2590" w:type="dxa"/>
            <w:vMerge w:val="restart"/>
          </w:tcPr>
          <w:p>
            <w:pPr>
              <w:pStyle w:val="18"/>
              <w:spacing w:before="6"/>
              <w:jc w:val="left"/>
              <w:rPr>
                <w:b/>
                <w:sz w:val="24"/>
              </w:rPr>
            </w:pPr>
          </w:p>
          <w:p>
            <w:pPr>
              <w:pStyle w:val="18"/>
              <w:ind w:left="119" w:right="105"/>
              <w:rPr>
                <w:b/>
                <w:sz w:val="21"/>
              </w:rPr>
            </w:pPr>
            <w:r>
              <w:rPr>
                <w:b/>
                <w:sz w:val="21"/>
              </w:rPr>
              <w:t>执行标准</w:t>
            </w:r>
          </w:p>
        </w:tc>
        <w:tc>
          <w:tcPr>
            <w:tcW w:w="1023" w:type="dxa"/>
            <w:vMerge w:val="restart"/>
          </w:tcPr>
          <w:p>
            <w:pPr>
              <w:pStyle w:val="18"/>
              <w:spacing w:before="12"/>
              <w:jc w:val="left"/>
              <w:rPr>
                <w:b/>
                <w:sz w:val="16"/>
              </w:rPr>
            </w:pPr>
          </w:p>
          <w:p>
            <w:pPr>
              <w:pStyle w:val="18"/>
              <w:spacing w:line="213" w:lineRule="auto"/>
              <w:ind w:left="128" w:right="120"/>
              <w:jc w:val="left"/>
              <w:rPr>
                <w:b/>
                <w:sz w:val="21"/>
              </w:rPr>
            </w:pPr>
            <w:r>
              <w:rPr>
                <w:b/>
                <w:w w:val="90"/>
                <w:sz w:val="21"/>
              </w:rPr>
              <w:t>环境风险防范措施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39"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1100" w:type="dxa"/>
            <w:vMerge w:val="continue"/>
            <w:tcBorders>
              <w:top w:val="nil"/>
            </w:tcBorders>
          </w:tcPr>
          <w:p>
            <w:pPr>
              <w:rPr>
                <w:sz w:val="2"/>
                <w:szCs w:val="2"/>
              </w:rPr>
            </w:pPr>
          </w:p>
        </w:tc>
        <w:tc>
          <w:tcPr>
            <w:tcW w:w="650" w:type="dxa"/>
            <w:vMerge w:val="continue"/>
            <w:tcBorders>
              <w:top w:val="nil"/>
            </w:tcBorders>
          </w:tcPr>
          <w:p>
            <w:pPr>
              <w:rPr>
                <w:sz w:val="2"/>
                <w:szCs w:val="2"/>
              </w:rPr>
            </w:pPr>
          </w:p>
        </w:tc>
        <w:tc>
          <w:tcPr>
            <w:tcW w:w="1878" w:type="dxa"/>
            <w:vMerge w:val="continue"/>
            <w:tcBorders>
              <w:top w:val="nil"/>
            </w:tcBorders>
          </w:tcPr>
          <w:p>
            <w:pPr>
              <w:rPr>
                <w:sz w:val="2"/>
                <w:szCs w:val="2"/>
              </w:rPr>
            </w:pP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050" w:type="dxa"/>
          </w:tcPr>
          <w:p>
            <w:pPr>
              <w:pStyle w:val="18"/>
              <w:spacing w:before="19" w:line="255" w:lineRule="exact"/>
              <w:ind w:left="19" w:right="11"/>
              <w:rPr>
                <w:b/>
                <w:sz w:val="21"/>
              </w:rPr>
            </w:pPr>
            <w:r>
              <w:rPr>
                <w:b/>
                <w:sz w:val="21"/>
              </w:rPr>
              <w:t>浓度</w:t>
            </w:r>
          </w:p>
          <w:p>
            <w:pPr>
              <w:pStyle w:val="18"/>
              <w:spacing w:line="255" w:lineRule="exact"/>
              <w:ind w:left="88" w:right="11"/>
              <w:rPr>
                <w:b/>
                <w:sz w:val="21"/>
              </w:rPr>
            </w:pPr>
            <w:r>
              <w:rPr>
                <w:b/>
                <w:w w:val="90"/>
                <w:sz w:val="21"/>
              </w:rPr>
              <w:t>（</w:t>
            </w:r>
            <w:r>
              <w:rPr>
                <w:rFonts w:ascii="Times New Roman" w:eastAsia="Times New Roman"/>
                <w:b/>
                <w:w w:val="90"/>
                <w:sz w:val="21"/>
              </w:rPr>
              <w:t>mg/m</w:t>
            </w:r>
            <w:r>
              <w:rPr>
                <w:rFonts w:ascii="Times New Roman" w:eastAsia="Times New Roman"/>
                <w:b/>
                <w:w w:val="90"/>
                <w:position w:val="7"/>
                <w:sz w:val="13"/>
              </w:rPr>
              <w:t>3</w:t>
            </w:r>
            <w:r>
              <w:rPr>
                <w:b/>
                <w:w w:val="90"/>
                <w:sz w:val="21"/>
              </w:rPr>
              <w:t>）</w:t>
            </w:r>
          </w:p>
        </w:tc>
        <w:tc>
          <w:tcPr>
            <w:tcW w:w="1017" w:type="dxa"/>
          </w:tcPr>
          <w:p>
            <w:pPr>
              <w:pStyle w:val="18"/>
              <w:spacing w:before="19" w:line="255" w:lineRule="exact"/>
              <w:ind w:left="66" w:right="60"/>
              <w:rPr>
                <w:b/>
                <w:sz w:val="21"/>
              </w:rPr>
            </w:pPr>
            <w:r>
              <w:rPr>
                <w:b/>
                <w:sz w:val="21"/>
              </w:rPr>
              <w:t>速率</w:t>
            </w:r>
          </w:p>
          <w:p>
            <w:pPr>
              <w:pStyle w:val="18"/>
              <w:spacing w:line="255" w:lineRule="exact"/>
              <w:ind w:left="88" w:right="60"/>
              <w:rPr>
                <w:b/>
                <w:sz w:val="21"/>
              </w:rPr>
            </w:pPr>
            <w:r>
              <w:rPr>
                <w:b/>
                <w:sz w:val="21"/>
              </w:rPr>
              <w:t>（</w:t>
            </w:r>
            <w:r>
              <w:rPr>
                <w:rFonts w:ascii="Times New Roman" w:eastAsia="Times New Roman"/>
                <w:b/>
                <w:sz w:val="21"/>
              </w:rPr>
              <w:t>kg/h</w:t>
            </w:r>
            <w:r>
              <w:rPr>
                <w:b/>
                <w:sz w:val="21"/>
              </w:rPr>
              <w:t>）</w:t>
            </w:r>
          </w:p>
        </w:tc>
        <w:tc>
          <w:tcPr>
            <w:tcW w:w="2590" w:type="dxa"/>
            <w:vMerge w:val="continue"/>
            <w:tcBorders>
              <w:top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9" w:type="dxa"/>
            <w:tcBorders>
              <w:bottom w:val="nil"/>
            </w:tcBorders>
          </w:tcPr>
          <w:p>
            <w:pPr>
              <w:pStyle w:val="18"/>
              <w:jc w:val="left"/>
              <w:rPr>
                <w:rFonts w:ascii="Times New Roman"/>
                <w:sz w:val="16"/>
              </w:rPr>
            </w:pPr>
          </w:p>
        </w:tc>
        <w:tc>
          <w:tcPr>
            <w:tcW w:w="1066" w:type="dxa"/>
            <w:tcBorders>
              <w:bottom w:val="nil"/>
            </w:tcBorders>
          </w:tcPr>
          <w:p>
            <w:pPr>
              <w:pStyle w:val="18"/>
              <w:jc w:val="left"/>
              <w:rPr>
                <w:rFonts w:ascii="Times New Roman"/>
                <w:sz w:val="16"/>
              </w:rPr>
            </w:pPr>
          </w:p>
        </w:tc>
        <w:tc>
          <w:tcPr>
            <w:tcW w:w="1100" w:type="dxa"/>
            <w:vMerge w:val="restart"/>
          </w:tcPr>
          <w:p>
            <w:pPr>
              <w:pStyle w:val="18"/>
              <w:spacing w:before="42"/>
              <w:ind w:left="363"/>
              <w:jc w:val="left"/>
              <w:rPr>
                <w:rFonts w:ascii="Times New Roman"/>
                <w:sz w:val="21"/>
              </w:rPr>
            </w:pPr>
            <w:r>
              <w:rPr>
                <w:rFonts w:ascii="Times New Roman"/>
                <w:position w:val="2"/>
                <w:sz w:val="21"/>
              </w:rPr>
              <w:t>NH</w:t>
            </w:r>
            <w:r>
              <w:rPr>
                <w:rFonts w:ascii="Times New Roman"/>
                <w:position w:val="2"/>
                <w:sz w:val="21"/>
                <w:vertAlign w:val="subscript"/>
              </w:rPr>
              <w:t>3</w:t>
            </w:r>
          </w:p>
        </w:tc>
        <w:tc>
          <w:tcPr>
            <w:tcW w:w="650" w:type="dxa"/>
            <w:tcBorders>
              <w:bottom w:val="nil"/>
            </w:tcBorders>
          </w:tcPr>
          <w:p>
            <w:pPr>
              <w:pStyle w:val="18"/>
              <w:jc w:val="left"/>
              <w:rPr>
                <w:rFonts w:ascii="Times New Roman"/>
                <w:sz w:val="16"/>
              </w:rPr>
            </w:pPr>
          </w:p>
        </w:tc>
        <w:tc>
          <w:tcPr>
            <w:tcW w:w="1878" w:type="dxa"/>
            <w:tcBorders>
              <w:bottom w:val="nil"/>
            </w:tcBorders>
          </w:tcPr>
          <w:p>
            <w:pPr>
              <w:pStyle w:val="18"/>
              <w:spacing w:line="222" w:lineRule="exact"/>
              <w:ind w:left="108"/>
              <w:jc w:val="left"/>
              <w:rPr>
                <w:sz w:val="21"/>
              </w:rPr>
            </w:pPr>
            <w:r>
              <w:rPr>
                <w:sz w:val="21"/>
              </w:rPr>
              <w:t>及时清粪、通风换</w:t>
            </w:r>
          </w:p>
        </w:tc>
        <w:tc>
          <w:tcPr>
            <w:tcW w:w="1156" w:type="dxa"/>
            <w:vMerge w:val="restart"/>
          </w:tcPr>
          <w:p>
            <w:pPr>
              <w:pStyle w:val="18"/>
              <w:spacing w:before="31"/>
              <w:ind w:left="7"/>
              <w:rPr>
                <w:sz w:val="21"/>
              </w:rPr>
            </w:pPr>
            <w:r>
              <w:rPr>
                <w:w w:val="99"/>
                <w:sz w:val="21"/>
              </w:rPr>
              <w:t>—</w:t>
            </w:r>
          </w:p>
        </w:tc>
        <w:tc>
          <w:tcPr>
            <w:tcW w:w="1000" w:type="dxa"/>
            <w:vMerge w:val="restart"/>
          </w:tcPr>
          <w:p>
            <w:pPr>
              <w:pStyle w:val="18"/>
              <w:spacing w:before="31"/>
              <w:ind w:left="6"/>
              <w:rPr>
                <w:sz w:val="21"/>
              </w:rPr>
            </w:pPr>
            <w:r>
              <w:rPr>
                <w:w w:val="99"/>
                <w:sz w:val="21"/>
              </w:rPr>
              <w:t>—</w:t>
            </w:r>
          </w:p>
        </w:tc>
        <w:tc>
          <w:tcPr>
            <w:tcW w:w="1016" w:type="dxa"/>
            <w:vMerge w:val="restart"/>
          </w:tcPr>
          <w:p>
            <w:pPr>
              <w:pStyle w:val="18"/>
              <w:spacing w:before="45"/>
              <w:ind w:left="272"/>
              <w:jc w:val="left"/>
              <w:rPr>
                <w:rFonts w:ascii="Times New Roman"/>
                <w:sz w:val="21"/>
              </w:rPr>
            </w:pPr>
            <w:r>
              <w:rPr>
                <w:rFonts w:ascii="Times New Roman"/>
                <w:sz w:val="21"/>
              </w:rPr>
              <w:t>0.291</w:t>
            </w:r>
          </w:p>
        </w:tc>
        <w:tc>
          <w:tcPr>
            <w:tcW w:w="1050" w:type="dxa"/>
            <w:vMerge w:val="restart"/>
          </w:tcPr>
          <w:p>
            <w:pPr>
              <w:pStyle w:val="18"/>
              <w:spacing w:before="45"/>
              <w:ind w:left="21" w:right="11"/>
              <w:rPr>
                <w:rFonts w:ascii="Times New Roman"/>
                <w:sz w:val="21"/>
              </w:rPr>
            </w:pPr>
            <w:r>
              <w:rPr>
                <w:rFonts w:ascii="Times New Roman"/>
                <w:sz w:val="21"/>
              </w:rPr>
              <w:t>1.5</w:t>
            </w:r>
          </w:p>
        </w:tc>
        <w:tc>
          <w:tcPr>
            <w:tcW w:w="1017" w:type="dxa"/>
            <w:vMerge w:val="restart"/>
          </w:tcPr>
          <w:p>
            <w:pPr>
              <w:pStyle w:val="18"/>
              <w:spacing w:before="31"/>
              <w:ind w:left="6"/>
              <w:rPr>
                <w:sz w:val="21"/>
              </w:rPr>
            </w:pPr>
            <w:r>
              <w:rPr>
                <w:w w:val="99"/>
                <w:sz w:val="21"/>
              </w:rPr>
              <w:t>—</w:t>
            </w:r>
          </w:p>
        </w:tc>
        <w:tc>
          <w:tcPr>
            <w:tcW w:w="2590" w:type="dxa"/>
            <w:tcBorders>
              <w:bottom w:val="nil"/>
            </w:tcBorders>
          </w:tcPr>
          <w:p>
            <w:pPr>
              <w:pStyle w:val="18"/>
              <w:spacing w:line="222" w:lineRule="exact"/>
              <w:ind w:left="107"/>
              <w:jc w:val="left"/>
              <w:rPr>
                <w:rFonts w:ascii="Times New Roman" w:eastAsia="Times New Roman"/>
                <w:sz w:val="21"/>
              </w:rPr>
            </w:pPr>
            <w:r>
              <w:rPr>
                <w:spacing w:val="-7"/>
                <w:position w:val="2"/>
                <w:sz w:val="21"/>
              </w:rPr>
              <w:t>无组织排放源中</w:t>
            </w:r>
            <w:r>
              <w:rPr>
                <w:rFonts w:ascii="Times New Roman" w:eastAsia="Times New Roman"/>
                <w:position w:val="2"/>
                <w:sz w:val="21"/>
              </w:rPr>
              <w:t>NH</w:t>
            </w:r>
            <w:r>
              <w:rPr>
                <w:rFonts w:ascii="Times New Roman" w:eastAsia="Times New Roman"/>
                <w:position w:val="2"/>
                <w:sz w:val="21"/>
                <w:vertAlign w:val="subscript"/>
              </w:rPr>
              <w:t>3</w:t>
            </w:r>
            <w:r>
              <w:rPr>
                <w:spacing w:val="-65"/>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1023" w:type="dxa"/>
            <w:vMerge w:val="restart"/>
          </w:tcPr>
          <w:p>
            <w:pPr>
              <w:pStyle w:val="18"/>
              <w:spacing w:before="6"/>
              <w:jc w:val="left"/>
              <w:rPr>
                <w:b/>
                <w:sz w:val="14"/>
              </w:rPr>
            </w:pPr>
          </w:p>
          <w:p>
            <w:pPr>
              <w:pStyle w:val="18"/>
              <w:spacing w:before="1" w:line="213" w:lineRule="auto"/>
              <w:ind w:left="107" w:right="99"/>
              <w:jc w:val="left"/>
              <w:rPr>
                <w:sz w:val="21"/>
              </w:rPr>
            </w:pPr>
            <w:r>
              <w:rPr>
                <w:sz w:val="21"/>
              </w:rPr>
              <w:t>加强管</w:t>
            </w:r>
            <w:r>
              <w:rPr>
                <w:spacing w:val="-13"/>
                <w:sz w:val="21"/>
              </w:rPr>
              <w:t>理，保障</w:t>
            </w:r>
            <w:r>
              <w:rPr>
                <w:sz w:val="21"/>
              </w:rPr>
              <w:t>污染防治设施稳定运行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 w:hRule="atLeast"/>
        </w:trPr>
        <w:tc>
          <w:tcPr>
            <w:tcW w:w="639" w:type="dxa"/>
            <w:vMerge w:val="restart"/>
            <w:tcBorders>
              <w:top w:val="nil"/>
              <w:bottom w:val="nil"/>
            </w:tcBorders>
          </w:tcPr>
          <w:p>
            <w:pPr>
              <w:pStyle w:val="18"/>
              <w:jc w:val="left"/>
              <w:rPr>
                <w:rFonts w:ascii="Times New Roman"/>
                <w:sz w:val="14"/>
              </w:rPr>
            </w:pPr>
          </w:p>
        </w:tc>
        <w:tc>
          <w:tcPr>
            <w:tcW w:w="1066" w:type="dxa"/>
            <w:vMerge w:val="restart"/>
            <w:tcBorders>
              <w:top w:val="nil"/>
              <w:bottom w:val="nil"/>
            </w:tcBorders>
          </w:tcPr>
          <w:p>
            <w:pPr>
              <w:pStyle w:val="18"/>
              <w:spacing w:line="198" w:lineRule="exact"/>
              <w:ind w:left="107"/>
              <w:jc w:val="left"/>
              <w:rPr>
                <w:sz w:val="21"/>
              </w:rPr>
            </w:pPr>
            <w:r>
              <w:rPr>
                <w:sz w:val="21"/>
              </w:rPr>
              <w:t>羊舍、堆</w:t>
            </w:r>
          </w:p>
        </w:tc>
        <w:tc>
          <w:tcPr>
            <w:tcW w:w="1100" w:type="dxa"/>
            <w:vMerge w:val="continue"/>
            <w:tcBorders>
              <w:top w:val="nil"/>
            </w:tcBorders>
          </w:tcPr>
          <w:p>
            <w:pPr>
              <w:rPr>
                <w:sz w:val="2"/>
                <w:szCs w:val="2"/>
              </w:rPr>
            </w:pPr>
          </w:p>
        </w:tc>
        <w:tc>
          <w:tcPr>
            <w:tcW w:w="650" w:type="dxa"/>
            <w:vMerge w:val="restart"/>
            <w:tcBorders>
              <w:top w:val="nil"/>
              <w:bottom w:val="nil"/>
            </w:tcBorders>
          </w:tcPr>
          <w:p>
            <w:pPr>
              <w:pStyle w:val="18"/>
              <w:spacing w:line="198" w:lineRule="exact"/>
              <w:ind w:left="115"/>
              <w:jc w:val="left"/>
              <w:rPr>
                <w:sz w:val="21"/>
              </w:rPr>
            </w:pPr>
            <w:r>
              <w:rPr>
                <w:sz w:val="21"/>
              </w:rPr>
              <w:t>无组</w:t>
            </w:r>
          </w:p>
        </w:tc>
        <w:tc>
          <w:tcPr>
            <w:tcW w:w="1878" w:type="dxa"/>
            <w:vMerge w:val="restart"/>
            <w:tcBorders>
              <w:top w:val="nil"/>
              <w:bottom w:val="nil"/>
            </w:tcBorders>
          </w:tcPr>
          <w:p>
            <w:pPr>
              <w:pStyle w:val="18"/>
              <w:spacing w:line="198" w:lineRule="exact"/>
              <w:ind w:left="108"/>
              <w:jc w:val="left"/>
              <w:rPr>
                <w:sz w:val="21"/>
              </w:rPr>
            </w:pPr>
            <w:r>
              <w:rPr>
                <w:sz w:val="21"/>
              </w:rPr>
              <w:t>气、喷洒除臭剂、</w:t>
            </w: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vMerge w:val="restart"/>
            <w:tcBorders>
              <w:top w:val="nil"/>
              <w:bottom w:val="nil"/>
            </w:tcBorders>
          </w:tcPr>
          <w:p>
            <w:pPr>
              <w:pStyle w:val="18"/>
              <w:spacing w:line="198" w:lineRule="exact"/>
              <w:ind w:left="107"/>
              <w:jc w:val="left"/>
              <w:rPr>
                <w:sz w:val="21"/>
              </w:rPr>
            </w:pPr>
            <w:r>
              <w:rPr>
                <w:sz w:val="21"/>
              </w:rPr>
              <w:t>厂界排放标准执行《恶臭</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 w:hRule="atLeast"/>
        </w:trPr>
        <w:tc>
          <w:tcPr>
            <w:tcW w:w="639" w:type="dxa"/>
            <w:vMerge w:val="continue"/>
            <w:tcBorders>
              <w:top w:val="nil"/>
              <w:bottom w:val="nil"/>
            </w:tcBorders>
          </w:tcPr>
          <w:p>
            <w:pPr>
              <w:rPr>
                <w:sz w:val="2"/>
                <w:szCs w:val="2"/>
              </w:rPr>
            </w:pPr>
          </w:p>
        </w:tc>
        <w:tc>
          <w:tcPr>
            <w:tcW w:w="1066" w:type="dxa"/>
            <w:vMerge w:val="continue"/>
            <w:tcBorders>
              <w:top w:val="nil"/>
              <w:bottom w:val="nil"/>
            </w:tcBorders>
          </w:tcPr>
          <w:p>
            <w:pPr>
              <w:rPr>
                <w:sz w:val="2"/>
                <w:szCs w:val="2"/>
              </w:rPr>
            </w:pPr>
          </w:p>
        </w:tc>
        <w:tc>
          <w:tcPr>
            <w:tcW w:w="1100" w:type="dxa"/>
            <w:vMerge w:val="restart"/>
          </w:tcPr>
          <w:p>
            <w:pPr>
              <w:pStyle w:val="18"/>
              <w:spacing w:before="179"/>
              <w:ind w:left="109" w:right="9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650" w:type="dxa"/>
            <w:vMerge w:val="continue"/>
            <w:tcBorders>
              <w:top w:val="nil"/>
              <w:bottom w:val="nil"/>
            </w:tcBorders>
          </w:tcPr>
          <w:p>
            <w:pPr>
              <w:rPr>
                <w:sz w:val="2"/>
                <w:szCs w:val="2"/>
              </w:rPr>
            </w:pPr>
          </w:p>
        </w:tc>
        <w:tc>
          <w:tcPr>
            <w:tcW w:w="1878" w:type="dxa"/>
            <w:vMerge w:val="continue"/>
            <w:tcBorders>
              <w:top w:val="nil"/>
              <w:bottom w:val="nil"/>
            </w:tcBorders>
          </w:tcPr>
          <w:p>
            <w:pPr>
              <w:rPr>
                <w:sz w:val="2"/>
                <w:szCs w:val="2"/>
              </w:rPr>
            </w:pPr>
          </w:p>
        </w:tc>
        <w:tc>
          <w:tcPr>
            <w:tcW w:w="1156" w:type="dxa"/>
            <w:tcBorders>
              <w:bottom w:val="nil"/>
            </w:tcBorders>
          </w:tcPr>
          <w:p>
            <w:pPr>
              <w:pStyle w:val="18"/>
              <w:jc w:val="left"/>
              <w:rPr>
                <w:rFonts w:ascii="Times New Roman"/>
                <w:sz w:val="6"/>
              </w:rPr>
            </w:pPr>
          </w:p>
        </w:tc>
        <w:tc>
          <w:tcPr>
            <w:tcW w:w="1000" w:type="dxa"/>
            <w:tcBorders>
              <w:bottom w:val="nil"/>
            </w:tcBorders>
          </w:tcPr>
          <w:p>
            <w:pPr>
              <w:pStyle w:val="18"/>
              <w:jc w:val="left"/>
              <w:rPr>
                <w:rFonts w:ascii="Times New Roman"/>
                <w:sz w:val="6"/>
              </w:rPr>
            </w:pPr>
          </w:p>
        </w:tc>
        <w:tc>
          <w:tcPr>
            <w:tcW w:w="1016" w:type="dxa"/>
            <w:vMerge w:val="restart"/>
          </w:tcPr>
          <w:p>
            <w:pPr>
              <w:pStyle w:val="18"/>
              <w:spacing w:before="180"/>
              <w:ind w:left="166"/>
              <w:jc w:val="left"/>
              <w:rPr>
                <w:rFonts w:ascii="Times New Roman"/>
                <w:sz w:val="21"/>
              </w:rPr>
            </w:pPr>
            <w:r>
              <w:rPr>
                <w:rFonts w:ascii="Times New Roman"/>
                <w:sz w:val="21"/>
              </w:rPr>
              <w:t>0.00287</w:t>
            </w:r>
          </w:p>
        </w:tc>
        <w:tc>
          <w:tcPr>
            <w:tcW w:w="1050" w:type="dxa"/>
            <w:vMerge w:val="restart"/>
          </w:tcPr>
          <w:p>
            <w:pPr>
              <w:pStyle w:val="18"/>
              <w:spacing w:before="180"/>
              <w:ind w:left="341"/>
              <w:jc w:val="left"/>
              <w:rPr>
                <w:rFonts w:ascii="Times New Roman"/>
                <w:sz w:val="21"/>
              </w:rPr>
            </w:pPr>
            <w:r>
              <w:rPr>
                <w:rFonts w:ascii="Times New Roman"/>
                <w:sz w:val="21"/>
              </w:rPr>
              <w:t>0.06</w:t>
            </w:r>
          </w:p>
        </w:tc>
        <w:tc>
          <w:tcPr>
            <w:tcW w:w="1017" w:type="dxa"/>
            <w:tcBorders>
              <w:bottom w:val="nil"/>
            </w:tcBorders>
          </w:tcPr>
          <w:p>
            <w:pPr>
              <w:pStyle w:val="18"/>
              <w:jc w:val="left"/>
              <w:rPr>
                <w:rFonts w:ascii="Times New Roman"/>
                <w:sz w:val="6"/>
              </w:rPr>
            </w:pPr>
          </w:p>
        </w:tc>
        <w:tc>
          <w:tcPr>
            <w:tcW w:w="2590" w:type="dxa"/>
            <w:vMerge w:val="continue"/>
            <w:tcBorders>
              <w:top w:val="nil"/>
              <w:bottom w:val="nil"/>
            </w:tcBorders>
          </w:tcPr>
          <w:p>
            <w:pPr>
              <w:rPr>
                <w:sz w:val="2"/>
                <w:szCs w:val="2"/>
              </w:rPr>
            </w:pPr>
          </w:p>
        </w:tc>
        <w:tc>
          <w:tcPr>
            <w:tcW w:w="1023" w:type="dxa"/>
            <w:vMerge w:val="continue"/>
            <w:tcBorders>
              <w:top w:val="nil"/>
            </w:tcBorders>
          </w:tcPr>
          <w:p>
            <w:pPr>
              <w:rPr>
                <w:sz w:val="2"/>
                <w:szCs w:val="2"/>
              </w:rPr>
            </w:pPr>
          </w:p>
        </w:tc>
      </w:tr>
      <w:tr>
        <w:tblPrEx>
          <w:tblCellMar>
            <w:top w:w="0" w:type="dxa"/>
            <w:left w:w="0" w:type="dxa"/>
            <w:bottom w:w="0" w:type="dxa"/>
            <w:right w:w="0" w:type="dxa"/>
          </w:tblCellMar>
        </w:tblPrEx>
        <w:trPr>
          <w:trHeight w:val="480" w:hRule="atLeast"/>
        </w:trPr>
        <w:tc>
          <w:tcPr>
            <w:tcW w:w="639" w:type="dxa"/>
            <w:vMerge w:val="restart"/>
            <w:tcBorders>
              <w:top w:val="nil"/>
              <w:bottom w:val="nil"/>
            </w:tcBorders>
          </w:tcPr>
          <w:p>
            <w:pPr>
              <w:pStyle w:val="18"/>
              <w:spacing w:before="61" w:line="240" w:lineRule="exact"/>
              <w:ind w:left="107" w:right="101"/>
              <w:jc w:val="left"/>
              <w:rPr>
                <w:sz w:val="21"/>
              </w:rPr>
            </w:pPr>
            <w:r>
              <w:rPr>
                <w:sz w:val="21"/>
              </w:rPr>
              <w:t>大气污染</w:t>
            </w:r>
          </w:p>
        </w:tc>
        <w:tc>
          <w:tcPr>
            <w:tcW w:w="1066" w:type="dxa"/>
            <w:tcBorders>
              <w:top w:val="nil"/>
            </w:tcBorders>
          </w:tcPr>
          <w:p>
            <w:pPr>
              <w:pStyle w:val="18"/>
              <w:spacing w:line="252" w:lineRule="exact"/>
              <w:ind w:left="107"/>
              <w:jc w:val="left"/>
              <w:rPr>
                <w:sz w:val="21"/>
              </w:rPr>
            </w:pPr>
            <w:r>
              <w:rPr>
                <w:sz w:val="21"/>
              </w:rPr>
              <w:t>肥厂</w:t>
            </w:r>
          </w:p>
        </w:tc>
        <w:tc>
          <w:tcPr>
            <w:tcW w:w="1100" w:type="dxa"/>
            <w:vMerge w:val="continue"/>
            <w:tcBorders>
              <w:top w:val="nil"/>
            </w:tcBorders>
          </w:tcPr>
          <w:p>
            <w:pPr>
              <w:rPr>
                <w:sz w:val="2"/>
                <w:szCs w:val="2"/>
              </w:rPr>
            </w:pPr>
          </w:p>
        </w:tc>
        <w:tc>
          <w:tcPr>
            <w:tcW w:w="650" w:type="dxa"/>
            <w:tcBorders>
              <w:top w:val="nil"/>
            </w:tcBorders>
          </w:tcPr>
          <w:p>
            <w:pPr>
              <w:pStyle w:val="18"/>
              <w:spacing w:line="252" w:lineRule="exact"/>
              <w:ind w:left="218"/>
              <w:jc w:val="left"/>
              <w:rPr>
                <w:sz w:val="21"/>
              </w:rPr>
            </w:pPr>
            <w:r>
              <w:rPr>
                <w:w w:val="99"/>
                <w:sz w:val="21"/>
              </w:rPr>
              <w:t>织</w:t>
            </w:r>
          </w:p>
        </w:tc>
        <w:tc>
          <w:tcPr>
            <w:tcW w:w="1878" w:type="dxa"/>
            <w:tcBorders>
              <w:top w:val="nil"/>
            </w:tcBorders>
          </w:tcPr>
          <w:p>
            <w:pPr>
              <w:pStyle w:val="18"/>
              <w:spacing w:before="1" w:line="240" w:lineRule="exact"/>
              <w:ind w:left="108" w:right="288"/>
              <w:jc w:val="left"/>
              <w:rPr>
                <w:sz w:val="21"/>
              </w:rPr>
            </w:pPr>
            <w:r>
              <w:rPr>
                <w:sz w:val="21"/>
              </w:rPr>
              <w:t>在畜禽日粮中投放</w:t>
            </w:r>
            <w:r>
              <w:rPr>
                <w:rFonts w:ascii="Times New Roman" w:eastAsia="Times New Roman"/>
                <w:sz w:val="21"/>
              </w:rPr>
              <w:t>EM</w:t>
            </w:r>
            <w:r>
              <w:rPr>
                <w:sz w:val="21"/>
              </w:rPr>
              <w:t>菌剂等</w:t>
            </w:r>
          </w:p>
        </w:tc>
        <w:tc>
          <w:tcPr>
            <w:tcW w:w="1156" w:type="dxa"/>
            <w:tcBorders>
              <w:top w:val="nil"/>
            </w:tcBorders>
          </w:tcPr>
          <w:p>
            <w:pPr>
              <w:pStyle w:val="18"/>
              <w:spacing w:before="36"/>
              <w:ind w:left="7"/>
              <w:rPr>
                <w:sz w:val="21"/>
              </w:rPr>
            </w:pPr>
            <w:r>
              <w:rPr>
                <w:w w:val="99"/>
                <w:sz w:val="21"/>
              </w:rPr>
              <w:t>—</w:t>
            </w:r>
          </w:p>
        </w:tc>
        <w:tc>
          <w:tcPr>
            <w:tcW w:w="1000" w:type="dxa"/>
            <w:tcBorders>
              <w:top w:val="nil"/>
            </w:tcBorders>
          </w:tcPr>
          <w:p>
            <w:pPr>
              <w:pStyle w:val="18"/>
              <w:spacing w:before="36"/>
              <w:ind w:left="6"/>
              <w:rPr>
                <w:sz w:val="21"/>
              </w:rPr>
            </w:pPr>
            <w:r>
              <w:rPr>
                <w:w w:val="99"/>
                <w:sz w:val="21"/>
              </w:rPr>
              <w:t>—</w:t>
            </w:r>
          </w:p>
        </w:tc>
        <w:tc>
          <w:tcPr>
            <w:tcW w:w="1016" w:type="dxa"/>
            <w:vMerge w:val="continue"/>
            <w:tcBorders>
              <w:top w:val="nil"/>
            </w:tcBorders>
          </w:tcPr>
          <w:p>
            <w:pPr>
              <w:rPr>
                <w:sz w:val="2"/>
                <w:szCs w:val="2"/>
              </w:rPr>
            </w:pPr>
          </w:p>
        </w:tc>
        <w:tc>
          <w:tcPr>
            <w:tcW w:w="1050" w:type="dxa"/>
            <w:vMerge w:val="continue"/>
            <w:tcBorders>
              <w:top w:val="nil"/>
            </w:tcBorders>
          </w:tcPr>
          <w:p>
            <w:pPr>
              <w:rPr>
                <w:sz w:val="2"/>
                <w:szCs w:val="2"/>
              </w:rPr>
            </w:pPr>
          </w:p>
        </w:tc>
        <w:tc>
          <w:tcPr>
            <w:tcW w:w="1017" w:type="dxa"/>
            <w:tcBorders>
              <w:top w:val="nil"/>
            </w:tcBorders>
          </w:tcPr>
          <w:p>
            <w:pPr>
              <w:pStyle w:val="18"/>
              <w:spacing w:before="36"/>
              <w:ind w:left="6"/>
              <w:rPr>
                <w:sz w:val="21"/>
              </w:rPr>
            </w:pPr>
            <w:r>
              <w:rPr>
                <w:w w:val="99"/>
                <w:sz w:val="21"/>
              </w:rPr>
              <w:t>—</w:t>
            </w:r>
          </w:p>
        </w:tc>
        <w:tc>
          <w:tcPr>
            <w:tcW w:w="2590" w:type="dxa"/>
            <w:tcBorders>
              <w:top w:val="nil"/>
            </w:tcBorders>
          </w:tcPr>
          <w:p>
            <w:pPr>
              <w:pStyle w:val="18"/>
              <w:spacing w:before="1" w:line="240" w:lineRule="exact"/>
              <w:ind w:left="107" w:right="95"/>
              <w:jc w:val="left"/>
              <w:rPr>
                <w:sz w:val="21"/>
              </w:rPr>
            </w:pPr>
            <w:r>
              <w:rPr>
                <w:sz w:val="21"/>
              </w:rPr>
              <w:t>污染物排放标准》表</w:t>
            </w:r>
            <w:r>
              <w:rPr>
                <w:rFonts w:ascii="Times New Roman" w:eastAsia="Times New Roman"/>
                <w:sz w:val="21"/>
              </w:rPr>
              <w:t>1</w:t>
            </w:r>
            <w:r>
              <w:rPr>
                <w:sz w:val="21"/>
              </w:rPr>
              <w:t>中标准</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39" w:type="dxa"/>
            <w:vMerge w:val="continue"/>
            <w:tcBorders>
              <w:top w:val="nil"/>
              <w:bottom w:val="nil"/>
            </w:tcBorders>
          </w:tcPr>
          <w:p>
            <w:pPr>
              <w:rPr>
                <w:sz w:val="2"/>
                <w:szCs w:val="2"/>
              </w:rPr>
            </w:pPr>
          </w:p>
        </w:tc>
        <w:tc>
          <w:tcPr>
            <w:tcW w:w="1066" w:type="dxa"/>
            <w:tcBorders>
              <w:bottom w:val="nil"/>
            </w:tcBorders>
          </w:tcPr>
          <w:p>
            <w:pPr>
              <w:pStyle w:val="18"/>
              <w:jc w:val="left"/>
              <w:rPr>
                <w:rFonts w:ascii="Times New Roman"/>
                <w:sz w:val="2"/>
              </w:rPr>
            </w:pPr>
          </w:p>
        </w:tc>
        <w:tc>
          <w:tcPr>
            <w:tcW w:w="1100" w:type="dxa"/>
            <w:vMerge w:val="restart"/>
          </w:tcPr>
          <w:p>
            <w:pPr>
              <w:pStyle w:val="18"/>
              <w:spacing w:before="43"/>
              <w:ind w:left="363"/>
              <w:jc w:val="left"/>
              <w:rPr>
                <w:rFonts w:ascii="Times New Roman"/>
                <w:sz w:val="21"/>
              </w:rPr>
            </w:pPr>
            <w:r>
              <w:rPr>
                <w:rFonts w:ascii="Times New Roman"/>
                <w:position w:val="2"/>
                <w:sz w:val="21"/>
              </w:rPr>
              <w:t>NH</w:t>
            </w:r>
            <w:r>
              <w:rPr>
                <w:rFonts w:ascii="Times New Roman"/>
                <w:position w:val="2"/>
                <w:sz w:val="21"/>
                <w:vertAlign w:val="subscript"/>
              </w:rPr>
              <w:t>3</w:t>
            </w:r>
          </w:p>
        </w:tc>
        <w:tc>
          <w:tcPr>
            <w:tcW w:w="650" w:type="dxa"/>
            <w:tcBorders>
              <w:bottom w:val="nil"/>
            </w:tcBorders>
          </w:tcPr>
          <w:p>
            <w:pPr>
              <w:pStyle w:val="18"/>
              <w:jc w:val="left"/>
              <w:rPr>
                <w:rFonts w:ascii="Times New Roman"/>
                <w:sz w:val="2"/>
              </w:rPr>
            </w:pPr>
          </w:p>
        </w:tc>
        <w:tc>
          <w:tcPr>
            <w:tcW w:w="1878" w:type="dxa"/>
            <w:tcBorders>
              <w:bottom w:val="nil"/>
            </w:tcBorders>
          </w:tcPr>
          <w:p>
            <w:pPr>
              <w:pStyle w:val="18"/>
              <w:jc w:val="left"/>
              <w:rPr>
                <w:rFonts w:ascii="Times New Roman"/>
                <w:sz w:val="2"/>
              </w:rPr>
            </w:pPr>
          </w:p>
        </w:tc>
        <w:tc>
          <w:tcPr>
            <w:tcW w:w="1156" w:type="dxa"/>
            <w:vMerge w:val="restart"/>
          </w:tcPr>
          <w:p>
            <w:pPr>
              <w:pStyle w:val="18"/>
              <w:spacing w:before="46"/>
              <w:ind w:left="342"/>
              <w:jc w:val="left"/>
              <w:rPr>
                <w:rFonts w:ascii="Times New Roman"/>
                <w:sz w:val="21"/>
              </w:rPr>
            </w:pPr>
            <w:r>
              <w:rPr>
                <w:rFonts w:ascii="Times New Roman"/>
                <w:sz w:val="21"/>
              </w:rPr>
              <w:t>0.625</w:t>
            </w:r>
          </w:p>
        </w:tc>
        <w:tc>
          <w:tcPr>
            <w:tcW w:w="1000" w:type="dxa"/>
            <w:vMerge w:val="restart"/>
          </w:tcPr>
          <w:p>
            <w:pPr>
              <w:pStyle w:val="18"/>
              <w:spacing w:before="46"/>
              <w:ind w:left="158"/>
              <w:jc w:val="left"/>
              <w:rPr>
                <w:rFonts w:ascii="Times New Roman"/>
                <w:sz w:val="21"/>
              </w:rPr>
            </w:pPr>
            <w:r>
              <w:rPr>
                <w:rFonts w:ascii="Times New Roman"/>
                <w:sz w:val="21"/>
              </w:rPr>
              <w:t>0.00125</w:t>
            </w:r>
          </w:p>
        </w:tc>
        <w:tc>
          <w:tcPr>
            <w:tcW w:w="1016" w:type="dxa"/>
            <w:vMerge w:val="restart"/>
          </w:tcPr>
          <w:p>
            <w:pPr>
              <w:pStyle w:val="18"/>
              <w:spacing w:before="46"/>
              <w:ind w:left="166"/>
              <w:jc w:val="left"/>
              <w:rPr>
                <w:rFonts w:ascii="Times New Roman"/>
                <w:sz w:val="21"/>
              </w:rPr>
            </w:pPr>
            <w:r>
              <w:rPr>
                <w:rFonts w:ascii="Times New Roman"/>
                <w:sz w:val="21"/>
              </w:rPr>
              <w:t>0.01095</w:t>
            </w:r>
          </w:p>
        </w:tc>
        <w:tc>
          <w:tcPr>
            <w:tcW w:w="1050" w:type="dxa"/>
            <w:vMerge w:val="restart"/>
          </w:tcPr>
          <w:p>
            <w:pPr>
              <w:pStyle w:val="18"/>
              <w:spacing w:before="32"/>
              <w:ind w:left="9"/>
              <w:rPr>
                <w:sz w:val="21"/>
              </w:rPr>
            </w:pPr>
            <w:r>
              <w:rPr>
                <w:w w:val="99"/>
                <w:sz w:val="21"/>
              </w:rPr>
              <w:t>—</w:t>
            </w:r>
          </w:p>
        </w:tc>
        <w:tc>
          <w:tcPr>
            <w:tcW w:w="1017" w:type="dxa"/>
            <w:vMerge w:val="restart"/>
          </w:tcPr>
          <w:p>
            <w:pPr>
              <w:pStyle w:val="18"/>
              <w:spacing w:before="46"/>
              <w:ind w:left="67" w:right="60"/>
              <w:rPr>
                <w:rFonts w:ascii="Times New Roman"/>
                <w:sz w:val="21"/>
              </w:rPr>
            </w:pPr>
            <w:r>
              <w:rPr>
                <w:rFonts w:ascii="Times New Roman"/>
                <w:sz w:val="21"/>
              </w:rPr>
              <w:t>4.9</w:t>
            </w:r>
          </w:p>
        </w:tc>
        <w:tc>
          <w:tcPr>
            <w:tcW w:w="2590" w:type="dxa"/>
            <w:tcBorders>
              <w:bottom w:val="nil"/>
            </w:tcBorders>
          </w:tcPr>
          <w:p>
            <w:pPr>
              <w:pStyle w:val="18"/>
              <w:jc w:val="left"/>
              <w:rPr>
                <w:rFonts w:ascii="Times New Roman"/>
                <w:sz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39" w:type="dxa"/>
            <w:vMerge w:val="restart"/>
            <w:tcBorders>
              <w:top w:val="nil"/>
            </w:tcBorders>
          </w:tcPr>
          <w:p>
            <w:pPr>
              <w:pStyle w:val="18"/>
              <w:spacing w:line="241" w:lineRule="exact"/>
              <w:ind w:left="213"/>
              <w:jc w:val="left"/>
              <w:rPr>
                <w:sz w:val="21"/>
              </w:rPr>
            </w:pPr>
            <w:r>
              <w:rPr>
                <w:w w:val="99"/>
                <w:sz w:val="21"/>
              </w:rPr>
              <w:t>物</w:t>
            </w:r>
          </w:p>
        </w:tc>
        <w:tc>
          <w:tcPr>
            <w:tcW w:w="1066" w:type="dxa"/>
            <w:vMerge w:val="restart"/>
            <w:tcBorders>
              <w:top w:val="nil"/>
            </w:tcBorders>
          </w:tcPr>
          <w:p>
            <w:pPr>
              <w:pStyle w:val="18"/>
              <w:spacing w:before="120" w:line="213" w:lineRule="auto"/>
              <w:ind w:left="107" w:right="109"/>
              <w:jc w:val="left"/>
              <w:rPr>
                <w:sz w:val="21"/>
              </w:rPr>
            </w:pPr>
            <w:r>
              <w:rPr>
                <w:sz w:val="21"/>
              </w:rPr>
              <w:t>无害化处理车间</w:t>
            </w:r>
          </w:p>
        </w:tc>
        <w:tc>
          <w:tcPr>
            <w:tcW w:w="1100" w:type="dxa"/>
            <w:vMerge w:val="continue"/>
            <w:tcBorders>
              <w:top w:val="nil"/>
            </w:tcBorders>
          </w:tcPr>
          <w:p>
            <w:pPr>
              <w:rPr>
                <w:sz w:val="2"/>
                <w:szCs w:val="2"/>
              </w:rPr>
            </w:pPr>
          </w:p>
        </w:tc>
        <w:tc>
          <w:tcPr>
            <w:tcW w:w="650" w:type="dxa"/>
            <w:vMerge w:val="restart"/>
            <w:tcBorders>
              <w:top w:val="nil"/>
            </w:tcBorders>
          </w:tcPr>
          <w:p>
            <w:pPr>
              <w:pStyle w:val="18"/>
              <w:spacing w:before="120" w:line="213" w:lineRule="auto"/>
              <w:ind w:left="218" w:right="104" w:hanging="104"/>
              <w:jc w:val="left"/>
              <w:rPr>
                <w:sz w:val="21"/>
              </w:rPr>
            </w:pPr>
            <w:r>
              <w:rPr>
                <w:sz w:val="21"/>
              </w:rPr>
              <w:t>有组织</w:t>
            </w:r>
          </w:p>
        </w:tc>
        <w:tc>
          <w:tcPr>
            <w:tcW w:w="1878" w:type="dxa"/>
            <w:vMerge w:val="restart"/>
            <w:tcBorders>
              <w:top w:val="nil"/>
            </w:tcBorders>
          </w:tcPr>
          <w:p>
            <w:pPr>
              <w:pStyle w:val="18"/>
              <w:spacing w:before="120" w:line="213" w:lineRule="auto"/>
              <w:ind w:left="108" w:right="165"/>
              <w:jc w:val="left"/>
              <w:rPr>
                <w:sz w:val="21"/>
              </w:rPr>
            </w:pPr>
            <w:r>
              <w:rPr>
                <w:sz w:val="21"/>
              </w:rPr>
              <w:t>密闭</w:t>
            </w:r>
            <w:r>
              <w:rPr>
                <w:rFonts w:ascii="Times New Roman" w:eastAsia="Times New Roman"/>
                <w:sz w:val="21"/>
              </w:rPr>
              <w:t>+</w:t>
            </w:r>
            <w:r>
              <w:rPr>
                <w:sz w:val="21"/>
              </w:rPr>
              <w:t>光解除臭装置</w:t>
            </w:r>
            <w:r>
              <w:rPr>
                <w:rFonts w:ascii="Times New Roman" w:eastAsia="Times New Roman"/>
                <w:sz w:val="21"/>
              </w:rPr>
              <w:t>+15m</w:t>
            </w:r>
            <w:r>
              <w:rPr>
                <w:sz w:val="21"/>
              </w:rPr>
              <w:t>高排气筒</w:t>
            </w: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vMerge w:val="restart"/>
            <w:tcBorders>
              <w:top w:val="nil"/>
            </w:tcBorders>
          </w:tcPr>
          <w:p>
            <w:pPr>
              <w:pStyle w:val="18"/>
              <w:spacing w:before="120" w:line="213" w:lineRule="auto"/>
              <w:ind w:left="107" w:right="161"/>
              <w:jc w:val="left"/>
              <w:rPr>
                <w:sz w:val="21"/>
              </w:rPr>
            </w:pPr>
            <w:r>
              <w:rPr>
                <w:sz w:val="21"/>
              </w:rPr>
              <w:t>排气筒执行《恶臭污染物排放标准》表</w:t>
            </w:r>
            <w:r>
              <w:rPr>
                <w:rFonts w:ascii="Times New Roman" w:eastAsia="Times New Roman"/>
                <w:sz w:val="21"/>
              </w:rPr>
              <w:t>2</w:t>
            </w:r>
            <w:r>
              <w:rPr>
                <w:sz w:val="21"/>
              </w:rPr>
              <w:t>标准</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9"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1100" w:type="dxa"/>
          </w:tcPr>
          <w:p>
            <w:pPr>
              <w:pStyle w:val="18"/>
              <w:spacing w:before="114"/>
              <w:ind w:left="109" w:right="9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650" w:type="dxa"/>
            <w:vMerge w:val="continue"/>
            <w:tcBorders>
              <w:top w:val="nil"/>
            </w:tcBorders>
          </w:tcPr>
          <w:p>
            <w:pPr>
              <w:rPr>
                <w:sz w:val="2"/>
                <w:szCs w:val="2"/>
              </w:rPr>
            </w:pPr>
          </w:p>
        </w:tc>
        <w:tc>
          <w:tcPr>
            <w:tcW w:w="1878" w:type="dxa"/>
            <w:vMerge w:val="continue"/>
            <w:tcBorders>
              <w:top w:val="nil"/>
            </w:tcBorders>
          </w:tcPr>
          <w:p>
            <w:pPr>
              <w:rPr>
                <w:sz w:val="2"/>
                <w:szCs w:val="2"/>
              </w:rPr>
            </w:pPr>
          </w:p>
        </w:tc>
        <w:tc>
          <w:tcPr>
            <w:tcW w:w="1156" w:type="dxa"/>
          </w:tcPr>
          <w:p>
            <w:pPr>
              <w:pStyle w:val="18"/>
              <w:spacing w:before="117"/>
              <w:ind w:left="117" w:right="111"/>
              <w:rPr>
                <w:rFonts w:ascii="Times New Roman"/>
                <w:sz w:val="21"/>
              </w:rPr>
            </w:pPr>
            <w:r>
              <w:rPr>
                <w:rFonts w:ascii="Times New Roman"/>
                <w:sz w:val="21"/>
              </w:rPr>
              <w:t>0.0625</w:t>
            </w:r>
          </w:p>
        </w:tc>
        <w:tc>
          <w:tcPr>
            <w:tcW w:w="1000" w:type="dxa"/>
          </w:tcPr>
          <w:p>
            <w:pPr>
              <w:pStyle w:val="18"/>
              <w:spacing w:line="238" w:lineRule="exact"/>
              <w:ind w:left="138" w:right="128"/>
              <w:rPr>
                <w:rFonts w:ascii="Times New Roman"/>
                <w:sz w:val="21"/>
              </w:rPr>
            </w:pPr>
            <w:r>
              <w:rPr>
                <w:rFonts w:ascii="Times New Roman"/>
                <w:sz w:val="21"/>
              </w:rPr>
              <w:t>0.00012</w:t>
            </w:r>
          </w:p>
          <w:p>
            <w:pPr>
              <w:pStyle w:val="18"/>
              <w:spacing w:line="222" w:lineRule="exact"/>
              <w:ind w:left="8"/>
              <w:rPr>
                <w:rFonts w:ascii="Times New Roman"/>
                <w:sz w:val="21"/>
              </w:rPr>
            </w:pPr>
            <w:r>
              <w:rPr>
                <w:rFonts w:ascii="Times New Roman"/>
                <w:w w:val="99"/>
                <w:sz w:val="21"/>
              </w:rPr>
              <w:t>5</w:t>
            </w:r>
          </w:p>
        </w:tc>
        <w:tc>
          <w:tcPr>
            <w:tcW w:w="1016" w:type="dxa"/>
          </w:tcPr>
          <w:p>
            <w:pPr>
              <w:pStyle w:val="18"/>
              <w:spacing w:before="117"/>
              <w:ind w:left="113"/>
              <w:jc w:val="left"/>
              <w:rPr>
                <w:rFonts w:ascii="Times New Roman"/>
                <w:sz w:val="21"/>
              </w:rPr>
            </w:pPr>
            <w:r>
              <w:rPr>
                <w:rFonts w:ascii="Times New Roman"/>
                <w:sz w:val="21"/>
              </w:rPr>
              <w:t>0.001095</w:t>
            </w:r>
          </w:p>
        </w:tc>
        <w:tc>
          <w:tcPr>
            <w:tcW w:w="1050" w:type="dxa"/>
          </w:tcPr>
          <w:p>
            <w:pPr>
              <w:pStyle w:val="18"/>
              <w:spacing w:before="103"/>
              <w:ind w:left="420"/>
              <w:jc w:val="left"/>
              <w:rPr>
                <w:sz w:val="21"/>
              </w:rPr>
            </w:pPr>
            <w:r>
              <w:rPr>
                <w:w w:val="99"/>
                <w:sz w:val="21"/>
              </w:rPr>
              <w:t>—</w:t>
            </w:r>
          </w:p>
        </w:tc>
        <w:tc>
          <w:tcPr>
            <w:tcW w:w="1017" w:type="dxa"/>
          </w:tcPr>
          <w:p>
            <w:pPr>
              <w:pStyle w:val="18"/>
              <w:spacing w:before="117"/>
              <w:ind w:left="72" w:right="60"/>
              <w:rPr>
                <w:rFonts w:ascii="Times New Roman"/>
                <w:sz w:val="21"/>
              </w:rPr>
            </w:pPr>
            <w:r>
              <w:rPr>
                <w:rFonts w:ascii="Times New Roman"/>
                <w:sz w:val="21"/>
              </w:rPr>
              <w:t>0.33</w:t>
            </w:r>
          </w:p>
        </w:tc>
        <w:tc>
          <w:tcPr>
            <w:tcW w:w="2590" w:type="dxa"/>
            <w:vMerge w:val="continue"/>
            <w:tcBorders>
              <w:top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39" w:type="dxa"/>
            <w:vMerge w:val="restart"/>
          </w:tcPr>
          <w:p>
            <w:pPr>
              <w:pStyle w:val="18"/>
              <w:spacing w:before="5"/>
              <w:jc w:val="left"/>
              <w:rPr>
                <w:b/>
                <w:sz w:val="24"/>
              </w:rPr>
            </w:pPr>
          </w:p>
          <w:p>
            <w:pPr>
              <w:pStyle w:val="18"/>
              <w:spacing w:line="213" w:lineRule="auto"/>
              <w:ind w:left="107" w:right="101"/>
              <w:jc w:val="left"/>
              <w:rPr>
                <w:sz w:val="21"/>
              </w:rPr>
            </w:pPr>
            <w:r>
              <w:rPr>
                <w:sz w:val="21"/>
              </w:rPr>
              <w:t>水污染物</w:t>
            </w:r>
          </w:p>
        </w:tc>
        <w:tc>
          <w:tcPr>
            <w:tcW w:w="1066" w:type="dxa"/>
            <w:vMerge w:val="restart"/>
          </w:tcPr>
          <w:p>
            <w:pPr>
              <w:pStyle w:val="18"/>
              <w:jc w:val="left"/>
              <w:rPr>
                <w:b/>
                <w:sz w:val="15"/>
              </w:rPr>
            </w:pPr>
          </w:p>
          <w:p>
            <w:pPr>
              <w:pStyle w:val="18"/>
              <w:spacing w:before="1" w:line="213" w:lineRule="auto"/>
              <w:ind w:left="107" w:right="109"/>
              <w:jc w:val="both"/>
              <w:rPr>
                <w:sz w:val="21"/>
              </w:rPr>
            </w:pPr>
            <w:r>
              <w:rPr>
                <w:sz w:val="21"/>
              </w:rPr>
              <w:t>无害化处理车间化制废水</w:t>
            </w:r>
          </w:p>
        </w:tc>
        <w:tc>
          <w:tcPr>
            <w:tcW w:w="1100" w:type="dxa"/>
          </w:tcPr>
          <w:p>
            <w:pPr>
              <w:pStyle w:val="18"/>
              <w:spacing w:before="46"/>
              <w:ind w:left="109" w:right="100"/>
              <w:rPr>
                <w:rFonts w:ascii="Times New Roman"/>
                <w:sz w:val="21"/>
              </w:rPr>
            </w:pPr>
            <w:r>
              <w:rPr>
                <w:rFonts w:ascii="Times New Roman"/>
                <w:position w:val="2"/>
                <w:sz w:val="21"/>
              </w:rPr>
              <w:t>COD</w:t>
            </w:r>
            <w:r>
              <w:rPr>
                <w:rFonts w:ascii="Times New Roman"/>
                <w:position w:val="2"/>
                <w:sz w:val="21"/>
                <w:vertAlign w:val="subscript"/>
              </w:rPr>
              <w:t>cr</w:t>
            </w:r>
          </w:p>
        </w:tc>
        <w:tc>
          <w:tcPr>
            <w:tcW w:w="650" w:type="dxa"/>
            <w:vMerge w:val="restart"/>
          </w:tcPr>
          <w:p>
            <w:pPr>
              <w:pStyle w:val="18"/>
              <w:jc w:val="left"/>
              <w:rPr>
                <w:b/>
                <w:sz w:val="20"/>
              </w:rPr>
            </w:pPr>
          </w:p>
          <w:p>
            <w:pPr>
              <w:pStyle w:val="18"/>
              <w:spacing w:before="153"/>
              <w:ind w:left="218"/>
              <w:jc w:val="left"/>
              <w:rPr>
                <w:sz w:val="21"/>
              </w:rPr>
            </w:pPr>
            <w:r>
              <w:rPr>
                <w:w w:val="99"/>
                <w:sz w:val="21"/>
              </w:rPr>
              <w:t>—</w:t>
            </w:r>
          </w:p>
        </w:tc>
        <w:tc>
          <w:tcPr>
            <w:tcW w:w="1878" w:type="dxa"/>
            <w:vMerge w:val="restart"/>
          </w:tcPr>
          <w:p>
            <w:pPr>
              <w:pStyle w:val="18"/>
              <w:spacing w:before="5"/>
              <w:jc w:val="left"/>
              <w:rPr>
                <w:b/>
                <w:sz w:val="24"/>
              </w:rPr>
            </w:pPr>
          </w:p>
          <w:p>
            <w:pPr>
              <w:pStyle w:val="18"/>
              <w:spacing w:line="213" w:lineRule="auto"/>
              <w:ind w:left="108" w:right="288"/>
              <w:jc w:val="left"/>
              <w:rPr>
                <w:sz w:val="21"/>
              </w:rPr>
            </w:pPr>
            <w:r>
              <w:rPr>
                <w:sz w:val="21"/>
              </w:rPr>
              <w:t>清运至</w:t>
            </w:r>
            <w:r>
              <w:rPr>
                <w:rFonts w:hint="eastAsia"/>
                <w:sz w:val="21"/>
                <w:lang w:val="en-US" w:eastAsia="zh-CN"/>
              </w:rPr>
              <w:t>莎车</w:t>
            </w:r>
            <w:r>
              <w:rPr>
                <w:sz w:val="21"/>
              </w:rPr>
              <w:t>县污水处理厂处理</w:t>
            </w:r>
          </w:p>
        </w:tc>
        <w:tc>
          <w:tcPr>
            <w:tcW w:w="1156" w:type="dxa"/>
          </w:tcPr>
          <w:p>
            <w:pPr>
              <w:pStyle w:val="18"/>
              <w:spacing w:before="49"/>
              <w:ind w:left="119" w:right="111"/>
              <w:rPr>
                <w:rFonts w:ascii="Times New Roman"/>
                <w:sz w:val="21"/>
              </w:rPr>
            </w:pPr>
            <w:r>
              <w:rPr>
                <w:rFonts w:ascii="Times New Roman"/>
                <w:sz w:val="21"/>
              </w:rPr>
              <w:t>3500mg/L</w:t>
            </w:r>
          </w:p>
        </w:tc>
        <w:tc>
          <w:tcPr>
            <w:tcW w:w="1000" w:type="dxa"/>
          </w:tcPr>
          <w:p>
            <w:pPr>
              <w:pStyle w:val="18"/>
              <w:spacing w:before="35"/>
              <w:ind w:left="6"/>
              <w:rPr>
                <w:sz w:val="21"/>
              </w:rPr>
            </w:pPr>
            <w:r>
              <w:rPr>
                <w:w w:val="99"/>
                <w:sz w:val="21"/>
              </w:rPr>
              <w:t>—</w:t>
            </w:r>
          </w:p>
        </w:tc>
        <w:tc>
          <w:tcPr>
            <w:tcW w:w="1016" w:type="dxa"/>
          </w:tcPr>
          <w:p>
            <w:pPr>
              <w:pStyle w:val="18"/>
              <w:spacing w:before="49"/>
              <w:ind w:left="219"/>
              <w:jc w:val="left"/>
              <w:rPr>
                <w:rFonts w:ascii="Times New Roman"/>
                <w:sz w:val="21"/>
              </w:rPr>
            </w:pPr>
            <w:r>
              <w:rPr>
                <w:rFonts w:ascii="Times New Roman"/>
                <w:sz w:val="21"/>
              </w:rPr>
              <w:t>0.0402</w:t>
            </w:r>
          </w:p>
        </w:tc>
        <w:tc>
          <w:tcPr>
            <w:tcW w:w="1050" w:type="dxa"/>
          </w:tcPr>
          <w:p>
            <w:pPr>
              <w:pStyle w:val="18"/>
              <w:spacing w:before="49"/>
              <w:ind w:left="367"/>
              <w:jc w:val="left"/>
              <w:rPr>
                <w:rFonts w:ascii="Times New Roman"/>
                <w:sz w:val="21"/>
              </w:rPr>
            </w:pPr>
            <w:r>
              <w:rPr>
                <w:rFonts w:ascii="Times New Roman"/>
                <w:sz w:val="21"/>
              </w:rPr>
              <w:t>500</w:t>
            </w:r>
          </w:p>
        </w:tc>
        <w:tc>
          <w:tcPr>
            <w:tcW w:w="1017" w:type="dxa"/>
          </w:tcPr>
          <w:p>
            <w:pPr>
              <w:pStyle w:val="18"/>
              <w:spacing w:before="35"/>
              <w:ind w:left="6"/>
              <w:rPr>
                <w:sz w:val="21"/>
              </w:rPr>
            </w:pPr>
            <w:r>
              <w:rPr>
                <w:w w:val="99"/>
                <w:sz w:val="21"/>
              </w:rPr>
              <w:t>—</w:t>
            </w:r>
          </w:p>
        </w:tc>
        <w:tc>
          <w:tcPr>
            <w:tcW w:w="2590" w:type="dxa"/>
            <w:vMerge w:val="restart"/>
          </w:tcPr>
          <w:p>
            <w:pPr>
              <w:pStyle w:val="18"/>
              <w:spacing w:before="170" w:line="255" w:lineRule="exact"/>
              <w:ind w:left="107"/>
              <w:jc w:val="left"/>
              <w:rPr>
                <w:sz w:val="21"/>
              </w:rPr>
            </w:pPr>
            <w:r>
              <w:rPr>
                <w:sz w:val="21"/>
              </w:rPr>
              <w:t>《污水综合排放标准》</w:t>
            </w:r>
          </w:p>
          <w:p>
            <w:pPr>
              <w:pStyle w:val="18"/>
              <w:spacing w:line="240" w:lineRule="exact"/>
              <w:ind w:left="107"/>
              <w:jc w:val="left"/>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8978</w:t>
            </w:r>
            <w:r>
              <w:rPr>
                <w:rFonts w:ascii="Times New Roman" w:eastAsia="Times New Roman"/>
                <w:spacing w:val="-3"/>
                <w:w w:val="99"/>
                <w:sz w:val="21"/>
              </w:rPr>
              <w:t>-</w:t>
            </w:r>
            <w:r>
              <w:rPr>
                <w:rFonts w:ascii="Times New Roman" w:eastAsia="Times New Roman"/>
                <w:spacing w:val="1"/>
                <w:w w:val="99"/>
                <w:sz w:val="21"/>
              </w:rPr>
              <w:t>1996</w:t>
            </w:r>
            <w:r>
              <w:rPr>
                <w:spacing w:val="-87"/>
                <w:w w:val="99"/>
                <w:sz w:val="21"/>
              </w:rPr>
              <w:t>）</w:t>
            </w:r>
            <w:r>
              <w:rPr>
                <w:w w:val="99"/>
                <w:sz w:val="21"/>
              </w:rPr>
              <w:t>表</w:t>
            </w:r>
            <w:r>
              <w:rPr>
                <w:rFonts w:ascii="Times New Roman" w:eastAsia="Times New Roman"/>
                <w:w w:val="99"/>
                <w:sz w:val="21"/>
              </w:rPr>
              <w:t>2</w:t>
            </w:r>
            <w:r>
              <w:rPr>
                <w:spacing w:val="-1"/>
                <w:w w:val="99"/>
                <w:sz w:val="21"/>
              </w:rPr>
              <w:t>中三</w:t>
            </w:r>
          </w:p>
          <w:p>
            <w:pPr>
              <w:pStyle w:val="18"/>
              <w:spacing w:line="255" w:lineRule="exact"/>
              <w:ind w:left="107"/>
              <w:jc w:val="left"/>
              <w:rPr>
                <w:sz w:val="21"/>
              </w:rPr>
            </w:pPr>
            <w:r>
              <w:rPr>
                <w:sz w:val="21"/>
              </w:rPr>
              <w:t>级标准</w:t>
            </w:r>
          </w:p>
        </w:tc>
        <w:tc>
          <w:tcPr>
            <w:tcW w:w="1023" w:type="dxa"/>
            <w:vMerge w:val="restart"/>
          </w:tcPr>
          <w:p>
            <w:pPr>
              <w:pStyle w:val="18"/>
              <w:spacing w:before="73" w:line="213" w:lineRule="auto"/>
              <w:ind w:left="107" w:right="99"/>
              <w:jc w:val="left"/>
              <w:rPr>
                <w:sz w:val="21"/>
              </w:rPr>
            </w:pPr>
            <w:r>
              <w:rPr>
                <w:sz w:val="21"/>
              </w:rPr>
              <w:t>做好防</w:t>
            </w:r>
            <w:r>
              <w:rPr>
                <w:spacing w:val="-13"/>
                <w:sz w:val="21"/>
              </w:rPr>
              <w:t>渗，以防</w:t>
            </w:r>
            <w:r>
              <w:rPr>
                <w:sz w:val="21"/>
              </w:rPr>
              <w:t>污染地下水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1100" w:type="dxa"/>
          </w:tcPr>
          <w:p>
            <w:pPr>
              <w:pStyle w:val="18"/>
              <w:spacing w:line="220" w:lineRule="exact"/>
              <w:ind w:left="109" w:right="99"/>
              <w:rPr>
                <w:rFonts w:ascii="Times New Roman"/>
                <w:sz w:val="21"/>
              </w:rPr>
            </w:pPr>
            <w:r>
              <w:rPr>
                <w:rFonts w:ascii="Times New Roman"/>
                <w:position w:val="2"/>
                <w:sz w:val="21"/>
              </w:rPr>
              <w:t>BOD</w:t>
            </w:r>
            <w:r>
              <w:rPr>
                <w:rFonts w:ascii="Times New Roman"/>
                <w:position w:val="2"/>
                <w:sz w:val="21"/>
                <w:vertAlign w:val="subscript"/>
              </w:rPr>
              <w:t>5</w:t>
            </w:r>
          </w:p>
        </w:tc>
        <w:tc>
          <w:tcPr>
            <w:tcW w:w="650" w:type="dxa"/>
            <w:vMerge w:val="continue"/>
            <w:tcBorders>
              <w:top w:val="nil"/>
            </w:tcBorders>
          </w:tcPr>
          <w:p>
            <w:pPr>
              <w:rPr>
                <w:sz w:val="2"/>
                <w:szCs w:val="2"/>
              </w:rPr>
            </w:pPr>
          </w:p>
        </w:tc>
        <w:tc>
          <w:tcPr>
            <w:tcW w:w="1878" w:type="dxa"/>
            <w:vMerge w:val="continue"/>
            <w:tcBorders>
              <w:top w:val="nil"/>
            </w:tcBorders>
          </w:tcPr>
          <w:p>
            <w:pPr>
              <w:rPr>
                <w:sz w:val="2"/>
                <w:szCs w:val="2"/>
              </w:rPr>
            </w:pPr>
          </w:p>
        </w:tc>
        <w:tc>
          <w:tcPr>
            <w:tcW w:w="1156" w:type="dxa"/>
          </w:tcPr>
          <w:p>
            <w:pPr>
              <w:pStyle w:val="18"/>
              <w:spacing w:line="220" w:lineRule="exact"/>
              <w:ind w:left="119" w:right="111"/>
              <w:rPr>
                <w:rFonts w:ascii="Times New Roman"/>
                <w:sz w:val="21"/>
              </w:rPr>
            </w:pPr>
            <w:r>
              <w:rPr>
                <w:rFonts w:ascii="Times New Roman"/>
                <w:sz w:val="21"/>
              </w:rPr>
              <w:t>2500mg/L</w:t>
            </w:r>
          </w:p>
        </w:tc>
        <w:tc>
          <w:tcPr>
            <w:tcW w:w="1000" w:type="dxa"/>
          </w:tcPr>
          <w:p>
            <w:pPr>
              <w:pStyle w:val="18"/>
              <w:spacing w:line="220" w:lineRule="exact"/>
              <w:ind w:left="6"/>
              <w:rPr>
                <w:sz w:val="21"/>
              </w:rPr>
            </w:pPr>
            <w:r>
              <w:rPr>
                <w:w w:val="99"/>
                <w:sz w:val="21"/>
              </w:rPr>
              <w:t>—</w:t>
            </w:r>
          </w:p>
        </w:tc>
        <w:tc>
          <w:tcPr>
            <w:tcW w:w="1016" w:type="dxa"/>
          </w:tcPr>
          <w:p>
            <w:pPr>
              <w:pStyle w:val="18"/>
              <w:spacing w:line="220" w:lineRule="exact"/>
              <w:ind w:left="219"/>
              <w:jc w:val="left"/>
              <w:rPr>
                <w:rFonts w:ascii="Times New Roman"/>
                <w:sz w:val="21"/>
              </w:rPr>
            </w:pPr>
            <w:r>
              <w:rPr>
                <w:rFonts w:ascii="Times New Roman"/>
                <w:sz w:val="21"/>
              </w:rPr>
              <w:t>0.0287</w:t>
            </w:r>
          </w:p>
        </w:tc>
        <w:tc>
          <w:tcPr>
            <w:tcW w:w="1050" w:type="dxa"/>
          </w:tcPr>
          <w:p>
            <w:pPr>
              <w:pStyle w:val="18"/>
              <w:spacing w:line="220" w:lineRule="exact"/>
              <w:ind w:left="367"/>
              <w:jc w:val="left"/>
              <w:rPr>
                <w:rFonts w:ascii="Times New Roman"/>
                <w:sz w:val="21"/>
              </w:rPr>
            </w:pPr>
            <w:r>
              <w:rPr>
                <w:rFonts w:ascii="Times New Roman"/>
                <w:sz w:val="21"/>
              </w:rPr>
              <w:t>400</w:t>
            </w:r>
          </w:p>
        </w:tc>
        <w:tc>
          <w:tcPr>
            <w:tcW w:w="1017" w:type="dxa"/>
          </w:tcPr>
          <w:p>
            <w:pPr>
              <w:pStyle w:val="18"/>
              <w:spacing w:line="220" w:lineRule="exact"/>
              <w:ind w:left="6"/>
              <w:rPr>
                <w:sz w:val="21"/>
              </w:rPr>
            </w:pPr>
            <w:r>
              <w:rPr>
                <w:w w:val="99"/>
                <w:sz w:val="21"/>
              </w:rPr>
              <w:t>—</w:t>
            </w:r>
          </w:p>
        </w:tc>
        <w:tc>
          <w:tcPr>
            <w:tcW w:w="2590" w:type="dxa"/>
            <w:vMerge w:val="continue"/>
            <w:tcBorders>
              <w:top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1100" w:type="dxa"/>
          </w:tcPr>
          <w:p>
            <w:pPr>
              <w:pStyle w:val="18"/>
              <w:spacing w:line="220" w:lineRule="exact"/>
              <w:ind w:left="109" w:right="98"/>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650" w:type="dxa"/>
            <w:vMerge w:val="continue"/>
            <w:tcBorders>
              <w:top w:val="nil"/>
            </w:tcBorders>
          </w:tcPr>
          <w:p>
            <w:pPr>
              <w:rPr>
                <w:sz w:val="2"/>
                <w:szCs w:val="2"/>
              </w:rPr>
            </w:pPr>
          </w:p>
        </w:tc>
        <w:tc>
          <w:tcPr>
            <w:tcW w:w="1878" w:type="dxa"/>
            <w:vMerge w:val="continue"/>
            <w:tcBorders>
              <w:top w:val="nil"/>
            </w:tcBorders>
          </w:tcPr>
          <w:p>
            <w:pPr>
              <w:rPr>
                <w:sz w:val="2"/>
                <w:szCs w:val="2"/>
              </w:rPr>
            </w:pPr>
          </w:p>
        </w:tc>
        <w:tc>
          <w:tcPr>
            <w:tcW w:w="1156" w:type="dxa"/>
          </w:tcPr>
          <w:p>
            <w:pPr>
              <w:pStyle w:val="18"/>
              <w:spacing w:line="220" w:lineRule="exact"/>
              <w:ind w:left="116" w:right="111"/>
              <w:rPr>
                <w:rFonts w:ascii="Times New Roman"/>
                <w:sz w:val="21"/>
              </w:rPr>
            </w:pPr>
            <w:r>
              <w:rPr>
                <w:rFonts w:ascii="Times New Roman"/>
                <w:sz w:val="21"/>
              </w:rPr>
              <w:t>300mg/L</w:t>
            </w:r>
          </w:p>
        </w:tc>
        <w:tc>
          <w:tcPr>
            <w:tcW w:w="1000" w:type="dxa"/>
          </w:tcPr>
          <w:p>
            <w:pPr>
              <w:pStyle w:val="18"/>
              <w:jc w:val="left"/>
              <w:rPr>
                <w:rFonts w:ascii="Times New Roman"/>
                <w:sz w:val="16"/>
              </w:rPr>
            </w:pPr>
          </w:p>
        </w:tc>
        <w:tc>
          <w:tcPr>
            <w:tcW w:w="1016" w:type="dxa"/>
          </w:tcPr>
          <w:p>
            <w:pPr>
              <w:pStyle w:val="18"/>
              <w:spacing w:line="220" w:lineRule="exact"/>
              <w:ind w:left="166"/>
              <w:jc w:val="left"/>
              <w:rPr>
                <w:rFonts w:ascii="Times New Roman"/>
                <w:sz w:val="21"/>
              </w:rPr>
            </w:pPr>
            <w:r>
              <w:rPr>
                <w:rFonts w:ascii="Times New Roman"/>
                <w:sz w:val="21"/>
              </w:rPr>
              <w:t>0.00345</w:t>
            </w:r>
          </w:p>
        </w:tc>
        <w:tc>
          <w:tcPr>
            <w:tcW w:w="1050" w:type="dxa"/>
          </w:tcPr>
          <w:p>
            <w:pPr>
              <w:pStyle w:val="18"/>
              <w:jc w:val="left"/>
              <w:rPr>
                <w:rFonts w:ascii="Times New Roman"/>
                <w:sz w:val="16"/>
              </w:rPr>
            </w:pPr>
          </w:p>
        </w:tc>
        <w:tc>
          <w:tcPr>
            <w:tcW w:w="1017" w:type="dxa"/>
          </w:tcPr>
          <w:p>
            <w:pPr>
              <w:pStyle w:val="18"/>
              <w:jc w:val="left"/>
              <w:rPr>
                <w:rFonts w:ascii="Times New Roman"/>
                <w:sz w:val="16"/>
              </w:rPr>
            </w:pPr>
          </w:p>
        </w:tc>
        <w:tc>
          <w:tcPr>
            <w:tcW w:w="2590" w:type="dxa"/>
            <w:vMerge w:val="continue"/>
            <w:tcBorders>
              <w:top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1100" w:type="dxa"/>
          </w:tcPr>
          <w:p>
            <w:pPr>
              <w:pStyle w:val="18"/>
              <w:spacing w:line="220" w:lineRule="exact"/>
              <w:ind w:left="109" w:right="100"/>
              <w:rPr>
                <w:sz w:val="21"/>
              </w:rPr>
            </w:pPr>
            <w:r>
              <w:rPr>
                <w:sz w:val="21"/>
              </w:rPr>
              <w:t>动植物油</w:t>
            </w:r>
          </w:p>
        </w:tc>
        <w:tc>
          <w:tcPr>
            <w:tcW w:w="650" w:type="dxa"/>
            <w:vMerge w:val="continue"/>
            <w:tcBorders>
              <w:top w:val="nil"/>
            </w:tcBorders>
          </w:tcPr>
          <w:p>
            <w:pPr>
              <w:rPr>
                <w:sz w:val="2"/>
                <w:szCs w:val="2"/>
              </w:rPr>
            </w:pPr>
          </w:p>
        </w:tc>
        <w:tc>
          <w:tcPr>
            <w:tcW w:w="1878" w:type="dxa"/>
            <w:vMerge w:val="continue"/>
            <w:tcBorders>
              <w:top w:val="nil"/>
            </w:tcBorders>
          </w:tcPr>
          <w:p>
            <w:pPr>
              <w:rPr>
                <w:sz w:val="2"/>
                <w:szCs w:val="2"/>
              </w:rPr>
            </w:pPr>
          </w:p>
        </w:tc>
        <w:tc>
          <w:tcPr>
            <w:tcW w:w="1156" w:type="dxa"/>
          </w:tcPr>
          <w:p>
            <w:pPr>
              <w:pStyle w:val="18"/>
              <w:spacing w:line="220" w:lineRule="exact"/>
              <w:ind w:left="116" w:right="111"/>
              <w:rPr>
                <w:rFonts w:ascii="Times New Roman"/>
                <w:sz w:val="21"/>
              </w:rPr>
            </w:pPr>
            <w:r>
              <w:rPr>
                <w:rFonts w:ascii="Times New Roman"/>
                <w:sz w:val="21"/>
              </w:rPr>
              <w:t>220mg/L</w:t>
            </w:r>
          </w:p>
        </w:tc>
        <w:tc>
          <w:tcPr>
            <w:tcW w:w="1000" w:type="dxa"/>
          </w:tcPr>
          <w:p>
            <w:pPr>
              <w:pStyle w:val="18"/>
              <w:spacing w:line="220" w:lineRule="exact"/>
              <w:ind w:left="6"/>
              <w:rPr>
                <w:sz w:val="21"/>
              </w:rPr>
            </w:pPr>
            <w:r>
              <w:rPr>
                <w:w w:val="99"/>
                <w:sz w:val="21"/>
              </w:rPr>
              <w:t>—</w:t>
            </w:r>
          </w:p>
        </w:tc>
        <w:tc>
          <w:tcPr>
            <w:tcW w:w="1016" w:type="dxa"/>
          </w:tcPr>
          <w:p>
            <w:pPr>
              <w:pStyle w:val="18"/>
              <w:spacing w:line="220" w:lineRule="exact"/>
              <w:ind w:left="166"/>
              <w:jc w:val="left"/>
              <w:rPr>
                <w:rFonts w:ascii="Times New Roman"/>
                <w:sz w:val="21"/>
              </w:rPr>
            </w:pPr>
            <w:r>
              <w:rPr>
                <w:rFonts w:ascii="Times New Roman"/>
                <w:sz w:val="21"/>
              </w:rPr>
              <w:t>0.00253</w:t>
            </w:r>
          </w:p>
        </w:tc>
        <w:tc>
          <w:tcPr>
            <w:tcW w:w="1050" w:type="dxa"/>
          </w:tcPr>
          <w:p>
            <w:pPr>
              <w:pStyle w:val="18"/>
              <w:spacing w:line="220" w:lineRule="exact"/>
              <w:ind w:left="420"/>
              <w:jc w:val="left"/>
              <w:rPr>
                <w:sz w:val="21"/>
              </w:rPr>
            </w:pPr>
            <w:r>
              <w:rPr>
                <w:w w:val="99"/>
                <w:sz w:val="21"/>
              </w:rPr>
              <w:t>—</w:t>
            </w:r>
          </w:p>
        </w:tc>
        <w:tc>
          <w:tcPr>
            <w:tcW w:w="1017" w:type="dxa"/>
          </w:tcPr>
          <w:p>
            <w:pPr>
              <w:pStyle w:val="18"/>
              <w:spacing w:line="220" w:lineRule="exact"/>
              <w:ind w:left="6"/>
              <w:rPr>
                <w:sz w:val="21"/>
              </w:rPr>
            </w:pPr>
            <w:r>
              <w:rPr>
                <w:w w:val="99"/>
                <w:sz w:val="21"/>
              </w:rPr>
              <w:t>—</w:t>
            </w:r>
          </w:p>
        </w:tc>
        <w:tc>
          <w:tcPr>
            <w:tcW w:w="2590" w:type="dxa"/>
            <w:vMerge w:val="continue"/>
            <w:tcBorders>
              <w:top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639" w:type="dxa"/>
            <w:tcBorders>
              <w:bottom w:val="nil"/>
            </w:tcBorders>
          </w:tcPr>
          <w:p>
            <w:pPr>
              <w:pStyle w:val="18"/>
              <w:jc w:val="left"/>
              <w:rPr>
                <w:rFonts w:ascii="Times New Roman"/>
                <w:sz w:val="16"/>
              </w:rPr>
            </w:pPr>
          </w:p>
        </w:tc>
        <w:tc>
          <w:tcPr>
            <w:tcW w:w="1066" w:type="dxa"/>
            <w:tcBorders>
              <w:bottom w:val="nil"/>
            </w:tcBorders>
          </w:tcPr>
          <w:p>
            <w:pPr>
              <w:pStyle w:val="18"/>
              <w:jc w:val="left"/>
              <w:rPr>
                <w:rFonts w:ascii="Times New Roman"/>
                <w:sz w:val="16"/>
              </w:rPr>
            </w:pPr>
          </w:p>
        </w:tc>
        <w:tc>
          <w:tcPr>
            <w:tcW w:w="1100" w:type="dxa"/>
            <w:tcBorders>
              <w:bottom w:val="nil"/>
            </w:tcBorders>
          </w:tcPr>
          <w:p>
            <w:pPr>
              <w:pStyle w:val="18"/>
              <w:spacing w:line="209" w:lineRule="exact"/>
              <w:ind w:left="109" w:right="100"/>
              <w:rPr>
                <w:sz w:val="21"/>
              </w:rPr>
            </w:pPr>
            <w:r>
              <w:rPr>
                <w:sz w:val="21"/>
              </w:rPr>
              <w:t>羊粪、垫</w:t>
            </w:r>
          </w:p>
        </w:tc>
        <w:tc>
          <w:tcPr>
            <w:tcW w:w="650" w:type="dxa"/>
            <w:tcBorders>
              <w:bottom w:val="nil"/>
            </w:tcBorders>
          </w:tcPr>
          <w:p>
            <w:pPr>
              <w:pStyle w:val="18"/>
              <w:jc w:val="left"/>
              <w:rPr>
                <w:rFonts w:ascii="Times New Roman"/>
                <w:sz w:val="16"/>
              </w:rPr>
            </w:pPr>
          </w:p>
        </w:tc>
        <w:tc>
          <w:tcPr>
            <w:tcW w:w="1878" w:type="dxa"/>
            <w:tcBorders>
              <w:bottom w:val="nil"/>
            </w:tcBorders>
          </w:tcPr>
          <w:p>
            <w:pPr>
              <w:pStyle w:val="18"/>
              <w:spacing w:line="209" w:lineRule="exact"/>
              <w:ind w:left="108"/>
              <w:jc w:val="left"/>
              <w:rPr>
                <w:sz w:val="21"/>
              </w:rPr>
            </w:pPr>
            <w:r>
              <w:rPr>
                <w:sz w:val="21"/>
              </w:rPr>
              <w:t>有机肥厂生产原</w:t>
            </w:r>
          </w:p>
        </w:tc>
        <w:tc>
          <w:tcPr>
            <w:tcW w:w="1156" w:type="dxa"/>
            <w:vMerge w:val="restart"/>
          </w:tcPr>
          <w:p>
            <w:pPr>
              <w:pStyle w:val="18"/>
              <w:spacing w:before="102"/>
              <w:ind w:left="7"/>
              <w:rPr>
                <w:sz w:val="21"/>
              </w:rPr>
            </w:pPr>
            <w:r>
              <w:rPr>
                <w:w w:val="99"/>
                <w:sz w:val="21"/>
              </w:rPr>
              <w:t>—</w:t>
            </w:r>
          </w:p>
        </w:tc>
        <w:tc>
          <w:tcPr>
            <w:tcW w:w="1000" w:type="dxa"/>
            <w:vMerge w:val="restart"/>
          </w:tcPr>
          <w:p>
            <w:pPr>
              <w:pStyle w:val="18"/>
              <w:spacing w:before="102"/>
              <w:ind w:left="6"/>
              <w:rPr>
                <w:sz w:val="21"/>
              </w:rPr>
            </w:pPr>
            <w:r>
              <w:rPr>
                <w:w w:val="99"/>
                <w:sz w:val="21"/>
              </w:rPr>
              <w:t>—</w:t>
            </w:r>
          </w:p>
        </w:tc>
        <w:tc>
          <w:tcPr>
            <w:tcW w:w="1016" w:type="dxa"/>
            <w:vMerge w:val="restart"/>
          </w:tcPr>
          <w:p>
            <w:pPr>
              <w:pStyle w:val="18"/>
              <w:spacing w:before="116"/>
              <w:ind w:left="113"/>
              <w:jc w:val="center"/>
              <w:rPr>
                <w:rFonts w:hint="default" w:ascii="Times New Roman" w:eastAsia="宋体"/>
                <w:sz w:val="21"/>
                <w:lang w:val="en-US" w:eastAsia="zh-CN"/>
              </w:rPr>
            </w:pPr>
            <w:r>
              <w:rPr>
                <w:rFonts w:hint="eastAsia" w:ascii="Times New Roman"/>
                <w:sz w:val="21"/>
                <w:lang w:val="en-US" w:eastAsia="zh-CN"/>
              </w:rPr>
              <w:t>39785</w:t>
            </w:r>
          </w:p>
        </w:tc>
        <w:tc>
          <w:tcPr>
            <w:tcW w:w="1050" w:type="dxa"/>
            <w:vMerge w:val="restart"/>
          </w:tcPr>
          <w:p>
            <w:pPr>
              <w:pStyle w:val="18"/>
              <w:spacing w:before="102"/>
              <w:ind w:left="9"/>
              <w:rPr>
                <w:sz w:val="21"/>
              </w:rPr>
            </w:pPr>
            <w:r>
              <w:rPr>
                <w:w w:val="99"/>
                <w:sz w:val="21"/>
              </w:rPr>
              <w:t>—</w:t>
            </w:r>
          </w:p>
        </w:tc>
        <w:tc>
          <w:tcPr>
            <w:tcW w:w="1017" w:type="dxa"/>
            <w:vMerge w:val="restart"/>
          </w:tcPr>
          <w:p>
            <w:pPr>
              <w:pStyle w:val="18"/>
              <w:spacing w:before="102"/>
              <w:ind w:left="6"/>
              <w:rPr>
                <w:sz w:val="21"/>
              </w:rPr>
            </w:pPr>
            <w:r>
              <w:rPr>
                <w:w w:val="99"/>
                <w:sz w:val="21"/>
              </w:rPr>
              <w:t>—</w:t>
            </w:r>
          </w:p>
        </w:tc>
        <w:tc>
          <w:tcPr>
            <w:tcW w:w="2590" w:type="dxa"/>
            <w:tcBorders>
              <w:bottom w:val="nil"/>
            </w:tcBorders>
          </w:tcPr>
          <w:p>
            <w:pPr>
              <w:pStyle w:val="18"/>
              <w:spacing w:line="209" w:lineRule="exact"/>
              <w:ind w:left="107"/>
              <w:jc w:val="left"/>
              <w:rPr>
                <w:sz w:val="21"/>
              </w:rPr>
            </w:pPr>
            <w:r>
              <w:rPr>
                <w:sz w:val="21"/>
              </w:rPr>
              <w:t>满足《粪便无害化卫生要</w:t>
            </w:r>
          </w:p>
        </w:tc>
        <w:tc>
          <w:tcPr>
            <w:tcW w:w="1023" w:type="dxa"/>
            <w:vMerge w:val="restart"/>
          </w:tcPr>
          <w:p>
            <w:pPr>
              <w:pStyle w:val="18"/>
              <w:jc w:val="left"/>
              <w:rPr>
                <w:b/>
                <w:sz w:val="20"/>
              </w:rPr>
            </w:pPr>
          </w:p>
          <w:p>
            <w:pPr>
              <w:pStyle w:val="18"/>
              <w:jc w:val="left"/>
              <w:rPr>
                <w:b/>
                <w:sz w:val="20"/>
              </w:rPr>
            </w:pPr>
          </w:p>
          <w:p>
            <w:pPr>
              <w:pStyle w:val="18"/>
              <w:spacing w:before="163" w:line="213" w:lineRule="auto"/>
              <w:ind w:left="107" w:right="63"/>
              <w:jc w:val="left"/>
              <w:rPr>
                <w:sz w:val="21"/>
              </w:rPr>
            </w:pPr>
            <w:r>
              <w:rPr>
                <w:sz w:val="21"/>
              </w:rPr>
              <w:t>做好场</w:t>
            </w:r>
            <w:r>
              <w:rPr>
                <w:spacing w:val="-4"/>
                <w:sz w:val="21"/>
              </w:rPr>
              <w:t>区防渗，</w:t>
            </w:r>
            <w:r>
              <w:rPr>
                <w:sz w:val="21"/>
              </w:rPr>
              <w:t>防止地下水污染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restart"/>
            <w:tcBorders>
              <w:top w:val="nil"/>
              <w:bottom w:val="nil"/>
            </w:tcBorders>
          </w:tcPr>
          <w:p>
            <w:pPr>
              <w:pStyle w:val="18"/>
              <w:jc w:val="left"/>
              <w:rPr>
                <w:rFonts w:ascii="Times New Roman"/>
                <w:sz w:val="20"/>
              </w:rPr>
            </w:pPr>
          </w:p>
        </w:tc>
        <w:tc>
          <w:tcPr>
            <w:tcW w:w="1066" w:type="dxa"/>
            <w:vMerge w:val="restart"/>
            <w:tcBorders>
              <w:top w:val="nil"/>
              <w:bottom w:val="nil"/>
            </w:tcBorders>
          </w:tcPr>
          <w:p>
            <w:pPr>
              <w:pStyle w:val="18"/>
              <w:spacing w:before="1"/>
              <w:jc w:val="left"/>
              <w:rPr>
                <w:b/>
                <w:sz w:val="22"/>
              </w:rPr>
            </w:pPr>
          </w:p>
          <w:p>
            <w:pPr>
              <w:pStyle w:val="18"/>
              <w:ind w:left="323"/>
              <w:jc w:val="left"/>
              <w:rPr>
                <w:sz w:val="21"/>
              </w:rPr>
            </w:pPr>
            <w:r>
              <w:rPr>
                <w:sz w:val="21"/>
              </w:rPr>
              <w:t>羊舍</w:t>
            </w:r>
          </w:p>
        </w:tc>
        <w:tc>
          <w:tcPr>
            <w:tcW w:w="1100" w:type="dxa"/>
            <w:tcBorders>
              <w:top w:val="nil"/>
            </w:tcBorders>
          </w:tcPr>
          <w:p>
            <w:pPr>
              <w:pStyle w:val="18"/>
              <w:spacing w:line="221" w:lineRule="exact"/>
              <w:ind w:left="9"/>
              <w:rPr>
                <w:sz w:val="21"/>
              </w:rPr>
            </w:pPr>
            <w:r>
              <w:rPr>
                <w:w w:val="99"/>
                <w:sz w:val="21"/>
              </w:rPr>
              <w:t>料</w:t>
            </w:r>
          </w:p>
        </w:tc>
        <w:tc>
          <w:tcPr>
            <w:tcW w:w="650" w:type="dxa"/>
            <w:vMerge w:val="restart"/>
            <w:tcBorders>
              <w:top w:val="nil"/>
              <w:bottom w:val="nil"/>
            </w:tcBorders>
          </w:tcPr>
          <w:p>
            <w:pPr>
              <w:pStyle w:val="18"/>
              <w:spacing w:before="7"/>
              <w:jc w:val="left"/>
              <w:rPr>
                <w:b/>
                <w:sz w:val="14"/>
              </w:rPr>
            </w:pPr>
          </w:p>
          <w:p>
            <w:pPr>
              <w:pStyle w:val="18"/>
              <w:spacing w:line="213" w:lineRule="auto"/>
              <w:ind w:left="115" w:right="104"/>
              <w:jc w:val="left"/>
              <w:rPr>
                <w:sz w:val="21"/>
              </w:rPr>
            </w:pPr>
            <w:r>
              <w:rPr>
                <w:sz w:val="21"/>
              </w:rPr>
              <w:t>一般固废</w:t>
            </w:r>
          </w:p>
        </w:tc>
        <w:tc>
          <w:tcPr>
            <w:tcW w:w="1878" w:type="dxa"/>
            <w:tcBorders>
              <w:top w:val="nil"/>
            </w:tcBorders>
          </w:tcPr>
          <w:p>
            <w:pPr>
              <w:pStyle w:val="18"/>
              <w:spacing w:line="221" w:lineRule="exact"/>
              <w:ind w:left="108"/>
              <w:jc w:val="left"/>
              <w:rPr>
                <w:sz w:val="21"/>
              </w:rPr>
            </w:pPr>
            <w:r>
              <w:rPr>
                <w:w w:val="99"/>
                <w:sz w:val="21"/>
              </w:rPr>
              <w:t>料</w:t>
            </w: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tcBorders>
              <w:top w:val="nil"/>
            </w:tcBorders>
          </w:tcPr>
          <w:p>
            <w:pPr>
              <w:pStyle w:val="18"/>
              <w:spacing w:line="221" w:lineRule="exact"/>
              <w:ind w:left="107"/>
              <w:jc w:val="left"/>
              <w:rPr>
                <w:sz w:val="21"/>
              </w:rPr>
            </w:pPr>
            <w:r>
              <w:rPr>
                <w:sz w:val="21"/>
              </w:rPr>
              <w:t>求》（</w:t>
            </w:r>
            <w:r>
              <w:rPr>
                <w:rFonts w:ascii="Times New Roman" w:eastAsia="Times New Roman"/>
                <w:sz w:val="21"/>
              </w:rPr>
              <w:t>GB7959-2012</w:t>
            </w:r>
            <w:r>
              <w:rPr>
                <w:sz w:val="21"/>
              </w:rPr>
              <w:t>）要求</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9" w:type="dxa"/>
            <w:vMerge w:val="continue"/>
            <w:tcBorders>
              <w:top w:val="nil"/>
              <w:bottom w:val="nil"/>
            </w:tcBorders>
          </w:tcPr>
          <w:p>
            <w:pPr>
              <w:rPr>
                <w:sz w:val="2"/>
                <w:szCs w:val="2"/>
              </w:rPr>
            </w:pPr>
          </w:p>
        </w:tc>
        <w:tc>
          <w:tcPr>
            <w:tcW w:w="1066" w:type="dxa"/>
            <w:vMerge w:val="continue"/>
            <w:tcBorders>
              <w:top w:val="nil"/>
              <w:bottom w:val="nil"/>
            </w:tcBorders>
          </w:tcPr>
          <w:p>
            <w:pPr>
              <w:rPr>
                <w:sz w:val="2"/>
                <w:szCs w:val="2"/>
              </w:rPr>
            </w:pPr>
          </w:p>
        </w:tc>
        <w:tc>
          <w:tcPr>
            <w:tcW w:w="1100" w:type="dxa"/>
          </w:tcPr>
          <w:p>
            <w:pPr>
              <w:pStyle w:val="18"/>
              <w:spacing w:before="102"/>
              <w:ind w:left="106" w:right="100"/>
              <w:rPr>
                <w:sz w:val="21"/>
              </w:rPr>
            </w:pPr>
            <w:r>
              <w:rPr>
                <w:sz w:val="21"/>
              </w:rPr>
              <w:t>肉骨粉</w:t>
            </w:r>
          </w:p>
        </w:tc>
        <w:tc>
          <w:tcPr>
            <w:tcW w:w="650" w:type="dxa"/>
            <w:vMerge w:val="continue"/>
            <w:tcBorders>
              <w:top w:val="nil"/>
              <w:bottom w:val="nil"/>
            </w:tcBorders>
          </w:tcPr>
          <w:p>
            <w:pPr>
              <w:rPr>
                <w:sz w:val="2"/>
                <w:szCs w:val="2"/>
              </w:rPr>
            </w:pPr>
          </w:p>
        </w:tc>
        <w:tc>
          <w:tcPr>
            <w:tcW w:w="1878" w:type="dxa"/>
          </w:tcPr>
          <w:p>
            <w:pPr>
              <w:pStyle w:val="18"/>
              <w:spacing w:line="240" w:lineRule="exact"/>
              <w:ind w:left="108" w:right="288"/>
              <w:jc w:val="left"/>
              <w:rPr>
                <w:sz w:val="21"/>
              </w:rPr>
            </w:pPr>
            <w:r>
              <w:rPr>
                <w:sz w:val="21"/>
              </w:rPr>
              <w:t>出售给肉骨生产厂</w:t>
            </w:r>
          </w:p>
        </w:tc>
        <w:tc>
          <w:tcPr>
            <w:tcW w:w="1156" w:type="dxa"/>
          </w:tcPr>
          <w:p>
            <w:pPr>
              <w:pStyle w:val="18"/>
              <w:spacing w:before="102"/>
              <w:ind w:left="7"/>
              <w:rPr>
                <w:sz w:val="21"/>
              </w:rPr>
            </w:pPr>
            <w:r>
              <w:rPr>
                <w:w w:val="99"/>
                <w:sz w:val="21"/>
              </w:rPr>
              <w:t>—</w:t>
            </w:r>
          </w:p>
        </w:tc>
        <w:tc>
          <w:tcPr>
            <w:tcW w:w="1000" w:type="dxa"/>
          </w:tcPr>
          <w:p>
            <w:pPr>
              <w:pStyle w:val="18"/>
              <w:spacing w:before="102"/>
              <w:ind w:left="6"/>
              <w:rPr>
                <w:sz w:val="21"/>
              </w:rPr>
            </w:pPr>
            <w:r>
              <w:rPr>
                <w:w w:val="99"/>
                <w:sz w:val="21"/>
              </w:rPr>
              <w:t>—</w:t>
            </w:r>
          </w:p>
        </w:tc>
        <w:tc>
          <w:tcPr>
            <w:tcW w:w="1016" w:type="dxa"/>
          </w:tcPr>
          <w:p>
            <w:pPr>
              <w:pStyle w:val="18"/>
              <w:spacing w:before="116"/>
              <w:jc w:val="center"/>
              <w:rPr>
                <w:rFonts w:hint="default" w:ascii="Times New Roman" w:eastAsia="宋体"/>
                <w:sz w:val="21"/>
                <w:lang w:val="en-US" w:eastAsia="zh-CN"/>
              </w:rPr>
            </w:pPr>
            <w:r>
              <w:rPr>
                <w:rFonts w:hint="eastAsia" w:ascii="Times New Roman"/>
                <w:sz w:val="21"/>
                <w:lang w:val="en-US" w:eastAsia="zh-CN"/>
              </w:rPr>
              <w:t>2.64</w:t>
            </w:r>
          </w:p>
        </w:tc>
        <w:tc>
          <w:tcPr>
            <w:tcW w:w="1050" w:type="dxa"/>
          </w:tcPr>
          <w:p>
            <w:pPr>
              <w:pStyle w:val="18"/>
              <w:spacing w:before="102"/>
              <w:ind w:left="420"/>
              <w:jc w:val="left"/>
              <w:rPr>
                <w:sz w:val="21"/>
              </w:rPr>
            </w:pPr>
            <w:r>
              <w:rPr>
                <w:w w:val="99"/>
                <w:sz w:val="21"/>
              </w:rPr>
              <w:t>—</w:t>
            </w:r>
          </w:p>
        </w:tc>
        <w:tc>
          <w:tcPr>
            <w:tcW w:w="1017" w:type="dxa"/>
          </w:tcPr>
          <w:p>
            <w:pPr>
              <w:pStyle w:val="18"/>
              <w:spacing w:before="102"/>
              <w:ind w:left="6"/>
              <w:rPr>
                <w:sz w:val="21"/>
              </w:rPr>
            </w:pPr>
            <w:r>
              <w:rPr>
                <w:w w:val="99"/>
                <w:sz w:val="21"/>
              </w:rPr>
              <w:t>—</w:t>
            </w:r>
          </w:p>
        </w:tc>
        <w:tc>
          <w:tcPr>
            <w:tcW w:w="2590" w:type="dxa"/>
            <w:vMerge w:val="restart"/>
            <w:tcBorders>
              <w:bottom w:val="nil"/>
            </w:tcBorders>
          </w:tcPr>
          <w:p>
            <w:pPr>
              <w:pStyle w:val="18"/>
              <w:spacing w:before="37" w:line="255" w:lineRule="exact"/>
              <w:ind w:left="107"/>
              <w:jc w:val="left"/>
              <w:rPr>
                <w:sz w:val="21"/>
              </w:rPr>
            </w:pPr>
            <w:r>
              <w:rPr>
                <w:sz w:val="21"/>
              </w:rPr>
              <w:t>《一般工业固体废物贮</w:t>
            </w:r>
          </w:p>
          <w:p>
            <w:pPr>
              <w:pStyle w:val="18"/>
              <w:spacing w:line="212" w:lineRule="exact"/>
              <w:ind w:left="107" w:right="-15"/>
              <w:jc w:val="left"/>
              <w:rPr>
                <w:sz w:val="21"/>
              </w:rPr>
            </w:pPr>
            <w:r>
              <w:rPr>
                <w:spacing w:val="-7"/>
                <w:sz w:val="21"/>
              </w:rPr>
              <w:t>存、处置场污染控制标准》</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39" w:type="dxa"/>
            <w:vMerge w:val="continue"/>
            <w:tcBorders>
              <w:top w:val="nil"/>
              <w:bottom w:val="nil"/>
            </w:tcBorders>
          </w:tcPr>
          <w:p>
            <w:pPr>
              <w:rPr>
                <w:sz w:val="2"/>
                <w:szCs w:val="2"/>
              </w:rPr>
            </w:pPr>
          </w:p>
        </w:tc>
        <w:tc>
          <w:tcPr>
            <w:tcW w:w="1066" w:type="dxa"/>
            <w:vMerge w:val="continue"/>
            <w:tcBorders>
              <w:top w:val="nil"/>
              <w:bottom w:val="nil"/>
            </w:tcBorders>
          </w:tcPr>
          <w:p>
            <w:pPr>
              <w:rPr>
                <w:sz w:val="2"/>
                <w:szCs w:val="2"/>
              </w:rPr>
            </w:pPr>
          </w:p>
        </w:tc>
        <w:tc>
          <w:tcPr>
            <w:tcW w:w="1100" w:type="dxa"/>
            <w:vMerge w:val="restart"/>
          </w:tcPr>
          <w:p>
            <w:pPr>
              <w:pStyle w:val="18"/>
              <w:spacing w:before="32"/>
              <w:ind w:left="339"/>
              <w:jc w:val="left"/>
              <w:rPr>
                <w:sz w:val="21"/>
              </w:rPr>
            </w:pPr>
            <w:r>
              <w:rPr>
                <w:sz w:val="21"/>
              </w:rPr>
              <w:t>油脂</w:t>
            </w:r>
          </w:p>
        </w:tc>
        <w:tc>
          <w:tcPr>
            <w:tcW w:w="650" w:type="dxa"/>
            <w:vMerge w:val="continue"/>
            <w:tcBorders>
              <w:top w:val="nil"/>
              <w:bottom w:val="nil"/>
            </w:tcBorders>
          </w:tcPr>
          <w:p>
            <w:pPr>
              <w:rPr>
                <w:sz w:val="2"/>
                <w:szCs w:val="2"/>
              </w:rPr>
            </w:pPr>
          </w:p>
        </w:tc>
        <w:tc>
          <w:tcPr>
            <w:tcW w:w="1878" w:type="dxa"/>
            <w:vMerge w:val="restart"/>
          </w:tcPr>
          <w:p>
            <w:pPr>
              <w:pStyle w:val="18"/>
              <w:spacing w:before="32"/>
              <w:ind w:left="307"/>
              <w:jc w:val="left"/>
              <w:rPr>
                <w:sz w:val="21"/>
              </w:rPr>
            </w:pPr>
            <w:r>
              <w:rPr>
                <w:sz w:val="21"/>
              </w:rPr>
              <w:t>出售给油脂厂</w:t>
            </w:r>
          </w:p>
        </w:tc>
        <w:tc>
          <w:tcPr>
            <w:tcW w:w="1156" w:type="dxa"/>
            <w:vMerge w:val="restart"/>
          </w:tcPr>
          <w:p>
            <w:pPr>
              <w:pStyle w:val="18"/>
              <w:spacing w:before="32"/>
              <w:ind w:left="7"/>
              <w:rPr>
                <w:sz w:val="21"/>
              </w:rPr>
            </w:pPr>
            <w:r>
              <w:rPr>
                <w:w w:val="99"/>
                <w:sz w:val="21"/>
              </w:rPr>
              <w:t>—</w:t>
            </w:r>
          </w:p>
        </w:tc>
        <w:tc>
          <w:tcPr>
            <w:tcW w:w="1000" w:type="dxa"/>
            <w:vMerge w:val="restart"/>
          </w:tcPr>
          <w:p>
            <w:pPr>
              <w:pStyle w:val="18"/>
              <w:spacing w:before="32"/>
              <w:ind w:left="6"/>
              <w:jc w:val="center"/>
              <w:rPr>
                <w:sz w:val="21"/>
              </w:rPr>
            </w:pPr>
            <w:r>
              <w:rPr>
                <w:w w:val="99"/>
                <w:sz w:val="21"/>
              </w:rPr>
              <w:t>—</w:t>
            </w:r>
          </w:p>
        </w:tc>
        <w:tc>
          <w:tcPr>
            <w:tcW w:w="1016" w:type="dxa"/>
            <w:vMerge w:val="restart"/>
          </w:tcPr>
          <w:p>
            <w:pPr>
              <w:pStyle w:val="18"/>
              <w:spacing w:before="46"/>
              <w:jc w:val="center"/>
              <w:rPr>
                <w:rFonts w:hint="default" w:ascii="Times New Roman" w:eastAsia="宋体"/>
                <w:sz w:val="21"/>
                <w:lang w:val="en-US" w:eastAsia="zh-CN"/>
              </w:rPr>
            </w:pPr>
            <w:r>
              <w:rPr>
                <w:rFonts w:hint="eastAsia" w:ascii="Times New Roman"/>
                <w:sz w:val="21"/>
                <w:lang w:val="en-US" w:eastAsia="zh-CN"/>
              </w:rPr>
              <w:t>1.04</w:t>
            </w:r>
          </w:p>
        </w:tc>
        <w:tc>
          <w:tcPr>
            <w:tcW w:w="1050" w:type="dxa"/>
            <w:vMerge w:val="restart"/>
          </w:tcPr>
          <w:p>
            <w:pPr>
              <w:pStyle w:val="18"/>
              <w:spacing w:before="32"/>
              <w:ind w:left="9"/>
              <w:rPr>
                <w:sz w:val="21"/>
              </w:rPr>
            </w:pPr>
            <w:r>
              <w:rPr>
                <w:w w:val="99"/>
                <w:sz w:val="21"/>
              </w:rPr>
              <w:t>—</w:t>
            </w:r>
          </w:p>
        </w:tc>
        <w:tc>
          <w:tcPr>
            <w:tcW w:w="1017" w:type="dxa"/>
            <w:vMerge w:val="restart"/>
          </w:tcPr>
          <w:p>
            <w:pPr>
              <w:pStyle w:val="18"/>
              <w:spacing w:before="32"/>
              <w:ind w:left="6"/>
              <w:rPr>
                <w:sz w:val="21"/>
              </w:rPr>
            </w:pPr>
            <w:r>
              <w:rPr>
                <w:w w:val="99"/>
                <w:sz w:val="21"/>
              </w:rPr>
              <w:t>—</w:t>
            </w:r>
          </w:p>
        </w:tc>
        <w:tc>
          <w:tcPr>
            <w:tcW w:w="2590" w:type="dxa"/>
            <w:vMerge w:val="continue"/>
            <w:tcBorders>
              <w:top w:val="nil"/>
              <w:bottom w:val="nil"/>
            </w:tcBorders>
          </w:tcPr>
          <w:p>
            <w:pPr>
              <w:rPr>
                <w:sz w:val="2"/>
                <w:szCs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639" w:type="dxa"/>
            <w:tcBorders>
              <w:top w:val="nil"/>
              <w:bottom w:val="nil"/>
            </w:tcBorders>
          </w:tcPr>
          <w:p>
            <w:pPr>
              <w:pStyle w:val="18"/>
              <w:spacing w:line="224" w:lineRule="exact"/>
              <w:ind w:left="107"/>
              <w:jc w:val="left"/>
              <w:rPr>
                <w:sz w:val="21"/>
              </w:rPr>
            </w:pPr>
            <w:r>
              <w:rPr>
                <w:sz w:val="21"/>
              </w:rPr>
              <w:t>固体</w:t>
            </w:r>
          </w:p>
        </w:tc>
        <w:tc>
          <w:tcPr>
            <w:tcW w:w="1066" w:type="dxa"/>
            <w:tcBorders>
              <w:top w:val="nil"/>
              <w:bottom w:val="nil"/>
            </w:tcBorders>
          </w:tcPr>
          <w:p>
            <w:pPr>
              <w:pStyle w:val="18"/>
              <w:jc w:val="left"/>
              <w:rPr>
                <w:rFonts w:ascii="Times New Roman"/>
                <w:sz w:val="16"/>
              </w:rPr>
            </w:pPr>
          </w:p>
        </w:tc>
        <w:tc>
          <w:tcPr>
            <w:tcW w:w="1100" w:type="dxa"/>
            <w:vMerge w:val="continue"/>
            <w:tcBorders>
              <w:top w:val="nil"/>
            </w:tcBorders>
          </w:tcPr>
          <w:p>
            <w:pPr>
              <w:rPr>
                <w:sz w:val="2"/>
                <w:szCs w:val="2"/>
              </w:rPr>
            </w:pPr>
          </w:p>
        </w:tc>
        <w:tc>
          <w:tcPr>
            <w:tcW w:w="650" w:type="dxa"/>
            <w:tcBorders>
              <w:top w:val="nil"/>
              <w:bottom w:val="nil"/>
            </w:tcBorders>
          </w:tcPr>
          <w:p>
            <w:pPr>
              <w:pStyle w:val="18"/>
              <w:jc w:val="left"/>
              <w:rPr>
                <w:rFonts w:ascii="Times New Roman"/>
                <w:sz w:val="16"/>
              </w:rPr>
            </w:pPr>
          </w:p>
        </w:tc>
        <w:tc>
          <w:tcPr>
            <w:tcW w:w="1878" w:type="dxa"/>
            <w:vMerge w:val="continue"/>
            <w:tcBorders>
              <w:top w:val="nil"/>
            </w:tcBorders>
          </w:tcPr>
          <w:p>
            <w:pPr>
              <w:rPr>
                <w:sz w:val="2"/>
                <w:szCs w:val="2"/>
              </w:rPr>
            </w:pP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tcBorders>
              <w:top w:val="nil"/>
              <w:bottom w:val="nil"/>
            </w:tcBorders>
          </w:tcPr>
          <w:p>
            <w:pPr>
              <w:pStyle w:val="18"/>
              <w:spacing w:line="224" w:lineRule="exact"/>
              <w:ind w:left="107"/>
              <w:jc w:val="left"/>
              <w:rPr>
                <w:sz w:val="21"/>
              </w:rPr>
            </w:pPr>
            <w:r>
              <w:rPr>
                <w:sz w:val="21"/>
              </w:rPr>
              <w:t>（</w:t>
            </w:r>
            <w:r>
              <w:rPr>
                <w:rFonts w:ascii="Times New Roman" w:eastAsia="Times New Roman"/>
                <w:sz w:val="21"/>
              </w:rPr>
              <w:t>GB18599-2001</w:t>
            </w:r>
            <w:r>
              <w:rPr>
                <w:sz w:val="21"/>
              </w:rPr>
              <w:t>）</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39" w:type="dxa"/>
            <w:vMerge w:val="restart"/>
            <w:tcBorders>
              <w:top w:val="nil"/>
              <w:bottom w:val="nil"/>
            </w:tcBorders>
          </w:tcPr>
          <w:p>
            <w:pPr>
              <w:pStyle w:val="18"/>
              <w:spacing w:line="244" w:lineRule="exact"/>
              <w:ind w:left="107"/>
              <w:jc w:val="left"/>
              <w:rPr>
                <w:sz w:val="21"/>
              </w:rPr>
            </w:pPr>
            <w:r>
              <w:rPr>
                <w:sz w:val="21"/>
              </w:rPr>
              <w:t>废物</w:t>
            </w:r>
          </w:p>
        </w:tc>
        <w:tc>
          <w:tcPr>
            <w:tcW w:w="1066" w:type="dxa"/>
            <w:tcBorders>
              <w:top w:val="nil"/>
            </w:tcBorders>
          </w:tcPr>
          <w:p>
            <w:pPr>
              <w:pStyle w:val="18"/>
              <w:jc w:val="left"/>
              <w:rPr>
                <w:rFonts w:ascii="Times New Roman"/>
                <w:sz w:val="2"/>
              </w:rPr>
            </w:pPr>
          </w:p>
        </w:tc>
        <w:tc>
          <w:tcPr>
            <w:tcW w:w="1100" w:type="dxa"/>
            <w:vMerge w:val="continue"/>
            <w:tcBorders>
              <w:top w:val="nil"/>
            </w:tcBorders>
          </w:tcPr>
          <w:p>
            <w:pPr>
              <w:rPr>
                <w:sz w:val="2"/>
                <w:szCs w:val="2"/>
              </w:rPr>
            </w:pPr>
          </w:p>
        </w:tc>
        <w:tc>
          <w:tcPr>
            <w:tcW w:w="650" w:type="dxa"/>
            <w:tcBorders>
              <w:top w:val="nil"/>
            </w:tcBorders>
          </w:tcPr>
          <w:p>
            <w:pPr>
              <w:pStyle w:val="18"/>
              <w:jc w:val="left"/>
              <w:rPr>
                <w:rFonts w:ascii="Times New Roman"/>
                <w:sz w:val="2"/>
              </w:rPr>
            </w:pPr>
          </w:p>
        </w:tc>
        <w:tc>
          <w:tcPr>
            <w:tcW w:w="1878" w:type="dxa"/>
            <w:vMerge w:val="continue"/>
            <w:tcBorders>
              <w:top w:val="nil"/>
            </w:tcBorders>
          </w:tcPr>
          <w:p>
            <w:pPr>
              <w:rPr>
                <w:sz w:val="2"/>
                <w:szCs w:val="2"/>
              </w:rPr>
            </w:pP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tcBorders>
              <w:top w:val="nil"/>
            </w:tcBorders>
          </w:tcPr>
          <w:p>
            <w:pPr>
              <w:pStyle w:val="18"/>
              <w:jc w:val="left"/>
              <w:rPr>
                <w:rFonts w:ascii="Times New Roman"/>
                <w:sz w:val="2"/>
              </w:rPr>
            </w:pP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639" w:type="dxa"/>
            <w:vMerge w:val="continue"/>
            <w:tcBorders>
              <w:top w:val="nil"/>
              <w:bottom w:val="nil"/>
            </w:tcBorders>
          </w:tcPr>
          <w:p>
            <w:pPr>
              <w:rPr>
                <w:sz w:val="2"/>
                <w:szCs w:val="2"/>
              </w:rPr>
            </w:pPr>
          </w:p>
        </w:tc>
        <w:tc>
          <w:tcPr>
            <w:tcW w:w="1066" w:type="dxa"/>
            <w:tcBorders>
              <w:bottom w:val="nil"/>
            </w:tcBorders>
          </w:tcPr>
          <w:p>
            <w:pPr>
              <w:pStyle w:val="18"/>
              <w:spacing w:line="212" w:lineRule="exact"/>
              <w:ind w:left="107"/>
              <w:jc w:val="left"/>
              <w:rPr>
                <w:sz w:val="21"/>
              </w:rPr>
            </w:pPr>
            <w:r>
              <w:rPr>
                <w:sz w:val="21"/>
              </w:rPr>
              <w:t>无害化处</w:t>
            </w:r>
          </w:p>
        </w:tc>
        <w:tc>
          <w:tcPr>
            <w:tcW w:w="1100" w:type="dxa"/>
            <w:tcBorders>
              <w:bottom w:val="nil"/>
            </w:tcBorders>
          </w:tcPr>
          <w:p>
            <w:pPr>
              <w:pStyle w:val="18"/>
              <w:spacing w:line="212" w:lineRule="exact"/>
              <w:ind w:left="109" w:right="100"/>
              <w:rPr>
                <w:sz w:val="21"/>
              </w:rPr>
            </w:pPr>
            <w:r>
              <w:rPr>
                <w:sz w:val="21"/>
              </w:rPr>
              <w:t>病死羊及</w:t>
            </w:r>
          </w:p>
        </w:tc>
        <w:tc>
          <w:tcPr>
            <w:tcW w:w="650" w:type="dxa"/>
            <w:tcBorders>
              <w:bottom w:val="nil"/>
            </w:tcBorders>
          </w:tcPr>
          <w:p>
            <w:pPr>
              <w:pStyle w:val="18"/>
              <w:jc w:val="left"/>
              <w:rPr>
                <w:rFonts w:ascii="Times New Roman"/>
                <w:sz w:val="16"/>
              </w:rPr>
            </w:pPr>
          </w:p>
        </w:tc>
        <w:tc>
          <w:tcPr>
            <w:tcW w:w="1878" w:type="dxa"/>
            <w:vMerge w:val="restart"/>
          </w:tcPr>
          <w:p>
            <w:pPr>
              <w:pStyle w:val="18"/>
              <w:spacing w:before="102"/>
              <w:ind w:left="108"/>
              <w:jc w:val="left"/>
              <w:rPr>
                <w:sz w:val="21"/>
              </w:rPr>
            </w:pPr>
            <w:r>
              <w:rPr>
                <w:sz w:val="21"/>
              </w:rPr>
              <w:t>填埋井安全填埋</w:t>
            </w:r>
          </w:p>
        </w:tc>
        <w:tc>
          <w:tcPr>
            <w:tcW w:w="1156" w:type="dxa"/>
            <w:vMerge w:val="restart"/>
          </w:tcPr>
          <w:p>
            <w:pPr>
              <w:pStyle w:val="18"/>
              <w:spacing w:before="102"/>
              <w:ind w:left="7"/>
              <w:rPr>
                <w:sz w:val="21"/>
              </w:rPr>
            </w:pPr>
            <w:r>
              <w:rPr>
                <w:w w:val="99"/>
                <w:sz w:val="21"/>
              </w:rPr>
              <w:t>—</w:t>
            </w:r>
          </w:p>
        </w:tc>
        <w:tc>
          <w:tcPr>
            <w:tcW w:w="1000" w:type="dxa"/>
            <w:vMerge w:val="restart"/>
          </w:tcPr>
          <w:p>
            <w:pPr>
              <w:pStyle w:val="18"/>
              <w:spacing w:before="102"/>
              <w:ind w:left="6"/>
              <w:rPr>
                <w:sz w:val="21"/>
              </w:rPr>
            </w:pPr>
            <w:r>
              <w:rPr>
                <w:w w:val="99"/>
                <w:sz w:val="21"/>
              </w:rPr>
              <w:t>—</w:t>
            </w:r>
          </w:p>
        </w:tc>
        <w:tc>
          <w:tcPr>
            <w:tcW w:w="1016" w:type="dxa"/>
            <w:vMerge w:val="restart"/>
          </w:tcPr>
          <w:p>
            <w:pPr>
              <w:pStyle w:val="18"/>
              <w:spacing w:before="88"/>
              <w:ind w:left="298"/>
              <w:jc w:val="center"/>
              <w:rPr>
                <w:rFonts w:hint="eastAsia" w:ascii="Times New Roman" w:eastAsia="宋体"/>
                <w:sz w:val="24"/>
                <w:lang w:val="en-US" w:eastAsia="zh-CN"/>
              </w:rPr>
            </w:pPr>
            <w:r>
              <w:rPr>
                <w:rFonts w:hint="eastAsia" w:ascii="Times New Roman"/>
                <w:sz w:val="24"/>
                <w:lang w:val="en-US" w:eastAsia="zh-CN"/>
              </w:rPr>
              <w:t>8</w:t>
            </w:r>
          </w:p>
        </w:tc>
        <w:tc>
          <w:tcPr>
            <w:tcW w:w="1050" w:type="dxa"/>
            <w:vMerge w:val="restart"/>
          </w:tcPr>
          <w:p>
            <w:pPr>
              <w:pStyle w:val="18"/>
              <w:spacing w:before="102"/>
              <w:ind w:left="9"/>
              <w:rPr>
                <w:sz w:val="21"/>
              </w:rPr>
            </w:pPr>
            <w:r>
              <w:rPr>
                <w:w w:val="99"/>
                <w:sz w:val="21"/>
              </w:rPr>
              <w:t>—</w:t>
            </w:r>
          </w:p>
        </w:tc>
        <w:tc>
          <w:tcPr>
            <w:tcW w:w="1017" w:type="dxa"/>
            <w:vMerge w:val="restart"/>
          </w:tcPr>
          <w:p>
            <w:pPr>
              <w:pStyle w:val="18"/>
              <w:spacing w:before="102"/>
              <w:ind w:left="6"/>
              <w:rPr>
                <w:sz w:val="21"/>
              </w:rPr>
            </w:pPr>
            <w:r>
              <w:rPr>
                <w:w w:val="99"/>
                <w:sz w:val="21"/>
              </w:rPr>
              <w:t>—</w:t>
            </w:r>
          </w:p>
        </w:tc>
        <w:tc>
          <w:tcPr>
            <w:tcW w:w="2590" w:type="dxa"/>
            <w:tcBorders>
              <w:bottom w:val="nil"/>
            </w:tcBorders>
          </w:tcPr>
          <w:p>
            <w:pPr>
              <w:pStyle w:val="18"/>
              <w:spacing w:line="212" w:lineRule="exact"/>
              <w:ind w:left="107"/>
              <w:jc w:val="left"/>
              <w:rPr>
                <w:sz w:val="21"/>
              </w:rPr>
            </w:pPr>
            <w:r>
              <w:rPr>
                <w:sz w:val="21"/>
              </w:rPr>
              <w:t>满足《畜禽养殖业污染防</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639" w:type="dxa"/>
            <w:vMerge w:val="restart"/>
            <w:tcBorders>
              <w:top w:val="nil"/>
            </w:tcBorders>
          </w:tcPr>
          <w:p>
            <w:pPr>
              <w:pStyle w:val="18"/>
              <w:jc w:val="left"/>
              <w:rPr>
                <w:rFonts w:ascii="Times New Roman"/>
                <w:sz w:val="20"/>
              </w:rPr>
            </w:pPr>
          </w:p>
        </w:tc>
        <w:tc>
          <w:tcPr>
            <w:tcW w:w="1066" w:type="dxa"/>
            <w:tcBorders>
              <w:top w:val="nil"/>
            </w:tcBorders>
          </w:tcPr>
          <w:p>
            <w:pPr>
              <w:pStyle w:val="18"/>
              <w:spacing w:line="218" w:lineRule="exact"/>
              <w:ind w:left="107"/>
              <w:jc w:val="left"/>
              <w:rPr>
                <w:sz w:val="21"/>
              </w:rPr>
            </w:pPr>
            <w:r>
              <w:rPr>
                <w:sz w:val="21"/>
              </w:rPr>
              <w:t>理车间</w:t>
            </w:r>
          </w:p>
        </w:tc>
        <w:tc>
          <w:tcPr>
            <w:tcW w:w="1100" w:type="dxa"/>
            <w:tcBorders>
              <w:top w:val="nil"/>
            </w:tcBorders>
          </w:tcPr>
          <w:p>
            <w:pPr>
              <w:pStyle w:val="18"/>
              <w:spacing w:line="218" w:lineRule="exact"/>
              <w:ind w:left="106" w:right="100"/>
              <w:rPr>
                <w:sz w:val="21"/>
              </w:rPr>
            </w:pPr>
            <w:r>
              <w:rPr>
                <w:sz w:val="21"/>
              </w:rPr>
              <w:t>分娩物</w:t>
            </w:r>
          </w:p>
        </w:tc>
        <w:tc>
          <w:tcPr>
            <w:tcW w:w="650" w:type="dxa"/>
            <w:vMerge w:val="restart"/>
            <w:tcBorders>
              <w:top w:val="nil"/>
            </w:tcBorders>
          </w:tcPr>
          <w:p>
            <w:pPr>
              <w:pStyle w:val="18"/>
              <w:spacing w:before="128" w:line="213" w:lineRule="auto"/>
              <w:ind w:left="115" w:right="104"/>
              <w:jc w:val="left"/>
              <w:rPr>
                <w:sz w:val="21"/>
              </w:rPr>
            </w:pPr>
            <w:r>
              <w:rPr>
                <w:sz w:val="21"/>
              </w:rPr>
              <w:t>危险废物</w:t>
            </w:r>
          </w:p>
        </w:tc>
        <w:tc>
          <w:tcPr>
            <w:tcW w:w="1878" w:type="dxa"/>
            <w:vMerge w:val="continue"/>
            <w:tcBorders>
              <w:top w:val="nil"/>
            </w:tcBorders>
          </w:tcPr>
          <w:p>
            <w:pPr>
              <w:rPr>
                <w:sz w:val="2"/>
                <w:szCs w:val="2"/>
              </w:rPr>
            </w:pPr>
          </w:p>
        </w:tc>
        <w:tc>
          <w:tcPr>
            <w:tcW w:w="1156"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rPr>
                <w:sz w:val="2"/>
                <w:szCs w:val="2"/>
              </w:rPr>
            </w:pPr>
          </w:p>
        </w:tc>
        <w:tc>
          <w:tcPr>
            <w:tcW w:w="1017" w:type="dxa"/>
            <w:vMerge w:val="continue"/>
            <w:tcBorders>
              <w:top w:val="nil"/>
            </w:tcBorders>
          </w:tcPr>
          <w:p>
            <w:pPr>
              <w:rPr>
                <w:sz w:val="2"/>
                <w:szCs w:val="2"/>
              </w:rPr>
            </w:pPr>
          </w:p>
        </w:tc>
        <w:tc>
          <w:tcPr>
            <w:tcW w:w="2590" w:type="dxa"/>
            <w:tcBorders>
              <w:top w:val="nil"/>
            </w:tcBorders>
          </w:tcPr>
          <w:p>
            <w:pPr>
              <w:pStyle w:val="18"/>
              <w:spacing w:line="218" w:lineRule="exact"/>
              <w:ind w:left="107"/>
              <w:jc w:val="left"/>
              <w:rPr>
                <w:sz w:val="21"/>
              </w:rPr>
            </w:pPr>
            <w:r>
              <w:rPr>
                <w:sz w:val="21"/>
              </w:rPr>
              <w:t>治技术规范》要求</w:t>
            </w:r>
          </w:p>
        </w:tc>
        <w:tc>
          <w:tcPr>
            <w:tcW w:w="10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9" w:type="dxa"/>
            <w:vMerge w:val="continue"/>
            <w:tcBorders>
              <w:top w:val="nil"/>
            </w:tcBorders>
          </w:tcPr>
          <w:p>
            <w:pPr>
              <w:rPr>
                <w:sz w:val="2"/>
                <w:szCs w:val="2"/>
              </w:rPr>
            </w:pPr>
          </w:p>
        </w:tc>
        <w:tc>
          <w:tcPr>
            <w:tcW w:w="1066" w:type="dxa"/>
          </w:tcPr>
          <w:p>
            <w:pPr>
              <w:pStyle w:val="18"/>
              <w:spacing w:before="125" w:line="213" w:lineRule="auto"/>
              <w:ind w:left="107" w:right="109"/>
              <w:jc w:val="left"/>
              <w:rPr>
                <w:sz w:val="21"/>
              </w:rPr>
            </w:pPr>
            <w:r>
              <w:rPr>
                <w:sz w:val="21"/>
              </w:rPr>
              <w:t>兽医实验室</w:t>
            </w:r>
          </w:p>
        </w:tc>
        <w:tc>
          <w:tcPr>
            <w:tcW w:w="1100" w:type="dxa"/>
          </w:tcPr>
          <w:p>
            <w:pPr>
              <w:pStyle w:val="18"/>
              <w:spacing w:before="125" w:line="213" w:lineRule="auto"/>
              <w:ind w:left="445" w:right="119" w:hanging="315"/>
              <w:jc w:val="left"/>
              <w:rPr>
                <w:sz w:val="21"/>
              </w:rPr>
            </w:pPr>
            <w:r>
              <w:rPr>
                <w:sz w:val="21"/>
              </w:rPr>
              <w:t>医疗废弃物</w:t>
            </w:r>
          </w:p>
        </w:tc>
        <w:tc>
          <w:tcPr>
            <w:tcW w:w="650" w:type="dxa"/>
            <w:vMerge w:val="continue"/>
            <w:tcBorders>
              <w:top w:val="nil"/>
            </w:tcBorders>
          </w:tcPr>
          <w:p>
            <w:pPr>
              <w:rPr>
                <w:sz w:val="2"/>
                <w:szCs w:val="2"/>
              </w:rPr>
            </w:pPr>
          </w:p>
        </w:tc>
        <w:tc>
          <w:tcPr>
            <w:tcW w:w="1878" w:type="dxa"/>
          </w:tcPr>
          <w:p>
            <w:pPr>
              <w:pStyle w:val="18"/>
              <w:spacing w:before="125" w:line="213" w:lineRule="auto"/>
              <w:ind w:left="108" w:right="288"/>
              <w:jc w:val="left"/>
              <w:rPr>
                <w:sz w:val="21"/>
              </w:rPr>
            </w:pPr>
            <w:r>
              <w:rPr>
                <w:sz w:val="21"/>
              </w:rPr>
              <w:t>集中收集后交由有资质单位处置</w:t>
            </w:r>
          </w:p>
        </w:tc>
        <w:tc>
          <w:tcPr>
            <w:tcW w:w="1156" w:type="dxa"/>
          </w:tcPr>
          <w:p>
            <w:pPr>
              <w:pStyle w:val="18"/>
              <w:spacing w:before="3"/>
              <w:jc w:val="left"/>
              <w:rPr>
                <w:b/>
                <w:sz w:val="17"/>
              </w:rPr>
            </w:pPr>
          </w:p>
          <w:p>
            <w:pPr>
              <w:pStyle w:val="18"/>
              <w:spacing w:before="1"/>
              <w:ind w:left="7"/>
              <w:rPr>
                <w:sz w:val="21"/>
              </w:rPr>
            </w:pPr>
            <w:r>
              <w:rPr>
                <w:w w:val="99"/>
                <w:sz w:val="21"/>
              </w:rPr>
              <w:t>—</w:t>
            </w:r>
          </w:p>
        </w:tc>
        <w:tc>
          <w:tcPr>
            <w:tcW w:w="1000" w:type="dxa"/>
          </w:tcPr>
          <w:p>
            <w:pPr>
              <w:pStyle w:val="18"/>
              <w:spacing w:before="3"/>
              <w:jc w:val="left"/>
              <w:rPr>
                <w:b/>
                <w:sz w:val="17"/>
              </w:rPr>
            </w:pPr>
          </w:p>
          <w:p>
            <w:pPr>
              <w:pStyle w:val="18"/>
              <w:spacing w:before="1"/>
              <w:ind w:left="6"/>
              <w:rPr>
                <w:sz w:val="21"/>
              </w:rPr>
            </w:pPr>
            <w:r>
              <w:rPr>
                <w:w w:val="99"/>
                <w:sz w:val="21"/>
              </w:rPr>
              <w:t>—</w:t>
            </w:r>
          </w:p>
        </w:tc>
        <w:tc>
          <w:tcPr>
            <w:tcW w:w="1016" w:type="dxa"/>
          </w:tcPr>
          <w:p>
            <w:pPr>
              <w:pStyle w:val="18"/>
              <w:spacing w:before="5"/>
              <w:jc w:val="center"/>
              <w:rPr>
                <w:b/>
                <w:sz w:val="18"/>
              </w:rPr>
            </w:pPr>
          </w:p>
          <w:p>
            <w:pPr>
              <w:pStyle w:val="18"/>
              <w:jc w:val="center"/>
              <w:rPr>
                <w:rFonts w:ascii="Times New Roman"/>
                <w:sz w:val="21"/>
              </w:rPr>
            </w:pPr>
            <w:r>
              <w:rPr>
                <w:rFonts w:ascii="Times New Roman"/>
                <w:sz w:val="21"/>
              </w:rPr>
              <w:t>6.85</w:t>
            </w:r>
          </w:p>
        </w:tc>
        <w:tc>
          <w:tcPr>
            <w:tcW w:w="1050" w:type="dxa"/>
          </w:tcPr>
          <w:p>
            <w:pPr>
              <w:pStyle w:val="18"/>
              <w:spacing w:before="3"/>
              <w:jc w:val="left"/>
              <w:rPr>
                <w:b/>
                <w:sz w:val="17"/>
              </w:rPr>
            </w:pPr>
          </w:p>
          <w:p>
            <w:pPr>
              <w:pStyle w:val="18"/>
              <w:spacing w:before="1"/>
              <w:ind w:left="420"/>
              <w:jc w:val="left"/>
              <w:rPr>
                <w:sz w:val="21"/>
              </w:rPr>
            </w:pPr>
            <w:r>
              <w:rPr>
                <w:w w:val="99"/>
                <w:sz w:val="21"/>
              </w:rPr>
              <w:t>—</w:t>
            </w:r>
          </w:p>
        </w:tc>
        <w:tc>
          <w:tcPr>
            <w:tcW w:w="1017" w:type="dxa"/>
          </w:tcPr>
          <w:p>
            <w:pPr>
              <w:pStyle w:val="18"/>
              <w:spacing w:before="3"/>
              <w:jc w:val="left"/>
              <w:rPr>
                <w:b/>
                <w:sz w:val="17"/>
              </w:rPr>
            </w:pPr>
          </w:p>
          <w:p>
            <w:pPr>
              <w:pStyle w:val="18"/>
              <w:spacing w:before="1"/>
              <w:ind w:left="6"/>
              <w:rPr>
                <w:sz w:val="21"/>
              </w:rPr>
            </w:pPr>
            <w:r>
              <w:rPr>
                <w:w w:val="99"/>
                <w:sz w:val="21"/>
              </w:rPr>
              <w:t>—</w:t>
            </w:r>
          </w:p>
        </w:tc>
        <w:tc>
          <w:tcPr>
            <w:tcW w:w="2590" w:type="dxa"/>
          </w:tcPr>
          <w:p>
            <w:pPr>
              <w:pStyle w:val="18"/>
              <w:spacing w:before="5" w:line="213" w:lineRule="auto"/>
              <w:ind w:left="107" w:right="115"/>
              <w:jc w:val="left"/>
              <w:rPr>
                <w:sz w:val="21"/>
              </w:rPr>
            </w:pPr>
            <w:r>
              <w:rPr>
                <w:sz w:val="21"/>
              </w:rPr>
              <w:t>《危险废物贮存污染控制</w:t>
            </w:r>
            <w:r>
              <w:rPr>
                <w:w w:val="95"/>
                <w:sz w:val="21"/>
              </w:rPr>
              <w:t>标准》（</w:t>
            </w:r>
            <w:r>
              <w:rPr>
                <w:rFonts w:ascii="Times New Roman" w:eastAsia="Times New Roman"/>
                <w:w w:val="95"/>
                <w:sz w:val="21"/>
              </w:rPr>
              <w:t>GB18597-2001</w:t>
            </w:r>
            <w:r>
              <w:rPr>
                <w:w w:val="95"/>
                <w:sz w:val="21"/>
              </w:rPr>
              <w:t>）</w:t>
            </w:r>
          </w:p>
          <w:p>
            <w:pPr>
              <w:pStyle w:val="18"/>
              <w:spacing w:line="216" w:lineRule="exact"/>
              <w:ind w:left="107"/>
              <w:jc w:val="left"/>
              <w:rPr>
                <w:sz w:val="21"/>
              </w:rPr>
            </w:pPr>
            <w:r>
              <w:rPr>
                <w:sz w:val="21"/>
              </w:rPr>
              <w:t>及修改单中的有关规定</w:t>
            </w:r>
          </w:p>
        </w:tc>
        <w:tc>
          <w:tcPr>
            <w:tcW w:w="1023" w:type="dxa"/>
            <w:vMerge w:val="continue"/>
            <w:tcBorders>
              <w:top w:val="nil"/>
            </w:tcBorders>
          </w:tcPr>
          <w:p>
            <w:pPr>
              <w:rPr>
                <w:sz w:val="2"/>
                <w:szCs w:val="2"/>
              </w:rPr>
            </w:pPr>
          </w:p>
        </w:tc>
      </w:tr>
    </w:tbl>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ind w:left="0"/>
        <w:rPr>
          <w:b/>
          <w:sz w:val="20"/>
        </w:rPr>
      </w:pPr>
    </w:p>
    <w:p>
      <w:pPr>
        <w:spacing w:before="0"/>
        <w:ind w:left="0" w:right="16" w:firstLine="0"/>
        <w:jc w:val="center"/>
        <w:rPr>
          <w:rFonts w:ascii="Times New Roman"/>
          <w:sz w:val="18"/>
        </w:rPr>
      </w:pPr>
      <w:r>
        <w:rPr>
          <w:rFonts w:ascii="Times New Roman"/>
          <w:sz w:val="18"/>
        </w:rPr>
        <w:t>163</w:t>
      </w:r>
    </w:p>
    <w:p>
      <w:pPr>
        <w:spacing w:after="0"/>
        <w:jc w:val="center"/>
        <w:rPr>
          <w:rFonts w:ascii="Times New Roman"/>
          <w:sz w:val="18"/>
        </w:rPr>
        <w:sectPr>
          <w:headerReference r:id="rId23" w:type="default"/>
          <w:footerReference r:id="rId24" w:type="default"/>
          <w:pgSz w:w="16840" w:h="11910" w:orient="landscape"/>
          <w:pgMar w:top="820" w:right="1200" w:bottom="280" w:left="1220" w:header="0" w:footer="0" w:gutter="0"/>
          <w:pgBorders>
            <w:top w:val="none" w:sz="0" w:space="0"/>
            <w:left w:val="none" w:sz="0" w:space="0"/>
            <w:bottom w:val="none" w:sz="0" w:space="0"/>
            <w:right w:val="none" w:sz="0" w:space="0"/>
          </w:pgBorders>
          <w:pgNumType w:fmt="decimal"/>
        </w:sectPr>
      </w:pPr>
    </w:p>
    <w:p>
      <w:pPr>
        <w:pStyle w:val="17"/>
        <w:numPr>
          <w:ilvl w:val="0"/>
          <w:numId w:val="77"/>
        </w:numPr>
        <w:tabs>
          <w:tab w:val="left" w:pos="1301"/>
        </w:tabs>
        <w:spacing w:before="169" w:after="0" w:line="240" w:lineRule="auto"/>
        <w:ind w:left="1301" w:right="0" w:hanging="601"/>
        <w:jc w:val="left"/>
        <w:rPr>
          <w:sz w:val="24"/>
        </w:rPr>
      </w:pPr>
      <w:r>
        <w:rPr>
          <w:sz w:val="24"/>
        </w:rPr>
        <w:t>总量控制指标</w:t>
      </w:r>
    </w:p>
    <w:p>
      <w:pPr>
        <w:pStyle w:val="7"/>
        <w:spacing w:before="161" w:line="364" w:lineRule="auto"/>
        <w:ind w:left="220" w:right="317" w:firstLine="480"/>
        <w:jc w:val="both"/>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w:t>
      </w:r>
      <w:r>
        <w:rPr>
          <w:spacing w:val="-6"/>
        </w:rPr>
        <w:t>本项目职工</w:t>
      </w:r>
      <w:r>
        <w:rPr>
          <w:rFonts w:hint="eastAsia"/>
          <w:spacing w:val="-6"/>
          <w:lang w:val="en-US" w:eastAsia="zh-CN"/>
        </w:rPr>
        <w:t>人数较少产生的</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r>
        <w:rPr>
          <w:spacing w:val="-10"/>
        </w:rPr>
        <w:t>因此，本项目不需申请水污染物排放总量控制</w:t>
      </w:r>
      <w:r>
        <w:t>指标。</w:t>
      </w:r>
    </w:p>
    <w:p>
      <w:pPr>
        <w:pStyle w:val="7"/>
        <w:spacing w:before="3" w:line="362" w:lineRule="auto"/>
        <w:ind w:left="220" w:right="22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6"/>
        <w:ind w:left="700"/>
      </w:pPr>
      <w:r>
        <w:t>综上所述，本项目无需申请总量控制指标。</w:t>
      </w:r>
    </w:p>
    <w:p>
      <w:pPr>
        <w:pStyle w:val="17"/>
        <w:numPr>
          <w:ilvl w:val="0"/>
          <w:numId w:val="77"/>
        </w:numPr>
        <w:tabs>
          <w:tab w:val="left" w:pos="1301"/>
        </w:tabs>
        <w:spacing w:before="161" w:after="0" w:line="240" w:lineRule="auto"/>
        <w:ind w:left="1301" w:right="0" w:hanging="601"/>
        <w:jc w:val="left"/>
        <w:rPr>
          <w:sz w:val="24"/>
        </w:rPr>
      </w:pPr>
      <w:r>
        <w:rPr>
          <w:sz w:val="24"/>
        </w:rPr>
        <w:t>排污口规范化设置</w:t>
      </w:r>
    </w:p>
    <w:p>
      <w:pPr>
        <w:pStyle w:val="7"/>
        <w:spacing w:before="160"/>
        <w:ind w:left="700"/>
      </w:pPr>
      <w:r>
        <w:rPr>
          <w:spacing w:val="-6"/>
        </w:rPr>
        <w:t>按照原国家环境保护总局制定的《〈环境保护图形标志〉实施细则</w:t>
      </w:r>
      <w:r>
        <w:t>（试行</w:t>
      </w:r>
      <w:r>
        <w:rPr>
          <w:spacing w:val="-24"/>
        </w:rPr>
        <w:t>）</w:t>
      </w:r>
      <w:r>
        <w:t>》</w:t>
      </w:r>
    </w:p>
    <w:p>
      <w:pPr>
        <w:pStyle w:val="7"/>
        <w:spacing w:before="161" w:line="364" w:lineRule="auto"/>
        <w:ind w:left="220" w:right="197"/>
      </w:pPr>
      <w:r>
        <w:t>（</w:t>
      </w:r>
      <w:r>
        <w:rPr>
          <w:spacing w:val="-18"/>
        </w:rPr>
        <w:t>环监</w:t>
      </w:r>
      <w:r>
        <w:rPr>
          <w:spacing w:val="-5"/>
        </w:rPr>
        <w:t>［</w:t>
      </w:r>
      <w:r>
        <w:rPr>
          <w:rFonts w:ascii="Times New Roman" w:eastAsia="Times New Roman"/>
          <w:spacing w:val="-5"/>
        </w:rPr>
        <w:t>1996</w:t>
      </w:r>
      <w:r>
        <w:rPr>
          <w:spacing w:val="-5"/>
        </w:rPr>
        <w:t>］</w:t>
      </w:r>
      <w:r>
        <w:rPr>
          <w:rFonts w:ascii="Times New Roman" w:eastAsia="Times New Roman"/>
          <w:spacing w:val="-5"/>
        </w:rPr>
        <w:t>463</w:t>
      </w:r>
      <w:r>
        <w:t>号</w:t>
      </w:r>
      <w:r>
        <w:rPr>
          <w:spacing w:val="-39"/>
        </w:rPr>
        <w:t>）</w:t>
      </w:r>
      <w:r>
        <w:rPr>
          <w:spacing w:val="-7"/>
        </w:rPr>
        <w:t>的规定，在各排污口应设立相应的环境保护图形标志牌，</w:t>
      </w:r>
      <w:r>
        <w:rPr>
          <w:spacing w:val="-4"/>
        </w:rPr>
        <w:t>本项目设置环境保护图形标志牌见图</w:t>
      </w:r>
      <w:r>
        <w:rPr>
          <w:rFonts w:ascii="Times New Roman" w:eastAsia="Times New Roman"/>
        </w:rPr>
        <w:t>8.1-1</w:t>
      </w:r>
      <w:r>
        <w:t>。</w:t>
      </w:r>
    </w:p>
    <w:p>
      <w:pPr>
        <w:pStyle w:val="7"/>
        <w:ind w:left="0"/>
        <w:rPr>
          <w:sz w:val="23"/>
        </w:rPr>
      </w:pPr>
      <w:r>
        <mc:AlternateContent>
          <mc:Choice Requires="wpg">
            <w:drawing>
              <wp:anchor distT="0" distB="0" distL="114300" distR="114300" simplePos="0" relativeHeight="251763712" behindDoc="1" locked="0" layoutInCell="1" allowOverlap="1">
                <wp:simplePos x="0" y="0"/>
                <wp:positionH relativeFrom="page">
                  <wp:posOffset>1323975</wp:posOffset>
                </wp:positionH>
                <wp:positionV relativeFrom="paragraph">
                  <wp:posOffset>211455</wp:posOffset>
                </wp:positionV>
                <wp:extent cx="5093335" cy="1308100"/>
                <wp:effectExtent l="635" t="635" r="11430" b="5715"/>
                <wp:wrapTopAndBottom/>
                <wp:docPr id="166" name="组合 151"/>
                <wp:cNvGraphicFramePr/>
                <a:graphic xmlns:a="http://schemas.openxmlformats.org/drawingml/2006/main">
                  <a:graphicData uri="http://schemas.microsoft.com/office/word/2010/wordprocessingGroup">
                    <wpg:wgp>
                      <wpg:cNvGrpSpPr/>
                      <wpg:grpSpPr>
                        <a:xfrm>
                          <a:off x="0" y="0"/>
                          <a:ext cx="5093335" cy="1308100"/>
                          <a:chOff x="2086" y="334"/>
                          <a:chExt cx="8021" cy="2060"/>
                        </a:xfrm>
                      </wpg:grpSpPr>
                      <pic:pic xmlns:pic="http://schemas.openxmlformats.org/drawingml/2006/picture">
                        <pic:nvPicPr>
                          <pic:cNvPr id="160" name="图片 152"/>
                          <pic:cNvPicPr>
                            <a:picLocks noChangeAspect="1"/>
                          </pic:cNvPicPr>
                        </pic:nvPicPr>
                        <pic:blipFill>
                          <a:blip r:embed="rId50"/>
                          <a:stretch>
                            <a:fillRect/>
                          </a:stretch>
                        </pic:blipFill>
                        <pic:spPr>
                          <a:xfrm>
                            <a:off x="2085" y="333"/>
                            <a:ext cx="8021" cy="2060"/>
                          </a:xfrm>
                          <a:prstGeom prst="rect">
                            <a:avLst/>
                          </a:prstGeom>
                          <a:noFill/>
                          <a:ln>
                            <a:noFill/>
                          </a:ln>
                        </pic:spPr>
                      </pic:pic>
                      <pic:pic xmlns:pic="http://schemas.openxmlformats.org/drawingml/2006/picture">
                        <pic:nvPicPr>
                          <pic:cNvPr id="161" name="图片 153"/>
                          <pic:cNvPicPr>
                            <a:picLocks noChangeAspect="1"/>
                          </pic:cNvPicPr>
                        </pic:nvPicPr>
                        <pic:blipFill>
                          <a:blip r:embed="rId51"/>
                          <a:stretch>
                            <a:fillRect/>
                          </a:stretch>
                        </pic:blipFill>
                        <pic:spPr>
                          <a:xfrm>
                            <a:off x="3717" y="578"/>
                            <a:ext cx="1402" cy="1764"/>
                          </a:xfrm>
                          <a:prstGeom prst="rect">
                            <a:avLst/>
                          </a:prstGeom>
                          <a:noFill/>
                          <a:ln>
                            <a:noFill/>
                          </a:ln>
                        </pic:spPr>
                      </pic:pic>
                      <pic:pic xmlns:pic="http://schemas.openxmlformats.org/drawingml/2006/picture">
                        <pic:nvPicPr>
                          <pic:cNvPr id="162" name="图片 154"/>
                          <pic:cNvPicPr>
                            <a:picLocks noChangeAspect="1"/>
                          </pic:cNvPicPr>
                        </pic:nvPicPr>
                        <pic:blipFill>
                          <a:blip r:embed="rId52"/>
                          <a:stretch>
                            <a:fillRect/>
                          </a:stretch>
                        </pic:blipFill>
                        <pic:spPr>
                          <a:xfrm>
                            <a:off x="5227" y="530"/>
                            <a:ext cx="1467" cy="1820"/>
                          </a:xfrm>
                          <a:prstGeom prst="rect">
                            <a:avLst/>
                          </a:prstGeom>
                          <a:noFill/>
                          <a:ln>
                            <a:noFill/>
                          </a:ln>
                        </pic:spPr>
                      </pic:pic>
                      <pic:pic xmlns:pic="http://schemas.openxmlformats.org/drawingml/2006/picture">
                        <pic:nvPicPr>
                          <pic:cNvPr id="163" name="图片 155"/>
                          <pic:cNvPicPr>
                            <a:picLocks noChangeAspect="1"/>
                          </pic:cNvPicPr>
                        </pic:nvPicPr>
                        <pic:blipFill>
                          <a:blip r:embed="rId53"/>
                          <a:stretch>
                            <a:fillRect/>
                          </a:stretch>
                        </pic:blipFill>
                        <pic:spPr>
                          <a:xfrm>
                            <a:off x="6847" y="521"/>
                            <a:ext cx="1344" cy="1798"/>
                          </a:xfrm>
                          <a:prstGeom prst="rect">
                            <a:avLst/>
                          </a:prstGeom>
                          <a:noFill/>
                          <a:ln>
                            <a:noFill/>
                          </a:ln>
                        </pic:spPr>
                      </pic:pic>
                      <pic:pic xmlns:pic="http://schemas.openxmlformats.org/drawingml/2006/picture">
                        <pic:nvPicPr>
                          <pic:cNvPr id="164" name="图片 156"/>
                          <pic:cNvPicPr>
                            <a:picLocks noChangeAspect="1"/>
                          </pic:cNvPicPr>
                        </pic:nvPicPr>
                        <pic:blipFill>
                          <a:blip r:embed="rId54"/>
                          <a:stretch>
                            <a:fillRect/>
                          </a:stretch>
                        </pic:blipFill>
                        <pic:spPr>
                          <a:xfrm>
                            <a:off x="8416" y="600"/>
                            <a:ext cx="1352" cy="1304"/>
                          </a:xfrm>
                          <a:prstGeom prst="rect">
                            <a:avLst/>
                          </a:prstGeom>
                          <a:noFill/>
                          <a:ln>
                            <a:noFill/>
                          </a:ln>
                        </pic:spPr>
                      </pic:pic>
                      <pic:pic xmlns:pic="http://schemas.openxmlformats.org/drawingml/2006/picture">
                        <pic:nvPicPr>
                          <pic:cNvPr id="165" name="图片 157"/>
                          <pic:cNvPicPr>
                            <a:picLocks noChangeAspect="1"/>
                          </pic:cNvPicPr>
                        </pic:nvPicPr>
                        <pic:blipFill>
                          <a:blip r:embed="rId55"/>
                          <a:stretch>
                            <a:fillRect/>
                          </a:stretch>
                        </pic:blipFill>
                        <pic:spPr>
                          <a:xfrm>
                            <a:off x="8436" y="1985"/>
                            <a:ext cx="1340" cy="353"/>
                          </a:xfrm>
                          <a:prstGeom prst="rect">
                            <a:avLst/>
                          </a:prstGeom>
                          <a:noFill/>
                          <a:ln>
                            <a:noFill/>
                          </a:ln>
                        </pic:spPr>
                      </pic:pic>
                    </wpg:wgp>
                  </a:graphicData>
                </a:graphic>
              </wp:anchor>
            </w:drawing>
          </mc:Choice>
          <mc:Fallback>
            <w:pict>
              <v:group id="组合 151" o:spid="_x0000_s1026" o:spt="203" style="position:absolute;left:0pt;margin-left:104.25pt;margin-top:16.65pt;height:103pt;width:401.05pt;mso-position-horizontal-relative:page;mso-wrap-distance-bottom:0pt;mso-wrap-distance-top:0pt;z-index:-251552768;mso-width-relative:page;mso-height-relative:page;" coordorigin="2086,334" coordsize="8021,2060" o:gfxdata="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">
                <o:lock v:ext="edit" aspectratio="f"/>
                <v:shape id="图片 152" o:spid="_x0000_s1026" o:spt="75" type="#_x0000_t75" style="position:absolute;left:2085;top:333;height:2060;width:8021;" filled="f" o:preferrelative="t" stroked="f" coordsize="21600,21600" o:gfxdata="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objh&#10;wAAAANwAAAAPAAAAAAAAAAEAIAAAACIAAABkcnMvZG93bnJldi54bWxQSwECFAAUAAAACACHTuJA&#10;My8FnjsAAAA5AAAAEAAAAAAAAAABACAAAAAPAQAAZHJzL3NoYXBleG1sLnhtbFBLBQYAAAAABgAG&#10;AFsBAAC5AwAAAAA=&#10;">
                  <v:fill on="f" focussize="0,0"/>
                  <v:stroke on="f"/>
                  <v:imagedata r:id="rId50" o:title=""/>
                  <o:lock v:ext="edit" aspectratio="t"/>
                </v:shape>
                <v:shape id="图片 153" o:spid="_x0000_s1026" o:spt="75" type="#_x0000_t75" style="position:absolute;left:3717;top:578;height:1764;width:1402;" filled="f" o:preferrelative="t" stroked="f" coordsize="21600,21600" o:gfxdata="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2WQu5AAAA3AAA&#10;AA8AAAAAAAAAAQAgAAAAIgAAAGRycy9kb3ducmV2LnhtbFBLAQIUABQAAAAIAIdO4kAzLwWeOwAA&#10;ADkAAAAQAAAAAAAAAAEAIAAAAAgBAABkcnMvc2hhcGV4bWwueG1sUEsFBgAAAAAGAAYAWwEAALID&#10;AAAAAA==&#10;">
                  <v:fill on="f" focussize="0,0"/>
                  <v:stroke on="f"/>
                  <v:imagedata r:id="rId51" o:title=""/>
                  <o:lock v:ext="edit" aspectratio="t"/>
                </v:shape>
                <v:shape id="图片 154" o:spid="_x0000_s1026" o:spt="75" type="#_x0000_t75" style="position:absolute;left:5227;top:530;height:1820;width:1467;" filled="f" o:preferrelative="t" stroked="f" coordsize="21600,21600" o:gfxdata="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8vQAA&#10;ANwAAAAPAAAAAAAAAAEAIAAAACIAAABkcnMvZG93bnJldi54bWxQSwECFAAUAAAACACHTuJAMy8F&#10;njsAAAA5AAAAEAAAAAAAAAABACAAAAAMAQAAZHJzL3NoYXBleG1sLnhtbFBLBQYAAAAABgAGAFsB&#10;AAC2AwAAAAA=&#10;">
                  <v:fill on="f" focussize="0,0"/>
                  <v:stroke on="f"/>
                  <v:imagedata r:id="rId52" o:title=""/>
                  <o:lock v:ext="edit" aspectratio="t"/>
                </v:shape>
                <v:shape id="图片 155" o:spid="_x0000_s1026" o:spt="75" type="#_x0000_t75" style="position:absolute;left:6847;top:521;height:1798;width:1344;" filled="f" o:preferrelative="t" stroked="f" coordsize="21600,21600" o:gfxdata="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Xne5AAAA3AAA&#10;AA8AAAAAAAAAAQAgAAAAIgAAAGRycy9kb3ducmV2LnhtbFBLAQIUABQAAAAIAIdO4kAzLwWeOwAA&#10;ADkAAAAQAAAAAAAAAAEAIAAAAAgBAABkcnMvc2hhcGV4bWwueG1sUEsFBgAAAAAGAAYAWwEAALID&#10;AAAAAA==&#10;">
                  <v:fill on="f" focussize="0,0"/>
                  <v:stroke on="f"/>
                  <v:imagedata r:id="rId53" o:title=""/>
                  <o:lock v:ext="edit" aspectratio="t"/>
                </v:shape>
                <v:shape id="图片 156" o:spid="_x0000_s1026" o:spt="75" type="#_x0000_t75" style="position:absolute;left:8416;top:600;height:1304;width:1352;" filled="f" o:preferrelative="t" stroked="f" coordsize="21600,21600" o:gfxdata="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uyd+/&#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图片 157" o:spid="_x0000_s1026" o:spt="75" type="#_x0000_t75" style="position:absolute;left:8436;top:1985;height:353;width:1340;" filled="f" o:preferrelative="t" stroked="f" coordsize="21600,21600" o:gfxdata="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zR0G5AAAA3AAA&#10;AA8AAAAAAAAAAQAgAAAAIgAAAGRycy9kb3ducmV2LnhtbFBLAQIUABQAAAAIAIdO4kAzLwWeOwAA&#10;ADkAAAAQAAAAAAAAAAEAIAAAAAgBAABkcnMvc2hhcGV4bWwueG1sUEsFBgAAAAAGAAYAWwEAALID&#10;AAAAAA==&#10;">
                  <v:fill on="f" focussize="0,0"/>
                  <v:stroke on="f"/>
                  <v:imagedata r:id="rId55" o:title=""/>
                  <o:lock v:ext="edit" aspectratio="t"/>
                </v:shape>
                <w10:wrap type="topAndBottom"/>
              </v:group>
            </w:pict>
          </mc:Fallback>
        </mc:AlternateContent>
      </w:r>
    </w:p>
    <w:p>
      <w:pPr>
        <w:pStyle w:val="7"/>
        <w:spacing w:before="3"/>
        <w:ind w:left="0"/>
        <w:rPr>
          <w:sz w:val="18"/>
        </w:rPr>
      </w:pPr>
    </w:p>
    <w:p>
      <w:pPr>
        <w:pStyle w:val="7"/>
        <w:bidi w:val="0"/>
        <w:jc w:val="center"/>
      </w:pPr>
      <w:r>
        <w:t>图</w:t>
      </w:r>
      <w:r>
        <w:rPr>
          <w:rFonts w:ascii="Times New Roman" w:eastAsia="Times New Roman"/>
        </w:rPr>
        <w:t>8.1-1</w:t>
      </w:r>
      <w:r>
        <w:rPr>
          <w:rFonts w:ascii="Times New Roman" w:eastAsia="Times New Roman"/>
        </w:rPr>
        <w:tab/>
      </w:r>
      <w:r>
        <w:t>排污口环境保护图形标志</w:t>
      </w:r>
    </w:p>
    <w:p>
      <w:pPr>
        <w:pStyle w:val="17"/>
        <w:numPr>
          <w:ilvl w:val="0"/>
          <w:numId w:val="77"/>
        </w:numPr>
        <w:tabs>
          <w:tab w:val="left" w:pos="1301"/>
        </w:tabs>
        <w:spacing w:before="161" w:after="0" w:line="240" w:lineRule="auto"/>
        <w:ind w:left="1301" w:right="0" w:hanging="601"/>
        <w:jc w:val="left"/>
        <w:rPr>
          <w:sz w:val="24"/>
        </w:rPr>
      </w:pPr>
      <w:r>
        <w:rPr>
          <w:sz w:val="24"/>
        </w:rPr>
        <w:t>环境质量标准</w:t>
      </w:r>
    </w:p>
    <w:p>
      <w:pPr>
        <w:pStyle w:val="7"/>
        <w:spacing w:before="160"/>
        <w:ind w:left="700"/>
      </w:pPr>
      <w:r>
        <w:t>根据本项目所处位置环境功能区划，本项目环境质量评价执行标准分别为：</w:t>
      </w:r>
    </w:p>
    <w:p>
      <w:pPr>
        <w:pStyle w:val="7"/>
        <w:spacing w:before="161" w:line="364" w:lineRule="auto"/>
        <w:ind w:left="220" w:right="312"/>
        <w:jc w:val="both"/>
      </w:pPr>
      <w:r>
        <w:rPr>
          <w:spacing w:val="-6"/>
        </w:rPr>
        <w:t>《环境空气质量标准》</w:t>
      </w:r>
      <w:r>
        <w:t>（</w:t>
      </w:r>
      <w:r>
        <w:rPr>
          <w:rFonts w:ascii="Times New Roman" w:hAnsi="Times New Roman" w:eastAsia="Times New Roman"/>
        </w:rPr>
        <w:t>GB3095-2012</w:t>
      </w:r>
      <w:r>
        <w:t>）</w:t>
      </w:r>
      <w:r>
        <w:rPr>
          <w:spacing w:val="-7"/>
        </w:rPr>
        <w:t>二级标准、《环境影响评价技术导则</w:t>
      </w:r>
      <w:r>
        <w:rPr>
          <w:rFonts w:ascii="Times New Roman" w:hAnsi="Times New Roman" w:eastAsia="Times New Roman"/>
        </w:rPr>
        <w:t>·</w:t>
      </w:r>
      <w:r>
        <w:rPr>
          <w:spacing w:val="-12"/>
        </w:rPr>
        <w:t>大</w:t>
      </w:r>
      <w:r>
        <w:rPr>
          <w:spacing w:val="1"/>
        </w:rPr>
        <w:t>气环境》</w:t>
      </w:r>
      <w:r>
        <w:t>（</w:t>
      </w:r>
      <w:r>
        <w:rPr>
          <w:rFonts w:ascii="Times New Roman" w:hAnsi="Times New Roman" w:eastAsia="Times New Roman"/>
        </w:rPr>
        <w:t>HJ2.2-2018</w:t>
      </w:r>
      <w:r>
        <w:t>）</w:t>
      </w:r>
      <w:r>
        <w:rPr>
          <w:spacing w:val="-15"/>
        </w:rPr>
        <w:t>附录</w:t>
      </w:r>
      <w:r>
        <w:rPr>
          <w:rFonts w:ascii="Times New Roman" w:hAnsi="Times New Roman" w:eastAsia="Times New Roman"/>
        </w:rPr>
        <w:t>D</w:t>
      </w:r>
      <w:r>
        <w:t>中最高允许浓度；《地下水质量标准》（</w:t>
      </w:r>
      <w:r>
        <w:rPr>
          <w:rFonts w:ascii="Times New Roman" w:hAnsi="Times New Roman" w:eastAsia="Times New Roman"/>
        </w:rPr>
        <w:t>GB/T 14848-2017</w:t>
      </w:r>
      <w:r>
        <w:t>）Ⅲ类标准；《声环境质量标准》（</w:t>
      </w:r>
      <w:r>
        <w:rPr>
          <w:rFonts w:ascii="Times New Roman" w:hAnsi="Times New Roman" w:eastAsia="Times New Roman"/>
        </w:rPr>
        <w:t>GB3096-2008</w:t>
      </w:r>
      <w:r>
        <w:t>）</w:t>
      </w:r>
      <w:r>
        <w:rPr>
          <w:rFonts w:ascii="Times New Roman" w:hAnsi="Times New Roman" w:eastAsia="Times New Roman"/>
        </w:rPr>
        <w:t>2</w:t>
      </w:r>
      <w:r>
        <w:t>类标准。</w:t>
      </w:r>
    </w:p>
    <w:p>
      <w:pPr>
        <w:pStyle w:val="17"/>
        <w:numPr>
          <w:ilvl w:val="0"/>
          <w:numId w:val="77"/>
        </w:numPr>
        <w:tabs>
          <w:tab w:val="left" w:pos="1301"/>
        </w:tabs>
        <w:spacing w:before="2" w:after="0" w:line="240" w:lineRule="auto"/>
        <w:ind w:left="1301" w:right="0" w:hanging="601"/>
        <w:jc w:val="left"/>
        <w:rPr>
          <w:sz w:val="24"/>
        </w:rPr>
      </w:pPr>
      <w:r>
        <w:rPr>
          <w:sz w:val="24"/>
        </w:rPr>
        <w:t>环境风险防范措施及环境监测</w:t>
      </w:r>
    </w:p>
    <w:p>
      <w:pPr>
        <w:pStyle w:val="7"/>
        <w:spacing w:before="160" w:line="364" w:lineRule="auto"/>
        <w:ind w:left="220" w:right="317" w:firstLine="480"/>
      </w:pPr>
      <w:r>
        <w:rPr>
          <w:spacing w:val="-6"/>
        </w:rPr>
        <w:t>项目采取的环境风险措施主要有设置消防器材、检测报警装置等；环境监测</w:t>
      </w:r>
      <w:r>
        <w:t>主要包括定期执行污染源监测计划及环境质量监测计划等。</w:t>
      </w:r>
    </w:p>
    <w:p>
      <w:pPr>
        <w:spacing w:after="0" w:line="364" w:lineRule="auto"/>
        <w:sectPr>
          <w:headerReference r:id="rId25" w:type="default"/>
          <w:footerReference r:id="rId26"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17"/>
        <w:numPr>
          <w:ilvl w:val="0"/>
          <w:numId w:val="77"/>
        </w:numPr>
        <w:tabs>
          <w:tab w:val="left" w:pos="1301"/>
        </w:tabs>
        <w:spacing w:before="90" w:after="0" w:line="240" w:lineRule="auto"/>
        <w:ind w:left="1301" w:right="0" w:hanging="601"/>
        <w:jc w:val="left"/>
        <w:rPr>
          <w:sz w:val="24"/>
        </w:rPr>
      </w:pPr>
      <w:r>
        <w:rPr>
          <w:sz w:val="24"/>
        </w:rPr>
        <w:t>信息公开内容</w:t>
      </w:r>
    </w:p>
    <w:p>
      <w:pPr>
        <w:pStyle w:val="7"/>
        <w:spacing w:before="160" w:line="364" w:lineRule="auto"/>
        <w:ind w:left="220" w:right="317" w:firstLine="480"/>
        <w:jc w:val="both"/>
      </w:pPr>
      <w:r>
        <w:rPr>
          <w:spacing w:val="-4"/>
        </w:rPr>
        <w:t>企业应定期于企业网站或当地官方网站对企业的排污情况进行信息公开，具</w:t>
      </w:r>
      <w:r>
        <w:rPr>
          <w:spacing w:val="-3"/>
        </w:rPr>
        <w:t>体内容应包括养殖场监测计划、以及监测结果</w:t>
      </w:r>
      <w:r>
        <w:t>（</w:t>
      </w:r>
      <w:r>
        <w:rPr>
          <w:spacing w:val="-8"/>
        </w:rPr>
        <w:t>污染源、污染物的名称、监测数</w:t>
      </w:r>
      <w:r>
        <w:t>值和监测日期等信息</w:t>
      </w:r>
      <w:r>
        <w:rPr>
          <w:spacing w:val="-32"/>
        </w:rPr>
        <w:t>）</w:t>
      </w:r>
      <w:r>
        <w:rPr>
          <w:spacing w:val="-9"/>
        </w:rPr>
        <w:t>。信息公开的主体是本项目的建设单位，需要对公示的监</w:t>
      </w:r>
      <w:r>
        <w:t>测数据负责。</w:t>
      </w:r>
    </w:p>
    <w:p>
      <w:pPr>
        <w:pStyle w:val="4"/>
        <w:numPr>
          <w:ilvl w:val="1"/>
          <w:numId w:val="75"/>
        </w:numPr>
        <w:tabs>
          <w:tab w:val="left" w:pos="780"/>
        </w:tabs>
        <w:spacing w:before="156" w:after="0" w:line="240" w:lineRule="auto"/>
        <w:ind w:left="779" w:right="0" w:hanging="560"/>
        <w:jc w:val="left"/>
        <w:outlineLvl w:val="1"/>
      </w:pPr>
      <w:bookmarkStart w:id="483" w:name="8.2 环境监测计划"/>
      <w:bookmarkEnd w:id="483"/>
      <w:bookmarkStart w:id="484" w:name="_bookmark37"/>
      <w:bookmarkEnd w:id="484"/>
      <w:bookmarkStart w:id="485" w:name="_bookmark37"/>
      <w:bookmarkEnd w:id="485"/>
      <w:bookmarkStart w:id="486" w:name="_Toc18524"/>
      <w:r>
        <w:t>环境监测计划</w:t>
      </w:r>
      <w:bookmarkEnd w:id="486"/>
    </w:p>
    <w:p>
      <w:pPr>
        <w:pStyle w:val="7"/>
        <w:spacing w:before="5"/>
        <w:ind w:left="0"/>
        <w:rPr>
          <w:b/>
          <w:sz w:val="28"/>
        </w:rPr>
      </w:pPr>
    </w:p>
    <w:p>
      <w:pPr>
        <w:pStyle w:val="5"/>
        <w:numPr>
          <w:ilvl w:val="2"/>
          <w:numId w:val="75"/>
        </w:numPr>
        <w:tabs>
          <w:tab w:val="left" w:pos="921"/>
        </w:tabs>
        <w:spacing w:before="0" w:after="0" w:line="240" w:lineRule="auto"/>
        <w:ind w:left="920" w:right="0" w:hanging="701"/>
        <w:jc w:val="both"/>
        <w:outlineLvl w:val="2"/>
      </w:pPr>
      <w:bookmarkStart w:id="487" w:name="8.2.1 环境监测目的"/>
      <w:bookmarkEnd w:id="487"/>
      <w:bookmarkStart w:id="488" w:name="8.2.1 环境监测目的"/>
      <w:bookmarkEnd w:id="488"/>
      <w:bookmarkStart w:id="489" w:name="_Toc16864"/>
      <w:r>
        <w:t>环境监测目的</w:t>
      </w:r>
      <w:bookmarkEnd w:id="489"/>
    </w:p>
    <w:p>
      <w:pPr>
        <w:pStyle w:val="7"/>
        <w:spacing w:before="5"/>
        <w:ind w:left="0"/>
        <w:rPr>
          <w:b/>
          <w:sz w:val="21"/>
        </w:rPr>
      </w:pPr>
    </w:p>
    <w:p>
      <w:pPr>
        <w:pStyle w:val="7"/>
        <w:spacing w:line="364" w:lineRule="auto"/>
        <w:ind w:left="220" w:right="317" w:firstLine="480"/>
        <w:jc w:val="both"/>
      </w:pPr>
      <w:r>
        <w:rPr>
          <w:spacing w:val="-7"/>
        </w:rPr>
        <w:t>环境监测是企业搞好环境管理，同时也是环境管理技术的支持，促进污染治理设施正常运行的主要保障。通过定期的环境监测</w:t>
      </w:r>
      <w:r>
        <w:rPr>
          <w:rFonts w:hint="eastAsia"/>
          <w:spacing w:val="-7"/>
          <w:lang w:eastAsia="zh-CN"/>
        </w:rPr>
        <w:t>，</w:t>
      </w:r>
      <w:r>
        <w:rPr>
          <w:spacing w:val="-7"/>
        </w:rPr>
        <w:t>了解邻近地区的环境质量状</w:t>
      </w:r>
      <w:r>
        <w:rPr>
          <w:spacing w:val="-10"/>
        </w:rPr>
        <w:t>况，可以及时发现问题、解决问题，从而有利于监督各项环保措施的落实，并根</w:t>
      </w:r>
      <w:r>
        <w:t>据监测结果适时调整环境保护计划。</w:t>
      </w:r>
    </w:p>
    <w:p>
      <w:pPr>
        <w:pStyle w:val="5"/>
        <w:numPr>
          <w:ilvl w:val="2"/>
          <w:numId w:val="75"/>
        </w:numPr>
        <w:tabs>
          <w:tab w:val="left" w:pos="921"/>
        </w:tabs>
        <w:spacing w:before="116" w:after="0" w:line="240" w:lineRule="auto"/>
        <w:ind w:left="920" w:right="0" w:hanging="701"/>
        <w:jc w:val="left"/>
        <w:outlineLvl w:val="2"/>
      </w:pPr>
      <w:bookmarkStart w:id="490" w:name="8.2.2 环境监测计划"/>
      <w:bookmarkEnd w:id="490"/>
      <w:bookmarkStart w:id="491" w:name="8.2.2 环境监测计划"/>
      <w:bookmarkEnd w:id="491"/>
      <w:bookmarkStart w:id="492" w:name="_Toc14554"/>
      <w:r>
        <w:t>环境监测计划</w:t>
      </w:r>
      <w:bookmarkEnd w:id="492"/>
    </w:p>
    <w:p>
      <w:pPr>
        <w:pStyle w:val="7"/>
        <w:spacing w:before="2"/>
        <w:ind w:left="0"/>
        <w:rPr>
          <w:b/>
          <w:sz w:val="22"/>
        </w:rPr>
      </w:pPr>
    </w:p>
    <w:p>
      <w:pPr>
        <w:pStyle w:val="17"/>
        <w:numPr>
          <w:ilvl w:val="3"/>
          <w:numId w:val="78"/>
        </w:numPr>
        <w:tabs>
          <w:tab w:val="left" w:pos="1000"/>
        </w:tabs>
        <w:spacing w:before="0" w:after="0" w:line="240" w:lineRule="auto"/>
        <w:ind w:left="1000" w:right="0" w:hanging="780"/>
        <w:jc w:val="left"/>
        <w:rPr>
          <w:sz w:val="24"/>
        </w:rPr>
      </w:pPr>
      <w:bookmarkStart w:id="493" w:name="8.2.2.1 环境监测计划"/>
      <w:bookmarkEnd w:id="493"/>
      <w:bookmarkStart w:id="494" w:name="8.2.2.1 环境监测计划"/>
      <w:bookmarkEnd w:id="494"/>
      <w:r>
        <w:rPr>
          <w:sz w:val="24"/>
        </w:rPr>
        <w:t>环境监测计划</w:t>
      </w:r>
    </w:p>
    <w:p>
      <w:pPr>
        <w:pStyle w:val="7"/>
        <w:spacing w:before="168" w:line="364" w:lineRule="auto"/>
        <w:ind w:left="220" w:right="317" w:firstLine="480"/>
        <w:jc w:val="both"/>
        <w:rPr>
          <w:color w:val="0000FF"/>
        </w:rPr>
      </w:pPr>
      <w:r>
        <w:rPr>
          <w:color w:val="0000FF"/>
          <w:spacing w:val="2"/>
        </w:rPr>
        <w:t>本次环评建议项目营运期环境监测工作委托有相应资质的第三方环境监测</w:t>
      </w:r>
      <w:r>
        <w:rPr>
          <w:color w:val="0000FF"/>
          <w:spacing w:val="-10"/>
        </w:rPr>
        <w:t>机构承担，日常的生产例行监测由企业内部执行。建议养殖场配备</w:t>
      </w:r>
      <w:r>
        <w:rPr>
          <w:rFonts w:ascii="Times New Roman" w:eastAsia="Times New Roman"/>
          <w:color w:val="0000FF"/>
        </w:rPr>
        <w:t>1</w:t>
      </w:r>
      <w:r>
        <w:rPr>
          <w:color w:val="0000FF"/>
          <w:spacing w:val="-4"/>
        </w:rPr>
        <w:t>名专职环境</w:t>
      </w:r>
      <w:r>
        <w:rPr>
          <w:color w:val="0000FF"/>
          <w:spacing w:val="-10"/>
        </w:rPr>
        <w:t>监测人员，负责养殖场运营期环境监测工作，仪器设备配置污水计量装置、污水</w:t>
      </w:r>
      <w:r>
        <w:rPr>
          <w:color w:val="0000FF"/>
        </w:rPr>
        <w:t>比例采样器、</w:t>
      </w:r>
      <w:r>
        <w:rPr>
          <w:rFonts w:ascii="Times New Roman" w:eastAsia="Times New Roman"/>
          <w:color w:val="0000FF"/>
        </w:rPr>
        <w:t>COD</w:t>
      </w:r>
      <w:r>
        <w:rPr>
          <w:color w:val="0000FF"/>
        </w:rPr>
        <w:t>检测仪、生化培养箱等。</w:t>
      </w:r>
    </w:p>
    <w:p>
      <w:pPr>
        <w:pStyle w:val="7"/>
        <w:spacing w:before="2"/>
        <w:ind w:left="700"/>
        <w:jc w:val="both"/>
        <w:rPr>
          <w:color w:val="0000FF"/>
        </w:rPr>
      </w:pPr>
      <w:r>
        <w:rPr>
          <w:color w:val="0000FF"/>
        </w:rPr>
        <w:t>①大气污染源监测</w:t>
      </w:r>
    </w:p>
    <w:p>
      <w:pPr>
        <w:pStyle w:val="7"/>
        <w:spacing w:before="161"/>
        <w:ind w:left="700"/>
        <w:rPr>
          <w:color w:val="0000FF"/>
        </w:rPr>
      </w:pPr>
      <w:r>
        <w:rPr>
          <w:color w:val="0000FF"/>
        </w:rPr>
        <w:t>项目定期监测点为养殖场及堆肥厂和饲料加工车间。</w:t>
      </w:r>
    </w:p>
    <w:p>
      <w:pPr>
        <w:pStyle w:val="7"/>
        <w:spacing w:before="157" w:line="364" w:lineRule="auto"/>
        <w:ind w:left="220" w:right="315" w:firstLine="480"/>
        <w:rPr>
          <w:color w:val="0000FF"/>
        </w:rPr>
      </w:pPr>
      <w:r>
        <w:rPr>
          <w:color w:val="0000FF"/>
          <w:position w:val="2"/>
        </w:rPr>
        <w:t>监测项目：养殖场及堆肥厂产生的臭气、</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和饲料加工车间产生的</w:t>
      </w:r>
      <w:r>
        <w:rPr>
          <w:color w:val="0000FF"/>
          <w:vertAlign w:val="baseline"/>
        </w:rPr>
        <w:t>粉尘颗粒物。</w:t>
      </w:r>
    </w:p>
    <w:p>
      <w:pPr>
        <w:pStyle w:val="7"/>
        <w:ind w:left="700"/>
        <w:rPr>
          <w:color w:val="0000FF"/>
        </w:rPr>
      </w:pPr>
      <w:r>
        <w:rPr>
          <w:color w:val="0000FF"/>
        </w:rPr>
        <w:t>定期监测频次：每年监测</w:t>
      </w:r>
      <w:r>
        <w:rPr>
          <w:rFonts w:ascii="Times New Roman" w:eastAsia="Times New Roman"/>
          <w:color w:val="0000FF"/>
        </w:rPr>
        <w:t>1</w:t>
      </w:r>
      <w:r>
        <w:rPr>
          <w:color w:val="0000FF"/>
        </w:rPr>
        <w:t>次。</w:t>
      </w:r>
    </w:p>
    <w:p>
      <w:pPr>
        <w:pStyle w:val="7"/>
        <w:spacing w:before="160"/>
        <w:ind w:left="700"/>
        <w:jc w:val="both"/>
        <w:rPr>
          <w:color w:val="0000FF"/>
        </w:rPr>
      </w:pPr>
      <w:r>
        <w:rPr>
          <w:color w:val="0000FF"/>
        </w:rPr>
        <w:t>②噪声监测</w:t>
      </w:r>
    </w:p>
    <w:p>
      <w:pPr>
        <w:pStyle w:val="7"/>
        <w:spacing w:before="161"/>
        <w:ind w:left="700"/>
        <w:rPr>
          <w:color w:val="0000FF"/>
        </w:rPr>
      </w:pPr>
      <w:r>
        <w:rPr>
          <w:color w:val="0000FF"/>
        </w:rPr>
        <w:t>在厂界设</w:t>
      </w:r>
      <w:r>
        <w:rPr>
          <w:rFonts w:ascii="Times New Roman" w:eastAsia="Times New Roman"/>
          <w:color w:val="0000FF"/>
        </w:rPr>
        <w:t>4</w:t>
      </w:r>
      <w:r>
        <w:rPr>
          <w:color w:val="0000FF"/>
        </w:rPr>
        <w:t>个厂界噪声监测点，每年</w:t>
      </w:r>
      <w:r>
        <w:rPr>
          <w:rFonts w:ascii="Times New Roman" w:eastAsia="Times New Roman"/>
          <w:color w:val="0000FF"/>
        </w:rPr>
        <w:t>1</w:t>
      </w:r>
      <w:r>
        <w:rPr>
          <w:color w:val="0000FF"/>
        </w:rPr>
        <w:t>次。</w:t>
      </w:r>
    </w:p>
    <w:p>
      <w:pPr>
        <w:pStyle w:val="7"/>
        <w:spacing w:before="160"/>
        <w:ind w:left="700"/>
        <w:rPr>
          <w:color w:val="0000FF"/>
        </w:rPr>
      </w:pPr>
      <w:r>
        <w:rPr>
          <w:color w:val="0000FF"/>
        </w:rPr>
        <w:t>③环保设施检查计划</w:t>
      </w:r>
    </w:p>
    <w:p>
      <w:pPr>
        <w:pStyle w:val="7"/>
        <w:spacing w:before="161"/>
        <w:ind w:left="700"/>
        <w:rPr>
          <w:color w:val="0000FF"/>
        </w:rPr>
      </w:pPr>
      <w:r>
        <w:rPr>
          <w:color w:val="0000FF"/>
        </w:rPr>
        <w:t>定期对环保设施检修，保证各设施正常运行。</w:t>
      </w:r>
    </w:p>
    <w:p>
      <w:pPr>
        <w:pStyle w:val="7"/>
        <w:spacing w:before="160"/>
        <w:ind w:left="700"/>
        <w:jc w:val="both"/>
        <w:rPr>
          <w:color w:val="0000FF"/>
        </w:rPr>
      </w:pPr>
      <w:r>
        <w:rPr>
          <w:color w:val="0000FF"/>
        </w:rPr>
        <w:t>④绿化监管计划</w:t>
      </w:r>
    </w:p>
    <w:p>
      <w:pPr>
        <w:pStyle w:val="7"/>
        <w:spacing w:before="161"/>
        <w:ind w:left="700"/>
        <w:rPr>
          <w:color w:val="0000FF"/>
        </w:rPr>
      </w:pPr>
      <w:r>
        <w:rPr>
          <w:color w:val="0000FF"/>
        </w:rPr>
        <w:t>应在养殖区、生产车间周围和场区内空地、进出场区的道路两侧因地制宜进</w:t>
      </w:r>
    </w:p>
    <w:p>
      <w:pPr>
        <w:spacing w:after="0"/>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ind w:left="220"/>
        <w:rPr>
          <w:color w:val="0000FF"/>
        </w:rPr>
      </w:pPr>
      <w:r>
        <w:rPr>
          <w:color w:val="0000FF"/>
        </w:rPr>
        <w:t>行植树或种草，减少裸露地面，并定期检查、督促做好场区的绿化工作。</w:t>
      </w:r>
    </w:p>
    <w:p>
      <w:pPr>
        <w:pStyle w:val="7"/>
        <w:spacing w:before="160"/>
        <w:ind w:left="700"/>
        <w:rPr>
          <w:color w:val="0000FF"/>
        </w:rPr>
      </w:pPr>
      <w:r>
        <w:rPr>
          <w:color w:val="0000FF"/>
        </w:rPr>
        <w:t>⑤地下水监测</w:t>
      </w:r>
    </w:p>
    <w:p>
      <w:pPr>
        <w:pStyle w:val="7"/>
        <w:spacing w:before="161"/>
        <w:ind w:left="700"/>
        <w:rPr>
          <w:color w:val="0000FF"/>
        </w:rPr>
      </w:pPr>
      <w:r>
        <w:rPr>
          <w:color w:val="0000FF"/>
        </w:rPr>
        <w:t>监测位置：在场区下游设置</w:t>
      </w:r>
      <w:r>
        <w:rPr>
          <w:rFonts w:ascii="Times New Roman" w:eastAsia="Times New Roman"/>
          <w:color w:val="0000FF"/>
        </w:rPr>
        <w:t>1</w:t>
      </w:r>
      <w:r>
        <w:rPr>
          <w:color w:val="0000FF"/>
        </w:rPr>
        <w:t>个地下水监测点（污染监控井）。</w:t>
      </w:r>
    </w:p>
    <w:p>
      <w:pPr>
        <w:pStyle w:val="7"/>
        <w:spacing w:before="160" w:line="364" w:lineRule="auto"/>
        <w:ind w:left="220" w:right="320" w:firstLine="480"/>
        <w:rPr>
          <w:color w:val="0000FF"/>
          <w:sz w:val="24"/>
          <w:szCs w:val="24"/>
        </w:rPr>
      </w:pPr>
      <w:r>
        <w:rPr>
          <w:color w:val="0000FF"/>
        </w:rPr>
        <w:t>监测项目：</w:t>
      </w:r>
      <w:r>
        <w:rPr>
          <w:rFonts w:hint="default" w:ascii="Times New Roman" w:hAnsi="Times New Roman" w:eastAsia="宋体" w:cs="Times New Roman"/>
          <w:i w:val="0"/>
          <w:color w:val="0000FF"/>
          <w:kern w:val="0"/>
          <w:sz w:val="24"/>
          <w:szCs w:val="24"/>
          <w:u w:val="none"/>
          <w:lang w:val="en-US" w:eastAsia="zh-CN" w:bidi="ar"/>
        </w:rPr>
        <w:t>pH</w:t>
      </w:r>
      <w:r>
        <w:rPr>
          <w:rStyle w:val="25"/>
          <w:color w:val="0000FF"/>
          <w:sz w:val="24"/>
          <w:szCs w:val="24"/>
          <w:lang w:val="en-US" w:eastAsia="zh-CN" w:bidi="ar"/>
        </w:rPr>
        <w:t>、总硬度、高锰酸盐指数、氨氮、硫酸盐、氯化物、硝酸盐氮、氟化物、挥发酚、亚硝酸盐氮、氰化物、六价铬、硫化物、溶解性总固体、总大肠菌群、菌落总数、汞、砷、铅、镉、铁、钠</w:t>
      </w:r>
      <w:r>
        <w:rPr>
          <w:color w:val="0000FF"/>
          <w:sz w:val="24"/>
          <w:szCs w:val="24"/>
        </w:rPr>
        <w:t>。</w:t>
      </w:r>
    </w:p>
    <w:p>
      <w:pPr>
        <w:pStyle w:val="7"/>
        <w:spacing w:before="2"/>
        <w:ind w:left="700"/>
        <w:rPr>
          <w:color w:val="0000FF"/>
        </w:rPr>
      </w:pPr>
      <w:r>
        <w:rPr>
          <w:color w:val="0000FF"/>
        </w:rPr>
        <w:t>监测频次：每年</w:t>
      </w:r>
      <w:r>
        <w:rPr>
          <w:rFonts w:ascii="Times New Roman" w:eastAsia="Times New Roman"/>
          <w:color w:val="0000FF"/>
        </w:rPr>
        <w:t>1</w:t>
      </w:r>
      <w:r>
        <w:rPr>
          <w:color w:val="0000FF"/>
        </w:rPr>
        <w:t>次。</w:t>
      </w:r>
    </w:p>
    <w:p>
      <w:pPr>
        <w:pStyle w:val="7"/>
        <w:spacing w:before="160" w:line="364" w:lineRule="auto"/>
        <w:ind w:left="220" w:right="315" w:firstLine="480"/>
        <w:jc w:val="both"/>
        <w:rPr>
          <w:color w:val="0000FF"/>
        </w:rPr>
      </w:pPr>
      <w:r>
        <w:rPr>
          <w:color w:val="0000FF"/>
        </w:rPr>
        <w:t>根据《环境影响评价技术导则</w:t>
      </w:r>
      <w:r>
        <w:rPr>
          <w:rFonts w:ascii="Times New Roman" w:hAnsi="Times New Roman" w:eastAsia="Times New Roman"/>
          <w:color w:val="0000FF"/>
          <w:spacing w:val="4"/>
        </w:rPr>
        <w:t>·</w:t>
      </w:r>
      <w:r>
        <w:rPr>
          <w:color w:val="0000FF"/>
        </w:rPr>
        <w:t>地下水环境》（</w:t>
      </w:r>
      <w:r>
        <w:rPr>
          <w:rFonts w:ascii="Times New Roman" w:hAnsi="Times New Roman" w:eastAsia="Times New Roman"/>
          <w:color w:val="0000FF"/>
        </w:rPr>
        <w:t>HJ 610-2016</w:t>
      </w:r>
      <w:r>
        <w:rPr>
          <w:color w:val="0000FF"/>
        </w:rPr>
        <w:t>）“</w:t>
      </w:r>
      <w:r>
        <w:rPr>
          <w:rFonts w:ascii="Times New Roman" w:hAnsi="Times New Roman" w:eastAsia="Times New Roman"/>
          <w:color w:val="0000FF"/>
        </w:rPr>
        <w:t>11.3.2.1</w:t>
      </w:r>
      <w:r>
        <w:rPr>
          <w:color w:val="0000FF"/>
        </w:rPr>
        <w:t>跟踪监测点数量要求</w:t>
      </w:r>
      <w:r>
        <w:rPr>
          <w:rFonts w:ascii="Times New Roman" w:hAnsi="Times New Roman" w:eastAsia="Times New Roman"/>
          <w:color w:val="0000FF"/>
          <w:spacing w:val="-16"/>
        </w:rPr>
        <w:t>b</w:t>
      </w:r>
      <w:r>
        <w:rPr>
          <w:color w:val="0000FF"/>
          <w:spacing w:val="-16"/>
        </w:rPr>
        <w:t>）</w:t>
      </w:r>
      <w:r>
        <w:rPr>
          <w:color w:val="0000FF"/>
          <w:spacing w:val="-4"/>
        </w:rPr>
        <w:t>三级评价的建设项目，一般不少于</w:t>
      </w:r>
      <w:r>
        <w:rPr>
          <w:rFonts w:ascii="Times New Roman" w:hAnsi="Times New Roman" w:eastAsia="Times New Roman"/>
          <w:color w:val="0000FF"/>
        </w:rPr>
        <w:t>1</w:t>
      </w:r>
      <w:r>
        <w:rPr>
          <w:color w:val="0000FF"/>
          <w:spacing w:val="-7"/>
        </w:rPr>
        <w:t>个，应至少在建设项</w:t>
      </w:r>
      <w:r>
        <w:rPr>
          <w:color w:val="0000FF"/>
        </w:rPr>
        <w:t>目场地下游布置</w:t>
      </w:r>
      <w:r>
        <w:rPr>
          <w:rFonts w:ascii="Times New Roman" w:hAnsi="Times New Roman" w:eastAsia="Times New Roman"/>
          <w:color w:val="0000FF"/>
        </w:rPr>
        <w:t>1</w:t>
      </w:r>
      <w:r>
        <w:rPr>
          <w:color w:val="0000FF"/>
          <w:spacing w:val="-11"/>
        </w:rPr>
        <w:t>个”，本项目地下水评价等级为三级，拟在场地下游设置</w:t>
      </w:r>
      <w:r>
        <w:rPr>
          <w:rFonts w:ascii="Times New Roman" w:hAnsi="Times New Roman" w:eastAsia="Times New Roman"/>
          <w:color w:val="0000FF"/>
        </w:rPr>
        <w:t>1</w:t>
      </w:r>
      <w:r>
        <w:rPr>
          <w:color w:val="0000FF"/>
          <w:spacing w:val="-6"/>
        </w:rPr>
        <w:t>个地</w:t>
      </w:r>
      <w:r>
        <w:rPr>
          <w:color w:val="0000FF"/>
        </w:rPr>
        <w:t>下水监控井。</w:t>
      </w:r>
    </w:p>
    <w:p>
      <w:pPr>
        <w:tabs>
          <w:tab w:val="left" w:pos="3572"/>
        </w:tabs>
        <w:spacing w:before="2" w:line="427" w:lineRule="auto"/>
        <w:ind w:left="2053" w:right="1265" w:hanging="1354"/>
        <w:jc w:val="both"/>
        <w:rPr>
          <w:b/>
          <w:color w:val="0000FF"/>
          <w:sz w:val="24"/>
        </w:rPr>
      </w:pPr>
      <w:r>
        <w:rPr>
          <w:color w:val="0000FF"/>
          <w:sz w:val="24"/>
        </w:rPr>
        <w:t>本项目污染源监测计划见表</w:t>
      </w:r>
      <w:r>
        <w:rPr>
          <w:rFonts w:ascii="Times New Roman" w:eastAsia="Times New Roman"/>
          <w:color w:val="0000FF"/>
          <w:sz w:val="24"/>
        </w:rPr>
        <w:t>8.2-1</w:t>
      </w:r>
      <w:r>
        <w:rPr>
          <w:color w:val="0000FF"/>
          <w:sz w:val="24"/>
        </w:rPr>
        <w:t>，环境质量监测计划见表</w:t>
      </w:r>
      <w:r>
        <w:rPr>
          <w:rFonts w:ascii="Times New Roman" w:eastAsia="Times New Roman"/>
          <w:color w:val="0000FF"/>
          <w:sz w:val="24"/>
        </w:rPr>
        <w:t>8.2-2</w:t>
      </w:r>
      <w:r>
        <w:rPr>
          <w:color w:val="0000FF"/>
          <w:spacing w:val="-16"/>
          <w:sz w:val="24"/>
        </w:rPr>
        <w:t>。</w:t>
      </w:r>
      <w:r>
        <w:rPr>
          <w:b/>
          <w:color w:val="0000FF"/>
          <w:sz w:val="24"/>
        </w:rPr>
        <w:t>表</w:t>
      </w:r>
      <w:r>
        <w:rPr>
          <w:rFonts w:ascii="Times New Roman" w:eastAsia="Times New Roman"/>
          <w:b/>
          <w:color w:val="0000FF"/>
          <w:sz w:val="24"/>
        </w:rPr>
        <w:t>8.2-1</w:t>
      </w:r>
      <w:r>
        <w:rPr>
          <w:rFonts w:ascii="Times New Roman" w:eastAsia="Times New Roman"/>
          <w:b/>
          <w:color w:val="0000FF"/>
          <w:sz w:val="24"/>
        </w:rPr>
        <w:tab/>
      </w:r>
      <w:r>
        <w:rPr>
          <w:b/>
          <w:color w:val="0000FF"/>
          <w:sz w:val="24"/>
        </w:rPr>
        <w:t>污染源监测内容及计划一览表</w:t>
      </w:r>
    </w:p>
    <w:p>
      <w:pPr>
        <w:pStyle w:val="7"/>
        <w:ind w:left="0"/>
        <w:rPr>
          <w:b/>
          <w:color w:val="0000FF"/>
          <w:sz w:val="26"/>
        </w:rPr>
      </w:pPr>
    </w:p>
    <w:tbl>
      <w:tblPr>
        <w:tblStyle w:val="14"/>
        <w:tblW w:w="8757" w:type="dxa"/>
        <w:tblInd w:w="0" w:type="dxa"/>
        <w:shd w:val="clear" w:color="auto" w:fill="auto"/>
        <w:tblLayout w:type="autofit"/>
        <w:tblCellMar>
          <w:top w:w="0" w:type="dxa"/>
          <w:left w:w="0" w:type="dxa"/>
          <w:bottom w:w="0" w:type="dxa"/>
          <w:right w:w="0" w:type="dxa"/>
        </w:tblCellMar>
      </w:tblPr>
      <w:tblGrid>
        <w:gridCol w:w="1246"/>
        <w:gridCol w:w="1246"/>
        <w:gridCol w:w="3531"/>
        <w:gridCol w:w="1246"/>
        <w:gridCol w:w="1488"/>
      </w:tblGrid>
      <w:tr>
        <w:tblPrEx>
          <w:shd w:val="clear" w:color="auto" w:fill="auto"/>
          <w:tblCellMar>
            <w:top w:w="0" w:type="dxa"/>
            <w:left w:w="0" w:type="dxa"/>
            <w:bottom w:w="0" w:type="dxa"/>
            <w:right w:w="0" w:type="dxa"/>
          </w:tblCellMar>
        </w:tblPrEx>
        <w:trPr>
          <w:trHeight w:val="299" w:hRule="atLeast"/>
        </w:trPr>
        <w:tc>
          <w:tcPr>
            <w:tcW w:w="24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环境要素</w:t>
            </w:r>
          </w:p>
        </w:tc>
        <w:tc>
          <w:tcPr>
            <w:tcW w:w="35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监测项目</w:t>
            </w:r>
          </w:p>
        </w:tc>
        <w:tc>
          <w:tcPr>
            <w:tcW w:w="124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监测频次</w:t>
            </w:r>
          </w:p>
        </w:tc>
        <w:tc>
          <w:tcPr>
            <w:tcW w:w="14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r>
      <w:tr>
        <w:tblPrEx>
          <w:shd w:val="clear" w:color="auto" w:fill="auto"/>
          <w:tblCellMar>
            <w:top w:w="0" w:type="dxa"/>
            <w:left w:w="0" w:type="dxa"/>
            <w:bottom w:w="0" w:type="dxa"/>
            <w:right w:w="0" w:type="dxa"/>
          </w:tblCellMar>
        </w:tblPrEx>
        <w:trPr>
          <w:trHeight w:val="385" w:hRule="atLeast"/>
        </w:trPr>
        <w:tc>
          <w:tcPr>
            <w:tcW w:w="1246"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大气污染物</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发酵恶臭</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vertAlign w:val="baseli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r>
              <w:rPr>
                <w:rFonts w:hint="eastAsia" w:ascii="Times New Roman" w:hAnsi="Times New Roman" w:eastAsia="宋体" w:cs="Times New Roman"/>
                <w:i w:val="0"/>
                <w:color w:val="0000FF"/>
                <w:kern w:val="0"/>
                <w:sz w:val="21"/>
                <w:szCs w:val="21"/>
                <w:u w:val="none"/>
                <w:vertAlign w:val="baseline"/>
                <w:lang w:val="en-US" w:eastAsia="zh-CN" w:bidi="ar"/>
              </w:rPr>
              <w:t>、臭气浓度</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r>
      <w:tr>
        <w:tblPrEx>
          <w:shd w:val="clear" w:color="auto" w:fill="auto"/>
          <w:tblCellMar>
            <w:top w:w="0" w:type="dxa"/>
            <w:left w:w="0" w:type="dxa"/>
            <w:bottom w:w="0" w:type="dxa"/>
            <w:right w:w="0" w:type="dxa"/>
          </w:tblCellMar>
        </w:tblPrEx>
        <w:trPr>
          <w:trHeight w:val="882" w:hRule="atLeast"/>
        </w:trPr>
        <w:tc>
          <w:tcPr>
            <w:tcW w:w="1246"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厂界无组织恶臭</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vertAlign w:val="baseli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r>
              <w:rPr>
                <w:rFonts w:hint="eastAsia" w:ascii="Times New Roman" w:hAnsi="Times New Roman" w:eastAsia="宋体" w:cs="Times New Roman"/>
                <w:i w:val="0"/>
                <w:color w:val="0000FF"/>
                <w:kern w:val="0"/>
                <w:sz w:val="21"/>
                <w:szCs w:val="21"/>
                <w:u w:val="none"/>
                <w:vertAlign w:val="baseline"/>
                <w:lang w:val="en-US" w:eastAsia="zh-CN" w:bidi="ar"/>
              </w:rPr>
              <w:t>、臭气浓度</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r>
      <w:tr>
        <w:tblPrEx>
          <w:shd w:val="clear" w:color="auto" w:fill="auto"/>
          <w:tblCellMar>
            <w:top w:w="0" w:type="dxa"/>
            <w:left w:w="0" w:type="dxa"/>
            <w:bottom w:w="0" w:type="dxa"/>
            <w:right w:w="0" w:type="dxa"/>
          </w:tblCellMar>
        </w:tblPrEx>
        <w:trPr>
          <w:trHeight w:val="779" w:hRule="atLeast"/>
        </w:trPr>
        <w:tc>
          <w:tcPr>
            <w:tcW w:w="1246"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无害化处理车间废气</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排气筒</w:t>
            </w:r>
          </w:p>
        </w:tc>
      </w:tr>
      <w:tr>
        <w:tblPrEx>
          <w:shd w:val="clear" w:color="auto" w:fill="auto"/>
          <w:tblCellMar>
            <w:top w:w="0" w:type="dxa"/>
            <w:left w:w="0" w:type="dxa"/>
            <w:bottom w:w="0" w:type="dxa"/>
            <w:right w:w="0" w:type="dxa"/>
          </w:tblCellMar>
        </w:tblPrEx>
        <w:trPr>
          <w:trHeight w:val="299"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噪声污染源</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厂界噪声</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 xml:space="preserve">厂界外 </w:t>
            </w:r>
            <w:r>
              <w:rPr>
                <w:rFonts w:hint="default" w:ascii="Times New Roman" w:hAnsi="Times New Roman" w:eastAsia="宋体" w:cs="Times New Roman"/>
                <w:i w:val="0"/>
                <w:color w:val="0000FF"/>
                <w:kern w:val="0"/>
                <w:sz w:val="21"/>
                <w:szCs w:val="21"/>
                <w:u w:val="none"/>
                <w:lang w:val="en-US" w:eastAsia="zh-CN" w:bidi="ar"/>
              </w:rPr>
              <w:t>1m</w:t>
            </w:r>
          </w:p>
        </w:tc>
      </w:tr>
      <w:tr>
        <w:tblPrEx>
          <w:shd w:val="clear" w:color="auto" w:fill="auto"/>
          <w:tblCellMar>
            <w:top w:w="0" w:type="dxa"/>
            <w:left w:w="0" w:type="dxa"/>
            <w:bottom w:w="0" w:type="dxa"/>
            <w:right w:w="0" w:type="dxa"/>
          </w:tblCellMar>
        </w:tblPrEx>
        <w:trPr>
          <w:trHeight w:val="794"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环保设施</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环保设施落实及运行情况</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各环保设施</w:t>
            </w:r>
          </w:p>
        </w:tc>
      </w:tr>
      <w:tr>
        <w:tblPrEx>
          <w:shd w:val="clear" w:color="auto" w:fill="auto"/>
          <w:tblCellMar>
            <w:top w:w="0" w:type="dxa"/>
            <w:left w:w="0" w:type="dxa"/>
            <w:bottom w:w="0" w:type="dxa"/>
            <w:right w:w="0" w:type="dxa"/>
          </w:tblCellMar>
        </w:tblPrEx>
        <w:trPr>
          <w:trHeight w:val="363" w:hRule="atLeast"/>
        </w:trPr>
        <w:tc>
          <w:tcPr>
            <w:tcW w:w="2492" w:type="dxa"/>
            <w:gridSpan w:val="2"/>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c>
          <w:tcPr>
            <w:tcW w:w="353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在养殖区、生产车间周围和场区内空地、进出场区的道路两侧因地制宜进行植树或种草</w:t>
            </w:r>
          </w:p>
        </w:tc>
        <w:tc>
          <w:tcPr>
            <w:tcW w:w="1246" w:type="dxa"/>
            <w:tcBorders>
              <w:top w:val="nil"/>
              <w:left w:val="nil"/>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c>
          <w:tcPr>
            <w:tcW w:w="1488" w:type="dxa"/>
            <w:tcBorders>
              <w:top w:val="nil"/>
              <w:left w:val="nil"/>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r>
      <w:tr>
        <w:tblPrEx>
          <w:shd w:val="clear" w:color="auto" w:fill="auto"/>
          <w:tblCellMar>
            <w:top w:w="0" w:type="dxa"/>
            <w:left w:w="0" w:type="dxa"/>
            <w:bottom w:w="0" w:type="dxa"/>
            <w:right w:w="0" w:type="dxa"/>
          </w:tblCellMar>
        </w:tblPrEx>
        <w:trPr>
          <w:trHeight w:val="1261"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绿化监管</w:t>
            </w:r>
          </w:p>
        </w:tc>
        <w:tc>
          <w:tcPr>
            <w:tcW w:w="353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both"/>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厂区内</w:t>
            </w:r>
          </w:p>
        </w:tc>
      </w:tr>
      <w:tr>
        <w:tblPrEx>
          <w:shd w:val="clear" w:color="auto" w:fill="auto"/>
          <w:tblCellMar>
            <w:top w:w="0" w:type="dxa"/>
            <w:left w:w="0" w:type="dxa"/>
            <w:bottom w:w="0" w:type="dxa"/>
            <w:right w:w="0" w:type="dxa"/>
          </w:tblCellMar>
        </w:tblPrEx>
        <w:trPr>
          <w:trHeight w:val="813"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事故监测</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事故发生的类型、原因、污染程度及采取的措施</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事故发生点</w:t>
            </w:r>
          </w:p>
        </w:tc>
      </w:tr>
    </w:tbl>
    <w:p>
      <w:pPr>
        <w:pStyle w:val="7"/>
        <w:ind w:left="0"/>
        <w:rPr>
          <w:b/>
          <w:color w:val="0000FF"/>
          <w:sz w:val="26"/>
        </w:rPr>
      </w:pPr>
    </w:p>
    <w:p>
      <w:pPr>
        <w:pStyle w:val="7"/>
        <w:ind w:left="0"/>
        <w:rPr>
          <w:b/>
          <w:sz w:val="26"/>
        </w:rPr>
      </w:pPr>
    </w:p>
    <w:p>
      <w:pPr>
        <w:pStyle w:val="7"/>
        <w:ind w:left="0"/>
        <w:rPr>
          <w:b/>
          <w:sz w:val="26"/>
        </w:rPr>
      </w:pPr>
    </w:p>
    <w:p>
      <w:pPr>
        <w:pStyle w:val="7"/>
        <w:bidi w:val="0"/>
        <w:jc w:val="center"/>
        <w:rPr>
          <w:rFonts w:ascii="Times New Roman" w:eastAsia="Times New Roman"/>
        </w:rPr>
      </w:pPr>
      <w:r>
        <w:t>表</w:t>
      </w:r>
      <w:r>
        <w:rPr>
          <w:rFonts w:ascii="Times New Roman" w:eastAsia="Times New Roman"/>
        </w:rPr>
        <w:t>8.2-2</w:t>
      </w:r>
      <w:r>
        <w:rPr>
          <w:w w:val="95"/>
        </w:rPr>
        <w:t>项目环境质量监测计划一览表</w:t>
      </w:r>
    </w:p>
    <w:tbl>
      <w:tblPr>
        <w:tblStyle w:val="14"/>
        <w:tblW w:w="8160" w:type="dxa"/>
        <w:tblInd w:w="0" w:type="dxa"/>
        <w:shd w:val="clear" w:color="auto" w:fill="auto"/>
        <w:tblLayout w:type="autofit"/>
        <w:tblCellMar>
          <w:top w:w="0" w:type="dxa"/>
          <w:left w:w="0" w:type="dxa"/>
          <w:bottom w:w="0" w:type="dxa"/>
          <w:right w:w="0" w:type="dxa"/>
        </w:tblCellMar>
      </w:tblPr>
      <w:tblGrid>
        <w:gridCol w:w="1080"/>
        <w:gridCol w:w="2760"/>
        <w:gridCol w:w="1080"/>
        <w:gridCol w:w="1080"/>
        <w:gridCol w:w="1080"/>
        <w:gridCol w:w="1080"/>
      </w:tblGrid>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要素</w:t>
            </w:r>
          </w:p>
        </w:tc>
        <w:tc>
          <w:tcPr>
            <w:tcW w:w="276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监测项目</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监测频</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监测方式</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276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数量</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位置</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率</w:t>
            </w: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r>
      <w:tr>
        <w:tblPrEx>
          <w:tblCellMar>
            <w:top w:w="0" w:type="dxa"/>
            <w:left w:w="0" w:type="dxa"/>
            <w:bottom w:w="0" w:type="dxa"/>
            <w:right w:w="0"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4</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5"/>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5"/>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tblCellMar>
            <w:top w:w="0" w:type="dxa"/>
            <w:left w:w="0" w:type="dxa"/>
            <w:bottom w:w="0" w:type="dxa"/>
            <w:right w:w="0" w:type="dxa"/>
          </w:tblCellMar>
        </w:tblPrEx>
        <w:trPr>
          <w:trHeight w:val="36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环境空气</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Style w:val="25"/>
                <w:color w:val="0000FF"/>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上下风向</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5"/>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5"/>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tblCellMar>
            <w:top w:w="0" w:type="dxa"/>
            <w:left w:w="0" w:type="dxa"/>
            <w:bottom w:w="0" w:type="dxa"/>
            <w:right w:w="0" w:type="dxa"/>
          </w:tblCellMar>
        </w:tblPrEx>
        <w:trPr>
          <w:trHeight w:val="270" w:hRule="atLeast"/>
        </w:trPr>
        <w:tc>
          <w:tcPr>
            <w:tcW w:w="108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地下水</w:t>
            </w:r>
          </w:p>
        </w:tc>
        <w:tc>
          <w:tcPr>
            <w:tcW w:w="276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pH</w:t>
            </w:r>
            <w:r>
              <w:rPr>
                <w:rStyle w:val="25"/>
                <w:color w:val="0000FF"/>
                <w:lang w:val="en-US" w:eastAsia="zh-CN" w:bidi="ar"/>
              </w:rPr>
              <w:t>、总硬度、高锰酸盐指数、氨氮、硫酸盐、氯化物、硝酸盐氮、氟化物、挥发酚、亚硝酸盐氮、氰化物、六价铬、硫化物、溶解性总固体、总大肠菌群、菌落总数、汞、砷、铅、镉、铁、钠</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地下监测井</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1次/年</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tblCellMar>
            <w:top w:w="0" w:type="dxa"/>
            <w:left w:w="0" w:type="dxa"/>
            <w:bottom w:w="0" w:type="dxa"/>
            <w:right w:w="0" w:type="dxa"/>
          </w:tblCellMar>
        </w:tblPrEx>
        <w:trPr>
          <w:trHeight w:val="27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27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80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52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土壤</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PH、总砷、总汞、铅、镉、六价铬、铜、镍、锌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5"/>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5"/>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bl>
    <w:p>
      <w:pPr>
        <w:pStyle w:val="17"/>
        <w:numPr>
          <w:ilvl w:val="3"/>
          <w:numId w:val="78"/>
        </w:numPr>
        <w:tabs>
          <w:tab w:val="left" w:pos="1000"/>
        </w:tabs>
        <w:spacing w:before="100" w:after="0" w:line="240" w:lineRule="auto"/>
        <w:ind w:left="1000" w:right="0" w:hanging="780"/>
        <w:jc w:val="left"/>
        <w:rPr>
          <w:sz w:val="24"/>
        </w:rPr>
      </w:pPr>
      <w:bookmarkStart w:id="495" w:name="8.2.2.2 环境管理调查"/>
      <w:bookmarkEnd w:id="495"/>
      <w:bookmarkStart w:id="496" w:name="8.2.2.2 环境管理调查"/>
      <w:bookmarkEnd w:id="496"/>
      <w:r>
        <w:rPr>
          <w:sz w:val="24"/>
        </w:rPr>
        <w:t>环境管理调查</w:t>
      </w:r>
    </w:p>
    <w:p>
      <w:pPr>
        <w:pStyle w:val="7"/>
        <w:spacing w:before="167" w:line="364" w:lineRule="auto"/>
        <w:ind w:left="220" w:right="317" w:firstLine="480"/>
      </w:pPr>
      <w:r>
        <w:rPr>
          <w:spacing w:val="-8"/>
        </w:rPr>
        <w:t>为保证项目建成后，大气污染物长期稳定达标排放，水污染物，固体废物处</w:t>
      </w:r>
      <w:r>
        <w:t>置方式合理，建设单位需建立长期有效的管理调查制度，调查内容如下：</w:t>
      </w:r>
    </w:p>
    <w:p>
      <w:pPr>
        <w:pStyle w:val="17"/>
        <w:numPr>
          <w:ilvl w:val="4"/>
          <w:numId w:val="78"/>
        </w:numPr>
        <w:tabs>
          <w:tab w:val="left" w:pos="1301"/>
        </w:tabs>
        <w:spacing w:before="1" w:after="0" w:line="240" w:lineRule="auto"/>
        <w:ind w:left="1301" w:right="0" w:hanging="601"/>
        <w:jc w:val="left"/>
        <w:rPr>
          <w:sz w:val="24"/>
        </w:rPr>
      </w:pPr>
      <w:r>
        <w:rPr>
          <w:sz w:val="24"/>
        </w:rPr>
        <w:t>废气污染源监督检查</w:t>
      </w:r>
    </w:p>
    <w:p>
      <w:pPr>
        <w:pStyle w:val="7"/>
        <w:spacing w:before="161" w:line="364" w:lineRule="auto"/>
        <w:ind w:left="220" w:right="465" w:firstLine="480"/>
      </w:pPr>
      <w:r>
        <w:t>检查本项目生产运营过程中是否对棚舍的畜禽粪及时清运，无害化处理车间、堆肥厂采取防渗措施，臭气防护的效果是否符合有关标准。</w:t>
      </w:r>
    </w:p>
    <w:p>
      <w:pPr>
        <w:pStyle w:val="17"/>
        <w:numPr>
          <w:ilvl w:val="4"/>
          <w:numId w:val="78"/>
        </w:numPr>
        <w:tabs>
          <w:tab w:val="left" w:pos="1301"/>
        </w:tabs>
        <w:spacing w:before="1" w:after="0" w:line="240" w:lineRule="auto"/>
        <w:ind w:left="1301" w:right="0" w:hanging="601"/>
        <w:jc w:val="left"/>
        <w:rPr>
          <w:sz w:val="24"/>
        </w:rPr>
      </w:pPr>
      <w:r>
        <w:rPr>
          <w:sz w:val="24"/>
        </w:rPr>
        <w:t>噪声污染源监督检查</w:t>
      </w:r>
    </w:p>
    <w:p>
      <w:pPr>
        <w:pStyle w:val="7"/>
        <w:spacing w:before="161" w:line="364" w:lineRule="auto"/>
        <w:ind w:left="220" w:right="317" w:firstLine="480"/>
        <w:jc w:val="both"/>
      </w:pPr>
      <w:r>
        <w:rPr>
          <w:spacing w:val="-7"/>
        </w:rPr>
        <w:t>检查产生噪声的设备如铡草机、水泵是否为国家禁止生产、销售、使用的淘</w:t>
      </w:r>
      <w:r>
        <w:rPr>
          <w:spacing w:val="-10"/>
        </w:rPr>
        <w:t>汰产品。一些设备在运行了一段时期后，会产生额外的噪声与振动。也会使噪声</w:t>
      </w:r>
      <w:r>
        <w:t>值升高，应监督企业加强设备的维护，及时更换磨损部件，降低噪声。</w:t>
      </w:r>
    </w:p>
    <w:p>
      <w:pPr>
        <w:pStyle w:val="7"/>
        <w:spacing w:before="1"/>
        <w:ind w:left="700"/>
      </w:pPr>
      <w:r>
        <w:t>（</w:t>
      </w:r>
      <w:r>
        <w:rPr>
          <w:rFonts w:ascii="Times New Roman" w:eastAsia="Times New Roman"/>
        </w:rPr>
        <w:t>5</w:t>
      </w:r>
      <w:r>
        <w:t>）废水污染源监督检查</w:t>
      </w:r>
    </w:p>
    <w:p>
      <w:pPr>
        <w:pStyle w:val="7"/>
        <w:spacing w:before="161" w:line="364" w:lineRule="auto"/>
        <w:ind w:left="220" w:right="317" w:firstLine="480"/>
      </w:pPr>
      <w:r>
        <w:rPr>
          <w:spacing w:val="-5"/>
        </w:rPr>
        <w:t>检查建设单位是否对生产过程中产生的羊尿液进行了合理处置，监督建设单</w:t>
      </w:r>
      <w:r>
        <w:t>位不准将污水乱排乱倒。</w:t>
      </w:r>
    </w:p>
    <w:p>
      <w:pPr>
        <w:pStyle w:val="7"/>
        <w:spacing w:before="1"/>
        <w:ind w:left="700"/>
      </w:pPr>
      <w:r>
        <w:t>（</w:t>
      </w:r>
      <w:r>
        <w:rPr>
          <w:rFonts w:ascii="Times New Roman" w:eastAsia="Times New Roman"/>
        </w:rPr>
        <w:t>4</w:t>
      </w:r>
      <w:r>
        <w:t>）固体废物监督检查</w:t>
      </w:r>
    </w:p>
    <w:p>
      <w:pPr>
        <w:pStyle w:val="7"/>
        <w:spacing w:before="161" w:line="364" w:lineRule="auto"/>
        <w:ind w:left="220" w:right="317" w:firstLine="480"/>
        <w:jc w:val="both"/>
      </w:pPr>
      <w:r>
        <w:rPr>
          <w:spacing w:val="-5"/>
        </w:rPr>
        <w:t>检查建设单位是否对生产过程中产生的医疗固废进行规范处置，固体粪便是</w:t>
      </w:r>
      <w:r>
        <w:rPr>
          <w:spacing w:val="-8"/>
        </w:rPr>
        <w:t>否全部用于有机肥生产，生活垃圾及时送往</w:t>
      </w:r>
      <w:r>
        <w:rPr>
          <w:rFonts w:hint="eastAsia"/>
          <w:spacing w:val="-8"/>
          <w:lang w:val="en-US" w:eastAsia="zh-CN"/>
        </w:rPr>
        <w:t>莎车</w:t>
      </w:r>
      <w:r>
        <w:rPr>
          <w:spacing w:val="-8"/>
        </w:rPr>
        <w:t>县生活垃圾填埋场处置，病死羊</w:t>
      </w:r>
      <w:r>
        <w:t>尸体是否通过无害化处理。监督建设单位不准将未处理的固体废物随意排放。</w:t>
      </w:r>
    </w:p>
    <w:p>
      <w:pPr>
        <w:pStyle w:val="4"/>
        <w:numPr>
          <w:ilvl w:val="1"/>
          <w:numId w:val="75"/>
        </w:numPr>
        <w:tabs>
          <w:tab w:val="left" w:pos="780"/>
        </w:tabs>
        <w:spacing w:before="152" w:after="0" w:line="240" w:lineRule="auto"/>
        <w:ind w:left="779" w:right="0" w:hanging="560"/>
        <w:jc w:val="left"/>
        <w:outlineLvl w:val="1"/>
      </w:pPr>
      <w:bookmarkStart w:id="497" w:name="_bookmark38"/>
      <w:bookmarkEnd w:id="497"/>
      <w:bookmarkStart w:id="498" w:name="8.3 竣工验收计划"/>
      <w:bookmarkEnd w:id="498"/>
      <w:bookmarkStart w:id="499" w:name="_bookmark38"/>
      <w:bookmarkEnd w:id="499"/>
      <w:bookmarkStart w:id="500" w:name="_Toc4683"/>
      <w:r>
        <w:t>竣工验收计划</w:t>
      </w:r>
      <w:bookmarkEnd w:id="500"/>
    </w:p>
    <w:p>
      <w:pPr>
        <w:pStyle w:val="7"/>
        <w:spacing w:before="5"/>
        <w:ind w:left="0"/>
        <w:rPr>
          <w:b/>
        </w:rPr>
      </w:pPr>
    </w:p>
    <w:p>
      <w:pPr>
        <w:pStyle w:val="7"/>
        <w:spacing w:line="364" w:lineRule="auto"/>
        <w:ind w:left="220" w:right="317" w:firstLine="480"/>
        <w:jc w:val="both"/>
      </w:pPr>
      <w:r>
        <w:rPr>
          <w:spacing w:val="-6"/>
        </w:rPr>
        <w:t>本项目中的污染防治措施必须与主体工程同时设计、同时施工、同时投产使</w:t>
      </w:r>
      <w:r>
        <w:rPr>
          <w:spacing w:val="-4"/>
        </w:rPr>
        <w:t>用。本项目竣工“三同时”验收计划详见表</w:t>
      </w:r>
      <w:r>
        <w:rPr>
          <w:rFonts w:ascii="Times New Roman" w:hAnsi="Times New Roman" w:eastAsia="Times New Roman"/>
        </w:rPr>
        <w:t>8.3-1</w:t>
      </w:r>
      <w:r>
        <w:t>。</w:t>
      </w:r>
    </w:p>
    <w:p>
      <w:pPr>
        <w:pStyle w:val="7"/>
        <w:bidi w:val="0"/>
        <w:jc w:val="center"/>
      </w:pPr>
      <w:r>
        <w:t>表</w:t>
      </w:r>
      <w:r>
        <w:rPr>
          <w:rFonts w:ascii="Times New Roman" w:eastAsia="Times New Roman"/>
        </w:rPr>
        <w:t>8.3-1</w:t>
      </w:r>
      <w:r>
        <w:rPr>
          <w:rFonts w:ascii="Times New Roman" w:eastAsia="Times New Roman"/>
        </w:rPr>
        <w:tab/>
      </w:r>
      <w:r>
        <w:t>建设项目竣工环境保护验收一览表</w:t>
      </w:r>
    </w:p>
    <w:p>
      <w:pPr>
        <w:spacing w:after="0"/>
        <w:jc w:val="left"/>
        <w:rPr>
          <w:sz w:val="21"/>
        </w:rPr>
      </w:pPr>
    </w:p>
    <w:tbl>
      <w:tblPr>
        <w:tblStyle w:val="14"/>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466"/>
        <w:gridCol w:w="1368"/>
        <w:gridCol w:w="2432"/>
        <w:gridCol w:w="3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32" w:type="dxa"/>
          </w:tcPr>
          <w:p>
            <w:pPr>
              <w:pStyle w:val="18"/>
              <w:spacing w:before="33"/>
              <w:ind w:left="142"/>
              <w:jc w:val="left"/>
              <w:rPr>
                <w:b/>
                <w:color w:val="0000FF"/>
                <w:sz w:val="21"/>
              </w:rPr>
            </w:pPr>
            <w:r>
              <w:rPr>
                <w:b/>
                <w:color w:val="0000FF"/>
                <w:sz w:val="21"/>
              </w:rPr>
              <w:t>类别</w:t>
            </w:r>
          </w:p>
        </w:tc>
        <w:tc>
          <w:tcPr>
            <w:tcW w:w="1834" w:type="dxa"/>
            <w:gridSpan w:val="2"/>
          </w:tcPr>
          <w:p>
            <w:pPr>
              <w:pStyle w:val="18"/>
              <w:spacing w:before="33"/>
              <w:ind w:left="570"/>
              <w:jc w:val="left"/>
              <w:rPr>
                <w:b/>
                <w:color w:val="0000FF"/>
                <w:sz w:val="21"/>
              </w:rPr>
            </w:pPr>
            <w:r>
              <w:rPr>
                <w:b/>
                <w:color w:val="0000FF"/>
                <w:sz w:val="21"/>
              </w:rPr>
              <w:t>污染源</w:t>
            </w:r>
          </w:p>
        </w:tc>
        <w:tc>
          <w:tcPr>
            <w:tcW w:w="2432" w:type="dxa"/>
          </w:tcPr>
          <w:p>
            <w:pPr>
              <w:pStyle w:val="18"/>
              <w:spacing w:before="33"/>
              <w:ind w:left="727"/>
              <w:jc w:val="left"/>
              <w:rPr>
                <w:b/>
                <w:color w:val="0000FF"/>
                <w:sz w:val="21"/>
              </w:rPr>
            </w:pPr>
            <w:r>
              <w:rPr>
                <w:b/>
                <w:color w:val="0000FF"/>
                <w:sz w:val="21"/>
              </w:rPr>
              <w:t>防治措施</w:t>
            </w:r>
          </w:p>
        </w:tc>
        <w:tc>
          <w:tcPr>
            <w:tcW w:w="3599" w:type="dxa"/>
          </w:tcPr>
          <w:p>
            <w:pPr>
              <w:pStyle w:val="18"/>
              <w:spacing w:before="33"/>
              <w:ind w:left="139" w:right="129"/>
              <w:rPr>
                <w:b/>
                <w:color w:val="0000FF"/>
                <w:sz w:val="21"/>
              </w:rPr>
            </w:pPr>
            <w:r>
              <w:rPr>
                <w:b/>
                <w:color w:val="0000FF"/>
                <w:sz w:val="21"/>
              </w:rPr>
              <w:t>验收标准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32" w:type="dxa"/>
            <w:vMerge w:val="restart"/>
          </w:tcPr>
          <w:p>
            <w:pPr>
              <w:pStyle w:val="18"/>
              <w:spacing w:line="236" w:lineRule="exact"/>
              <w:ind w:left="142"/>
              <w:jc w:val="left"/>
              <w:rPr>
                <w:color w:val="0000FF"/>
                <w:sz w:val="21"/>
              </w:rPr>
            </w:pPr>
            <w:r>
              <w:rPr>
                <w:color w:val="0000FF"/>
                <w:spacing w:val="-1"/>
                <w:w w:val="95"/>
                <w:sz w:val="21"/>
              </w:rPr>
              <w:t>废水</w:t>
            </w:r>
          </w:p>
          <w:p>
            <w:pPr>
              <w:pStyle w:val="18"/>
              <w:spacing w:line="224" w:lineRule="exact"/>
              <w:ind w:left="142"/>
              <w:jc w:val="left"/>
              <w:rPr>
                <w:color w:val="0000FF"/>
                <w:sz w:val="21"/>
              </w:rPr>
            </w:pPr>
            <w:r>
              <w:rPr>
                <w:color w:val="0000FF"/>
                <w:spacing w:val="-1"/>
                <w:w w:val="95"/>
                <w:sz w:val="21"/>
              </w:rPr>
              <w:t>治理</w:t>
            </w:r>
          </w:p>
        </w:tc>
        <w:tc>
          <w:tcPr>
            <w:tcW w:w="1834" w:type="dxa"/>
            <w:gridSpan w:val="2"/>
          </w:tcPr>
          <w:p>
            <w:pPr>
              <w:pStyle w:val="18"/>
              <w:keepNext w:val="0"/>
              <w:keepLines w:val="0"/>
              <w:pageBreakBefore w:val="0"/>
              <w:widowControl w:val="0"/>
              <w:kinsoku/>
              <w:wordWrap/>
              <w:overflowPunct/>
              <w:topLinePunct w:val="0"/>
              <w:autoSpaceDE w:val="0"/>
              <w:autoSpaceDN w:val="0"/>
              <w:bidi w:val="0"/>
              <w:adjustRightInd/>
              <w:snapToGrid/>
              <w:spacing w:before="0" w:beforeLines="100" w:line="224" w:lineRule="exact"/>
              <w:ind w:left="107"/>
              <w:jc w:val="center"/>
              <w:textAlignment w:val="auto"/>
              <w:rPr>
                <w:rFonts w:hint="default" w:eastAsia="宋体"/>
                <w:color w:val="0000FF"/>
                <w:sz w:val="21"/>
                <w:lang w:val="en-US" w:eastAsia="zh-CN"/>
              </w:rPr>
            </w:pPr>
            <w:r>
              <w:rPr>
                <w:rFonts w:hint="eastAsia"/>
                <w:color w:val="0000FF"/>
                <w:sz w:val="21"/>
                <w:lang w:val="en-US" w:eastAsia="zh-CN"/>
              </w:rPr>
              <w:t>生活废水</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0" w:beforeLines="100" w:line="224" w:lineRule="exact"/>
              <w:ind w:left="0"/>
              <w:jc w:val="left"/>
              <w:textAlignment w:val="auto"/>
              <w:rPr>
                <w:rFonts w:hint="default" w:eastAsia="宋体"/>
                <w:color w:val="0000FF"/>
                <w:sz w:val="21"/>
                <w:lang w:val="en-US" w:eastAsia="zh-CN"/>
              </w:rPr>
            </w:pPr>
            <w:r>
              <w:rPr>
                <w:rFonts w:hint="eastAsia"/>
                <w:color w:val="0000FF"/>
                <w:sz w:val="21"/>
                <w:lang w:val="en-US" w:eastAsia="zh-CN"/>
              </w:rPr>
              <w:t>化粪池和地埋式一体化污水处理设备</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0" w:beforeLines="100" w:after="0" w:afterLines="50" w:line="224" w:lineRule="exact"/>
              <w:jc w:val="center"/>
              <w:textAlignment w:val="auto"/>
              <w:rPr>
                <w:color w:val="0000FF"/>
                <w:sz w:val="21"/>
              </w:rPr>
            </w:pPr>
            <w:r>
              <w:rPr>
                <w:rFonts w:hint="eastAsia" w:ascii="宋体" w:hAnsi="宋体" w:eastAsia="宋体" w:cs="宋体"/>
                <w:color w:val="FF0000"/>
                <w:spacing w:val="-1"/>
                <w:sz w:val="21"/>
                <w:szCs w:val="21"/>
                <w:lang w:val="en-US" w:eastAsia="zh-CN"/>
              </w:rPr>
              <w:t>沉淀物由相关环卫部门抽运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32" w:type="dxa"/>
            <w:vMerge w:val="continue"/>
          </w:tcPr>
          <w:p>
            <w:pPr>
              <w:pStyle w:val="18"/>
              <w:spacing w:line="224" w:lineRule="exact"/>
              <w:ind w:left="142"/>
              <w:jc w:val="left"/>
              <w:rPr>
                <w:color w:val="0000FF"/>
                <w:sz w:val="21"/>
              </w:rPr>
            </w:pPr>
          </w:p>
        </w:tc>
        <w:tc>
          <w:tcPr>
            <w:tcW w:w="1834" w:type="dxa"/>
            <w:gridSpan w:val="2"/>
          </w:tcPr>
          <w:p>
            <w:pPr>
              <w:pStyle w:val="18"/>
              <w:keepNext w:val="0"/>
              <w:keepLines w:val="0"/>
              <w:pageBreakBefore w:val="0"/>
              <w:widowControl w:val="0"/>
              <w:kinsoku/>
              <w:wordWrap/>
              <w:overflowPunct/>
              <w:topLinePunct w:val="0"/>
              <w:autoSpaceDE w:val="0"/>
              <w:autoSpaceDN w:val="0"/>
              <w:bidi w:val="0"/>
              <w:adjustRightInd/>
              <w:snapToGrid/>
              <w:spacing w:before="0" w:beforeLines="100" w:line="236" w:lineRule="exact"/>
              <w:ind w:left="107"/>
              <w:jc w:val="left"/>
              <w:textAlignment w:val="auto"/>
              <w:rPr>
                <w:color w:val="0000FF"/>
                <w:sz w:val="21"/>
              </w:rPr>
            </w:pPr>
            <w:r>
              <w:rPr>
                <w:color w:val="0000FF"/>
                <w:sz w:val="21"/>
              </w:rPr>
              <w:t>无害化处理车间</w:t>
            </w:r>
          </w:p>
          <w:p>
            <w:pPr>
              <w:pStyle w:val="18"/>
              <w:keepNext w:val="0"/>
              <w:keepLines w:val="0"/>
              <w:pageBreakBefore w:val="0"/>
              <w:widowControl w:val="0"/>
              <w:kinsoku/>
              <w:wordWrap/>
              <w:overflowPunct/>
              <w:topLinePunct w:val="0"/>
              <w:autoSpaceDE w:val="0"/>
              <w:autoSpaceDN w:val="0"/>
              <w:bidi w:val="0"/>
              <w:adjustRightInd/>
              <w:snapToGrid/>
              <w:spacing w:before="0" w:beforeLines="100" w:line="224" w:lineRule="exact"/>
              <w:ind w:left="107"/>
              <w:jc w:val="left"/>
              <w:textAlignment w:val="auto"/>
              <w:rPr>
                <w:color w:val="0000FF"/>
                <w:sz w:val="21"/>
              </w:rPr>
            </w:pPr>
            <w:r>
              <w:rPr>
                <w:color w:val="0000FF"/>
                <w:sz w:val="21"/>
              </w:rPr>
              <w:t>化制废水</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0" w:beforeLines="100" w:line="236" w:lineRule="exact"/>
              <w:ind w:left="108"/>
              <w:jc w:val="left"/>
              <w:textAlignment w:val="auto"/>
              <w:rPr>
                <w:color w:val="0000FF"/>
                <w:sz w:val="21"/>
              </w:rPr>
            </w:pPr>
            <w:r>
              <w:rPr>
                <w:rFonts w:ascii="Times New Roman" w:eastAsia="Times New Roman"/>
                <w:color w:val="0000FF"/>
                <w:sz w:val="21"/>
              </w:rPr>
              <w:t>1</w:t>
            </w:r>
            <w:r>
              <w:rPr>
                <w:color w:val="0000FF"/>
                <w:sz w:val="21"/>
              </w:rPr>
              <w:t>个地埋式密闭防渗储</w:t>
            </w:r>
          </w:p>
          <w:p>
            <w:pPr>
              <w:pStyle w:val="18"/>
              <w:keepNext w:val="0"/>
              <w:keepLines w:val="0"/>
              <w:pageBreakBefore w:val="0"/>
              <w:widowControl w:val="0"/>
              <w:kinsoku/>
              <w:wordWrap/>
              <w:overflowPunct/>
              <w:topLinePunct w:val="0"/>
              <w:autoSpaceDE w:val="0"/>
              <w:autoSpaceDN w:val="0"/>
              <w:bidi w:val="0"/>
              <w:adjustRightInd/>
              <w:snapToGrid/>
              <w:spacing w:before="0" w:beforeLines="100" w:line="224" w:lineRule="exact"/>
              <w:ind w:left="108"/>
              <w:jc w:val="left"/>
              <w:textAlignment w:val="auto"/>
              <w:rPr>
                <w:color w:val="0000FF"/>
                <w:sz w:val="21"/>
              </w:rPr>
            </w:pPr>
            <w:r>
              <w:rPr>
                <w:color w:val="0000FF"/>
                <w:sz w:val="21"/>
              </w:rPr>
              <w:t>液池</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0" w:beforeLines="100" w:line="236" w:lineRule="exact"/>
              <w:ind w:left="107"/>
              <w:jc w:val="left"/>
              <w:textAlignment w:val="auto"/>
              <w:rPr>
                <w:color w:val="0000FF"/>
                <w:sz w:val="21"/>
              </w:rPr>
            </w:pPr>
            <w:r>
              <w:rPr>
                <w:color w:val="0000FF"/>
                <w:sz w:val="21"/>
              </w:rPr>
              <w:t>定期清运至</w:t>
            </w:r>
            <w:r>
              <w:rPr>
                <w:rFonts w:hint="eastAsia"/>
                <w:color w:val="0000FF"/>
                <w:sz w:val="21"/>
                <w:lang w:val="en-US" w:eastAsia="zh-CN"/>
              </w:rPr>
              <w:t>莎车</w:t>
            </w:r>
            <w:r>
              <w:rPr>
                <w:color w:val="0000FF"/>
                <w:sz w:val="21"/>
              </w:rPr>
              <w:t>县污水处理厂，不外排。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732" w:type="dxa"/>
            <w:vMerge w:val="restart"/>
          </w:tcPr>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spacing w:before="7"/>
              <w:jc w:val="left"/>
              <w:rPr>
                <w:b/>
                <w:color w:val="0000FF"/>
                <w:sz w:val="15"/>
              </w:rPr>
            </w:pPr>
          </w:p>
          <w:p>
            <w:pPr>
              <w:pStyle w:val="18"/>
              <w:spacing w:line="213" w:lineRule="auto"/>
              <w:ind w:left="142" w:right="135"/>
              <w:jc w:val="left"/>
              <w:rPr>
                <w:color w:val="0000FF"/>
                <w:sz w:val="21"/>
              </w:rPr>
            </w:pPr>
            <w:r>
              <w:rPr>
                <w:color w:val="0000FF"/>
                <w:sz w:val="21"/>
              </w:rPr>
              <w:t>废气治理</w:t>
            </w:r>
          </w:p>
        </w:tc>
        <w:tc>
          <w:tcPr>
            <w:tcW w:w="466" w:type="dxa"/>
          </w:tcPr>
          <w:p>
            <w:pPr>
              <w:pStyle w:val="18"/>
              <w:spacing w:before="4" w:line="213" w:lineRule="auto"/>
              <w:ind w:left="119" w:right="109"/>
              <w:jc w:val="both"/>
              <w:rPr>
                <w:color w:val="0000FF"/>
                <w:sz w:val="21"/>
              </w:rPr>
            </w:pPr>
            <w:r>
              <w:rPr>
                <w:color w:val="0000FF"/>
                <w:sz w:val="21"/>
              </w:rPr>
              <w:t>有组织废</w:t>
            </w:r>
          </w:p>
          <w:p>
            <w:pPr>
              <w:pStyle w:val="18"/>
              <w:spacing w:line="218" w:lineRule="exact"/>
              <w:ind w:left="119"/>
              <w:jc w:val="left"/>
              <w:rPr>
                <w:color w:val="0000FF"/>
                <w:sz w:val="21"/>
              </w:rPr>
            </w:pPr>
            <w:r>
              <w:rPr>
                <w:color w:val="0000FF"/>
                <w:w w:val="99"/>
                <w:sz w:val="21"/>
              </w:rPr>
              <w:t>气</w:t>
            </w:r>
          </w:p>
        </w:tc>
        <w:tc>
          <w:tcPr>
            <w:tcW w:w="1368" w:type="dxa"/>
          </w:tcPr>
          <w:p>
            <w:pPr>
              <w:pStyle w:val="18"/>
              <w:spacing w:before="5"/>
              <w:jc w:val="left"/>
              <w:rPr>
                <w:b/>
                <w:color w:val="0000FF"/>
                <w:sz w:val="28"/>
              </w:rPr>
            </w:pPr>
          </w:p>
          <w:p>
            <w:pPr>
              <w:pStyle w:val="18"/>
              <w:spacing w:line="213" w:lineRule="auto"/>
              <w:ind w:left="240" w:right="124" w:hanging="106"/>
              <w:jc w:val="left"/>
              <w:rPr>
                <w:color w:val="0000FF"/>
                <w:sz w:val="21"/>
              </w:rPr>
            </w:pPr>
            <w:r>
              <w:rPr>
                <w:color w:val="0000FF"/>
                <w:sz w:val="21"/>
              </w:rPr>
              <w:t>无害化处理车间废气</w:t>
            </w:r>
          </w:p>
        </w:tc>
        <w:tc>
          <w:tcPr>
            <w:tcW w:w="2432" w:type="dxa"/>
          </w:tcPr>
          <w:p>
            <w:pPr>
              <w:pStyle w:val="18"/>
              <w:spacing w:before="7"/>
              <w:jc w:val="left"/>
              <w:rPr>
                <w:b/>
                <w:color w:val="0000FF"/>
                <w:sz w:val="26"/>
              </w:rPr>
            </w:pPr>
          </w:p>
          <w:p>
            <w:pPr>
              <w:pStyle w:val="18"/>
              <w:spacing w:line="255" w:lineRule="exact"/>
              <w:ind w:left="108"/>
              <w:jc w:val="left"/>
              <w:rPr>
                <w:color w:val="0000FF"/>
                <w:sz w:val="21"/>
              </w:rPr>
            </w:pPr>
            <w:r>
              <w:rPr>
                <w:rFonts w:ascii="Times New Roman" w:eastAsia="Times New Roman"/>
                <w:color w:val="0000FF"/>
                <w:sz w:val="21"/>
              </w:rPr>
              <w:t>1</w:t>
            </w:r>
            <w:r>
              <w:rPr>
                <w:color w:val="0000FF"/>
                <w:sz w:val="21"/>
              </w:rPr>
              <w:t>套光解除臭装置</w:t>
            </w:r>
          </w:p>
          <w:p>
            <w:pPr>
              <w:pStyle w:val="18"/>
              <w:spacing w:line="255" w:lineRule="exact"/>
              <w:ind w:left="108"/>
              <w:jc w:val="left"/>
              <w:rPr>
                <w:color w:val="0000FF"/>
                <w:sz w:val="21"/>
              </w:rPr>
            </w:pPr>
            <w:r>
              <w:rPr>
                <w:rFonts w:ascii="Times New Roman" w:eastAsia="Times New Roman"/>
                <w:color w:val="0000FF"/>
                <w:sz w:val="21"/>
              </w:rPr>
              <w:t>+15m</w:t>
            </w:r>
            <w:r>
              <w:rPr>
                <w:color w:val="0000FF"/>
                <w:sz w:val="21"/>
              </w:rPr>
              <w:t>高排气筒</w:t>
            </w:r>
          </w:p>
        </w:tc>
        <w:tc>
          <w:tcPr>
            <w:tcW w:w="3599" w:type="dxa"/>
          </w:tcPr>
          <w:p>
            <w:pPr>
              <w:pStyle w:val="18"/>
              <w:jc w:val="left"/>
              <w:rPr>
                <w:b/>
                <w:color w:val="0000FF"/>
                <w:sz w:val="22"/>
              </w:rPr>
            </w:pPr>
          </w:p>
          <w:p>
            <w:pPr>
              <w:pStyle w:val="18"/>
              <w:spacing w:before="179"/>
              <w:ind w:left="139" w:right="132"/>
              <w:rPr>
                <w:color w:val="0000FF"/>
                <w:sz w:val="21"/>
              </w:rPr>
            </w:pPr>
            <w:r>
              <w:rPr>
                <w:color w:val="0000FF"/>
                <w:sz w:val="21"/>
              </w:rPr>
              <w:t>《恶臭污染物排放标准》表</w:t>
            </w:r>
            <w:r>
              <w:rPr>
                <w:rFonts w:ascii="Times New Roman" w:eastAsia="Times New Roman"/>
                <w:color w:val="0000FF"/>
                <w:sz w:val="21"/>
              </w:rPr>
              <w:t>2</w:t>
            </w: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trPr>
        <w:tc>
          <w:tcPr>
            <w:tcW w:w="732" w:type="dxa"/>
            <w:vMerge w:val="continue"/>
            <w:tcBorders>
              <w:top w:val="nil"/>
            </w:tcBorders>
          </w:tcPr>
          <w:p>
            <w:pPr>
              <w:rPr>
                <w:color w:val="0000FF"/>
                <w:sz w:val="2"/>
                <w:szCs w:val="2"/>
              </w:rPr>
            </w:pPr>
          </w:p>
        </w:tc>
        <w:tc>
          <w:tcPr>
            <w:tcW w:w="466" w:type="dxa"/>
          </w:tcPr>
          <w:p>
            <w:pPr>
              <w:pStyle w:val="18"/>
              <w:spacing w:before="3" w:line="213" w:lineRule="auto"/>
              <w:ind w:left="119" w:right="109"/>
              <w:jc w:val="both"/>
              <w:rPr>
                <w:color w:val="0000FF"/>
                <w:sz w:val="21"/>
              </w:rPr>
            </w:pPr>
            <w:r>
              <w:rPr>
                <w:color w:val="0000FF"/>
                <w:sz w:val="21"/>
              </w:rPr>
              <w:t>无组织废</w:t>
            </w:r>
          </w:p>
          <w:p>
            <w:pPr>
              <w:pStyle w:val="18"/>
              <w:spacing w:line="217" w:lineRule="exact"/>
              <w:ind w:left="119"/>
              <w:jc w:val="left"/>
              <w:rPr>
                <w:color w:val="0000FF"/>
                <w:sz w:val="21"/>
              </w:rPr>
            </w:pPr>
            <w:r>
              <w:rPr>
                <w:color w:val="0000FF"/>
                <w:w w:val="99"/>
                <w:sz w:val="21"/>
              </w:rPr>
              <w:t>气</w:t>
            </w:r>
          </w:p>
        </w:tc>
        <w:tc>
          <w:tcPr>
            <w:tcW w:w="1368" w:type="dxa"/>
          </w:tcPr>
          <w:p>
            <w:pPr>
              <w:pStyle w:val="18"/>
              <w:jc w:val="left"/>
              <w:rPr>
                <w:b/>
                <w:color w:val="0000FF"/>
                <w:sz w:val="20"/>
              </w:rPr>
            </w:pPr>
          </w:p>
          <w:p>
            <w:pPr>
              <w:pStyle w:val="18"/>
              <w:spacing w:before="11"/>
              <w:jc w:val="left"/>
              <w:rPr>
                <w:b/>
                <w:color w:val="0000FF"/>
                <w:sz w:val="15"/>
              </w:rPr>
            </w:pPr>
          </w:p>
          <w:p>
            <w:pPr>
              <w:pStyle w:val="18"/>
              <w:spacing w:before="1"/>
              <w:ind w:left="134"/>
              <w:jc w:val="left"/>
              <w:rPr>
                <w:color w:val="0000FF"/>
                <w:sz w:val="21"/>
              </w:rPr>
            </w:pPr>
            <w:r>
              <w:rPr>
                <w:color w:val="0000FF"/>
                <w:sz w:val="21"/>
              </w:rPr>
              <w:t>养殖场恶臭</w:t>
            </w:r>
          </w:p>
        </w:tc>
        <w:tc>
          <w:tcPr>
            <w:tcW w:w="2432" w:type="dxa"/>
          </w:tcPr>
          <w:p>
            <w:pPr>
              <w:pStyle w:val="18"/>
              <w:jc w:val="left"/>
              <w:rPr>
                <w:b/>
                <w:color w:val="0000FF"/>
                <w:sz w:val="19"/>
              </w:rPr>
            </w:pPr>
          </w:p>
          <w:p>
            <w:pPr>
              <w:pStyle w:val="18"/>
              <w:spacing w:line="213" w:lineRule="auto"/>
              <w:ind w:left="108" w:right="76"/>
              <w:jc w:val="both"/>
              <w:rPr>
                <w:color w:val="0000FF"/>
                <w:sz w:val="21"/>
              </w:rPr>
            </w:pPr>
            <w:r>
              <w:rPr>
                <w:color w:val="0000FF"/>
                <w:sz w:val="21"/>
              </w:rPr>
              <w:t>及时清粪、通风换气、喷洒除臭剂、加强绿化密闭、喷洒除臭剂</w:t>
            </w:r>
          </w:p>
        </w:tc>
        <w:tc>
          <w:tcPr>
            <w:tcW w:w="3599" w:type="dxa"/>
          </w:tcPr>
          <w:p>
            <w:pPr>
              <w:pStyle w:val="18"/>
              <w:jc w:val="left"/>
              <w:rPr>
                <w:b/>
                <w:color w:val="0000FF"/>
                <w:sz w:val="22"/>
              </w:rPr>
            </w:pPr>
          </w:p>
          <w:p>
            <w:pPr>
              <w:pStyle w:val="18"/>
              <w:spacing w:before="178"/>
              <w:ind w:left="139" w:right="132"/>
              <w:rPr>
                <w:color w:val="0000FF"/>
                <w:sz w:val="21"/>
              </w:rPr>
            </w:pPr>
            <w:r>
              <w:rPr>
                <w:color w:val="0000FF"/>
                <w:sz w:val="21"/>
              </w:rPr>
              <w:t>《恶臭污染物排放标准》表</w:t>
            </w:r>
            <w:r>
              <w:rPr>
                <w:rFonts w:ascii="Times New Roman" w:eastAsia="Times New Roman"/>
                <w:color w:val="0000FF"/>
                <w:sz w:val="21"/>
              </w:rPr>
              <w:t>1</w:t>
            </w: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732" w:type="dxa"/>
          </w:tcPr>
          <w:p>
            <w:pPr>
              <w:pStyle w:val="18"/>
              <w:spacing w:line="240" w:lineRule="exact"/>
              <w:ind w:left="142" w:right="135"/>
              <w:jc w:val="left"/>
              <w:rPr>
                <w:color w:val="0000FF"/>
                <w:sz w:val="21"/>
              </w:rPr>
            </w:pPr>
            <w:r>
              <w:rPr>
                <w:color w:val="0000FF"/>
                <w:sz w:val="21"/>
              </w:rPr>
              <w:t>噪声控制</w:t>
            </w:r>
          </w:p>
        </w:tc>
        <w:tc>
          <w:tcPr>
            <w:tcW w:w="1834" w:type="dxa"/>
            <w:gridSpan w:val="2"/>
          </w:tcPr>
          <w:p>
            <w:pPr>
              <w:pStyle w:val="18"/>
              <w:keepNext w:val="0"/>
              <w:keepLines w:val="0"/>
              <w:pageBreakBefore w:val="0"/>
              <w:widowControl w:val="0"/>
              <w:kinsoku/>
              <w:wordWrap/>
              <w:overflowPunct/>
              <w:topLinePunct w:val="0"/>
              <w:autoSpaceDE w:val="0"/>
              <w:autoSpaceDN w:val="0"/>
              <w:bidi w:val="0"/>
              <w:adjustRightInd/>
              <w:snapToGrid/>
              <w:spacing w:before="120"/>
              <w:ind w:left="464"/>
              <w:jc w:val="left"/>
              <w:textAlignment w:val="auto"/>
              <w:rPr>
                <w:color w:val="0000FF"/>
                <w:sz w:val="21"/>
              </w:rPr>
            </w:pPr>
            <w:r>
              <w:rPr>
                <w:color w:val="0000FF"/>
                <w:sz w:val="21"/>
              </w:rPr>
              <w:t>设备噪声</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ind w:left="108"/>
              <w:jc w:val="left"/>
              <w:textAlignment w:val="auto"/>
              <w:rPr>
                <w:color w:val="0000FF"/>
                <w:sz w:val="21"/>
              </w:rPr>
            </w:pPr>
            <w:r>
              <w:rPr>
                <w:color w:val="0000FF"/>
                <w:sz w:val="21"/>
              </w:rPr>
              <w:t>隔声、减振、场区种树</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120" w:line="237" w:lineRule="exact"/>
              <w:ind w:left="107"/>
              <w:jc w:val="left"/>
              <w:textAlignment w:val="auto"/>
              <w:rPr>
                <w:color w:val="0000FF"/>
                <w:sz w:val="21"/>
              </w:rPr>
            </w:pPr>
            <w:r>
              <w:rPr>
                <w:color w:val="0000FF"/>
                <w:sz w:val="21"/>
              </w:rPr>
              <w:t>《工业企业厂界环境噪声排放标准》</w:t>
            </w:r>
          </w:p>
          <w:p>
            <w:pPr>
              <w:pStyle w:val="18"/>
              <w:keepNext w:val="0"/>
              <w:keepLines w:val="0"/>
              <w:pageBreakBefore w:val="0"/>
              <w:widowControl w:val="0"/>
              <w:kinsoku/>
              <w:wordWrap/>
              <w:overflowPunct/>
              <w:topLinePunct w:val="0"/>
              <w:autoSpaceDE w:val="0"/>
              <w:autoSpaceDN w:val="0"/>
              <w:bidi w:val="0"/>
              <w:adjustRightInd/>
              <w:snapToGrid/>
              <w:spacing w:before="120" w:line="223" w:lineRule="exact"/>
              <w:ind w:left="107"/>
              <w:jc w:val="left"/>
              <w:textAlignment w:val="auto"/>
              <w:rPr>
                <w:color w:val="0000FF"/>
                <w:sz w:val="21"/>
              </w:rPr>
            </w:pPr>
            <w:r>
              <w:rPr>
                <w:color w:val="0000FF"/>
                <w:sz w:val="21"/>
              </w:rPr>
              <w:t>（</w:t>
            </w:r>
            <w:r>
              <w:rPr>
                <w:rFonts w:ascii="Times New Roman" w:eastAsia="Times New Roman"/>
                <w:color w:val="0000FF"/>
                <w:sz w:val="21"/>
              </w:rPr>
              <w:t>GB12348-2008</w:t>
            </w:r>
            <w:r>
              <w:rPr>
                <w:color w:val="0000FF"/>
                <w:sz w:val="21"/>
              </w:rPr>
              <w:t>）</w:t>
            </w:r>
            <w:r>
              <w:rPr>
                <w:rFonts w:ascii="Times New Roman" w:eastAsia="Times New Roman"/>
                <w:color w:val="0000FF"/>
                <w:sz w:val="21"/>
              </w:rPr>
              <w:t>2</w:t>
            </w:r>
            <w:r>
              <w:rPr>
                <w:color w:val="0000FF"/>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732" w:type="dxa"/>
            <w:vMerge w:val="restart"/>
          </w:tcPr>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jc w:val="left"/>
              <w:rPr>
                <w:b/>
                <w:color w:val="0000FF"/>
                <w:sz w:val="20"/>
              </w:rPr>
            </w:pPr>
          </w:p>
          <w:p>
            <w:pPr>
              <w:pStyle w:val="18"/>
              <w:spacing w:before="5"/>
              <w:jc w:val="left"/>
              <w:rPr>
                <w:b/>
                <w:color w:val="0000FF"/>
                <w:sz w:val="14"/>
              </w:rPr>
            </w:pPr>
          </w:p>
          <w:p>
            <w:pPr>
              <w:pStyle w:val="18"/>
              <w:spacing w:before="1" w:line="213" w:lineRule="auto"/>
              <w:ind w:left="142" w:right="135"/>
              <w:jc w:val="left"/>
              <w:rPr>
                <w:color w:val="0000FF"/>
                <w:sz w:val="21"/>
              </w:rPr>
            </w:pPr>
            <w:r>
              <w:rPr>
                <w:color w:val="0000FF"/>
                <w:sz w:val="21"/>
              </w:rPr>
              <w:t>固废处理</w:t>
            </w:r>
          </w:p>
        </w:tc>
        <w:tc>
          <w:tcPr>
            <w:tcW w:w="466" w:type="dxa"/>
            <w:vMerge w:val="restart"/>
          </w:tcPr>
          <w:p>
            <w:pPr>
              <w:pStyle w:val="18"/>
              <w:keepNext w:val="0"/>
              <w:keepLines w:val="0"/>
              <w:pageBreakBefore w:val="0"/>
              <w:widowControl w:val="0"/>
              <w:kinsoku/>
              <w:wordWrap/>
              <w:overflowPunct/>
              <w:topLinePunct w:val="0"/>
              <w:autoSpaceDE w:val="0"/>
              <w:autoSpaceDN w:val="0"/>
              <w:bidi w:val="0"/>
              <w:adjustRightInd/>
              <w:snapToGrid/>
              <w:spacing w:before="120"/>
              <w:jc w:val="left"/>
              <w:textAlignment w:val="auto"/>
              <w:rPr>
                <w:b/>
                <w:color w:val="0000FF"/>
                <w:sz w:val="14"/>
              </w:rPr>
            </w:pPr>
          </w:p>
          <w:p>
            <w:pPr>
              <w:pStyle w:val="18"/>
              <w:keepNext w:val="0"/>
              <w:keepLines w:val="0"/>
              <w:pageBreakBefore w:val="0"/>
              <w:widowControl w:val="0"/>
              <w:kinsoku/>
              <w:wordWrap/>
              <w:overflowPunct/>
              <w:topLinePunct w:val="0"/>
              <w:autoSpaceDE w:val="0"/>
              <w:autoSpaceDN w:val="0"/>
              <w:bidi w:val="0"/>
              <w:adjustRightInd/>
              <w:snapToGrid/>
              <w:spacing w:before="120" w:line="213" w:lineRule="auto"/>
              <w:ind w:left="119" w:right="109"/>
              <w:jc w:val="both"/>
              <w:textAlignment w:val="auto"/>
              <w:rPr>
                <w:color w:val="0000FF"/>
                <w:sz w:val="21"/>
              </w:rPr>
            </w:pPr>
            <w:r>
              <w:rPr>
                <w:color w:val="0000FF"/>
                <w:sz w:val="21"/>
              </w:rPr>
              <w:t>一般固废</w:t>
            </w:r>
          </w:p>
        </w:tc>
        <w:tc>
          <w:tcPr>
            <w:tcW w:w="1368" w:type="dxa"/>
          </w:tcPr>
          <w:p>
            <w:pPr>
              <w:pStyle w:val="18"/>
              <w:keepNext w:val="0"/>
              <w:keepLines w:val="0"/>
              <w:pageBreakBefore w:val="0"/>
              <w:widowControl w:val="0"/>
              <w:kinsoku/>
              <w:wordWrap/>
              <w:overflowPunct/>
              <w:topLinePunct w:val="0"/>
              <w:autoSpaceDE w:val="0"/>
              <w:autoSpaceDN w:val="0"/>
              <w:bidi w:val="0"/>
              <w:adjustRightInd/>
              <w:snapToGrid/>
              <w:spacing w:before="120"/>
              <w:ind w:left="113" w:right="105"/>
              <w:textAlignment w:val="auto"/>
              <w:rPr>
                <w:color w:val="0000FF"/>
                <w:sz w:val="21"/>
              </w:rPr>
            </w:pPr>
            <w:r>
              <w:rPr>
                <w:color w:val="0000FF"/>
                <w:sz w:val="21"/>
              </w:rPr>
              <w:t>羊粪，垫料</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line="240" w:lineRule="exact"/>
              <w:ind w:left="108" w:right="47"/>
              <w:jc w:val="left"/>
              <w:textAlignment w:val="auto"/>
              <w:rPr>
                <w:color w:val="0000FF"/>
                <w:sz w:val="21"/>
              </w:rPr>
            </w:pPr>
            <w:r>
              <w:rPr>
                <w:color w:val="0000FF"/>
                <w:sz w:val="21"/>
              </w:rPr>
              <w:t>暂存于羊粪堆场，最终用于有机肥生产</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120" w:line="237" w:lineRule="exact"/>
              <w:ind w:left="107"/>
              <w:jc w:val="left"/>
              <w:textAlignment w:val="auto"/>
              <w:rPr>
                <w:color w:val="0000FF"/>
                <w:sz w:val="21"/>
              </w:rPr>
            </w:pPr>
            <w:r>
              <w:rPr>
                <w:color w:val="0000FF"/>
                <w:sz w:val="21"/>
              </w:rPr>
              <w:t>满足《粪便无害化卫生要求》</w:t>
            </w:r>
          </w:p>
          <w:p>
            <w:pPr>
              <w:pStyle w:val="18"/>
              <w:keepNext w:val="0"/>
              <w:keepLines w:val="0"/>
              <w:pageBreakBefore w:val="0"/>
              <w:widowControl w:val="0"/>
              <w:kinsoku/>
              <w:wordWrap/>
              <w:overflowPunct/>
              <w:topLinePunct w:val="0"/>
              <w:autoSpaceDE w:val="0"/>
              <w:autoSpaceDN w:val="0"/>
              <w:bidi w:val="0"/>
              <w:adjustRightInd/>
              <w:snapToGrid/>
              <w:spacing w:before="120" w:line="223" w:lineRule="exact"/>
              <w:ind w:left="107"/>
              <w:jc w:val="left"/>
              <w:textAlignment w:val="auto"/>
              <w:rPr>
                <w:color w:val="0000FF"/>
                <w:sz w:val="21"/>
              </w:rPr>
            </w:pPr>
            <w:r>
              <w:rPr>
                <w:color w:val="0000FF"/>
                <w:sz w:val="21"/>
              </w:rPr>
              <w:t>（</w:t>
            </w:r>
            <w:r>
              <w:rPr>
                <w:rFonts w:ascii="Times New Roman" w:eastAsia="Times New Roman"/>
                <w:color w:val="0000FF"/>
                <w:sz w:val="21"/>
              </w:rPr>
              <w:t>GB7959-2012</w:t>
            </w:r>
            <w:r>
              <w:rPr>
                <w:color w:val="0000FF"/>
                <w:sz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732" w:type="dxa"/>
            <w:vMerge w:val="continue"/>
            <w:tcBorders>
              <w:top w:val="nil"/>
            </w:tcBorders>
          </w:tcPr>
          <w:p>
            <w:pPr>
              <w:rPr>
                <w:color w:val="0000FF"/>
                <w:sz w:val="2"/>
                <w:szCs w:val="2"/>
              </w:rPr>
            </w:pPr>
          </w:p>
        </w:tc>
        <w:tc>
          <w:tcPr>
            <w:tcW w:w="466"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120"/>
              <w:textAlignment w:val="auto"/>
              <w:rPr>
                <w:color w:val="0000FF"/>
                <w:sz w:val="2"/>
                <w:szCs w:val="2"/>
              </w:rPr>
            </w:pPr>
          </w:p>
        </w:tc>
        <w:tc>
          <w:tcPr>
            <w:tcW w:w="1368" w:type="dxa"/>
          </w:tcPr>
          <w:p>
            <w:pPr>
              <w:pStyle w:val="18"/>
              <w:keepNext w:val="0"/>
              <w:keepLines w:val="0"/>
              <w:pageBreakBefore w:val="0"/>
              <w:widowControl w:val="0"/>
              <w:kinsoku/>
              <w:wordWrap/>
              <w:overflowPunct/>
              <w:topLinePunct w:val="0"/>
              <w:autoSpaceDE w:val="0"/>
              <w:autoSpaceDN w:val="0"/>
              <w:bidi w:val="0"/>
              <w:adjustRightInd/>
              <w:snapToGrid/>
              <w:spacing w:before="120"/>
              <w:ind w:left="112" w:right="106"/>
              <w:textAlignment w:val="auto"/>
              <w:rPr>
                <w:color w:val="0000FF"/>
                <w:sz w:val="21"/>
              </w:rPr>
            </w:pPr>
            <w:r>
              <w:rPr>
                <w:color w:val="0000FF"/>
                <w:sz w:val="21"/>
              </w:rPr>
              <w:t>肉骨粉</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line="240" w:lineRule="exact"/>
              <w:ind w:left="108" w:right="285"/>
              <w:jc w:val="left"/>
              <w:textAlignment w:val="auto"/>
              <w:rPr>
                <w:color w:val="0000FF"/>
                <w:sz w:val="21"/>
              </w:rPr>
            </w:pPr>
            <w:r>
              <w:rPr>
                <w:color w:val="0000FF"/>
                <w:sz w:val="21"/>
              </w:rPr>
              <w:t>出售给肉骨粉干品生产厂</w:t>
            </w:r>
          </w:p>
        </w:tc>
        <w:tc>
          <w:tcPr>
            <w:tcW w:w="3599" w:type="dxa"/>
            <w:vMerge w:val="restart"/>
          </w:tcPr>
          <w:p>
            <w:pPr>
              <w:pStyle w:val="18"/>
              <w:keepNext w:val="0"/>
              <w:keepLines w:val="0"/>
              <w:pageBreakBefore w:val="0"/>
              <w:widowControl w:val="0"/>
              <w:kinsoku/>
              <w:wordWrap/>
              <w:overflowPunct/>
              <w:topLinePunct w:val="0"/>
              <w:autoSpaceDE w:val="0"/>
              <w:autoSpaceDN w:val="0"/>
              <w:bidi w:val="0"/>
              <w:adjustRightInd/>
              <w:snapToGrid/>
              <w:spacing w:before="120" w:line="213" w:lineRule="auto"/>
              <w:ind w:left="107" w:right="97"/>
              <w:jc w:val="both"/>
              <w:textAlignment w:val="auto"/>
              <w:rPr>
                <w:color w:val="0000FF"/>
                <w:sz w:val="21"/>
              </w:rPr>
            </w:pPr>
            <w:r>
              <w:rPr>
                <w:color w:val="0000FF"/>
                <w:spacing w:val="-5"/>
                <w:w w:val="95"/>
                <w:sz w:val="21"/>
              </w:rPr>
              <w:t>《一般工业固体废物贮存、处置场污</w:t>
            </w:r>
            <w:r>
              <w:rPr>
                <w:color w:val="0000FF"/>
                <w:spacing w:val="-12"/>
                <w:w w:val="95"/>
                <w:sz w:val="21"/>
              </w:rPr>
              <w:t>染控制标准》</w:t>
            </w:r>
            <w:r>
              <w:rPr>
                <w:color w:val="0000FF"/>
                <w:spacing w:val="-1"/>
                <w:w w:val="95"/>
                <w:sz w:val="21"/>
              </w:rPr>
              <w:t>（</w:t>
            </w:r>
            <w:r>
              <w:rPr>
                <w:rFonts w:ascii="Times New Roman" w:eastAsia="Times New Roman"/>
                <w:color w:val="0000FF"/>
                <w:spacing w:val="-1"/>
                <w:w w:val="95"/>
                <w:sz w:val="21"/>
              </w:rPr>
              <w:t>GB18599-2001</w:t>
            </w:r>
            <w:r>
              <w:rPr>
                <w:color w:val="0000FF"/>
                <w:spacing w:val="-1"/>
                <w:w w:val="95"/>
                <w:sz w:val="21"/>
              </w:rPr>
              <w:t>）及其</w:t>
            </w:r>
            <w:r>
              <w:rPr>
                <w:color w:val="0000FF"/>
                <w:sz w:val="21"/>
              </w:rPr>
              <w:t>修改单要求。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32" w:type="dxa"/>
            <w:vMerge w:val="continue"/>
            <w:tcBorders>
              <w:top w:val="nil"/>
            </w:tcBorders>
          </w:tcPr>
          <w:p>
            <w:pPr>
              <w:rPr>
                <w:color w:val="0000FF"/>
                <w:sz w:val="2"/>
                <w:szCs w:val="2"/>
              </w:rPr>
            </w:pPr>
          </w:p>
        </w:tc>
        <w:tc>
          <w:tcPr>
            <w:tcW w:w="466" w:type="dxa"/>
            <w:vMerge w:val="continue"/>
            <w:tcBorders>
              <w:top w:val="nil"/>
            </w:tcBorders>
          </w:tcPr>
          <w:p>
            <w:pPr>
              <w:rPr>
                <w:color w:val="0000FF"/>
                <w:sz w:val="2"/>
                <w:szCs w:val="2"/>
              </w:rPr>
            </w:pPr>
          </w:p>
        </w:tc>
        <w:tc>
          <w:tcPr>
            <w:tcW w:w="1368" w:type="dxa"/>
          </w:tcPr>
          <w:p>
            <w:pPr>
              <w:pStyle w:val="18"/>
              <w:spacing w:before="32"/>
              <w:ind w:left="112" w:right="106"/>
              <w:rPr>
                <w:color w:val="0000FF"/>
                <w:sz w:val="21"/>
              </w:rPr>
            </w:pPr>
            <w:r>
              <w:rPr>
                <w:color w:val="0000FF"/>
                <w:sz w:val="21"/>
              </w:rPr>
              <w:t>油脂</w:t>
            </w:r>
          </w:p>
        </w:tc>
        <w:tc>
          <w:tcPr>
            <w:tcW w:w="2432" w:type="dxa"/>
          </w:tcPr>
          <w:p>
            <w:pPr>
              <w:pStyle w:val="18"/>
              <w:spacing w:before="32"/>
              <w:ind w:left="108"/>
              <w:jc w:val="left"/>
              <w:rPr>
                <w:color w:val="0000FF"/>
                <w:sz w:val="21"/>
              </w:rPr>
            </w:pPr>
            <w:r>
              <w:rPr>
                <w:color w:val="0000FF"/>
                <w:sz w:val="21"/>
              </w:rPr>
              <w:t>出售给工业用油脂厂</w:t>
            </w:r>
          </w:p>
        </w:tc>
        <w:tc>
          <w:tcPr>
            <w:tcW w:w="3599"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732" w:type="dxa"/>
            <w:vMerge w:val="continue"/>
            <w:tcBorders>
              <w:top w:val="nil"/>
            </w:tcBorders>
          </w:tcPr>
          <w:p>
            <w:pPr>
              <w:rPr>
                <w:color w:val="0000FF"/>
                <w:sz w:val="2"/>
                <w:szCs w:val="2"/>
              </w:rPr>
            </w:pPr>
          </w:p>
        </w:tc>
        <w:tc>
          <w:tcPr>
            <w:tcW w:w="466" w:type="dxa"/>
            <w:tcBorders>
              <w:top w:val="nil"/>
            </w:tcBorders>
          </w:tcPr>
          <w:p>
            <w:pPr>
              <w:rPr>
                <w:color w:val="0000FF"/>
                <w:sz w:val="2"/>
                <w:szCs w:val="2"/>
              </w:rPr>
            </w:pPr>
          </w:p>
        </w:tc>
        <w:tc>
          <w:tcPr>
            <w:tcW w:w="1368" w:type="dxa"/>
          </w:tcPr>
          <w:p>
            <w:pPr>
              <w:pStyle w:val="18"/>
              <w:spacing w:before="32"/>
              <w:ind w:left="112" w:right="106"/>
              <w:rPr>
                <w:rFonts w:hint="default" w:eastAsia="宋体"/>
                <w:color w:val="FF0000"/>
                <w:sz w:val="21"/>
                <w:lang w:val="en-US" w:eastAsia="zh-CN"/>
              </w:rPr>
            </w:pPr>
            <w:r>
              <w:rPr>
                <w:rFonts w:hint="eastAsia"/>
                <w:color w:val="FF0000"/>
                <w:sz w:val="21"/>
                <w:lang w:val="en-US" w:eastAsia="zh-CN"/>
              </w:rPr>
              <w:t>生活垃圾</w:t>
            </w:r>
          </w:p>
        </w:tc>
        <w:tc>
          <w:tcPr>
            <w:tcW w:w="2432" w:type="dxa"/>
          </w:tcPr>
          <w:p>
            <w:pPr>
              <w:pStyle w:val="18"/>
              <w:spacing w:before="32"/>
              <w:ind w:left="108"/>
              <w:jc w:val="left"/>
              <w:rPr>
                <w:rFonts w:hint="default" w:eastAsia="宋体"/>
                <w:color w:val="FF0000"/>
                <w:sz w:val="21"/>
                <w:lang w:val="en-US" w:eastAsia="zh-CN"/>
              </w:rPr>
            </w:pPr>
            <w:r>
              <w:rPr>
                <w:rFonts w:hint="eastAsia"/>
                <w:color w:val="FF0000"/>
                <w:sz w:val="21"/>
                <w:lang w:val="en-US" w:eastAsia="zh-CN"/>
              </w:rPr>
              <w:t>设置垃圾箱，集中收集后运至莎车县垃圾填埋场。</w:t>
            </w:r>
          </w:p>
        </w:tc>
        <w:tc>
          <w:tcPr>
            <w:tcW w:w="3599" w:type="dxa"/>
            <w:tcBorders>
              <w:top w:val="nil"/>
            </w:tcBorders>
          </w:tcPr>
          <w:p>
            <w:pPr>
              <w:rPr>
                <w:color w:val="FF0000"/>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732" w:type="dxa"/>
            <w:vMerge w:val="continue"/>
            <w:tcBorders>
              <w:top w:val="nil"/>
            </w:tcBorders>
          </w:tcPr>
          <w:p>
            <w:pPr>
              <w:rPr>
                <w:color w:val="0000FF"/>
                <w:sz w:val="2"/>
                <w:szCs w:val="2"/>
              </w:rPr>
            </w:pPr>
          </w:p>
        </w:tc>
        <w:tc>
          <w:tcPr>
            <w:tcW w:w="466" w:type="dxa"/>
            <w:vMerge w:val="restart"/>
          </w:tcPr>
          <w:p>
            <w:pPr>
              <w:pStyle w:val="18"/>
              <w:spacing w:before="130" w:line="213" w:lineRule="auto"/>
              <w:ind w:left="119" w:right="109"/>
              <w:jc w:val="both"/>
              <w:rPr>
                <w:color w:val="0000FF"/>
                <w:sz w:val="21"/>
              </w:rPr>
            </w:pPr>
            <w:r>
              <w:rPr>
                <w:color w:val="0000FF"/>
                <w:sz w:val="21"/>
              </w:rPr>
              <w:t>危险废物</w:t>
            </w:r>
          </w:p>
        </w:tc>
        <w:tc>
          <w:tcPr>
            <w:tcW w:w="1368" w:type="dxa"/>
          </w:tcPr>
          <w:p>
            <w:pPr>
              <w:pStyle w:val="18"/>
              <w:keepNext w:val="0"/>
              <w:keepLines w:val="0"/>
              <w:pageBreakBefore w:val="0"/>
              <w:widowControl w:val="0"/>
              <w:kinsoku/>
              <w:wordWrap/>
              <w:overflowPunct/>
              <w:topLinePunct w:val="0"/>
              <w:autoSpaceDE w:val="0"/>
              <w:autoSpaceDN w:val="0"/>
              <w:bidi w:val="0"/>
              <w:adjustRightInd/>
              <w:snapToGrid/>
              <w:spacing w:before="120"/>
              <w:jc w:val="left"/>
              <w:textAlignment w:val="auto"/>
              <w:rPr>
                <w:b/>
                <w:color w:val="0000FF"/>
                <w:sz w:val="17"/>
              </w:rPr>
            </w:pPr>
          </w:p>
          <w:p>
            <w:pPr>
              <w:pStyle w:val="18"/>
              <w:keepNext w:val="0"/>
              <w:keepLines w:val="0"/>
              <w:pageBreakBefore w:val="0"/>
              <w:widowControl w:val="0"/>
              <w:kinsoku/>
              <w:wordWrap/>
              <w:overflowPunct/>
              <w:topLinePunct w:val="0"/>
              <w:autoSpaceDE w:val="0"/>
              <w:autoSpaceDN w:val="0"/>
              <w:bidi w:val="0"/>
              <w:adjustRightInd/>
              <w:snapToGrid/>
              <w:spacing w:before="120"/>
              <w:ind w:left="113" w:right="105"/>
              <w:textAlignment w:val="auto"/>
              <w:rPr>
                <w:color w:val="0000FF"/>
                <w:sz w:val="21"/>
              </w:rPr>
            </w:pPr>
            <w:r>
              <w:rPr>
                <w:color w:val="0000FF"/>
                <w:sz w:val="21"/>
              </w:rPr>
              <w:t>医疗废弃物</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line="240" w:lineRule="exact"/>
              <w:ind w:left="108" w:right="98"/>
              <w:jc w:val="left"/>
              <w:textAlignment w:val="auto"/>
              <w:rPr>
                <w:color w:val="0000FF"/>
                <w:sz w:val="21"/>
              </w:rPr>
            </w:pPr>
            <w:r>
              <w:rPr>
                <w:color w:val="0000FF"/>
                <w:sz w:val="21"/>
              </w:rPr>
              <w:t>集中收集于危险废物</w:t>
            </w:r>
            <w:r>
              <w:rPr>
                <w:color w:val="0000FF"/>
                <w:spacing w:val="-5"/>
                <w:sz w:val="21"/>
              </w:rPr>
              <w:t>暂存间，定期交由有资</w:t>
            </w:r>
            <w:r>
              <w:rPr>
                <w:color w:val="0000FF"/>
                <w:sz w:val="21"/>
              </w:rPr>
              <w:t>质单位处置</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120" w:line="237" w:lineRule="exact"/>
              <w:ind w:left="107"/>
              <w:jc w:val="left"/>
              <w:textAlignment w:val="auto"/>
              <w:rPr>
                <w:color w:val="0000FF"/>
                <w:sz w:val="21"/>
              </w:rPr>
            </w:pPr>
            <w:r>
              <w:rPr>
                <w:color w:val="0000FF"/>
                <w:sz w:val="21"/>
              </w:rPr>
              <w:t>《危险废物贮存污染控制标准》</w:t>
            </w:r>
          </w:p>
          <w:p>
            <w:pPr>
              <w:pStyle w:val="18"/>
              <w:keepNext w:val="0"/>
              <w:keepLines w:val="0"/>
              <w:pageBreakBefore w:val="0"/>
              <w:widowControl w:val="0"/>
              <w:kinsoku/>
              <w:wordWrap/>
              <w:overflowPunct/>
              <w:topLinePunct w:val="0"/>
              <w:autoSpaceDE w:val="0"/>
              <w:autoSpaceDN w:val="0"/>
              <w:bidi w:val="0"/>
              <w:adjustRightInd/>
              <w:snapToGrid/>
              <w:spacing w:before="120" w:line="240" w:lineRule="exact"/>
              <w:ind w:left="107" w:right="97"/>
              <w:jc w:val="left"/>
              <w:textAlignment w:val="auto"/>
              <w:rPr>
                <w:color w:val="0000FF"/>
                <w:sz w:val="21"/>
              </w:rPr>
            </w:pPr>
            <w:r>
              <w:rPr>
                <w:color w:val="0000FF"/>
                <w:spacing w:val="-1"/>
                <w:w w:val="99"/>
                <w:sz w:val="21"/>
              </w:rPr>
              <w:t>（</w:t>
            </w:r>
            <w:r>
              <w:rPr>
                <w:rFonts w:ascii="Times New Roman" w:eastAsia="Times New Roman"/>
                <w:color w:val="0000FF"/>
                <w:w w:val="99"/>
                <w:sz w:val="21"/>
              </w:rPr>
              <w:t>G</w:t>
            </w:r>
            <w:r>
              <w:rPr>
                <w:rFonts w:ascii="Times New Roman" w:eastAsia="Times New Roman"/>
                <w:color w:val="0000FF"/>
                <w:spacing w:val="-1"/>
                <w:w w:val="99"/>
                <w:sz w:val="21"/>
              </w:rPr>
              <w:t>B</w:t>
            </w:r>
            <w:r>
              <w:rPr>
                <w:rFonts w:ascii="Times New Roman" w:eastAsia="Times New Roman"/>
                <w:color w:val="0000FF"/>
                <w:spacing w:val="1"/>
                <w:w w:val="99"/>
                <w:sz w:val="21"/>
              </w:rPr>
              <w:t>18597</w:t>
            </w:r>
            <w:r>
              <w:rPr>
                <w:rFonts w:ascii="Times New Roman" w:eastAsia="Times New Roman"/>
                <w:color w:val="0000FF"/>
                <w:spacing w:val="-3"/>
                <w:w w:val="99"/>
                <w:sz w:val="21"/>
              </w:rPr>
              <w:t>-</w:t>
            </w:r>
            <w:r>
              <w:rPr>
                <w:rFonts w:ascii="Times New Roman" w:eastAsia="Times New Roman"/>
                <w:color w:val="0000FF"/>
                <w:spacing w:val="1"/>
                <w:w w:val="99"/>
                <w:sz w:val="21"/>
              </w:rPr>
              <w:t>2001</w:t>
            </w:r>
            <w:r>
              <w:rPr>
                <w:color w:val="0000FF"/>
                <w:spacing w:val="-97"/>
                <w:w w:val="99"/>
                <w:sz w:val="21"/>
              </w:rPr>
              <w:t>）</w:t>
            </w:r>
            <w:r>
              <w:rPr>
                <w:color w:val="0000FF"/>
                <w:spacing w:val="-1"/>
                <w:w w:val="99"/>
                <w:sz w:val="21"/>
              </w:rPr>
              <w:t>及修改单中的有关</w:t>
            </w:r>
            <w:r>
              <w:rPr>
                <w:color w:val="0000FF"/>
                <w:spacing w:val="-1"/>
                <w:sz w:val="21"/>
              </w:rPr>
              <w:t>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732" w:type="dxa"/>
            <w:vMerge w:val="continue"/>
            <w:tcBorders>
              <w:top w:val="nil"/>
            </w:tcBorders>
          </w:tcPr>
          <w:p>
            <w:pPr>
              <w:rPr>
                <w:color w:val="0000FF"/>
                <w:sz w:val="2"/>
                <w:szCs w:val="2"/>
              </w:rPr>
            </w:pPr>
          </w:p>
        </w:tc>
        <w:tc>
          <w:tcPr>
            <w:tcW w:w="466" w:type="dxa"/>
            <w:vMerge w:val="continue"/>
            <w:tcBorders>
              <w:top w:val="nil"/>
            </w:tcBorders>
          </w:tcPr>
          <w:p>
            <w:pPr>
              <w:rPr>
                <w:color w:val="0000FF"/>
                <w:sz w:val="2"/>
                <w:szCs w:val="2"/>
              </w:rPr>
            </w:pPr>
          </w:p>
        </w:tc>
        <w:tc>
          <w:tcPr>
            <w:tcW w:w="1368" w:type="dxa"/>
          </w:tcPr>
          <w:p>
            <w:pPr>
              <w:pStyle w:val="18"/>
              <w:keepNext w:val="0"/>
              <w:keepLines w:val="0"/>
              <w:pageBreakBefore w:val="0"/>
              <w:widowControl w:val="0"/>
              <w:kinsoku/>
              <w:wordWrap/>
              <w:overflowPunct/>
              <w:topLinePunct w:val="0"/>
              <w:autoSpaceDE w:val="0"/>
              <w:autoSpaceDN w:val="0"/>
              <w:bidi w:val="0"/>
              <w:adjustRightInd/>
              <w:snapToGrid/>
              <w:spacing w:before="120" w:line="236" w:lineRule="exact"/>
              <w:ind w:left="112" w:right="106"/>
              <w:textAlignment w:val="auto"/>
              <w:rPr>
                <w:color w:val="0000FF"/>
                <w:sz w:val="21"/>
              </w:rPr>
            </w:pPr>
            <w:r>
              <w:rPr>
                <w:color w:val="0000FF"/>
                <w:sz w:val="21"/>
              </w:rPr>
              <w:t>病死羊及分</w:t>
            </w:r>
          </w:p>
          <w:p>
            <w:pPr>
              <w:pStyle w:val="18"/>
              <w:keepNext w:val="0"/>
              <w:keepLines w:val="0"/>
              <w:pageBreakBefore w:val="0"/>
              <w:widowControl w:val="0"/>
              <w:kinsoku/>
              <w:wordWrap/>
              <w:overflowPunct/>
              <w:topLinePunct w:val="0"/>
              <w:autoSpaceDE w:val="0"/>
              <w:autoSpaceDN w:val="0"/>
              <w:bidi w:val="0"/>
              <w:adjustRightInd/>
              <w:snapToGrid/>
              <w:spacing w:before="120" w:line="224" w:lineRule="exact"/>
              <w:ind w:left="112" w:right="106"/>
              <w:textAlignment w:val="auto"/>
              <w:rPr>
                <w:color w:val="0000FF"/>
                <w:sz w:val="21"/>
              </w:rPr>
            </w:pPr>
            <w:r>
              <w:rPr>
                <w:color w:val="0000FF"/>
                <w:sz w:val="21"/>
              </w:rPr>
              <w:t>娩物</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ind w:left="410"/>
              <w:jc w:val="left"/>
              <w:textAlignment w:val="auto"/>
              <w:rPr>
                <w:color w:val="0000FF"/>
                <w:sz w:val="21"/>
              </w:rPr>
            </w:pPr>
            <w:r>
              <w:rPr>
                <w:color w:val="0000FF"/>
                <w:sz w:val="21"/>
              </w:rPr>
              <w:t>无害化处理车间</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120" w:line="236" w:lineRule="exact"/>
              <w:ind w:left="107"/>
              <w:jc w:val="left"/>
              <w:textAlignment w:val="auto"/>
              <w:rPr>
                <w:color w:val="0000FF"/>
                <w:sz w:val="21"/>
              </w:rPr>
            </w:pPr>
            <w:r>
              <w:rPr>
                <w:color w:val="0000FF"/>
                <w:sz w:val="21"/>
              </w:rPr>
              <w:t>满足《畜禽养殖业污染防治技术规</w:t>
            </w:r>
          </w:p>
          <w:p>
            <w:pPr>
              <w:pStyle w:val="18"/>
              <w:keepNext w:val="0"/>
              <w:keepLines w:val="0"/>
              <w:pageBreakBefore w:val="0"/>
              <w:widowControl w:val="0"/>
              <w:kinsoku/>
              <w:wordWrap/>
              <w:overflowPunct/>
              <w:topLinePunct w:val="0"/>
              <w:autoSpaceDE w:val="0"/>
              <w:autoSpaceDN w:val="0"/>
              <w:bidi w:val="0"/>
              <w:adjustRightInd/>
              <w:snapToGrid/>
              <w:spacing w:before="120" w:line="224" w:lineRule="exact"/>
              <w:ind w:left="107"/>
              <w:jc w:val="left"/>
              <w:textAlignment w:val="auto"/>
              <w:rPr>
                <w:color w:val="0000FF"/>
                <w:sz w:val="21"/>
              </w:rPr>
            </w:pPr>
            <w:r>
              <w:rPr>
                <w:color w:val="0000FF"/>
                <w:sz w:val="21"/>
              </w:rPr>
              <w:t>范》（</w:t>
            </w:r>
            <w:r>
              <w:rPr>
                <w:rFonts w:ascii="Times New Roman" w:eastAsia="Times New Roman"/>
                <w:color w:val="0000FF"/>
                <w:sz w:val="21"/>
              </w:rPr>
              <w:t>HJ/T81-2001</w:t>
            </w:r>
            <w:r>
              <w:rPr>
                <w:color w:val="0000FF"/>
                <w:sz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2" w:type="dxa"/>
            <w:vMerge w:val="continue"/>
            <w:tcBorders>
              <w:top w:val="nil"/>
            </w:tcBorders>
          </w:tcPr>
          <w:p>
            <w:pPr>
              <w:rPr>
                <w:color w:val="0000FF"/>
                <w:sz w:val="2"/>
                <w:szCs w:val="2"/>
              </w:rPr>
            </w:pPr>
          </w:p>
        </w:tc>
        <w:tc>
          <w:tcPr>
            <w:tcW w:w="1834" w:type="dxa"/>
            <w:gridSpan w:val="2"/>
          </w:tcPr>
          <w:p>
            <w:pPr>
              <w:pStyle w:val="18"/>
              <w:keepNext w:val="0"/>
              <w:keepLines w:val="0"/>
              <w:pageBreakBefore w:val="0"/>
              <w:widowControl w:val="0"/>
              <w:kinsoku/>
              <w:wordWrap/>
              <w:overflowPunct/>
              <w:topLinePunct w:val="0"/>
              <w:autoSpaceDE w:val="0"/>
              <w:autoSpaceDN w:val="0"/>
              <w:bidi w:val="0"/>
              <w:adjustRightInd/>
              <w:snapToGrid/>
              <w:spacing w:before="120"/>
              <w:ind w:left="464"/>
              <w:jc w:val="left"/>
              <w:textAlignment w:val="auto"/>
              <w:rPr>
                <w:color w:val="0000FF"/>
                <w:sz w:val="21"/>
              </w:rPr>
            </w:pPr>
            <w:r>
              <w:rPr>
                <w:color w:val="0000FF"/>
                <w:sz w:val="21"/>
              </w:rPr>
              <w:t>生活垃圾</w:t>
            </w:r>
          </w:p>
        </w:tc>
        <w:tc>
          <w:tcPr>
            <w:tcW w:w="2432" w:type="dxa"/>
          </w:tcPr>
          <w:p>
            <w:pPr>
              <w:pStyle w:val="18"/>
              <w:keepNext w:val="0"/>
              <w:keepLines w:val="0"/>
              <w:pageBreakBefore w:val="0"/>
              <w:widowControl w:val="0"/>
              <w:kinsoku/>
              <w:wordWrap/>
              <w:overflowPunct/>
              <w:topLinePunct w:val="0"/>
              <w:autoSpaceDE w:val="0"/>
              <w:autoSpaceDN w:val="0"/>
              <w:bidi w:val="0"/>
              <w:adjustRightInd/>
              <w:snapToGrid/>
              <w:spacing w:before="120"/>
              <w:ind w:left="621"/>
              <w:jc w:val="left"/>
              <w:textAlignment w:val="auto"/>
              <w:rPr>
                <w:color w:val="0000FF"/>
                <w:sz w:val="21"/>
              </w:rPr>
            </w:pPr>
            <w:r>
              <w:rPr>
                <w:color w:val="0000FF"/>
                <w:sz w:val="21"/>
              </w:rPr>
              <w:t>若干垃圾桶</w:t>
            </w:r>
          </w:p>
        </w:tc>
        <w:tc>
          <w:tcPr>
            <w:tcW w:w="3599" w:type="dxa"/>
          </w:tcPr>
          <w:p>
            <w:pPr>
              <w:pStyle w:val="18"/>
              <w:keepNext w:val="0"/>
              <w:keepLines w:val="0"/>
              <w:pageBreakBefore w:val="0"/>
              <w:widowControl w:val="0"/>
              <w:kinsoku/>
              <w:wordWrap/>
              <w:overflowPunct/>
              <w:topLinePunct w:val="0"/>
              <w:autoSpaceDE w:val="0"/>
              <w:autoSpaceDN w:val="0"/>
              <w:bidi w:val="0"/>
              <w:adjustRightInd/>
              <w:snapToGrid/>
              <w:spacing w:before="120"/>
              <w:ind w:left="395"/>
              <w:jc w:val="left"/>
              <w:textAlignment w:val="auto"/>
              <w:rPr>
                <w:color w:val="0000FF"/>
                <w:sz w:val="21"/>
              </w:rPr>
            </w:pPr>
            <w:r>
              <w:rPr>
                <w:color w:val="0000FF"/>
                <w:sz w:val="21"/>
              </w:rPr>
              <w:t>清运到</w:t>
            </w:r>
            <w:r>
              <w:rPr>
                <w:rFonts w:hint="eastAsia"/>
                <w:color w:val="0000FF"/>
                <w:sz w:val="21"/>
                <w:lang w:val="en-US" w:eastAsia="zh-CN"/>
              </w:rPr>
              <w:t>喀什</w:t>
            </w:r>
            <w:r>
              <w:rPr>
                <w:color w:val="0000FF"/>
                <w:sz w:val="21"/>
              </w:rPr>
              <w:t>市生活垃圾填埋场</w:t>
            </w:r>
          </w:p>
        </w:tc>
      </w:tr>
    </w:tbl>
    <w:p>
      <w:pPr>
        <w:pStyle w:val="2"/>
        <w:outlineLvl w:val="9"/>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tabs>
          <w:tab w:val="left" w:pos="1444"/>
        </w:tabs>
        <w:spacing w:before="90"/>
        <w:ind w:left="0" w:right="95" w:firstLine="0"/>
        <w:jc w:val="center"/>
        <w:outlineLvl w:val="0"/>
        <w:rPr>
          <w:b/>
          <w:sz w:val="36"/>
        </w:rPr>
      </w:pPr>
      <w:bookmarkStart w:id="501" w:name="第九章  评价结论与建议"/>
      <w:bookmarkEnd w:id="501"/>
      <w:bookmarkStart w:id="502" w:name="_bookmark39"/>
      <w:bookmarkEnd w:id="502"/>
      <w:bookmarkStart w:id="503" w:name="_Toc20489"/>
      <w:r>
        <w:rPr>
          <w:b/>
          <w:sz w:val="36"/>
        </w:rPr>
        <w:t>第九章</w:t>
      </w:r>
      <w:r>
        <w:rPr>
          <w:b/>
          <w:sz w:val="36"/>
        </w:rPr>
        <w:tab/>
      </w:r>
      <w:r>
        <w:rPr>
          <w:b/>
          <w:sz w:val="36"/>
        </w:rPr>
        <w:t>评价结论与建议</w:t>
      </w:r>
      <w:bookmarkEnd w:id="503"/>
    </w:p>
    <w:p>
      <w:pPr>
        <w:pStyle w:val="7"/>
        <w:spacing w:before="8"/>
        <w:ind w:left="0"/>
        <w:rPr>
          <w:b/>
          <w:sz w:val="19"/>
        </w:rPr>
      </w:pPr>
    </w:p>
    <w:p>
      <w:pPr>
        <w:pStyle w:val="17"/>
        <w:numPr>
          <w:ilvl w:val="1"/>
          <w:numId w:val="79"/>
        </w:numPr>
        <w:tabs>
          <w:tab w:val="left" w:pos="780"/>
        </w:tabs>
        <w:spacing w:before="64" w:after="0" w:line="240" w:lineRule="auto"/>
        <w:ind w:left="779" w:right="0" w:hanging="560"/>
        <w:jc w:val="left"/>
        <w:outlineLvl w:val="1"/>
        <w:rPr>
          <w:b/>
          <w:sz w:val="32"/>
        </w:rPr>
      </w:pPr>
      <w:bookmarkStart w:id="504" w:name="9.1 项目概况"/>
      <w:bookmarkEnd w:id="504"/>
      <w:bookmarkStart w:id="505" w:name="_bookmark40"/>
      <w:bookmarkEnd w:id="505"/>
      <w:bookmarkStart w:id="506" w:name="_bookmark40"/>
      <w:bookmarkEnd w:id="506"/>
      <w:bookmarkStart w:id="507" w:name="_Toc26892"/>
      <w:r>
        <w:rPr>
          <w:b/>
          <w:sz w:val="32"/>
        </w:rPr>
        <w:t>项目概况</w:t>
      </w:r>
      <w:bookmarkEnd w:id="507"/>
    </w:p>
    <w:p>
      <w:pPr>
        <w:pStyle w:val="7"/>
        <w:spacing w:before="3"/>
        <w:ind w:left="0"/>
        <w:rPr>
          <w:b/>
        </w:rPr>
      </w:pPr>
    </w:p>
    <w:p>
      <w:pPr>
        <w:pStyle w:val="17"/>
        <w:numPr>
          <w:ilvl w:val="3"/>
          <w:numId w:val="16"/>
        </w:numPr>
        <w:tabs>
          <w:tab w:val="left" w:pos="1621"/>
        </w:tabs>
        <w:spacing w:before="0" w:after="0" w:line="240" w:lineRule="auto"/>
        <w:ind w:left="1621" w:right="0" w:hanging="601"/>
        <w:jc w:val="left"/>
        <w:rPr>
          <w:color w:val="0000FF"/>
          <w:sz w:val="24"/>
        </w:rPr>
      </w:pPr>
      <w:bookmarkStart w:id="508" w:name="_bookmark41"/>
      <w:bookmarkEnd w:id="508"/>
      <w:bookmarkStart w:id="509" w:name="_bookmark41"/>
      <w:bookmarkEnd w:id="509"/>
      <w:bookmarkStart w:id="510" w:name="9.2 产业政策及相关规划符合性"/>
      <w:bookmarkEnd w:id="510"/>
      <w:r>
        <w:rPr>
          <w:color w:val="0000FF"/>
          <w:sz w:val="24"/>
        </w:rPr>
        <w:t>项目名称：</w:t>
      </w:r>
      <w:r>
        <w:rPr>
          <w:rFonts w:ascii="宋?" w:hAnsi="宋?" w:cs="宋?"/>
          <w:color w:val="0000FF"/>
          <w:kern w:val="0"/>
          <w:sz w:val="24"/>
          <w:szCs w:val="24"/>
        </w:rPr>
        <w:t>莎车县</w:t>
      </w:r>
      <w:r>
        <w:rPr>
          <w:rFonts w:hint="eastAsia" w:ascii="宋?" w:hAnsi="宋?" w:cs="宋?"/>
          <w:color w:val="0000FF"/>
          <w:kern w:val="0"/>
          <w:sz w:val="24"/>
          <w:szCs w:val="24"/>
          <w:lang w:eastAsia="zh-CN"/>
        </w:rPr>
        <w:t>阿拉买提</w:t>
      </w:r>
      <w:r>
        <w:rPr>
          <w:rFonts w:ascii="宋?" w:hAnsi="宋?" w:cs="宋?"/>
          <w:color w:val="0000FF"/>
          <w:kern w:val="0"/>
          <w:sz w:val="24"/>
          <w:szCs w:val="24"/>
        </w:rPr>
        <w:t>良种繁育中心建设项目</w:t>
      </w:r>
      <w:r>
        <w:rPr>
          <w:color w:val="0000FF"/>
          <w:sz w:val="24"/>
        </w:rPr>
        <w:t>；</w:t>
      </w:r>
    </w:p>
    <w:p>
      <w:pPr>
        <w:pStyle w:val="17"/>
        <w:numPr>
          <w:ilvl w:val="3"/>
          <w:numId w:val="16"/>
        </w:numPr>
        <w:tabs>
          <w:tab w:val="left" w:pos="1621"/>
        </w:tabs>
        <w:spacing w:before="160" w:after="0" w:line="240" w:lineRule="auto"/>
        <w:ind w:left="1621" w:right="0" w:hanging="601"/>
        <w:jc w:val="left"/>
        <w:rPr>
          <w:color w:val="0000FF"/>
          <w:sz w:val="24"/>
        </w:rPr>
      </w:pPr>
      <w:r>
        <w:rPr>
          <w:color w:val="0000FF"/>
          <w:sz w:val="24"/>
        </w:rPr>
        <w:t>建设单位：</w:t>
      </w:r>
      <w:r>
        <w:rPr>
          <w:rFonts w:ascii="宋?" w:hAnsi="宋?" w:cs="宋?"/>
          <w:color w:val="0000FF"/>
          <w:kern w:val="0"/>
          <w:sz w:val="24"/>
          <w:szCs w:val="24"/>
        </w:rPr>
        <w:t>莎车县畜牧兽医局</w:t>
      </w:r>
      <w:r>
        <w:rPr>
          <w:color w:val="0000FF"/>
          <w:sz w:val="24"/>
        </w:rPr>
        <w:t>；</w:t>
      </w:r>
    </w:p>
    <w:p>
      <w:pPr>
        <w:pStyle w:val="17"/>
        <w:numPr>
          <w:ilvl w:val="3"/>
          <w:numId w:val="16"/>
        </w:numPr>
        <w:tabs>
          <w:tab w:val="left" w:pos="1621"/>
        </w:tabs>
        <w:spacing w:before="161" w:after="0" w:line="240" w:lineRule="auto"/>
        <w:ind w:left="1621" w:right="0" w:hanging="601"/>
        <w:jc w:val="left"/>
        <w:rPr>
          <w:color w:val="0000FF"/>
          <w:sz w:val="24"/>
        </w:rPr>
      </w:pPr>
      <w:r>
        <w:rPr>
          <w:color w:val="0000FF"/>
          <w:sz w:val="24"/>
        </w:rPr>
        <w:t>建设性质：新建；</w:t>
      </w:r>
    </w:p>
    <w:p>
      <w:pPr>
        <w:pStyle w:val="17"/>
        <w:numPr>
          <w:ilvl w:val="3"/>
          <w:numId w:val="16"/>
        </w:numPr>
        <w:tabs>
          <w:tab w:val="left" w:pos="1623"/>
        </w:tabs>
        <w:spacing w:before="160" w:after="0" w:line="364" w:lineRule="auto"/>
        <w:ind w:left="540" w:right="524" w:firstLine="480"/>
        <w:jc w:val="both"/>
        <w:rPr>
          <w:color w:val="0000FF"/>
          <w:sz w:val="24"/>
        </w:rPr>
      </w:pPr>
      <w:r>
        <w:rPr>
          <w:color w:val="0000FF"/>
          <w:sz w:val="24"/>
        </w:rPr>
        <w:t>建设地点：本项目位于新疆</w:t>
      </w:r>
      <w:r>
        <w:rPr>
          <w:rFonts w:hint="eastAsia"/>
          <w:color w:val="0000FF"/>
          <w:sz w:val="24"/>
          <w:lang w:val="en-US" w:eastAsia="zh-CN"/>
        </w:rPr>
        <w:t>喀什地区莎车县阿拉买提17村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2</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59</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32</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12</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西</w:t>
      </w:r>
      <w:r>
        <w:rPr>
          <w:color w:val="0000FF"/>
          <w:spacing w:val="-1"/>
          <w:sz w:val="24"/>
        </w:rPr>
        <w:t>侧</w:t>
      </w:r>
      <w:r>
        <w:rPr>
          <w:rFonts w:hint="eastAsia"/>
          <w:color w:val="0000FF"/>
          <w:spacing w:val="-1"/>
          <w:sz w:val="24"/>
          <w:lang w:val="en-US" w:eastAsia="zh-CN"/>
        </w:rPr>
        <w:t>为</w:t>
      </w:r>
      <w:r>
        <w:rPr>
          <w:color w:val="0000FF"/>
          <w:spacing w:val="-1"/>
          <w:sz w:val="24"/>
        </w:rPr>
        <w:t>道路，隔路为农田，</w:t>
      </w:r>
      <w:r>
        <w:rPr>
          <w:rFonts w:hint="eastAsia"/>
          <w:color w:val="0000FF"/>
          <w:spacing w:val="-15"/>
          <w:sz w:val="24"/>
          <w:lang w:val="en-US" w:eastAsia="zh-CN"/>
        </w:rPr>
        <w:t>南</w:t>
      </w:r>
      <w:r>
        <w:rPr>
          <w:color w:val="0000FF"/>
          <w:spacing w:val="-15"/>
          <w:sz w:val="24"/>
        </w:rPr>
        <w:t>侧约</w:t>
      </w:r>
      <w:r>
        <w:rPr>
          <w:rFonts w:hint="eastAsia" w:ascii="Times New Roman" w:hAnsi="Times New Roman"/>
          <w:color w:val="0000FF"/>
          <w:sz w:val="24"/>
          <w:lang w:val="en-US" w:eastAsia="zh-CN"/>
        </w:rPr>
        <w:t>2</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托万巴格托格克拉村</w:t>
      </w:r>
      <w:r>
        <w:rPr>
          <w:color w:val="0000FF"/>
          <w:spacing w:val="-7"/>
          <w:sz w:val="24"/>
          <w:szCs w:val="24"/>
        </w:rPr>
        <w:t>；</w:t>
      </w:r>
      <w:r>
        <w:rPr>
          <w:color w:val="0000FF"/>
          <w:spacing w:val="-7"/>
          <w:sz w:val="24"/>
        </w:rPr>
        <w:t>养殖区</w:t>
      </w:r>
      <w:r>
        <w:rPr>
          <w:rFonts w:hint="eastAsia"/>
          <w:color w:val="0000FF"/>
          <w:spacing w:val="-7"/>
          <w:sz w:val="24"/>
          <w:lang w:val="en-US" w:eastAsia="zh-CN"/>
        </w:rPr>
        <w:t>西</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color w:val="0000FF"/>
          <w:sz w:val="24"/>
          <w:lang w:val="en-US" w:eastAsia="zh-CN"/>
        </w:rPr>
        <w:t>2</w:t>
      </w:r>
      <w:r>
        <w:rPr>
          <w:rFonts w:hint="eastAsia" w:ascii="Times New Roman" w:hAnsi="Times New Roman" w:eastAsia="宋体"/>
          <w:color w:val="0000FF"/>
          <w:sz w:val="24"/>
          <w:lang w:val="en-US" w:eastAsia="zh-CN"/>
        </w:rPr>
        <w:t>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color w:val="0000FF"/>
          <w:sz w:val="24"/>
          <w:lang w:val="en-US" w:eastAsia="zh-CN"/>
        </w:rPr>
        <w:t>X499</w:t>
      </w:r>
      <w:r>
        <w:rPr>
          <w:rFonts w:hint="eastAsia" w:ascii="Times New Roman" w:hAnsi="Times New Roman" w:eastAsia="宋体"/>
          <w:color w:val="0000FF"/>
          <w:sz w:val="24"/>
          <w:lang w:val="en-US" w:eastAsia="zh-CN"/>
        </w:rPr>
        <w:t>县</w:t>
      </w:r>
      <w:r>
        <w:rPr>
          <w:color w:val="0000FF"/>
          <w:spacing w:val="-6"/>
          <w:sz w:val="24"/>
        </w:rPr>
        <w:t>道。</w:t>
      </w:r>
    </w:p>
    <w:p>
      <w:pPr>
        <w:pStyle w:val="17"/>
        <w:numPr>
          <w:ilvl w:val="3"/>
          <w:numId w:val="16"/>
        </w:numPr>
        <w:tabs>
          <w:tab w:val="left" w:pos="1621"/>
        </w:tabs>
        <w:spacing w:before="3" w:after="0" w:line="240" w:lineRule="auto"/>
        <w:ind w:left="1621" w:right="0" w:hanging="601"/>
        <w:jc w:val="both"/>
        <w:rPr>
          <w:color w:val="0000FF"/>
          <w:sz w:val="24"/>
        </w:rPr>
      </w:pPr>
      <w:r>
        <w:rPr>
          <w:color w:val="0000FF"/>
          <w:spacing w:val="-4"/>
          <w:sz w:val="24"/>
        </w:rPr>
        <w:t>占地面积：本项目总占地面积约</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z w:val="24"/>
        </w:rPr>
        <w:t>。</w:t>
      </w:r>
    </w:p>
    <w:p>
      <w:pPr>
        <w:pStyle w:val="17"/>
        <w:numPr>
          <w:ilvl w:val="3"/>
          <w:numId w:val="16"/>
        </w:numPr>
        <w:tabs>
          <w:tab w:val="left" w:pos="1635"/>
        </w:tabs>
        <w:spacing w:before="160" w:after="0" w:line="240" w:lineRule="auto"/>
        <w:ind w:left="1634" w:right="0" w:hanging="615"/>
        <w:jc w:val="both"/>
        <w:rPr>
          <w:rFonts w:hint="default"/>
          <w:color w:val="0000FF"/>
          <w:lang w:val="en-US"/>
        </w:rPr>
      </w:pPr>
      <w:r>
        <w:rPr>
          <w:color w:val="0000FF"/>
          <w:spacing w:val="-1"/>
          <w:sz w:val="24"/>
        </w:rPr>
        <w:t>生产规模：本项目建成后实</w:t>
      </w:r>
      <w:r>
        <w:rPr>
          <w:rFonts w:hint="eastAsia"/>
          <w:color w:val="0000FF"/>
          <w:spacing w:val="-1"/>
          <w:sz w:val="24"/>
          <w:lang w:val="en-US" w:eastAsia="zh-CN"/>
        </w:rPr>
        <w:t>现种羊场存栏规模达到10万只以上，年出栏种公羊4万余只。</w:t>
      </w:r>
    </w:p>
    <w:p>
      <w:pPr>
        <w:pStyle w:val="17"/>
        <w:numPr>
          <w:ilvl w:val="3"/>
          <w:numId w:val="16"/>
        </w:numPr>
        <w:tabs>
          <w:tab w:val="left" w:pos="1621"/>
        </w:tabs>
        <w:spacing w:before="160" w:after="0" w:line="364" w:lineRule="auto"/>
        <w:ind w:left="540" w:right="457" w:firstLine="480"/>
        <w:jc w:val="both"/>
        <w:rPr>
          <w:color w:val="0000FF"/>
          <w:sz w:val="24"/>
        </w:rPr>
      </w:pPr>
      <w:r>
        <w:rPr>
          <w:color w:val="0000FF"/>
          <w:spacing w:val="-7"/>
          <w:sz w:val="24"/>
        </w:rPr>
        <w:t>项目总投资：本工程总投资</w:t>
      </w:r>
      <w:r>
        <w:rPr>
          <w:rFonts w:hint="eastAsia" w:ascii="Times New Roman" w:eastAsia="宋体"/>
          <w:color w:val="0000FF"/>
          <w:sz w:val="24"/>
          <w:lang w:val="en-US" w:eastAsia="zh-CN"/>
        </w:rPr>
        <w:t>3120.00</w:t>
      </w:r>
      <w:r>
        <w:rPr>
          <w:color w:val="0000FF"/>
          <w:spacing w:val="-9"/>
          <w:sz w:val="24"/>
        </w:rPr>
        <w:t>万元，其中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17"/>
        <w:numPr>
          <w:ilvl w:val="3"/>
          <w:numId w:val="16"/>
        </w:numPr>
        <w:tabs>
          <w:tab w:val="left" w:pos="1621"/>
        </w:tabs>
        <w:spacing w:before="2" w:after="0" w:line="364" w:lineRule="auto"/>
        <w:ind w:left="540" w:right="575" w:firstLine="480"/>
        <w:jc w:val="both"/>
        <w:rPr>
          <w:color w:val="0000FF"/>
          <w:sz w:val="24"/>
        </w:rPr>
      </w:pPr>
      <w:r>
        <w:rPr>
          <w:color w:val="0000FF"/>
          <w:spacing w:val="-8"/>
          <w:sz w:val="24"/>
        </w:rPr>
        <w:t>劳动定员及工作制度：本项目建成投产后，劳动定员为</w:t>
      </w:r>
      <w:r>
        <w:rPr>
          <w:rFonts w:ascii="Times New Roman" w:eastAsia="Times New Roman"/>
          <w:color w:val="0000FF"/>
          <w:sz w:val="24"/>
        </w:rPr>
        <w:t>30</w:t>
      </w:r>
      <w:r>
        <w:rPr>
          <w:color w:val="0000FF"/>
          <w:spacing w:val="-7"/>
          <w:sz w:val="24"/>
        </w:rPr>
        <w:t>人。工人</w:t>
      </w:r>
      <w:r>
        <w:rPr>
          <w:color w:val="0000FF"/>
          <w:spacing w:val="-8"/>
          <w:sz w:val="24"/>
        </w:rPr>
        <w:t>均为本村或本乡居民，养殖区全年</w:t>
      </w:r>
      <w:r>
        <w:rPr>
          <w:rFonts w:ascii="Times New Roman" w:eastAsia="Times New Roman"/>
          <w:color w:val="0000FF"/>
          <w:sz w:val="24"/>
        </w:rPr>
        <w:t>365d</w:t>
      </w:r>
      <w:r>
        <w:rPr>
          <w:color w:val="0000FF"/>
          <w:sz w:val="24"/>
        </w:rPr>
        <w:t>运行，厂区单班制生产运行。</w:t>
      </w:r>
    </w:p>
    <w:p>
      <w:pPr>
        <w:pStyle w:val="4"/>
        <w:numPr>
          <w:ilvl w:val="1"/>
          <w:numId w:val="79"/>
        </w:numPr>
        <w:tabs>
          <w:tab w:val="left" w:pos="780"/>
        </w:tabs>
        <w:spacing w:before="154" w:after="0" w:line="240" w:lineRule="auto"/>
        <w:ind w:left="779" w:right="0" w:hanging="560"/>
        <w:jc w:val="left"/>
        <w:outlineLvl w:val="1"/>
      </w:pPr>
      <w:bookmarkStart w:id="511" w:name="_Toc22015"/>
      <w:r>
        <w:t>产业政策及相关规划符合性</w:t>
      </w:r>
      <w:bookmarkEnd w:id="511"/>
    </w:p>
    <w:p>
      <w:pPr>
        <w:pStyle w:val="7"/>
        <w:spacing w:before="234" w:line="364" w:lineRule="auto"/>
        <w:ind w:left="220" w:right="317" w:firstLine="480"/>
        <w:jc w:val="both"/>
        <w:rPr>
          <w:color w:val="0000FF"/>
        </w:rPr>
      </w:pPr>
      <w:r>
        <w:rPr>
          <w:color w:val="0000FF"/>
          <w:spacing w:val="-2"/>
        </w:rPr>
        <w:t>本项目为标准化规模养殖项目，根据国家发展和改革委员会第</w:t>
      </w:r>
      <w:r>
        <w:rPr>
          <w:rFonts w:ascii="Times New Roman" w:hAnsi="Times New Roman" w:eastAsia="Times New Roman"/>
          <w:color w:val="0000FF"/>
        </w:rPr>
        <w:t>29</w:t>
      </w:r>
      <w:r>
        <w:rPr>
          <w:color w:val="0000FF"/>
          <w:spacing w:val="-4"/>
        </w:rPr>
        <w:t>号令《产</w:t>
      </w:r>
      <w:r>
        <w:rPr>
          <w:color w:val="0000FF"/>
        </w:rPr>
        <w:t>业结构调整指导目录》（</w:t>
      </w:r>
      <w:r>
        <w:rPr>
          <w:rFonts w:ascii="Times New Roman" w:hAnsi="Times New Roman" w:eastAsia="Times New Roman"/>
          <w:color w:val="0000FF"/>
        </w:rPr>
        <w:t>2019</w:t>
      </w:r>
      <w:r>
        <w:rPr>
          <w:color w:val="0000FF"/>
        </w:rPr>
        <w:t>年本</w:t>
      </w:r>
      <w:r>
        <w:rPr>
          <w:color w:val="0000FF"/>
          <w:spacing w:val="3"/>
        </w:rPr>
        <w:t>）</w:t>
      </w:r>
      <w:r>
        <w:rPr>
          <w:color w:val="0000FF"/>
        </w:rPr>
        <w:t>，本项目属于“第一类、鼓励类；一、农</w:t>
      </w:r>
      <w:r>
        <w:rPr>
          <w:color w:val="0000FF"/>
          <w:spacing w:val="-17"/>
        </w:rPr>
        <w:t>林业、第</w:t>
      </w:r>
      <w:r>
        <w:rPr>
          <w:rFonts w:ascii="Times New Roman" w:hAnsi="Times New Roman" w:eastAsia="Times New Roman"/>
          <w:color w:val="0000FF"/>
        </w:rPr>
        <w:t>4</w:t>
      </w:r>
      <w:r>
        <w:rPr>
          <w:color w:val="0000FF"/>
          <w:spacing w:val="-6"/>
        </w:rPr>
        <w:t>条畜禽标准化规模养殖技术开发与应用”，因此，本项目符合国家现</w:t>
      </w:r>
      <w:r>
        <w:rPr>
          <w:color w:val="0000FF"/>
        </w:rPr>
        <w:t>行产业政策。</w:t>
      </w:r>
    </w:p>
    <w:p>
      <w:pPr>
        <w:spacing w:after="0" w:line="364" w:lineRule="auto"/>
        <w:jc w:val="both"/>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315" w:firstLine="480"/>
        <w:jc w:val="both"/>
        <w:rPr>
          <w:color w:val="0000FF"/>
        </w:rPr>
      </w:pPr>
      <w:r>
        <w:rPr>
          <w:color w:val="0000FF"/>
          <w:spacing w:val="-10"/>
        </w:rPr>
        <w:t>另外，经分析，本项目属于规模标准化、集约化养殖。项目配套建设畜禽粪</w:t>
      </w:r>
      <w:r>
        <w:rPr>
          <w:color w:val="0000FF"/>
          <w:spacing w:val="-6"/>
        </w:rPr>
        <w:t>便和畜禽尸体处理等综合利用和无害化处理设施。畜禽粪便收集后运至堆肥厂生产有机肥外售；本项目养殖场每栋羊舍地面为混凝土地面，上端覆盖</w:t>
      </w:r>
      <w:r>
        <w:rPr>
          <w:rFonts w:ascii="Times New Roman" w:eastAsia="Times New Roman"/>
          <w:color w:val="0000FF"/>
        </w:rPr>
        <w:t>35cm</w:t>
      </w:r>
      <w:r>
        <w:rPr>
          <w:color w:val="0000FF"/>
          <w:spacing w:val="-7"/>
        </w:rPr>
        <w:t>厚垫</w:t>
      </w:r>
      <w:r>
        <w:rPr>
          <w:color w:val="0000FF"/>
          <w:spacing w:val="-10"/>
        </w:rPr>
        <w:t>料，铺设垫床一般采用废气杂草、农作物秸秆粉、锯末等农业材料，羊排泄的尿</w:t>
      </w:r>
      <w:r>
        <w:rPr>
          <w:color w:val="0000FF"/>
          <w:spacing w:val="-7"/>
        </w:rPr>
        <w:t>液和粪便进入垫料，经羊踩结形成粪床。一般羊舍的垫料约</w:t>
      </w:r>
      <w:r>
        <w:rPr>
          <w:rFonts w:ascii="Times New Roman" w:eastAsia="Times New Roman"/>
          <w:color w:val="0000FF"/>
          <w:spacing w:val="-3"/>
        </w:rPr>
        <w:t>2.5kg/m</w:t>
      </w:r>
      <w:r>
        <w:rPr>
          <w:rFonts w:ascii="Times New Roman" w:eastAsia="Times New Roman"/>
          <w:color w:val="0000FF"/>
          <w:spacing w:val="-3"/>
          <w:position w:val="8"/>
          <w:sz w:val="15"/>
        </w:rPr>
        <w:t>2</w:t>
      </w:r>
      <w:r>
        <w:rPr>
          <w:color w:val="0000FF"/>
          <w:spacing w:val="-5"/>
        </w:rPr>
        <w:t>，羊舍总建</w:t>
      </w:r>
      <w:r>
        <w:rPr>
          <w:color w:val="0000FF"/>
          <w:spacing w:val="-15"/>
        </w:rPr>
        <w:t>筑面积</w:t>
      </w:r>
      <w:r>
        <w:rPr>
          <w:rFonts w:hint="eastAsia"/>
          <w:color w:val="0000FF"/>
          <w:spacing w:val="-15"/>
          <w:lang w:val="en-US" w:eastAsia="zh-CN"/>
        </w:rPr>
        <w:t>9600</w:t>
      </w:r>
      <w:r>
        <w:rPr>
          <w:rFonts w:ascii="Times New Roman" w:eastAsia="Times New Roman"/>
          <w:color w:val="0000FF"/>
          <w:spacing w:val="-4"/>
        </w:rPr>
        <w:t>m</w:t>
      </w:r>
      <w:r>
        <w:rPr>
          <w:rFonts w:ascii="Times New Roman" w:eastAsia="Times New Roman"/>
          <w:color w:val="0000FF"/>
          <w:spacing w:val="-4"/>
          <w:position w:val="8"/>
          <w:sz w:val="15"/>
        </w:rPr>
        <w:t>2</w:t>
      </w:r>
      <w:r>
        <w:rPr>
          <w:color w:val="0000FF"/>
          <w:spacing w:val="-6"/>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t/a</w:t>
      </w:r>
      <w:r>
        <w:rPr>
          <w:color w:val="0000FF"/>
          <w:spacing w:val="-8"/>
        </w:rPr>
        <w:t>。根据业主提供</w:t>
      </w:r>
      <w:r>
        <w:rPr>
          <w:color w:val="0000FF"/>
          <w:spacing w:val="-13"/>
        </w:rPr>
        <w:t>的资料，粪床每</w:t>
      </w:r>
      <w:r>
        <w:rPr>
          <w:rFonts w:ascii="Times New Roman" w:eastAsia="Times New Roman"/>
          <w:color w:val="0000FF"/>
        </w:rPr>
        <w:t>1</w:t>
      </w:r>
      <w:r>
        <w:rPr>
          <w:color w:val="0000FF"/>
          <w:spacing w:val="-9"/>
        </w:rPr>
        <w:t>年清理一次，垫料层与羊粪、粪渣一起进入堆肥厂高温发酵无</w:t>
      </w:r>
      <w:r>
        <w:rPr>
          <w:color w:val="0000FF"/>
          <w:spacing w:val="-12"/>
        </w:rPr>
        <w:t>害化处理，不外排，实现综合利用。本项目病死羊采用干化法畜禽无害化处理方</w:t>
      </w:r>
      <w:r>
        <w:rPr>
          <w:color w:val="0000FF"/>
          <w:spacing w:val="-1"/>
        </w:rPr>
        <w:t>式处理。计划项目区拟建畜禽无害化处理车间，并购进畜禽无害化处理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w:t>
      </w:r>
      <w:r>
        <w:rPr>
          <w:color w:val="0000FF"/>
          <w:spacing w:val="-10"/>
        </w:rPr>
        <w:t>成套设备，采用高温高压灭菌技术，大型动物无需肢解，可直接进行处理，处理</w:t>
      </w:r>
      <w:r>
        <w:rPr>
          <w:color w:val="0000FF"/>
          <w:spacing w:val="-5"/>
        </w:rPr>
        <w:t>后的产物可出售给肉骨粉干品生产厂和工业用油脂厂，综合利用，符合国家防疫</w:t>
      </w:r>
      <w:r>
        <w:rPr>
          <w:color w:val="0000FF"/>
        </w:rPr>
        <w:t>法规要求。</w:t>
      </w:r>
    </w:p>
    <w:p>
      <w:pPr>
        <w:pStyle w:val="7"/>
        <w:spacing w:before="7" w:line="364" w:lineRule="auto"/>
        <w:ind w:left="220" w:right="195" w:firstLine="480"/>
        <w:jc w:val="both"/>
        <w:rPr>
          <w:color w:val="0000FF"/>
        </w:rPr>
      </w:pPr>
      <w:r>
        <w:rPr>
          <w:color w:val="0000FF"/>
          <w:spacing w:val="-10"/>
        </w:rPr>
        <w:t>项目的建设符合《新疆维吾尔自治区国民经济和社会发展第十三个五年规划</w:t>
      </w:r>
      <w:r>
        <w:rPr>
          <w:color w:val="0000FF"/>
          <w:spacing w:val="-12"/>
        </w:rPr>
        <w:t>纲要》、《新疆维吾尔自治区畜牧业现代化“十三五”发展规划》、《新疆规模</w:t>
      </w:r>
      <w:r>
        <w:rPr>
          <w:color w:val="0000FF"/>
          <w:spacing w:val="-14"/>
        </w:rPr>
        <w:t>化畜禽养殖污染防治“十三五”规划》、《自治区畜牧行业“十三五”脱贫攻坚实施计划（</w:t>
      </w:r>
      <w:r>
        <w:rPr>
          <w:rFonts w:ascii="Times New Roman" w:hAnsi="Times New Roman" w:eastAsia="Times New Roman"/>
          <w:color w:val="0000FF"/>
          <w:spacing w:val="-14"/>
        </w:rPr>
        <w:t>2016-2020</w:t>
      </w:r>
      <w:r>
        <w:rPr>
          <w:color w:val="0000FF"/>
        </w:rPr>
        <w:t>年）》等相关要求，项目选址符合《中华人民共和国畜牧</w:t>
      </w:r>
      <w:r>
        <w:rPr>
          <w:color w:val="0000FF"/>
          <w:spacing w:val="-24"/>
        </w:rPr>
        <w:t>法》、《畜禽养殖业污染治理工程技术规范》、《畜禽养殖业污染防治技术规范》、</w:t>
      </w:r>
    </w:p>
    <w:p>
      <w:pPr>
        <w:pStyle w:val="7"/>
        <w:spacing w:before="3" w:line="364" w:lineRule="auto"/>
        <w:ind w:left="220" w:right="195"/>
        <w:rPr>
          <w:color w:val="0000FF"/>
        </w:rPr>
      </w:pPr>
      <w:r>
        <w:rPr>
          <w:color w:val="0000FF"/>
          <w:spacing w:val="-14"/>
        </w:rPr>
        <w:t>《畜禽规模养殖污染防治条例》、《畜禽粪便无害化处理技术规范》等相关要求。</w:t>
      </w:r>
      <w:r>
        <w:rPr>
          <w:color w:val="0000FF"/>
          <w:spacing w:val="-6"/>
        </w:rPr>
        <w:t>项目的建设地点不涉及国家法规、标准规范限定的禁建区，不在</w:t>
      </w:r>
      <w:r>
        <w:rPr>
          <w:rFonts w:hint="eastAsia"/>
          <w:color w:val="0000FF"/>
          <w:spacing w:val="-6"/>
          <w:lang w:val="en-US" w:eastAsia="zh-CN"/>
        </w:rPr>
        <w:t>喀什</w:t>
      </w:r>
      <w:r>
        <w:rPr>
          <w:color w:val="0000FF"/>
          <w:spacing w:val="-6"/>
        </w:rPr>
        <w:t>市划定的禁养区内。因此，本项目建设可行。</w:t>
      </w:r>
    </w:p>
    <w:p>
      <w:pPr>
        <w:pStyle w:val="4"/>
        <w:numPr>
          <w:ilvl w:val="1"/>
          <w:numId w:val="79"/>
        </w:numPr>
        <w:tabs>
          <w:tab w:val="left" w:pos="780"/>
        </w:tabs>
        <w:spacing w:before="155" w:after="0" w:line="240" w:lineRule="auto"/>
        <w:ind w:left="779" w:right="0" w:hanging="560"/>
        <w:jc w:val="left"/>
        <w:outlineLvl w:val="1"/>
      </w:pPr>
      <w:bookmarkStart w:id="512" w:name="_bookmark42"/>
      <w:bookmarkEnd w:id="512"/>
      <w:bookmarkStart w:id="513" w:name="_bookmark42"/>
      <w:bookmarkEnd w:id="513"/>
      <w:bookmarkStart w:id="514" w:name="9.3 环境质量现状"/>
      <w:bookmarkEnd w:id="514"/>
      <w:bookmarkStart w:id="515" w:name="_Toc6945"/>
      <w:r>
        <w:t>环境质量现状</w:t>
      </w:r>
      <w:bookmarkEnd w:id="515"/>
    </w:p>
    <w:p>
      <w:pPr>
        <w:pStyle w:val="7"/>
        <w:spacing w:before="5"/>
        <w:ind w:left="0"/>
        <w:rPr>
          <w:b/>
          <w:sz w:val="28"/>
        </w:rPr>
      </w:pPr>
    </w:p>
    <w:p>
      <w:pPr>
        <w:pStyle w:val="5"/>
        <w:numPr>
          <w:ilvl w:val="2"/>
          <w:numId w:val="80"/>
        </w:numPr>
        <w:tabs>
          <w:tab w:val="left" w:pos="921"/>
        </w:tabs>
        <w:spacing w:before="0" w:after="0" w:line="240" w:lineRule="auto"/>
        <w:ind w:left="920" w:right="0" w:hanging="701"/>
        <w:jc w:val="left"/>
        <w:outlineLvl w:val="2"/>
      </w:pPr>
      <w:bookmarkStart w:id="516" w:name="9.3.1 环境空气质量现状"/>
      <w:bookmarkEnd w:id="516"/>
      <w:bookmarkStart w:id="517" w:name="9.3.1 环境空气质量现状"/>
      <w:bookmarkEnd w:id="517"/>
      <w:bookmarkStart w:id="518" w:name="_Toc19451"/>
      <w:r>
        <w:t>环境空气质量现状</w:t>
      </w:r>
      <w:bookmarkEnd w:id="518"/>
    </w:p>
    <w:p>
      <w:pPr>
        <w:pStyle w:val="7"/>
        <w:spacing w:before="5"/>
        <w:ind w:left="0"/>
        <w:rPr>
          <w:b/>
          <w:color w:val="0000FF"/>
          <w:sz w:val="21"/>
        </w:rPr>
      </w:pPr>
    </w:p>
    <w:p>
      <w:pPr>
        <w:pStyle w:val="17"/>
        <w:numPr>
          <w:ilvl w:val="3"/>
          <w:numId w:val="80"/>
        </w:numPr>
        <w:tabs>
          <w:tab w:val="left" w:pos="1301"/>
        </w:tabs>
        <w:spacing w:before="0" w:after="0" w:line="240" w:lineRule="auto"/>
        <w:ind w:left="1301" w:right="0" w:hanging="601"/>
        <w:jc w:val="left"/>
        <w:rPr>
          <w:color w:val="0000FF"/>
          <w:sz w:val="24"/>
        </w:rPr>
      </w:pPr>
      <w:r>
        <w:rPr>
          <w:color w:val="0000FF"/>
          <w:sz w:val="24"/>
        </w:rPr>
        <w:t>基本污染物环境质量现状</w:t>
      </w:r>
    </w:p>
    <w:p>
      <w:pPr>
        <w:widowControl/>
        <w:spacing w:line="360" w:lineRule="auto"/>
        <w:ind w:firstLine="488" w:firstLineChars="200"/>
        <w:rPr>
          <w:color w:val="0000FF"/>
          <w:sz w:val="24"/>
          <w:szCs w:val="24"/>
        </w:rPr>
      </w:pPr>
      <w:r>
        <w:rPr>
          <w:color w:val="0000FF"/>
          <w:spacing w:val="2"/>
          <w:sz w:val="24"/>
          <w:szCs w:val="24"/>
        </w:rPr>
        <w:t>本次基本污染物环境质量现状数据来源于</w:t>
      </w:r>
      <w:r>
        <w:rPr>
          <w:rFonts w:hint="eastAsia"/>
          <w:color w:val="0000FF"/>
          <w:spacing w:val="2"/>
          <w:sz w:val="24"/>
          <w:szCs w:val="24"/>
          <w:lang w:val="en-US" w:eastAsia="zh-CN"/>
        </w:rPr>
        <w:t>喀什</w:t>
      </w:r>
      <w:r>
        <w:rPr>
          <w:color w:val="0000FF"/>
          <w:spacing w:val="2"/>
          <w:sz w:val="24"/>
          <w:szCs w:val="24"/>
        </w:rPr>
        <w:t>地区环境空气质量国控点</w:t>
      </w:r>
      <w:r>
        <w:rPr>
          <w:rFonts w:hint="eastAsia"/>
          <w:color w:val="0000FF"/>
          <w:spacing w:val="2"/>
          <w:sz w:val="24"/>
          <w:szCs w:val="24"/>
          <w:lang w:val="en-US" w:eastAsia="zh-CN"/>
        </w:rPr>
        <w:t>喀什</w:t>
      </w:r>
      <w:r>
        <w:rPr>
          <w:color w:val="0000FF"/>
          <w:spacing w:val="-6"/>
          <w:sz w:val="24"/>
          <w:szCs w:val="24"/>
        </w:rPr>
        <w:t>地区监测点</w:t>
      </w:r>
      <w:r>
        <w:rPr>
          <w:rFonts w:ascii="Times New Roman" w:hAnsi="Times New Roman" w:eastAsia="Times New Roman"/>
          <w:color w:val="0000FF"/>
          <w:sz w:val="24"/>
          <w:szCs w:val="24"/>
        </w:rPr>
        <w:t>2018</w:t>
      </w:r>
      <w:r>
        <w:rPr>
          <w:color w:val="0000FF"/>
          <w:sz w:val="24"/>
          <w:szCs w:val="24"/>
        </w:rPr>
        <w:t>年监测数据进行项目区环境空气质量达标分析。根据环境空</w:t>
      </w:r>
      <w:r>
        <w:rPr>
          <w:color w:val="0000FF"/>
          <w:spacing w:val="-2"/>
          <w:position w:val="2"/>
          <w:sz w:val="24"/>
          <w:szCs w:val="24"/>
        </w:rPr>
        <w:t>气质量模型技术支持服子系统筛选结果，</w:t>
      </w:r>
      <w:r>
        <w:rPr>
          <w:rFonts w:hint="default" w:ascii="Times New Roman" w:hAnsi="Times New Roman" w:cs="Times New Roman"/>
          <w:color w:val="0000FF"/>
          <w:sz w:val="24"/>
          <w:szCs w:val="24"/>
          <w:highlight w:val="none"/>
          <w:lang w:eastAsia="zh-CN"/>
        </w:rPr>
        <w:t>喀什</w:t>
      </w:r>
      <w:r>
        <w:rPr>
          <w:rFonts w:hint="default" w:ascii="Times New Roman" w:hAnsi="Times New Roman" w:cs="Times New Roman"/>
          <w:color w:val="0000FF"/>
          <w:sz w:val="24"/>
          <w:szCs w:val="24"/>
          <w:highlight w:val="none"/>
        </w:rPr>
        <w:t>地区2018年平均质量浓度PM</w:t>
      </w:r>
      <w:r>
        <w:rPr>
          <w:rFonts w:hint="default" w:ascii="Times New Roman" w:hAnsi="Times New Roman" w:cs="Times New Roman"/>
          <w:color w:val="0000FF"/>
          <w:sz w:val="24"/>
          <w:szCs w:val="24"/>
          <w:highlight w:val="none"/>
          <w:vertAlign w:val="subscript"/>
        </w:rPr>
        <w:t>10</w:t>
      </w:r>
      <w:r>
        <w:rPr>
          <w:rFonts w:hint="default" w:ascii="Times New Roman" w:hAnsi="Times New Roman" w:cs="Times New Roman"/>
          <w:color w:val="0000FF"/>
          <w:sz w:val="24"/>
          <w:szCs w:val="24"/>
          <w:highlight w:val="none"/>
        </w:rPr>
        <w:t>、PM</w:t>
      </w:r>
      <w:r>
        <w:rPr>
          <w:rFonts w:hint="default" w:ascii="Times New Roman" w:hAnsi="Times New Roman" w:cs="Times New Roman"/>
          <w:color w:val="0000FF"/>
          <w:sz w:val="24"/>
          <w:szCs w:val="24"/>
          <w:highlight w:val="none"/>
          <w:vertAlign w:val="subscript"/>
        </w:rPr>
        <w:t>2.5</w:t>
      </w:r>
      <w:r>
        <w:rPr>
          <w:rFonts w:hint="default" w:ascii="Times New Roman" w:hAnsi="Times New Roman" w:cs="Times New Roman"/>
          <w:color w:val="0000FF"/>
          <w:sz w:val="24"/>
          <w:szCs w:val="24"/>
          <w:highlight w:val="none"/>
          <w:lang w:eastAsia="zh-CN"/>
        </w:rPr>
        <w:t>超过二级标准限值，占标率分别为</w:t>
      </w:r>
      <w:r>
        <w:rPr>
          <w:rFonts w:hint="default" w:ascii="Times New Roman" w:hAnsi="Times New Roman" w:cs="Times New Roman"/>
          <w:color w:val="0000FF"/>
          <w:sz w:val="24"/>
          <w:szCs w:val="24"/>
          <w:highlight w:val="none"/>
          <w:lang w:val="en-US" w:eastAsia="zh-CN"/>
        </w:rPr>
        <w:t>147.4%、208.3%，</w:t>
      </w:r>
      <w:r>
        <w:rPr>
          <w:rFonts w:hint="default" w:ascii="Times New Roman" w:hAnsi="Times New Roman" w:cs="Times New Roman"/>
          <w:color w:val="0000FF"/>
          <w:sz w:val="24"/>
          <w:szCs w:val="24"/>
          <w:highlight w:val="none"/>
        </w:rPr>
        <w:t>SO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、NO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、O</w:t>
      </w:r>
      <w:r>
        <w:rPr>
          <w:rFonts w:hint="default" w:ascii="Times New Roman" w:hAnsi="Times New Roman" w:cs="Times New Roman"/>
          <w:color w:val="0000FF"/>
          <w:sz w:val="24"/>
          <w:szCs w:val="24"/>
          <w:highlight w:val="none"/>
          <w:vertAlign w:val="subscript"/>
        </w:rPr>
        <w:t>3</w:t>
      </w:r>
      <w:r>
        <w:rPr>
          <w:rFonts w:hint="default" w:ascii="Times New Roman" w:hAnsi="Times New Roman" w:cs="Times New Roman"/>
          <w:color w:val="0000FF"/>
          <w:sz w:val="24"/>
          <w:szCs w:val="24"/>
          <w:highlight w:val="none"/>
        </w:rPr>
        <w:t>、CO均未超出二级标准限值，说明该地区环境质量</w:t>
      </w:r>
      <w:r>
        <w:rPr>
          <w:rFonts w:hint="default" w:ascii="Times New Roman" w:hAnsi="Times New Roman" w:cs="Times New Roman"/>
          <w:color w:val="0000FF"/>
          <w:sz w:val="24"/>
          <w:szCs w:val="24"/>
          <w:highlight w:val="none"/>
          <w:lang w:eastAsia="zh-CN"/>
        </w:rPr>
        <w:t>一般</w:t>
      </w:r>
      <w:r>
        <w:rPr>
          <w:rFonts w:hint="default" w:ascii="Times New Roman" w:hAnsi="Times New Roman" w:cs="Times New Roman"/>
          <w:color w:val="0000FF"/>
          <w:sz w:val="24"/>
          <w:szCs w:val="24"/>
          <w:highlight w:val="none"/>
        </w:rPr>
        <w:t>。</w:t>
      </w:r>
      <w:r>
        <w:rPr>
          <w:rFonts w:hint="eastAsia"/>
          <w:color w:val="0000FF"/>
          <w:sz w:val="24"/>
          <w:szCs w:val="24"/>
          <w:highlight w:val="none"/>
          <w:lang w:bidi="ar"/>
        </w:rPr>
        <w:t>参照《环境影响评价技术导则·大气环境》(HJ2.2-2018)中6.4.1项目所在区域达标判断规定：“城市环境空气质量达标情况评价指标为SO</w:t>
      </w:r>
      <w:r>
        <w:rPr>
          <w:rFonts w:hint="eastAsia"/>
          <w:color w:val="0000FF"/>
          <w:sz w:val="24"/>
          <w:szCs w:val="24"/>
          <w:highlight w:val="none"/>
          <w:vertAlign w:val="subscript"/>
          <w:lang w:bidi="ar"/>
        </w:rPr>
        <w:t>2</w:t>
      </w:r>
      <w:r>
        <w:rPr>
          <w:rFonts w:hint="eastAsia"/>
          <w:color w:val="0000FF"/>
          <w:sz w:val="24"/>
          <w:szCs w:val="24"/>
          <w:highlight w:val="none"/>
          <w:lang w:bidi="ar"/>
        </w:rPr>
        <w:t>、NO</w:t>
      </w:r>
      <w:r>
        <w:rPr>
          <w:rFonts w:hint="eastAsia"/>
          <w:color w:val="0000FF"/>
          <w:sz w:val="24"/>
          <w:szCs w:val="24"/>
          <w:highlight w:val="none"/>
          <w:vertAlign w:val="subscript"/>
          <w:lang w:bidi="ar"/>
        </w:rPr>
        <w:t>2</w:t>
      </w:r>
      <w:r>
        <w:rPr>
          <w:rFonts w:hint="eastAsia"/>
          <w:color w:val="0000FF"/>
          <w:sz w:val="24"/>
          <w:szCs w:val="24"/>
          <w:highlight w:val="none"/>
          <w:lang w:bidi="ar"/>
        </w:rPr>
        <w:t>、PM</w:t>
      </w:r>
      <w:r>
        <w:rPr>
          <w:rFonts w:hint="eastAsia"/>
          <w:color w:val="0000FF"/>
          <w:sz w:val="24"/>
          <w:szCs w:val="24"/>
          <w:highlight w:val="none"/>
          <w:vertAlign w:val="subscript"/>
          <w:lang w:bidi="ar"/>
        </w:rPr>
        <w:t>10</w:t>
      </w:r>
      <w:r>
        <w:rPr>
          <w:rFonts w:hint="eastAsia"/>
          <w:color w:val="0000FF"/>
          <w:sz w:val="24"/>
          <w:szCs w:val="24"/>
          <w:highlight w:val="none"/>
          <w:lang w:bidi="ar"/>
        </w:rPr>
        <w:t>、PM</w:t>
      </w:r>
      <w:r>
        <w:rPr>
          <w:rFonts w:hint="eastAsia"/>
          <w:color w:val="0000FF"/>
          <w:sz w:val="24"/>
          <w:szCs w:val="24"/>
          <w:highlight w:val="none"/>
          <w:vertAlign w:val="subscript"/>
          <w:lang w:bidi="ar"/>
        </w:rPr>
        <w:t>2.5</w:t>
      </w:r>
      <w:r>
        <w:rPr>
          <w:rFonts w:hint="eastAsia"/>
          <w:color w:val="0000FF"/>
          <w:sz w:val="24"/>
          <w:szCs w:val="24"/>
          <w:highlight w:val="none"/>
          <w:lang w:bidi="ar"/>
        </w:rPr>
        <w:t>、CO、O</w:t>
      </w:r>
      <w:r>
        <w:rPr>
          <w:rFonts w:hint="eastAsia"/>
          <w:color w:val="0000FF"/>
          <w:sz w:val="24"/>
          <w:szCs w:val="24"/>
          <w:highlight w:val="none"/>
          <w:vertAlign w:val="subscript"/>
          <w:lang w:bidi="ar"/>
        </w:rPr>
        <w:t>3</w:t>
      </w:r>
      <w:r>
        <w:rPr>
          <w:rFonts w:hint="eastAsia"/>
          <w:color w:val="0000FF"/>
          <w:sz w:val="24"/>
          <w:szCs w:val="24"/>
          <w:highlight w:val="none"/>
          <w:lang w:bidi="ar"/>
        </w:rPr>
        <w:t>，六项污染物全部达标即为城市环境空气质量达标”可知，本项目所在区域属于不达标区。</w:t>
      </w:r>
      <w:r>
        <w:rPr>
          <w:color w:val="0000FF"/>
          <w:spacing w:val="-9"/>
          <w:sz w:val="24"/>
          <w:szCs w:val="24"/>
          <w:vertAlign w:val="baseline"/>
        </w:rPr>
        <w:t>超标原因是</w:t>
      </w:r>
      <w:r>
        <w:rPr>
          <w:rFonts w:hint="eastAsia"/>
          <w:color w:val="0000FF"/>
          <w:spacing w:val="-9"/>
          <w:sz w:val="24"/>
          <w:szCs w:val="24"/>
          <w:vertAlign w:val="baseline"/>
          <w:lang w:val="en-US" w:eastAsia="zh-CN"/>
        </w:rPr>
        <w:t>喀什地区</w:t>
      </w:r>
      <w:r>
        <w:rPr>
          <w:color w:val="0000FF"/>
          <w:spacing w:val="-10"/>
          <w:position w:val="2"/>
          <w:sz w:val="24"/>
          <w:szCs w:val="24"/>
          <w:vertAlign w:val="baseline"/>
        </w:rPr>
        <w:t>，四季多风沙，干燥少雨，造成空气中</w:t>
      </w:r>
      <w:r>
        <w:rPr>
          <w:rFonts w:ascii="Times New Roman" w:hAnsi="Times New Roman" w:eastAsia="Times New Roman"/>
          <w:color w:val="0000FF"/>
          <w:position w:val="2"/>
          <w:sz w:val="24"/>
          <w:szCs w:val="24"/>
          <w:vertAlign w:val="baseline"/>
        </w:rPr>
        <w:t>PM</w:t>
      </w:r>
      <w:r>
        <w:rPr>
          <w:rFonts w:ascii="Times New Roman" w:hAnsi="Times New Roman" w:eastAsia="Times New Roman"/>
          <w:color w:val="0000FF"/>
          <w:position w:val="2"/>
          <w:sz w:val="24"/>
          <w:szCs w:val="24"/>
          <w:vertAlign w:val="subscript"/>
        </w:rPr>
        <w:t>10</w:t>
      </w:r>
      <w:r>
        <w:rPr>
          <w:color w:val="0000FF"/>
          <w:spacing w:val="-29"/>
          <w:position w:val="2"/>
          <w:sz w:val="24"/>
          <w:szCs w:val="24"/>
          <w:vertAlign w:val="baseline"/>
        </w:rPr>
        <w:t>和</w:t>
      </w:r>
      <w:r>
        <w:rPr>
          <w:rFonts w:ascii="Times New Roman" w:hAnsi="Times New Roman" w:eastAsia="Times New Roman"/>
          <w:color w:val="0000FF"/>
          <w:position w:val="2"/>
          <w:sz w:val="24"/>
          <w:szCs w:val="24"/>
          <w:vertAlign w:val="baseline"/>
        </w:rPr>
        <w:t>PM</w:t>
      </w:r>
      <w:r>
        <w:rPr>
          <w:rFonts w:ascii="Times New Roman" w:hAnsi="Times New Roman" w:eastAsia="Times New Roman"/>
          <w:color w:val="0000FF"/>
          <w:position w:val="2"/>
          <w:sz w:val="24"/>
          <w:szCs w:val="24"/>
          <w:vertAlign w:val="subscript"/>
        </w:rPr>
        <w:t>2.5</w:t>
      </w:r>
      <w:r>
        <w:rPr>
          <w:color w:val="0000FF"/>
          <w:spacing w:val="-6"/>
          <w:position w:val="2"/>
          <w:sz w:val="24"/>
          <w:szCs w:val="24"/>
          <w:vertAlign w:val="baseline"/>
        </w:rPr>
        <w:t>浓度较大。</w:t>
      </w:r>
    </w:p>
    <w:p>
      <w:pPr>
        <w:pStyle w:val="17"/>
        <w:numPr>
          <w:ilvl w:val="3"/>
          <w:numId w:val="80"/>
        </w:numPr>
        <w:tabs>
          <w:tab w:val="left" w:pos="1304"/>
        </w:tabs>
        <w:spacing w:before="1" w:after="0" w:line="240" w:lineRule="auto"/>
        <w:ind w:left="1303" w:right="0" w:hanging="602"/>
        <w:jc w:val="left"/>
        <w:rPr>
          <w:color w:val="0000FF"/>
          <w:sz w:val="24"/>
        </w:rPr>
      </w:pPr>
      <w:r>
        <w:rPr>
          <w:color w:val="0000FF"/>
          <w:sz w:val="24"/>
        </w:rPr>
        <w:t>其他污染物环境质量现状</w:t>
      </w:r>
    </w:p>
    <w:p>
      <w:pPr>
        <w:pStyle w:val="7"/>
        <w:spacing w:before="161"/>
        <w:ind w:left="700"/>
        <w:rPr>
          <w:color w:val="0000FF"/>
        </w:rPr>
      </w:pPr>
      <w:r>
        <w:rPr>
          <w:color w:val="0000FF"/>
          <w:spacing w:val="-4"/>
        </w:rPr>
        <w:t>本次委托</w:t>
      </w:r>
      <w:r>
        <w:rPr>
          <w:rFonts w:hint="eastAsia" w:ascii="Times New Roman" w:hAnsi="Times New Roman" w:eastAsia="宋体" w:cs="Times New Roman"/>
          <w:color w:val="0000FF"/>
          <w:sz w:val="24"/>
          <w:lang w:val="en-US" w:eastAsia="zh-CN"/>
        </w:rPr>
        <w:t>新疆环疆绿源环保科技</w:t>
      </w:r>
      <w:r>
        <w:rPr>
          <w:rFonts w:hint="eastAsia" w:ascii="Times New Roman" w:hAnsi="Times New Roman" w:eastAsia="宋体" w:cs="Times New Roman"/>
          <w:color w:val="0000FF"/>
          <w:sz w:val="24"/>
        </w:rPr>
        <w:t>科技有限公司</w:t>
      </w:r>
      <w:r>
        <w:rPr>
          <w:color w:val="0000FF"/>
          <w:spacing w:val="-4"/>
        </w:rPr>
        <w:t>于</w:t>
      </w:r>
      <w:r>
        <w:rPr>
          <w:rFonts w:hint="eastAsia" w:ascii="Times New Roman" w:hAnsi="Times New Roman" w:eastAsia="宋体" w:cs="Times New Roman"/>
          <w:color w:val="0000FF"/>
          <w:sz w:val="24"/>
        </w:rPr>
        <w:t>20</w:t>
      </w:r>
      <w:r>
        <w:rPr>
          <w:rFonts w:hint="eastAsia" w:ascii="Times New Roman" w:hAnsi="Times New Roman" w:cs="Times New Roman"/>
          <w:color w:val="0000FF"/>
          <w:sz w:val="24"/>
          <w:lang w:val="en-US" w:eastAsia="zh-CN"/>
        </w:rPr>
        <w:t>20</w:t>
      </w:r>
      <w:r>
        <w:rPr>
          <w:rFonts w:hint="eastAsia" w:ascii="Times New Roman" w:hAnsi="Times New Roman" w:eastAsia="宋体" w:cs="Times New Roman"/>
          <w:color w:val="0000FF"/>
          <w:sz w:val="24"/>
        </w:rPr>
        <w:t>年</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cs="Times New Roman"/>
          <w:color w:val="0000FF"/>
          <w:sz w:val="24"/>
          <w:lang w:val="en-US" w:eastAsia="zh-CN"/>
        </w:rPr>
        <w:t>9</w:t>
      </w:r>
      <w:r>
        <w:rPr>
          <w:rFonts w:hint="eastAsia" w:ascii="Times New Roman" w:hAnsi="Times New Roman" w:eastAsia="宋体" w:cs="Times New Roman"/>
          <w:color w:val="0000FF"/>
          <w:sz w:val="24"/>
        </w:rPr>
        <w:t>日至</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cs="Times New Roman"/>
          <w:color w:val="0000FF"/>
          <w:sz w:val="24"/>
          <w:lang w:val="en-US" w:eastAsia="zh-CN"/>
        </w:rPr>
        <w:t>15</w:t>
      </w:r>
      <w:r>
        <w:rPr>
          <w:rFonts w:hint="eastAsia" w:ascii="Times New Roman" w:hAnsi="Times New Roman" w:eastAsia="宋体" w:cs="Times New Roman"/>
          <w:color w:val="0000FF"/>
          <w:sz w:val="24"/>
        </w:rPr>
        <w:t>日</w:t>
      </w:r>
      <w:r>
        <w:rPr>
          <w:color w:val="0000FF"/>
          <w:spacing w:val="-32"/>
        </w:rPr>
        <w:t>，分</w:t>
      </w:r>
    </w:p>
    <w:p>
      <w:pPr>
        <w:pStyle w:val="7"/>
        <w:spacing w:before="160"/>
        <w:ind w:left="220"/>
        <w:jc w:val="both"/>
        <w:rPr>
          <w:color w:val="0000FF"/>
        </w:rPr>
      </w:pPr>
      <w:r>
        <w:rPr>
          <w:color w:val="0000FF"/>
          <w:spacing w:val="3"/>
        </w:rPr>
        <w:t>别对</w:t>
      </w:r>
      <w:r>
        <w:rPr>
          <w:rFonts w:hint="eastAsia"/>
          <w:color w:val="0000FF"/>
          <w:spacing w:val="3"/>
          <w:lang w:val="en-US" w:eastAsia="zh-CN"/>
        </w:rPr>
        <w:t>项目</w:t>
      </w:r>
      <w:r>
        <w:rPr>
          <w:color w:val="0000FF"/>
          <w:spacing w:val="3"/>
        </w:rPr>
        <w:t>区上风向村庄</w:t>
      </w:r>
      <w:r>
        <w:rPr>
          <w:color w:val="0000FF"/>
        </w:rPr>
        <w:t>（</w:t>
      </w:r>
      <w:r>
        <w:rPr>
          <w:rFonts w:hint="eastAsia"/>
          <w:color w:val="0000FF"/>
          <w:spacing w:val="3"/>
          <w:lang w:val="en-US" w:eastAsia="zh-CN"/>
        </w:rPr>
        <w:t>阿拉买提</w:t>
      </w:r>
      <w:r>
        <w:rPr>
          <w:color w:val="0000FF"/>
          <w:spacing w:val="3"/>
        </w:rPr>
        <w:t>村</w:t>
      </w:r>
      <w:r>
        <w:rPr>
          <w:color w:val="0000FF"/>
          <w:spacing w:val="4"/>
        </w:rPr>
        <w:t>）</w:t>
      </w:r>
      <w:r>
        <w:rPr>
          <w:color w:val="0000FF"/>
          <w:spacing w:val="-7"/>
        </w:rPr>
        <w:t>和下风向处</w:t>
      </w:r>
      <w:r>
        <w:rPr>
          <w:rFonts w:ascii="Times New Roman" w:eastAsia="Times New Roman"/>
          <w:color w:val="0000FF"/>
        </w:rPr>
        <w:t>2</w:t>
      </w:r>
      <w:r>
        <w:rPr>
          <w:color w:val="0000FF"/>
          <w:spacing w:val="1"/>
        </w:rPr>
        <w:t>个监测点的特征污染物</w:t>
      </w:r>
    </w:p>
    <w:p>
      <w:pPr>
        <w:pStyle w:val="7"/>
        <w:spacing w:before="158"/>
        <w:ind w:left="220"/>
        <w:jc w:val="both"/>
        <w:rPr>
          <w:color w:val="0000FF"/>
        </w:rPr>
      </w:pP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30"/>
          <w:position w:val="2"/>
          <w:vertAlign w:val="baseline"/>
        </w:rPr>
        <w:t>和</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10"/>
          <w:position w:val="2"/>
          <w:vertAlign w:val="baseline"/>
        </w:rPr>
        <w:t>进行监测，监测结果显示，</w:t>
      </w:r>
      <w:r>
        <w:rPr>
          <w:rFonts w:ascii="Times New Roman" w:eastAsia="Times New Roman"/>
          <w:color w:val="0000FF"/>
          <w:spacing w:val="-27"/>
          <w:position w:val="2"/>
          <w:vertAlign w:val="baseline"/>
        </w:rPr>
        <w:t>2</w:t>
      </w:r>
      <w:r>
        <w:rPr>
          <w:color w:val="0000FF"/>
          <w:spacing w:val="-12"/>
          <w:position w:val="2"/>
          <w:vertAlign w:val="baseline"/>
        </w:rPr>
        <w:t>个监测点</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spacing w:val="-30"/>
          <w:position w:val="2"/>
          <w:vertAlign w:val="baseline"/>
        </w:rPr>
        <w:t>和</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的监测浓度均低于</w:t>
      </w:r>
    </w:p>
    <w:p>
      <w:pPr>
        <w:pStyle w:val="7"/>
        <w:spacing w:before="159" w:line="362" w:lineRule="auto"/>
        <w:ind w:left="220" w:right="312"/>
        <w:jc w:val="both"/>
        <w:rPr>
          <w:color w:val="0000FF"/>
        </w:rPr>
      </w:pPr>
      <w:r>
        <w:rPr>
          <w:color w:val="0000FF"/>
          <w:spacing w:val="9"/>
        </w:rPr>
        <w:t>《环境影响评价技术导则</w:t>
      </w:r>
      <w:r>
        <w:rPr>
          <w:rFonts w:ascii="Times New Roman" w:hAnsi="Times New Roman" w:eastAsia="Times New Roman"/>
          <w:color w:val="0000FF"/>
          <w:spacing w:val="11"/>
        </w:rPr>
        <w:t>·</w:t>
      </w:r>
      <w:r>
        <w:rPr>
          <w:color w:val="0000FF"/>
          <w:spacing w:val="10"/>
        </w:rPr>
        <w:t>大气环境》</w:t>
      </w:r>
      <w:r>
        <w:rPr>
          <w:color w:val="0000FF"/>
          <w:spacing w:val="2"/>
        </w:rPr>
        <w:t>（</w:t>
      </w:r>
      <w:r>
        <w:rPr>
          <w:rFonts w:ascii="Times New Roman" w:hAnsi="Times New Roman" w:eastAsia="Times New Roman"/>
          <w:color w:val="0000FF"/>
          <w:spacing w:val="2"/>
        </w:rPr>
        <w:t>HJ2.2-2018</w:t>
      </w:r>
      <w:r>
        <w:rPr>
          <w:color w:val="0000FF"/>
          <w:spacing w:val="2"/>
        </w:rPr>
        <w:t>）</w:t>
      </w:r>
      <w:r>
        <w:rPr>
          <w:color w:val="0000FF"/>
          <w:spacing w:val="-12"/>
        </w:rPr>
        <w:t>附录</w:t>
      </w:r>
      <w:r>
        <w:rPr>
          <w:rFonts w:ascii="Times New Roman" w:hAnsi="Times New Roman" w:eastAsia="Times New Roman"/>
          <w:color w:val="0000FF"/>
        </w:rPr>
        <w:t>D</w:t>
      </w:r>
      <w:r>
        <w:rPr>
          <w:color w:val="0000FF"/>
          <w:spacing w:val="8"/>
        </w:rPr>
        <w:t>中最高容许浓度</w:t>
      </w:r>
      <w:r>
        <w:rPr>
          <w:rFonts w:ascii="Times New Roman" w:hAnsi="Times New Roman" w:eastAsia="Times New Roman"/>
          <w:color w:val="0000FF"/>
          <w:spacing w:val="8"/>
          <w:position w:val="2"/>
        </w:rPr>
        <w:t>200μg/m</w:t>
      </w:r>
      <w:r>
        <w:rPr>
          <w:rFonts w:ascii="Times New Roman" w:hAnsi="Times New Roman" w:eastAsia="Times New Roman"/>
          <w:color w:val="0000FF"/>
          <w:spacing w:val="8"/>
          <w:position w:val="2"/>
          <w:vertAlign w:val="superscript"/>
        </w:rPr>
        <w:t>3</w:t>
      </w:r>
      <w:r>
        <w:rPr>
          <w:color w:val="0000FF"/>
          <w:spacing w:val="-28"/>
          <w:position w:val="2"/>
          <w:vertAlign w:val="baseline"/>
        </w:rPr>
        <w:t>和</w:t>
      </w:r>
      <w:r>
        <w:rPr>
          <w:rFonts w:ascii="Times New Roman" w:hAnsi="Times New Roman" w:eastAsia="Times New Roman"/>
          <w:color w:val="0000FF"/>
          <w:position w:val="2"/>
          <w:vertAlign w:val="baseline"/>
        </w:rPr>
        <w:t>10μg/m</w:t>
      </w:r>
      <w:r>
        <w:rPr>
          <w:rFonts w:ascii="Times New Roman" w:hAnsi="Times New Roman" w:eastAsia="Times New Roman"/>
          <w:color w:val="0000FF"/>
          <w:position w:val="2"/>
          <w:vertAlign w:val="superscript"/>
        </w:rPr>
        <w:t>3</w:t>
      </w:r>
      <w:r>
        <w:rPr>
          <w:color w:val="0000FF"/>
          <w:spacing w:val="-3"/>
          <w:position w:val="2"/>
          <w:vertAlign w:val="baseline"/>
        </w:rPr>
        <w:t>限值要求，说明项目所在区域环境空气中的</w:t>
      </w:r>
      <w:r>
        <w:rPr>
          <w:rFonts w:ascii="Times New Roman" w:hAnsi="Times New Roman" w:eastAsia="Times New Roman"/>
          <w:color w:val="0000FF"/>
          <w:position w:val="2"/>
          <w:vertAlign w:val="baseline"/>
        </w:rPr>
        <w:t>NH</w:t>
      </w:r>
      <w:r>
        <w:rPr>
          <w:rFonts w:ascii="Times New Roman" w:hAnsi="Times New Roman" w:eastAsia="Times New Roman"/>
          <w:color w:val="0000FF"/>
          <w:position w:val="2"/>
          <w:vertAlign w:val="subscript"/>
        </w:rPr>
        <w:t>3</w:t>
      </w:r>
      <w:r>
        <w:rPr>
          <w:color w:val="0000FF"/>
          <w:spacing w:val="-28"/>
          <w:position w:val="2"/>
          <w:vertAlign w:val="baseline"/>
        </w:rPr>
        <w:t>和</w:t>
      </w:r>
      <w:r>
        <w:rPr>
          <w:rFonts w:ascii="Times New Roman" w:hAnsi="Times New Roman" w:eastAsia="Times New Roman"/>
          <w:color w:val="0000FF"/>
          <w:position w:val="2"/>
          <w:vertAlign w:val="baseline"/>
        </w:rPr>
        <w:t>H</w:t>
      </w:r>
      <w:r>
        <w:rPr>
          <w:rFonts w:ascii="Times New Roman" w:hAnsi="Times New Roman" w:eastAsia="Times New Roman"/>
          <w:color w:val="0000FF"/>
          <w:position w:val="2"/>
          <w:vertAlign w:val="subscript"/>
        </w:rPr>
        <w:t>2</w:t>
      </w:r>
      <w:r>
        <w:rPr>
          <w:rFonts w:ascii="Times New Roman" w:hAnsi="Times New Roman" w:eastAsia="Times New Roman"/>
          <w:color w:val="0000FF"/>
          <w:position w:val="2"/>
          <w:vertAlign w:val="baseline"/>
        </w:rPr>
        <w:t>S</w:t>
      </w:r>
      <w:r>
        <w:rPr>
          <w:color w:val="0000FF"/>
          <w:position w:val="2"/>
          <w:vertAlign w:val="baseline"/>
        </w:rPr>
        <w:t>本</w:t>
      </w:r>
      <w:r>
        <w:rPr>
          <w:color w:val="0000FF"/>
          <w:vertAlign w:val="baseline"/>
        </w:rPr>
        <w:t>底值达标，环境空气质量良好。</w:t>
      </w:r>
    </w:p>
    <w:p>
      <w:pPr>
        <w:pStyle w:val="5"/>
        <w:numPr>
          <w:ilvl w:val="2"/>
          <w:numId w:val="80"/>
        </w:numPr>
        <w:tabs>
          <w:tab w:val="left" w:pos="921"/>
        </w:tabs>
        <w:spacing w:before="120" w:after="0" w:line="240" w:lineRule="auto"/>
        <w:ind w:left="920" w:right="0" w:hanging="701"/>
        <w:jc w:val="left"/>
        <w:outlineLvl w:val="2"/>
      </w:pPr>
      <w:bookmarkStart w:id="519" w:name="9.3.2 地下水环境环境质量现状"/>
      <w:bookmarkEnd w:id="519"/>
      <w:bookmarkStart w:id="520" w:name="9.3.2 地下水环境环境质量现状"/>
      <w:bookmarkEnd w:id="520"/>
      <w:bookmarkStart w:id="521" w:name="_Toc3106"/>
      <w:r>
        <w:t>地下水环境环境质量现状</w:t>
      </w:r>
      <w:bookmarkEnd w:id="521"/>
    </w:p>
    <w:p>
      <w:pPr>
        <w:pStyle w:val="7"/>
        <w:spacing w:before="197" w:line="364" w:lineRule="auto"/>
        <w:ind w:left="220" w:right="317" w:firstLine="480"/>
        <w:jc w:val="both"/>
        <w:rPr>
          <w:color w:val="0000FF"/>
        </w:rPr>
      </w:pPr>
      <w:r>
        <w:rPr>
          <w:color w:val="0000FF"/>
          <w:spacing w:val="-4"/>
        </w:rPr>
        <w:t>本次委托新</w:t>
      </w:r>
      <w:r>
        <w:rPr>
          <w:rFonts w:hint="eastAsia" w:ascii="Times New Roman" w:hAnsi="Times New Roman" w:eastAsia="宋体" w:cs="Times New Roman"/>
          <w:color w:val="0000FF"/>
          <w:sz w:val="24"/>
          <w:lang w:val="en-US" w:eastAsia="zh-CN"/>
        </w:rPr>
        <w:t>新疆环疆绿源环保科技有限公司</w:t>
      </w:r>
      <w:r>
        <w:rPr>
          <w:color w:val="0000FF"/>
          <w:spacing w:val="-4"/>
        </w:rPr>
        <w:t>于</w:t>
      </w:r>
      <w:r>
        <w:rPr>
          <w:rFonts w:hint="eastAsia" w:ascii="Times New Roman" w:hAnsi="Times New Roman" w:eastAsia="宋体" w:cs="Times New Roman"/>
          <w:color w:val="0000FF"/>
          <w:sz w:val="24"/>
          <w:lang w:val="en-US" w:eastAsia="zh-CN"/>
        </w:rPr>
        <w:t>20</w:t>
      </w:r>
      <w:r>
        <w:rPr>
          <w:rFonts w:hint="eastAsia" w:ascii="Times New Roman" w:hAnsi="Times New Roman" w:cs="Times New Roman"/>
          <w:color w:val="0000FF"/>
          <w:sz w:val="24"/>
          <w:lang w:val="en-US" w:eastAsia="zh-CN"/>
        </w:rPr>
        <w:t>20</w:t>
      </w:r>
      <w:r>
        <w:rPr>
          <w:rFonts w:hint="eastAsia" w:ascii="Times New Roman" w:hAnsi="Times New Roman" w:eastAsia="宋体" w:cs="Times New Roman"/>
          <w:color w:val="0000FF"/>
          <w:sz w:val="24"/>
          <w:lang w:val="en-US" w:eastAsia="zh-CN"/>
        </w:rPr>
        <w:t>年1月</w:t>
      </w:r>
      <w:r>
        <w:rPr>
          <w:rFonts w:hint="eastAsia" w:ascii="Times New Roman" w:hAnsi="Times New Roman" w:cs="Times New Roman"/>
          <w:color w:val="0000FF"/>
          <w:sz w:val="24"/>
          <w:lang w:val="en-US" w:eastAsia="zh-CN"/>
        </w:rPr>
        <w:t>9</w:t>
      </w:r>
      <w:r>
        <w:rPr>
          <w:rFonts w:hint="eastAsia" w:ascii="Times New Roman" w:hAnsi="Times New Roman" w:eastAsia="宋体" w:cs="Times New Roman"/>
          <w:color w:val="0000FF"/>
          <w:sz w:val="24"/>
          <w:lang w:val="en-US" w:eastAsia="zh-CN"/>
        </w:rPr>
        <w:t>日-15日</w:t>
      </w:r>
      <w:r>
        <w:rPr>
          <w:color w:val="0000FF"/>
          <w:spacing w:val="-2"/>
        </w:rPr>
        <w:t>对项目区项目区</w:t>
      </w:r>
      <w:r>
        <w:rPr>
          <w:rFonts w:hint="eastAsia"/>
          <w:color w:val="0000FF"/>
          <w:spacing w:val="-7"/>
          <w:lang w:val="en-US" w:eastAsia="zh-CN"/>
        </w:rPr>
        <w:t>地下水排水口</w:t>
      </w:r>
      <w:r>
        <w:rPr>
          <w:color w:val="0000FF"/>
          <w:spacing w:val="-7"/>
        </w:rPr>
        <w:t>进行监测，监测结果可以看出，地下水监测因子中</w:t>
      </w:r>
      <w:r>
        <w:rPr>
          <w:rFonts w:hint="eastAsia" w:ascii="Times New Roman" w:hAnsi="Times New Roman" w:cs="Times New Roman"/>
          <w:color w:val="0000FF"/>
          <w:sz w:val="24"/>
          <w:lang w:val="en-US" w:eastAsia="zh-CN"/>
        </w:rPr>
        <w:t>总硬度</w:t>
      </w:r>
      <w:r>
        <w:rPr>
          <w:rFonts w:hint="eastAsia" w:ascii="Times New Roman" w:hAnsi="Times New Roman" w:cs="Times New Roman"/>
          <w:color w:val="0000FF"/>
          <w:sz w:val="24"/>
          <w:lang w:eastAsia="zh-CN"/>
        </w:rPr>
        <w:t>、</w:t>
      </w:r>
      <w:r>
        <w:rPr>
          <w:rFonts w:hint="eastAsia" w:ascii="Times New Roman" w:hAnsi="Times New Roman" w:cs="Times New Roman"/>
          <w:color w:val="0000FF"/>
          <w:sz w:val="24"/>
          <w:lang w:val="en-US" w:eastAsia="zh-CN"/>
        </w:rPr>
        <w:t>硫酸盐</w:t>
      </w:r>
      <w:r>
        <w:rPr>
          <w:rFonts w:hint="eastAsia" w:ascii="Times New Roman" w:hAnsi="Times New Roman" w:eastAsia="宋体" w:cs="Times New Roman"/>
          <w:color w:val="0000FF"/>
          <w:sz w:val="24"/>
          <w:lang w:val="en-US" w:eastAsia="zh-CN"/>
        </w:rPr>
        <w:t>、</w:t>
      </w:r>
      <w:r>
        <w:rPr>
          <w:rFonts w:hint="eastAsia" w:ascii="Times New Roman" w:hAnsi="Times New Roman" w:cs="Times New Roman"/>
          <w:color w:val="0000FF"/>
          <w:sz w:val="24"/>
          <w:lang w:val="en-US" w:eastAsia="zh-CN"/>
        </w:rPr>
        <w:t>氯化物、溶解性总固体和钠</w:t>
      </w:r>
      <w:r>
        <w:rPr>
          <w:rFonts w:hint="eastAsia" w:ascii="Times New Roman" w:hAnsi="Times New Roman" w:eastAsia="宋体" w:cs="Times New Roman"/>
          <w:color w:val="0000FF"/>
          <w:sz w:val="24"/>
          <w:lang w:val="en-US" w:eastAsia="zh-CN"/>
        </w:rPr>
        <w:t>出现超标</w:t>
      </w:r>
      <w:r>
        <w:rPr>
          <w:color w:val="0000FF"/>
          <w:spacing w:val="-12"/>
        </w:rPr>
        <w:t>存在不同程度的超标，其他监测因子均满足《地</w:t>
      </w:r>
      <w:r>
        <w:rPr>
          <w:color w:val="0000FF"/>
          <w:spacing w:val="3"/>
        </w:rPr>
        <w:t>下水质量标准》</w:t>
      </w:r>
      <w:r>
        <w:rPr>
          <w:color w:val="0000FF"/>
        </w:rPr>
        <w:t>（</w:t>
      </w:r>
      <w:r>
        <w:rPr>
          <w:rFonts w:ascii="Times New Roman" w:hAnsi="Times New Roman" w:eastAsia="Times New Roman"/>
          <w:color w:val="0000FF"/>
        </w:rPr>
        <w:t>GB/T14848-2017</w:t>
      </w:r>
      <w:r>
        <w:rPr>
          <w:color w:val="0000FF"/>
        </w:rPr>
        <w:t>）中的Ⅲ类标准要求。</w:t>
      </w:r>
      <w:r>
        <w:rPr>
          <w:rFonts w:hint="eastAsia" w:ascii="Times New Roman" w:hAnsi="Times New Roman" w:cs="Times New Roman"/>
          <w:color w:val="0000FF"/>
          <w:sz w:val="24"/>
          <w:lang w:val="en-US" w:eastAsia="zh-CN"/>
        </w:rPr>
        <w:t>总硬度</w:t>
      </w:r>
      <w:r>
        <w:rPr>
          <w:rFonts w:hint="eastAsia" w:ascii="Times New Roman" w:hAnsi="Times New Roman" w:cs="Times New Roman"/>
          <w:color w:val="0000FF"/>
          <w:sz w:val="24"/>
          <w:lang w:eastAsia="zh-CN"/>
        </w:rPr>
        <w:t>、</w:t>
      </w:r>
      <w:r>
        <w:rPr>
          <w:rFonts w:hint="eastAsia" w:ascii="Times New Roman" w:hAnsi="Times New Roman" w:cs="Times New Roman"/>
          <w:color w:val="0000FF"/>
          <w:sz w:val="24"/>
          <w:lang w:val="en-US" w:eastAsia="zh-CN"/>
        </w:rPr>
        <w:t>硫酸盐</w:t>
      </w:r>
      <w:r>
        <w:rPr>
          <w:rFonts w:hint="eastAsia" w:ascii="Times New Roman" w:hAnsi="Times New Roman" w:eastAsia="宋体" w:cs="Times New Roman"/>
          <w:color w:val="0000FF"/>
          <w:sz w:val="24"/>
          <w:lang w:val="en-US" w:eastAsia="zh-CN"/>
        </w:rPr>
        <w:t>、</w:t>
      </w:r>
      <w:r>
        <w:rPr>
          <w:rFonts w:hint="eastAsia" w:ascii="Times New Roman" w:hAnsi="Times New Roman" w:cs="Times New Roman"/>
          <w:color w:val="0000FF"/>
          <w:sz w:val="24"/>
          <w:lang w:val="en-US" w:eastAsia="zh-CN"/>
        </w:rPr>
        <w:t>氯化物、溶解性总固体和钠</w:t>
      </w:r>
      <w:r>
        <w:rPr>
          <w:rFonts w:hint="eastAsia" w:ascii="Times New Roman" w:hAnsi="Times New Roman" w:eastAsia="宋体" w:cs="Times New Roman"/>
          <w:color w:val="0000FF"/>
          <w:sz w:val="24"/>
          <w:lang w:val="en-US" w:eastAsia="zh-CN"/>
        </w:rPr>
        <w:t>出现</w:t>
      </w:r>
      <w:r>
        <w:rPr>
          <w:rFonts w:hint="eastAsia" w:ascii="Times New Roman" w:hAnsi="Times New Roman" w:cs="Times New Roman"/>
          <w:color w:val="0000FF"/>
          <w:sz w:val="24"/>
          <w:lang w:val="en-US" w:eastAsia="zh-CN"/>
        </w:rPr>
        <w:t>超标原因是南疆地区干旱炎热土壤的盐碱化程度非常高，故导致地下水出现超标。</w:t>
      </w:r>
    </w:p>
    <w:p>
      <w:pPr>
        <w:pStyle w:val="5"/>
        <w:numPr>
          <w:ilvl w:val="2"/>
          <w:numId w:val="80"/>
        </w:numPr>
        <w:tabs>
          <w:tab w:val="left" w:pos="921"/>
        </w:tabs>
        <w:spacing w:before="190" w:after="0" w:line="240" w:lineRule="auto"/>
        <w:ind w:left="920" w:right="0" w:hanging="701"/>
        <w:jc w:val="left"/>
        <w:outlineLvl w:val="2"/>
      </w:pPr>
      <w:bookmarkStart w:id="522" w:name="9.3.3 声环境"/>
      <w:bookmarkEnd w:id="522"/>
      <w:bookmarkStart w:id="523" w:name="9.3.3 声环境"/>
      <w:bookmarkEnd w:id="523"/>
      <w:bookmarkStart w:id="524" w:name="_Toc6458"/>
      <w:r>
        <w:t>声环境</w:t>
      </w:r>
      <w:bookmarkEnd w:id="524"/>
    </w:p>
    <w:p>
      <w:pPr>
        <w:pStyle w:val="7"/>
        <w:spacing w:before="7"/>
        <w:ind w:left="0"/>
        <w:rPr>
          <w:b/>
          <w:sz w:val="21"/>
        </w:rPr>
      </w:pPr>
    </w:p>
    <w:p>
      <w:pPr>
        <w:pStyle w:val="7"/>
        <w:spacing w:line="364" w:lineRule="auto"/>
        <w:ind w:left="220" w:right="225" w:firstLine="480"/>
        <w:rPr>
          <w:color w:val="0000FF"/>
        </w:rPr>
      </w:pPr>
      <w:r>
        <w:rPr>
          <w:color w:val="0000FF"/>
          <w:spacing w:val="-1"/>
        </w:rPr>
        <w:t>本次委托</w:t>
      </w:r>
      <w:r>
        <w:rPr>
          <w:rFonts w:hint="eastAsia" w:ascii="Times New Roman" w:hAnsi="Times New Roman" w:eastAsia="宋体" w:cs="Times New Roman"/>
          <w:color w:val="0000FF"/>
          <w:sz w:val="24"/>
          <w:lang w:val="en-US" w:eastAsia="zh-CN"/>
        </w:rPr>
        <w:t>新疆环疆绿源环保科技有限公司</w:t>
      </w:r>
      <w:r>
        <w:rPr>
          <w:color w:val="0000FF"/>
          <w:spacing w:val="-1"/>
        </w:rPr>
        <w:t>进行了声环境质量现状的实地监测。</w:t>
      </w:r>
      <w:r>
        <w:rPr>
          <w:color w:val="0000FF"/>
          <w:spacing w:val="-10"/>
        </w:rPr>
        <w:t>监测时间为</w:t>
      </w:r>
      <w:r>
        <w:rPr>
          <w:rFonts w:ascii="Times New Roman" w:eastAsia="Times New Roman"/>
          <w:color w:val="0000FF"/>
        </w:rPr>
        <w:t>20</w:t>
      </w:r>
      <w:r>
        <w:rPr>
          <w:rFonts w:hint="eastAsia" w:ascii="Times New Roman" w:eastAsia="宋体"/>
          <w:color w:val="0000FF"/>
          <w:lang w:val="en-US" w:eastAsia="zh-CN"/>
        </w:rPr>
        <w:t>20</w:t>
      </w:r>
      <w:r>
        <w:rPr>
          <w:color w:val="0000FF"/>
          <w:spacing w:val="-30"/>
        </w:rPr>
        <w:t>年</w:t>
      </w:r>
      <w:r>
        <w:rPr>
          <w:rFonts w:hint="eastAsia"/>
          <w:color w:val="0000FF"/>
          <w:spacing w:val="-30"/>
          <w:lang w:val="en-US" w:eastAsia="zh-CN"/>
        </w:rPr>
        <w:t>1</w:t>
      </w:r>
      <w:r>
        <w:rPr>
          <w:color w:val="0000FF"/>
          <w:spacing w:val="-29"/>
        </w:rPr>
        <w:t>月</w:t>
      </w:r>
      <w:r>
        <w:rPr>
          <w:rFonts w:hint="eastAsia"/>
          <w:color w:val="0000FF"/>
          <w:spacing w:val="-29"/>
          <w:lang w:val="en-US" w:eastAsia="zh-CN"/>
        </w:rPr>
        <w:t>10</w:t>
      </w:r>
      <w:r>
        <w:rPr>
          <w:color w:val="0000FF"/>
          <w:spacing w:val="-19"/>
        </w:rPr>
        <w:t>日</w:t>
      </w:r>
      <w:r>
        <w:rPr>
          <w:color w:val="0000FF"/>
        </w:rPr>
        <w:t>，分昼间和夜间两时段监测。检测结果</w:t>
      </w:r>
      <w:r>
        <w:rPr>
          <w:color w:val="0000FF"/>
          <w:spacing w:val="-4"/>
        </w:rPr>
        <w:t>表明，本项目</w:t>
      </w:r>
      <w:r>
        <w:rPr>
          <w:rFonts w:ascii="Times New Roman" w:eastAsia="Times New Roman"/>
          <w:color w:val="0000FF"/>
        </w:rPr>
        <w:t>4</w:t>
      </w:r>
      <w:r>
        <w:rPr>
          <w:color w:val="0000FF"/>
          <w:spacing w:val="26"/>
        </w:rPr>
        <w:t>个厂界各监测点噪声监测值均小于《声环境质量标准》</w:t>
      </w:r>
      <w:r>
        <w:rPr>
          <w:color w:val="0000FF"/>
        </w:rPr>
        <w:t>（</w:t>
      </w:r>
      <w:r>
        <w:rPr>
          <w:rFonts w:ascii="Times New Roman" w:eastAsia="Times New Roman"/>
          <w:color w:val="0000FF"/>
        </w:rPr>
        <w:t>GB3096-2008</w:t>
      </w:r>
      <w:r>
        <w:rPr>
          <w:color w:val="0000FF"/>
        </w:rPr>
        <w:t>）</w:t>
      </w:r>
      <w:r>
        <w:rPr>
          <w:color w:val="0000FF"/>
          <w:spacing w:val="-21"/>
        </w:rPr>
        <w:t>中的</w:t>
      </w:r>
      <w:r>
        <w:rPr>
          <w:rFonts w:ascii="Times New Roman" w:eastAsia="Times New Roman"/>
          <w:color w:val="0000FF"/>
        </w:rPr>
        <w:t>2</w:t>
      </w:r>
      <w:r>
        <w:rPr>
          <w:color w:val="0000FF"/>
          <w:spacing w:val="-7"/>
        </w:rPr>
        <w:t>类标准限值，声环境质量现状满足</w:t>
      </w:r>
      <w:r>
        <w:rPr>
          <w:rFonts w:ascii="Times New Roman" w:eastAsia="Times New Roman"/>
          <w:color w:val="0000FF"/>
        </w:rPr>
        <w:t>2</w:t>
      </w:r>
      <w:r>
        <w:rPr>
          <w:color w:val="0000FF"/>
          <w:spacing w:val="-2"/>
        </w:rPr>
        <w:t>类声环境功能区要</w:t>
      </w:r>
      <w:r>
        <w:rPr>
          <w:color w:val="0000FF"/>
        </w:rPr>
        <w:t>求，声环境质量现状较好。</w:t>
      </w:r>
    </w:p>
    <w:p>
      <w:pPr>
        <w:pStyle w:val="5"/>
        <w:numPr>
          <w:ilvl w:val="2"/>
          <w:numId w:val="80"/>
        </w:numPr>
        <w:tabs>
          <w:tab w:val="left" w:pos="921"/>
        </w:tabs>
        <w:spacing w:before="52" w:after="0" w:line="240" w:lineRule="auto"/>
        <w:ind w:left="920" w:right="0" w:hanging="701"/>
        <w:jc w:val="left"/>
        <w:outlineLvl w:val="2"/>
      </w:pPr>
      <w:bookmarkStart w:id="525" w:name="_Toc30774"/>
      <w:r>
        <w:t>土壤环境</w:t>
      </w:r>
      <w:bookmarkEnd w:id="525"/>
    </w:p>
    <w:p>
      <w:pPr>
        <w:pStyle w:val="7"/>
        <w:spacing w:before="214" w:line="364" w:lineRule="auto"/>
        <w:ind w:left="220" w:right="317" w:firstLine="480"/>
        <w:jc w:val="both"/>
        <w:rPr>
          <w:color w:val="0000FF"/>
        </w:rPr>
      </w:pPr>
      <w:r>
        <w:rPr>
          <w:color w:val="0000FF"/>
          <w:spacing w:val="-4"/>
        </w:rPr>
        <w:t>本次委托新疆</w:t>
      </w:r>
      <w:r>
        <w:rPr>
          <w:rFonts w:hint="eastAsia"/>
          <w:color w:val="0000FF"/>
          <w:spacing w:val="-4"/>
          <w:lang w:val="en-US" w:eastAsia="zh-CN"/>
        </w:rPr>
        <w:t>环疆绿源环保科技</w:t>
      </w:r>
      <w:r>
        <w:rPr>
          <w:color w:val="0000FF"/>
          <w:spacing w:val="-4"/>
        </w:rPr>
        <w:t>有限公司于</w:t>
      </w:r>
      <w:r>
        <w:rPr>
          <w:rFonts w:ascii="Times New Roman" w:eastAsia="Times New Roman"/>
          <w:color w:val="0000FF"/>
        </w:rPr>
        <w:t>20</w:t>
      </w:r>
      <w:r>
        <w:rPr>
          <w:rFonts w:hint="eastAsia" w:ascii="Times New Roman" w:eastAsia="宋体"/>
          <w:color w:val="0000FF"/>
          <w:lang w:val="en-US" w:eastAsia="zh-CN"/>
        </w:rPr>
        <w:t>20</w:t>
      </w:r>
      <w:r>
        <w:rPr>
          <w:color w:val="0000FF"/>
          <w:spacing w:val="-38"/>
        </w:rPr>
        <w:t>年</w:t>
      </w:r>
      <w:r>
        <w:rPr>
          <w:rFonts w:hint="eastAsia"/>
          <w:color w:val="0000FF"/>
          <w:spacing w:val="-38"/>
          <w:lang w:val="en-US" w:eastAsia="zh-CN"/>
        </w:rPr>
        <w:t>1</w:t>
      </w:r>
      <w:r>
        <w:rPr>
          <w:color w:val="0000FF"/>
          <w:spacing w:val="-38"/>
        </w:rPr>
        <w:t>月</w:t>
      </w:r>
      <w:r>
        <w:rPr>
          <w:rFonts w:hint="eastAsia"/>
          <w:color w:val="0000FF"/>
          <w:spacing w:val="-38"/>
          <w:lang w:val="en-US" w:eastAsia="zh-CN"/>
        </w:rPr>
        <w:t>9</w:t>
      </w:r>
      <w:r>
        <w:rPr>
          <w:color w:val="0000FF"/>
          <w:spacing w:val="-2"/>
        </w:rPr>
        <w:t>日在项目占地范围</w:t>
      </w:r>
      <w:r>
        <w:rPr>
          <w:color w:val="0000FF"/>
        </w:rPr>
        <w:t>内的土壤进行现场采样和检测分析，进行项目区域土壤环境质量现状评价。</w:t>
      </w:r>
    </w:p>
    <w:p>
      <w:pPr>
        <w:spacing w:after="0" w:line="364" w:lineRule="auto"/>
        <w:jc w:val="both"/>
        <w:rPr>
          <w:color w:val="0000FF"/>
        </w:rPr>
        <w:sectPr>
          <w:footerReference r:id="rId27"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243" w:firstLine="480"/>
        <w:jc w:val="both"/>
        <w:rPr>
          <w:color w:val="0000FF"/>
        </w:rPr>
      </w:pPr>
      <w:r>
        <w:rPr>
          <w:color w:val="0000FF"/>
          <w:spacing w:val="-5"/>
        </w:rPr>
        <w:t>在项目占地范围内设</w:t>
      </w:r>
      <w:r>
        <w:rPr>
          <w:rFonts w:ascii="Times New Roman" w:eastAsia="Times New Roman"/>
          <w:color w:val="0000FF"/>
        </w:rPr>
        <w:t>3</w:t>
      </w:r>
      <w:r>
        <w:rPr>
          <w:color w:val="0000FF"/>
          <w:spacing w:val="-4"/>
        </w:rPr>
        <w:t>个表层样监测点。其中监测点</w:t>
      </w:r>
      <w:r>
        <w:rPr>
          <w:rFonts w:ascii="Times New Roman" w:eastAsia="Times New Roman"/>
          <w:color w:val="0000FF"/>
        </w:rPr>
        <w:t>1#</w:t>
      </w:r>
      <w:r>
        <w:rPr>
          <w:rFonts w:hint="eastAsia" w:ascii="Times New Roman" w:eastAsia="宋体"/>
          <w:color w:val="0000FF"/>
          <w:lang w:val="en-US" w:eastAsia="zh-CN"/>
        </w:rPr>
        <w:t>2#3#</w:t>
      </w:r>
      <w:r>
        <w:rPr>
          <w:color w:val="0000FF"/>
        </w:rPr>
        <w:t>检测《畜禽养殖产地评价规范》（</w:t>
      </w:r>
      <w:r>
        <w:rPr>
          <w:rFonts w:ascii="Times New Roman" w:eastAsia="Times New Roman"/>
          <w:color w:val="0000FF"/>
        </w:rPr>
        <w:t>HJ568-2010</w:t>
      </w:r>
      <w:r>
        <w:rPr>
          <w:color w:val="0000FF"/>
        </w:rPr>
        <w:t>）</w:t>
      </w:r>
      <w:r>
        <w:rPr>
          <w:color w:val="0000FF"/>
          <w:spacing w:val="-31"/>
        </w:rPr>
        <w:t>表</w:t>
      </w:r>
      <w:r>
        <w:rPr>
          <w:rFonts w:ascii="Times New Roman" w:eastAsia="Times New Roman"/>
          <w:color w:val="0000FF"/>
        </w:rPr>
        <w:t>4</w:t>
      </w:r>
      <w:r>
        <w:rPr>
          <w:color w:val="0000FF"/>
          <w:spacing w:val="-20"/>
        </w:rPr>
        <w:t>所列</w:t>
      </w:r>
      <w:r>
        <w:rPr>
          <w:rFonts w:ascii="Times New Roman" w:eastAsia="Times New Roman"/>
          <w:color w:val="0000FF"/>
        </w:rPr>
        <w:t>8</w:t>
      </w:r>
      <w:r>
        <w:rPr>
          <w:color w:val="0000FF"/>
          <w:spacing w:val="-10"/>
        </w:rPr>
        <w:t>项基本项及</w:t>
      </w:r>
      <w:r>
        <w:rPr>
          <w:rFonts w:ascii="Times New Roman" w:eastAsia="Times New Roman"/>
          <w:color w:val="0000FF"/>
        </w:rPr>
        <w:t>pH</w:t>
      </w:r>
      <w:r>
        <w:rPr>
          <w:color w:val="0000FF"/>
          <w:spacing w:val="-8"/>
        </w:rPr>
        <w:t>、共计</w:t>
      </w:r>
      <w:r>
        <w:rPr>
          <w:rFonts w:hint="eastAsia"/>
          <w:color w:val="0000FF"/>
          <w:spacing w:val="-8"/>
          <w:lang w:val="en-US" w:eastAsia="zh-CN"/>
        </w:rPr>
        <w:t>9</w:t>
      </w:r>
      <w:r>
        <w:rPr>
          <w:color w:val="0000FF"/>
          <w:spacing w:val="-8"/>
        </w:rPr>
        <w:t>项；</w:t>
      </w:r>
    </w:p>
    <w:p>
      <w:pPr>
        <w:pStyle w:val="7"/>
        <w:spacing w:before="2"/>
        <w:ind w:left="700"/>
        <w:jc w:val="both"/>
        <w:rPr>
          <w:color w:val="0000FF"/>
        </w:rPr>
      </w:pPr>
      <w:r>
        <w:rPr>
          <w:color w:val="0000FF"/>
        </w:rPr>
        <w:t>由表</w:t>
      </w:r>
      <w:r>
        <w:rPr>
          <w:rFonts w:ascii="Times New Roman" w:eastAsia="Times New Roman"/>
          <w:color w:val="0000FF"/>
        </w:rPr>
        <w:t>4.2-</w:t>
      </w:r>
      <w:r>
        <w:rPr>
          <w:rFonts w:hint="eastAsia" w:ascii="Times New Roman" w:eastAsia="宋体"/>
          <w:color w:val="0000FF"/>
          <w:lang w:val="en-US" w:eastAsia="zh-CN"/>
        </w:rPr>
        <w:t>9</w:t>
      </w:r>
      <w:r>
        <w:rPr>
          <w:color w:val="0000FF"/>
        </w:rPr>
        <w:t>监测结果可以看出，</w:t>
      </w:r>
      <w:r>
        <w:rPr>
          <w:rFonts w:ascii="Times New Roman" w:eastAsia="Times New Roman"/>
          <w:color w:val="0000FF"/>
        </w:rPr>
        <w:t>2#</w:t>
      </w:r>
      <w:r>
        <w:rPr>
          <w:color w:val="0000FF"/>
        </w:rPr>
        <w:t>监测的</w:t>
      </w:r>
      <w:r>
        <w:rPr>
          <w:rFonts w:ascii="Times New Roman" w:eastAsia="Times New Roman"/>
          <w:color w:val="0000FF"/>
        </w:rPr>
        <w:t>8</w:t>
      </w:r>
      <w:r>
        <w:rPr>
          <w:color w:val="0000FF"/>
        </w:rPr>
        <w:t>项土壤指标的监测浓度和</w:t>
      </w:r>
      <w:r>
        <w:rPr>
          <w:rFonts w:ascii="Times New Roman" w:eastAsia="Times New Roman"/>
          <w:color w:val="0000FF"/>
        </w:rPr>
        <w:t>1#</w:t>
      </w:r>
      <w:r>
        <w:rPr>
          <w:color w:val="0000FF"/>
        </w:rPr>
        <w:t>、</w:t>
      </w:r>
    </w:p>
    <w:p>
      <w:pPr>
        <w:pStyle w:val="7"/>
        <w:spacing w:before="160" w:line="364" w:lineRule="auto"/>
        <w:ind w:left="220" w:right="315"/>
        <w:jc w:val="both"/>
        <w:rPr>
          <w:color w:val="0000FF"/>
        </w:rPr>
      </w:pPr>
      <w:r>
        <w:rPr>
          <w:rFonts w:ascii="Times New Roman" w:eastAsia="Times New Roman"/>
          <w:color w:val="0000FF"/>
        </w:rPr>
        <w:t>3#</w:t>
      </w:r>
      <w:r>
        <w:rPr>
          <w:color w:val="0000FF"/>
          <w:spacing w:val="-5"/>
        </w:rPr>
        <w:t>监测的锌浓度均满足《畜禽养殖产地环境评价规范》</w:t>
      </w:r>
      <w:r>
        <w:rPr>
          <w:color w:val="0000FF"/>
        </w:rPr>
        <w:t>（</w:t>
      </w:r>
      <w:r>
        <w:rPr>
          <w:rFonts w:ascii="Times New Roman" w:eastAsia="Times New Roman"/>
          <w:color w:val="0000FF"/>
        </w:rPr>
        <w:t>HJ568-2010</w:t>
      </w:r>
      <w:r>
        <w:rPr>
          <w:color w:val="0000FF"/>
        </w:rPr>
        <w:t>）</w:t>
      </w:r>
      <w:r>
        <w:rPr>
          <w:color w:val="0000FF"/>
          <w:spacing w:val="-23"/>
        </w:rPr>
        <w:t>中表</w:t>
      </w:r>
      <w:r>
        <w:rPr>
          <w:rFonts w:ascii="Times New Roman" w:eastAsia="Times New Roman"/>
          <w:color w:val="0000FF"/>
        </w:rPr>
        <w:t>4</w:t>
      </w:r>
      <w:r>
        <w:rPr>
          <w:color w:val="0000FF"/>
          <w:spacing w:val="-14"/>
        </w:rPr>
        <w:t>养</w:t>
      </w:r>
      <w:r>
        <w:rPr>
          <w:color w:val="0000FF"/>
        </w:rPr>
        <w:t>殖场土壤环境质量评价指标限值。</w:t>
      </w:r>
    </w:p>
    <w:p>
      <w:pPr>
        <w:pStyle w:val="7"/>
        <w:spacing w:before="1"/>
        <w:ind w:left="700"/>
        <w:rPr>
          <w:color w:val="0000FF"/>
        </w:rPr>
      </w:pPr>
      <w:r>
        <w:rPr>
          <w:color w:val="0000FF"/>
        </w:rPr>
        <w:t>可见，项目占地范围内土壤环境质量较好。</w:t>
      </w:r>
    </w:p>
    <w:p>
      <w:pPr>
        <w:pStyle w:val="4"/>
        <w:numPr>
          <w:ilvl w:val="1"/>
          <w:numId w:val="79"/>
        </w:numPr>
        <w:tabs>
          <w:tab w:val="left" w:pos="780"/>
        </w:tabs>
        <w:spacing w:before="0" w:after="0" w:line="240" w:lineRule="auto"/>
        <w:ind w:left="779" w:right="0" w:hanging="560"/>
        <w:jc w:val="left"/>
        <w:outlineLvl w:val="1"/>
      </w:pPr>
      <w:bookmarkStart w:id="526" w:name="9.4 工程分析结论"/>
      <w:bookmarkEnd w:id="526"/>
      <w:bookmarkStart w:id="527" w:name="_bookmark43"/>
      <w:bookmarkEnd w:id="527"/>
      <w:bookmarkStart w:id="528" w:name="_bookmark43"/>
      <w:bookmarkEnd w:id="528"/>
      <w:bookmarkStart w:id="529" w:name="_Toc15273"/>
      <w:r>
        <w:t>工程分析结论</w:t>
      </w:r>
      <w:bookmarkEnd w:id="529"/>
    </w:p>
    <w:p>
      <w:pPr>
        <w:pStyle w:val="7"/>
        <w:spacing w:before="6"/>
        <w:ind w:left="0"/>
        <w:rPr>
          <w:b/>
          <w:sz w:val="28"/>
        </w:rPr>
      </w:pPr>
    </w:p>
    <w:p>
      <w:pPr>
        <w:pStyle w:val="5"/>
        <w:numPr>
          <w:ilvl w:val="2"/>
          <w:numId w:val="81"/>
        </w:numPr>
        <w:tabs>
          <w:tab w:val="left" w:pos="921"/>
        </w:tabs>
        <w:spacing w:before="0" w:after="0" w:line="240" w:lineRule="auto"/>
        <w:ind w:left="920" w:right="0" w:hanging="701"/>
        <w:jc w:val="left"/>
        <w:outlineLvl w:val="2"/>
      </w:pPr>
      <w:bookmarkStart w:id="530" w:name="9.4.1 废气污染源"/>
      <w:bookmarkEnd w:id="530"/>
      <w:bookmarkStart w:id="531" w:name="9.4.1 废气污染源"/>
      <w:bookmarkEnd w:id="531"/>
      <w:bookmarkStart w:id="532" w:name="_Toc13963"/>
      <w:r>
        <w:t>废气污染源</w:t>
      </w:r>
      <w:bookmarkEnd w:id="532"/>
    </w:p>
    <w:p>
      <w:pPr>
        <w:pStyle w:val="7"/>
        <w:spacing w:before="5"/>
        <w:ind w:left="0"/>
        <w:rPr>
          <w:b/>
          <w:sz w:val="21"/>
        </w:rPr>
      </w:pPr>
    </w:p>
    <w:p>
      <w:pPr>
        <w:pStyle w:val="7"/>
        <w:spacing w:line="364" w:lineRule="auto"/>
        <w:ind w:left="220" w:right="317" w:firstLine="480"/>
      </w:pPr>
      <w:r>
        <w:rPr>
          <w:spacing w:val="-5"/>
        </w:rPr>
        <w:t>项目运营期废气污染源主要为主要为养殖区圈舍和堆肥厂的恶臭，还有病死</w:t>
      </w:r>
      <w:r>
        <w:t>羊无害化处理化制废气。</w:t>
      </w:r>
    </w:p>
    <w:p>
      <w:pPr>
        <w:pStyle w:val="7"/>
        <w:spacing w:line="362" w:lineRule="auto"/>
        <w:ind w:left="220" w:right="310" w:firstLine="480"/>
        <w:jc w:val="both"/>
      </w:pPr>
      <w:r>
        <w:rPr>
          <w:position w:val="2"/>
        </w:rPr>
        <w:t>羊舍无组织恶臭气体</w:t>
      </w:r>
      <w:r>
        <w:rPr>
          <w:rFonts w:ascii="Times New Roman" w:eastAsia="Times New Roman"/>
          <w:position w:val="2"/>
        </w:rPr>
        <w:t>NH</w:t>
      </w:r>
      <w:r>
        <w:rPr>
          <w:rFonts w:ascii="Times New Roman" w:eastAsia="Times New Roman"/>
          <w:position w:val="2"/>
          <w:vertAlign w:val="subscript"/>
        </w:rPr>
        <w:t>3</w:t>
      </w:r>
      <w:r>
        <w:rPr>
          <w:position w:val="2"/>
          <w:vertAlign w:val="baseline"/>
        </w:rPr>
        <w:t>排放量为</w:t>
      </w:r>
      <w:r>
        <w:rPr>
          <w:rFonts w:ascii="Times New Roman" w:eastAsia="Times New Roman"/>
          <w:spacing w:val="-3"/>
          <w:position w:val="2"/>
          <w:vertAlign w:val="baseline"/>
        </w:rPr>
        <w:t>0.268t/a</w:t>
      </w:r>
      <w:r>
        <w:rPr>
          <w:spacing w:val="-3"/>
          <w:position w:val="2"/>
          <w:vertAlign w:val="baseline"/>
        </w:rPr>
        <w:t>，</w:t>
      </w:r>
      <w:r>
        <w:rPr>
          <w:rFonts w:ascii="Times New Roman" w:eastAsia="Times New Roman"/>
          <w:spacing w:val="-3"/>
          <w:position w:val="2"/>
          <w:vertAlign w:val="baseline"/>
        </w:rPr>
        <w:t>H</w:t>
      </w:r>
      <w:r>
        <w:rPr>
          <w:rFonts w:ascii="Times New Roman" w:eastAsia="Times New Roman"/>
          <w:spacing w:val="-3"/>
          <w:position w:val="2"/>
          <w:vertAlign w:val="subscript"/>
        </w:rPr>
        <w:t>2</w:t>
      </w:r>
      <w:r>
        <w:rPr>
          <w:rFonts w:ascii="Times New Roman" w:eastAsia="Times New Roman"/>
          <w:spacing w:val="-3"/>
          <w:position w:val="2"/>
          <w:vertAlign w:val="baseline"/>
        </w:rPr>
        <w:t>S</w:t>
      </w:r>
      <w:r>
        <w:rPr>
          <w:position w:val="2"/>
          <w:vertAlign w:val="baseline"/>
        </w:rPr>
        <w:t>排放量为</w:t>
      </w:r>
      <w:r>
        <w:rPr>
          <w:rFonts w:ascii="Times New Roman" w:eastAsia="Times New Roman"/>
          <w:spacing w:val="-3"/>
          <w:position w:val="2"/>
          <w:vertAlign w:val="baseline"/>
        </w:rPr>
        <w:t>0.00268t/a</w:t>
      </w:r>
      <w:r>
        <w:rPr>
          <w:spacing w:val="-6"/>
          <w:position w:val="2"/>
          <w:vertAlign w:val="baseline"/>
        </w:rPr>
        <w:t>；堆肥厂</w:t>
      </w:r>
      <w:r>
        <w:rPr>
          <w:position w:val="2"/>
          <w:vertAlign w:val="baseline"/>
        </w:rPr>
        <w:t>无组织恶臭气体</w:t>
      </w:r>
      <w:r>
        <w:rPr>
          <w:rFonts w:ascii="Times New Roman" w:eastAsia="Times New Roman"/>
          <w:position w:val="2"/>
          <w:vertAlign w:val="baseline"/>
        </w:rPr>
        <w:t>NH</w:t>
      </w:r>
      <w:r>
        <w:rPr>
          <w:rFonts w:ascii="Times New Roman" w:eastAsia="Times New Roman"/>
          <w:position w:val="2"/>
          <w:vertAlign w:val="subscript"/>
        </w:rPr>
        <w:t>3</w:t>
      </w:r>
      <w:r>
        <w:rPr>
          <w:position w:val="2"/>
          <w:vertAlign w:val="baseline"/>
        </w:rPr>
        <w:t>排放量为</w:t>
      </w:r>
      <w:r>
        <w:rPr>
          <w:rFonts w:ascii="Times New Roman" w:eastAsia="Times New Roman"/>
          <w:position w:val="2"/>
          <w:vertAlign w:val="baseline"/>
        </w:rPr>
        <w:t>0.0023t/a</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排放量为</w:t>
      </w:r>
      <w:r>
        <w:rPr>
          <w:rFonts w:ascii="Times New Roman" w:eastAsia="Times New Roman"/>
          <w:position w:val="2"/>
          <w:vertAlign w:val="baseline"/>
        </w:rPr>
        <w:t>0.00019t/a</w:t>
      </w:r>
      <w:r>
        <w:rPr>
          <w:position w:val="2"/>
          <w:vertAlign w:val="baseline"/>
        </w:rPr>
        <w:t>；无害化处理化</w:t>
      </w:r>
      <w:r>
        <w:rPr>
          <w:spacing w:val="33"/>
          <w:position w:val="2"/>
          <w:vertAlign w:val="baseline"/>
        </w:rPr>
        <w:t>制废气经光解除臭装置处理后通过</w:t>
      </w:r>
      <w:r>
        <w:rPr>
          <w:rFonts w:ascii="Times New Roman" w:eastAsia="Times New Roman"/>
          <w:position w:val="2"/>
          <w:vertAlign w:val="baseline"/>
        </w:rPr>
        <w:t>15m</w:t>
      </w:r>
      <w:r>
        <w:rPr>
          <w:spacing w:val="15"/>
          <w:position w:val="2"/>
          <w:vertAlign w:val="baseline"/>
        </w:rPr>
        <w:t>高的排气筒排放，</w:t>
      </w:r>
      <w:r>
        <w:rPr>
          <w:rFonts w:ascii="Times New Roman" w:eastAsia="Times New Roman"/>
          <w:position w:val="2"/>
          <w:vertAlign w:val="baseline"/>
        </w:rPr>
        <w:t>NH</w:t>
      </w:r>
      <w:r>
        <w:rPr>
          <w:rFonts w:ascii="Times New Roman" w:eastAsia="Times New Roman"/>
          <w:position w:val="2"/>
          <w:vertAlign w:val="subscript"/>
        </w:rPr>
        <w:t>3</w:t>
      </w:r>
      <w:r>
        <w:rPr>
          <w:spacing w:val="25"/>
          <w:position w:val="2"/>
          <w:vertAlign w:val="baseline"/>
        </w:rPr>
        <w:t>排放量为</w:t>
      </w:r>
      <w:r>
        <w:rPr>
          <w:rFonts w:ascii="Times New Roman" w:eastAsia="Times New Roman"/>
          <w:spacing w:val="-1"/>
          <w:position w:val="2"/>
          <w:vertAlign w:val="baseline"/>
        </w:rPr>
        <w:t>0.01095t/a</w:t>
      </w:r>
      <w:r>
        <w:rPr>
          <w:spacing w:val="-1"/>
          <w:position w:val="2"/>
          <w:vertAlign w:val="baseline"/>
        </w:rPr>
        <w:t>，</w:t>
      </w:r>
      <w:r>
        <w:rPr>
          <w:rFonts w:ascii="Times New Roman" w:eastAsia="Times New Roman"/>
          <w:spacing w:val="-1"/>
          <w:position w:val="2"/>
          <w:vertAlign w:val="baseline"/>
        </w:rPr>
        <w:t>H</w:t>
      </w:r>
      <w:r>
        <w:rPr>
          <w:rFonts w:ascii="Times New Roman" w:eastAsia="Times New Roman"/>
          <w:spacing w:val="-1"/>
          <w:position w:val="2"/>
          <w:vertAlign w:val="subscript"/>
        </w:rPr>
        <w:t>2</w:t>
      </w:r>
      <w:r>
        <w:rPr>
          <w:rFonts w:ascii="Times New Roman" w:eastAsia="Times New Roman"/>
          <w:spacing w:val="-1"/>
          <w:position w:val="2"/>
          <w:vertAlign w:val="baseline"/>
        </w:rPr>
        <w:t>S</w:t>
      </w:r>
      <w:r>
        <w:rPr>
          <w:spacing w:val="-1"/>
          <w:position w:val="2"/>
          <w:vertAlign w:val="baseline"/>
        </w:rPr>
        <w:t>排放量为</w:t>
      </w:r>
      <w:r>
        <w:rPr>
          <w:rFonts w:ascii="Times New Roman" w:eastAsia="Times New Roman"/>
          <w:position w:val="2"/>
          <w:vertAlign w:val="baseline"/>
        </w:rPr>
        <w:t>0.001095t/a</w:t>
      </w:r>
      <w:r>
        <w:rPr>
          <w:spacing w:val="-8"/>
          <w:position w:val="2"/>
          <w:vertAlign w:val="baseline"/>
        </w:rPr>
        <w:t>。项目</w:t>
      </w:r>
      <w:r>
        <w:rPr>
          <w:rFonts w:ascii="Times New Roman" w:eastAsia="Times New Roman"/>
          <w:position w:val="2"/>
          <w:vertAlign w:val="baseline"/>
        </w:rPr>
        <w:t>NH</w:t>
      </w:r>
      <w:r>
        <w:rPr>
          <w:rFonts w:ascii="Times New Roman" w:eastAsia="Times New Roman"/>
          <w:position w:val="2"/>
          <w:vertAlign w:val="subscript"/>
        </w:rPr>
        <w:t>3</w:t>
      </w:r>
      <w:r>
        <w:rPr>
          <w:spacing w:val="-20"/>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5"/>
          <w:position w:val="2"/>
          <w:vertAlign w:val="baseline"/>
        </w:rPr>
        <w:t>厂界的浓度均满足《恶臭污</w:t>
      </w:r>
      <w:r>
        <w:rPr>
          <w:spacing w:val="-2"/>
          <w:vertAlign w:val="baseline"/>
        </w:rPr>
        <w:t>染物排放标准》</w:t>
      </w:r>
      <w:r>
        <w:rPr>
          <w:vertAlign w:val="baseline"/>
        </w:rPr>
        <w:t>（</w:t>
      </w:r>
      <w:r>
        <w:rPr>
          <w:rFonts w:ascii="Times New Roman" w:eastAsia="Times New Roman"/>
          <w:vertAlign w:val="baseline"/>
        </w:rPr>
        <w:t>GB14554-93</w:t>
      </w:r>
      <w:r>
        <w:rPr>
          <w:vertAlign w:val="baseline"/>
        </w:rPr>
        <w:t>）表</w:t>
      </w:r>
      <w:r>
        <w:rPr>
          <w:rFonts w:ascii="Times New Roman" w:eastAsia="Times New Roman"/>
          <w:vertAlign w:val="baseline"/>
        </w:rPr>
        <w:t>1</w:t>
      </w:r>
      <w:r>
        <w:rPr>
          <w:spacing w:val="-1"/>
          <w:vertAlign w:val="baseline"/>
        </w:rPr>
        <w:t>恶臭污染物厂界标准值限值要求，排气筒满足《恶臭污染物排放标准》表</w:t>
      </w:r>
      <w:r>
        <w:rPr>
          <w:rFonts w:ascii="Times New Roman" w:eastAsia="Times New Roman"/>
          <w:spacing w:val="-1"/>
          <w:vertAlign w:val="baseline"/>
        </w:rPr>
        <w:t>2</w:t>
      </w:r>
      <w:r>
        <w:rPr>
          <w:spacing w:val="-1"/>
          <w:vertAlign w:val="baseline"/>
        </w:rPr>
        <w:t>中限值要求。</w:t>
      </w:r>
    </w:p>
    <w:p>
      <w:pPr>
        <w:pStyle w:val="5"/>
        <w:numPr>
          <w:ilvl w:val="2"/>
          <w:numId w:val="81"/>
        </w:numPr>
        <w:tabs>
          <w:tab w:val="left" w:pos="921"/>
        </w:tabs>
        <w:spacing w:before="119" w:after="0" w:line="240" w:lineRule="auto"/>
        <w:ind w:left="920" w:right="0" w:hanging="701"/>
        <w:jc w:val="left"/>
        <w:outlineLvl w:val="2"/>
      </w:pPr>
      <w:bookmarkStart w:id="533" w:name="9.4.2 废水污染源"/>
      <w:bookmarkEnd w:id="533"/>
      <w:bookmarkStart w:id="534" w:name="9.4.2 废水污染源"/>
      <w:bookmarkEnd w:id="534"/>
      <w:bookmarkStart w:id="535" w:name="_Toc740"/>
      <w:r>
        <w:t>废水污染源</w:t>
      </w:r>
      <w:bookmarkEnd w:id="535"/>
    </w:p>
    <w:p>
      <w:pPr>
        <w:pStyle w:val="7"/>
        <w:spacing w:before="7"/>
        <w:ind w:left="0"/>
        <w:rPr>
          <w:b/>
          <w:sz w:val="21"/>
        </w:rPr>
      </w:pPr>
    </w:p>
    <w:p>
      <w:pPr>
        <w:pStyle w:val="7"/>
        <w:spacing w:line="364" w:lineRule="auto"/>
        <w:ind w:left="220" w:right="195" w:firstLine="480"/>
      </w:pPr>
      <w:r>
        <w:rPr>
          <w:spacing w:val="-7"/>
        </w:rPr>
        <w:t>本项目采用干清粪工艺，不产生圈舍冲洗废水；羊饮水一部分参与羊的新陈</w:t>
      </w:r>
      <w:r>
        <w:rPr>
          <w:spacing w:val="-10"/>
        </w:rPr>
        <w:t>代谢，另一部分饮水以尿液的方式排放，养殖场每栋羊舍地面为混凝土地面，上</w:t>
      </w:r>
      <w:r>
        <w:rPr>
          <w:spacing w:val="-23"/>
        </w:rPr>
        <w:t>端覆盖</w:t>
      </w:r>
      <w:r>
        <w:rPr>
          <w:rFonts w:ascii="Times New Roman" w:eastAsia="Times New Roman"/>
        </w:rPr>
        <w:t>35cm</w:t>
      </w:r>
      <w:r>
        <w:rPr>
          <w:spacing w:val="-4"/>
        </w:rPr>
        <w:t>厚垫料，铺设垫床一般采用废气杂草、农作物秸秆粉、锯末等农业</w:t>
      </w:r>
      <w:r>
        <w:rPr>
          <w:spacing w:val="-18"/>
        </w:rPr>
        <w:t>材料，羊排泄的尿液被垫料吸收、蒸发，项目定期对垫料层和粪便进行清理更换，</w:t>
      </w:r>
      <w:r>
        <w:rPr>
          <w:spacing w:val="-8"/>
        </w:rPr>
        <w:t>不需要对畜舍进行冲洗，无冲栏废水产生。垫料层与羊粪一起进入堆肥厂堆肥发</w:t>
      </w:r>
      <w:r>
        <w:rPr>
          <w:spacing w:val="-10"/>
        </w:rPr>
        <w:t>酵，废水实现综合利用，不外排。项目区夏季蒸发量很大，羊尿主要和粪便混合</w:t>
      </w:r>
      <w:r>
        <w:rPr>
          <w:spacing w:val="-12"/>
        </w:rPr>
        <w:t>在一起，每日及时清除，不进入排水系统。本项目职工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spacing w:after="0" w:line="364" w:lineRule="auto"/>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1"/>
        </w:numPr>
        <w:tabs>
          <w:tab w:val="left" w:pos="921"/>
        </w:tabs>
        <w:spacing w:before="143" w:after="0" w:line="240" w:lineRule="auto"/>
        <w:ind w:left="920" w:right="0" w:hanging="701"/>
        <w:jc w:val="left"/>
        <w:outlineLvl w:val="2"/>
      </w:pPr>
      <w:bookmarkStart w:id="536" w:name="9.4.3 噪声污染源"/>
      <w:bookmarkEnd w:id="536"/>
      <w:bookmarkStart w:id="537" w:name="9.4.3 噪声污染源"/>
      <w:bookmarkEnd w:id="537"/>
      <w:bookmarkStart w:id="538" w:name="_Toc206"/>
      <w:r>
        <w:t>噪声污染源</w:t>
      </w:r>
      <w:bookmarkEnd w:id="538"/>
    </w:p>
    <w:p>
      <w:pPr>
        <w:pStyle w:val="7"/>
        <w:spacing w:before="5"/>
        <w:ind w:left="0"/>
        <w:rPr>
          <w:b/>
          <w:sz w:val="21"/>
        </w:rPr>
      </w:pPr>
    </w:p>
    <w:p>
      <w:pPr>
        <w:pStyle w:val="7"/>
        <w:spacing w:line="364" w:lineRule="auto"/>
        <w:ind w:left="220" w:right="317" w:firstLine="480"/>
        <w:jc w:val="both"/>
      </w:pPr>
      <w:r>
        <w:rPr>
          <w:spacing w:val="-9"/>
        </w:rPr>
        <w:t>项目运营期间，场内噪声主要来源于羊舍畜禽叫声、养殖场风机、无害化处</w:t>
      </w:r>
      <w:r>
        <w:rPr>
          <w:spacing w:val="-6"/>
        </w:rPr>
        <w:t>理车间等设备运行噪声以及运输车辆噪声等。羊舍畜禽叫声、养殖场风机、无害</w:t>
      </w:r>
      <w:r>
        <w:rPr>
          <w:spacing w:val="-1"/>
        </w:rPr>
        <w:t>化处理车间等设备运行噪声以及运输车辆噪声，源强噪声值在</w:t>
      </w:r>
      <w:r>
        <w:rPr>
          <w:rFonts w:ascii="Times New Roman" w:eastAsia="Times New Roman"/>
        </w:rPr>
        <w:t>60</w:t>
      </w:r>
      <w:r>
        <w:t>～</w:t>
      </w:r>
      <w:r>
        <w:rPr>
          <w:rFonts w:ascii="Times New Roman" w:eastAsia="Times New Roman"/>
        </w:rPr>
        <w:t>85dB</w:t>
      </w:r>
      <w:r>
        <w:t>（</w:t>
      </w:r>
      <w:r>
        <w:rPr>
          <w:rFonts w:ascii="Times New Roman" w:eastAsia="Times New Roman"/>
        </w:rPr>
        <w:t>A</w:t>
      </w:r>
      <w:r>
        <w:t>）</w:t>
      </w:r>
      <w:r>
        <w:rPr>
          <w:spacing w:val="-2"/>
        </w:rPr>
        <w:t>之间，在采取墙体隔声、基础减震措施后，噪声排放强度在</w:t>
      </w:r>
      <w:r>
        <w:rPr>
          <w:rFonts w:ascii="Times New Roman" w:eastAsia="Times New Roman"/>
        </w:rPr>
        <w:t>40</w:t>
      </w:r>
      <w:r>
        <w:t>～</w:t>
      </w:r>
      <w:r>
        <w:rPr>
          <w:rFonts w:ascii="Times New Roman" w:eastAsia="Times New Roman"/>
        </w:rPr>
        <w:t>65dB</w:t>
      </w:r>
      <w:r>
        <w:t>（</w:t>
      </w:r>
      <w:r>
        <w:rPr>
          <w:rFonts w:ascii="Times New Roman" w:eastAsia="Times New Roman"/>
        </w:rPr>
        <w:t>A</w:t>
      </w:r>
      <w:r>
        <w:t>）之间。项目运行后满足《工业企业厂界环境噪声排放标准》（</w:t>
      </w:r>
      <w:r>
        <w:rPr>
          <w:rFonts w:ascii="Times New Roman" w:eastAsia="Times New Roman"/>
        </w:rPr>
        <w:t>GB12348-2008</w:t>
      </w:r>
      <w:r>
        <w:t>）中</w:t>
      </w:r>
      <w:r>
        <w:rPr>
          <w:spacing w:val="-12"/>
        </w:rPr>
        <w:t>的声环境</w:t>
      </w:r>
      <w:r>
        <w:rPr>
          <w:rFonts w:ascii="Times New Roman" w:eastAsia="Times New Roman"/>
        </w:rPr>
        <w:t>2</w:t>
      </w:r>
      <w:r>
        <w:t>类功能区标准要求。</w:t>
      </w:r>
    </w:p>
    <w:p>
      <w:pPr>
        <w:pStyle w:val="5"/>
        <w:numPr>
          <w:ilvl w:val="2"/>
          <w:numId w:val="81"/>
        </w:numPr>
        <w:tabs>
          <w:tab w:val="left" w:pos="921"/>
        </w:tabs>
        <w:spacing w:before="118" w:after="0" w:line="240" w:lineRule="auto"/>
        <w:ind w:left="920" w:right="0" w:hanging="701"/>
        <w:jc w:val="left"/>
        <w:outlineLvl w:val="2"/>
      </w:pPr>
      <w:bookmarkStart w:id="539" w:name="9.4.4 固体废弃物"/>
      <w:bookmarkEnd w:id="539"/>
      <w:bookmarkStart w:id="540" w:name="9.4.4 固体废弃物"/>
      <w:bookmarkEnd w:id="540"/>
      <w:bookmarkStart w:id="541" w:name="_Toc20573"/>
      <w:r>
        <w:t>固体废弃物</w:t>
      </w:r>
      <w:bookmarkEnd w:id="541"/>
    </w:p>
    <w:p>
      <w:pPr>
        <w:pStyle w:val="7"/>
        <w:spacing w:before="7"/>
        <w:ind w:left="0"/>
        <w:rPr>
          <w:b/>
          <w:sz w:val="21"/>
        </w:rPr>
      </w:pPr>
    </w:p>
    <w:p>
      <w:pPr>
        <w:pStyle w:val="7"/>
        <w:ind w:left="700"/>
      </w:pPr>
      <w:r>
        <w:t>项目固体废物产生及处置情况一览表见表</w:t>
      </w:r>
      <w:r>
        <w:rPr>
          <w:rFonts w:ascii="Times New Roman" w:eastAsia="Times New Roman"/>
        </w:rPr>
        <w:t>3.2-12</w:t>
      </w:r>
      <w:r>
        <w:t>。</w:t>
      </w:r>
    </w:p>
    <w:p>
      <w:pPr>
        <w:pStyle w:val="7"/>
        <w:spacing w:before="3" w:line="364" w:lineRule="auto"/>
        <w:ind w:left="220" w:right="317" w:firstLine="480"/>
        <w:jc w:val="both"/>
        <w:rPr>
          <w:color w:val="0000FF"/>
        </w:rPr>
      </w:pPr>
      <w:r>
        <w:rPr>
          <w:color w:val="0000FF"/>
          <w:spacing w:val="-5"/>
        </w:rPr>
        <w:t>本项目产生的固体废物主要为羊粪及粪渣、废弃垫料、病死羊及分娩物、医</w:t>
      </w:r>
      <w:r>
        <w:rPr>
          <w:color w:val="0000FF"/>
          <w:spacing w:val="-8"/>
        </w:rPr>
        <w:t>疗垃圾、生活垃圾。本项目羊粪产生量为</w:t>
      </w:r>
      <w:r>
        <w:rPr>
          <w:rFonts w:ascii="Times New Roman" w:eastAsia="Times New Roman"/>
          <w:color w:val="0000FF"/>
        </w:rPr>
        <w:t>11935.5t/a</w:t>
      </w:r>
      <w:r>
        <w:rPr>
          <w:color w:val="0000FF"/>
        </w:rPr>
        <w:t>，每天产生的粪便由人工清</w:t>
      </w:r>
      <w:r>
        <w:rPr>
          <w:color w:val="0000FF"/>
          <w:spacing w:val="-4"/>
        </w:rPr>
        <w:t>理至堆肥厂通过高温堆肥发酵处理方式对固体粪污进行无害化处理，符合《粪便</w:t>
      </w:r>
      <w:r>
        <w:rPr>
          <w:color w:val="0000FF"/>
          <w:spacing w:val="-5"/>
        </w:rPr>
        <w:t>无害化卫生要求》</w:t>
      </w:r>
      <w:r>
        <w:rPr>
          <w:color w:val="0000FF"/>
        </w:rPr>
        <w:t>（</w:t>
      </w:r>
      <w:r>
        <w:rPr>
          <w:rFonts w:ascii="Times New Roman" w:eastAsia="Times New Roman"/>
          <w:color w:val="0000FF"/>
        </w:rPr>
        <w:t>GB7959-2012</w:t>
      </w:r>
      <w:r>
        <w:rPr>
          <w:color w:val="0000FF"/>
        </w:rPr>
        <w:t>）</w:t>
      </w:r>
      <w:r>
        <w:rPr>
          <w:color w:val="0000FF"/>
          <w:spacing w:val="-3"/>
        </w:rPr>
        <w:t>后，外售给附近村民，直接还田进行土地利</w:t>
      </w:r>
      <w:r>
        <w:rPr>
          <w:color w:val="0000FF"/>
          <w:spacing w:val="-9"/>
        </w:rPr>
        <w:t>用，禁止未经处理的畜禽粪便直接施入农田。羊排泄的尿液和粪便进入垫料，经</w:t>
      </w:r>
      <w:r>
        <w:rPr>
          <w:color w:val="0000FF"/>
          <w:spacing w:val="-14"/>
        </w:rPr>
        <w:t>羊踩结形成粪床，本项目最终废弃垫料的产生量为</w:t>
      </w:r>
      <w:r>
        <w:rPr>
          <w:rFonts w:hint="eastAsia" w:ascii="Times New Roman" w:eastAsia="宋体"/>
          <w:color w:val="0000FF"/>
          <w:spacing w:val="-5"/>
          <w:lang w:val="en-US" w:eastAsia="zh-CN"/>
        </w:rPr>
        <w:t>24</w:t>
      </w:r>
      <w:r>
        <w:rPr>
          <w:rFonts w:ascii="Times New Roman" w:eastAsia="Times New Roman"/>
          <w:color w:val="0000FF"/>
          <w:spacing w:val="-5"/>
        </w:rPr>
        <w:t>t/a</w:t>
      </w:r>
      <w:r>
        <w:rPr>
          <w:color w:val="0000FF"/>
          <w:spacing w:val="-14"/>
        </w:rPr>
        <w:t>，粪床每</w:t>
      </w:r>
      <w:r>
        <w:rPr>
          <w:rFonts w:ascii="Times New Roman" w:eastAsia="Times New Roman"/>
          <w:color w:val="0000FF"/>
        </w:rPr>
        <w:t>1</w:t>
      </w:r>
      <w:r>
        <w:rPr>
          <w:color w:val="0000FF"/>
        </w:rPr>
        <w:t>年清理一</w:t>
      </w:r>
      <w:r>
        <w:rPr>
          <w:color w:val="0000FF"/>
          <w:spacing w:val="-10"/>
        </w:rPr>
        <w:t>次，垫料层与羊粪、粪渣一起进入堆肥厂高温发酵无害化处理，不外排，实现综</w:t>
      </w:r>
      <w:r>
        <w:rPr>
          <w:color w:val="0000FF"/>
          <w:spacing w:val="12"/>
        </w:rPr>
        <w:t>合利用。本项目运营期估算病死羊量约</w:t>
      </w:r>
      <w:r>
        <w:rPr>
          <w:rFonts w:hint="eastAsia" w:ascii="Times New Roman" w:eastAsia="宋体"/>
          <w:color w:val="0000FF"/>
          <w:spacing w:val="2"/>
          <w:lang w:val="en-US" w:eastAsia="zh-CN"/>
        </w:rPr>
        <w:t>8</w:t>
      </w:r>
      <w:r>
        <w:rPr>
          <w:rFonts w:ascii="Times New Roman" w:eastAsia="Times New Roman"/>
          <w:color w:val="0000FF"/>
          <w:spacing w:val="2"/>
        </w:rPr>
        <w:t>t/a</w:t>
      </w:r>
      <w:r>
        <w:rPr>
          <w:color w:val="0000FF"/>
          <w:spacing w:val="7"/>
        </w:rPr>
        <w:t>。得到肉骨粉</w:t>
      </w:r>
      <w:r>
        <w:rPr>
          <w:rFonts w:hint="eastAsia" w:ascii="Times New Roman" w:eastAsia="宋体"/>
          <w:color w:val="0000FF"/>
          <w:spacing w:val="3"/>
          <w:lang w:val="en-US" w:eastAsia="zh-CN"/>
        </w:rPr>
        <w:t>2.64</w:t>
      </w:r>
      <w:r>
        <w:rPr>
          <w:rFonts w:ascii="Times New Roman" w:eastAsia="Times New Roman"/>
          <w:color w:val="0000FF"/>
          <w:spacing w:val="3"/>
        </w:rPr>
        <w:t>t/a</w:t>
      </w:r>
      <w:r>
        <w:rPr>
          <w:color w:val="0000FF"/>
          <w:spacing w:val="7"/>
        </w:rPr>
        <w:t>，油脂</w:t>
      </w:r>
      <w:r>
        <w:rPr>
          <w:rFonts w:hint="eastAsia" w:ascii="Times New Roman" w:eastAsia="宋体"/>
          <w:color w:val="0000FF"/>
          <w:spacing w:val="7"/>
          <w:lang w:val="en-US" w:eastAsia="zh-CN"/>
        </w:rPr>
        <w:t>1.0</w:t>
      </w:r>
      <w:r>
        <w:rPr>
          <w:rFonts w:ascii="Times New Roman" w:eastAsia="Times New Roman"/>
          <w:color w:val="0000FF"/>
          <w:spacing w:val="7"/>
        </w:rPr>
        <w:t>4t/a</w:t>
      </w:r>
      <w:r>
        <w:rPr>
          <w:color w:val="0000FF"/>
        </w:rPr>
        <w:t>。病死羊采用干化法畜禽无害化处理方式处理。计划项目区拟建畜禽无</w:t>
      </w:r>
      <w:r>
        <w:rPr>
          <w:color w:val="0000FF"/>
          <w:spacing w:val="-3"/>
        </w:rPr>
        <w:t>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次成套设备，采用高温高压灭菌技</w:t>
      </w:r>
      <w:r>
        <w:rPr>
          <w:color w:val="0000FF"/>
          <w:spacing w:val="-11"/>
        </w:rPr>
        <w:t>术，大型动物无需肢解，可直接进行处理，处理后的产物可出售给肉骨粉干品生</w:t>
      </w:r>
      <w:r>
        <w:rPr>
          <w:color w:val="0000FF"/>
          <w:spacing w:val="-15"/>
        </w:rPr>
        <w:t>产厂和工业用油脂厂，综合利用，符合国家防疫法规要求。本项目羊只的兽用医</w:t>
      </w:r>
      <w:r>
        <w:rPr>
          <w:color w:val="0000FF"/>
          <w:spacing w:val="-21"/>
        </w:rPr>
        <w:t>疗废弃物产生量为</w:t>
      </w:r>
      <w:r>
        <w:rPr>
          <w:rFonts w:ascii="Times New Roman" w:eastAsia="Times New Roman"/>
          <w:color w:val="0000FF"/>
        </w:rPr>
        <w:t>6.75t/a</w:t>
      </w:r>
      <w:r>
        <w:rPr>
          <w:color w:val="0000FF"/>
          <w:spacing w:val="-11"/>
        </w:rPr>
        <w:t>。消毒、防疫废物和兽用医疗废物由项目所在乡镇</w:t>
      </w:r>
      <w:r>
        <w:rPr>
          <w:rFonts w:hint="eastAsia"/>
          <w:color w:val="0000FF"/>
          <w:spacing w:val="-11"/>
          <w:lang w:val="en-US" w:eastAsia="zh-CN"/>
        </w:rPr>
        <w:t>莎车</w:t>
      </w:r>
      <w:r>
        <w:rPr>
          <w:color w:val="0000FF"/>
          <w:spacing w:val="-17"/>
        </w:rPr>
        <w:t>乡兽医站以及村级防疫中心委托有资质的单位处理处置。本项目劳动定员</w:t>
      </w:r>
      <w:r>
        <w:rPr>
          <w:rFonts w:ascii="Times New Roman" w:eastAsia="Times New Roman"/>
          <w:color w:val="0000FF"/>
        </w:rPr>
        <w:t>30</w:t>
      </w:r>
      <w:r>
        <w:rPr>
          <w:color w:val="0000FF"/>
          <w:spacing w:val="-8"/>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7"/>
        <w:spacing w:before="161" w:line="364" w:lineRule="auto"/>
        <w:ind w:left="220" w:right="197" w:firstLine="480"/>
        <w:rPr>
          <w:color w:val="0000FF"/>
        </w:rPr>
      </w:pPr>
    </w:p>
    <w:p>
      <w:pPr>
        <w:spacing w:after="0" w:line="364" w:lineRule="auto"/>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4"/>
        <w:numPr>
          <w:ilvl w:val="1"/>
          <w:numId w:val="79"/>
        </w:numPr>
        <w:tabs>
          <w:tab w:val="left" w:pos="780"/>
        </w:tabs>
        <w:spacing w:before="118" w:after="0" w:line="240" w:lineRule="auto"/>
        <w:ind w:left="779" w:right="0" w:hanging="560"/>
        <w:jc w:val="left"/>
        <w:outlineLvl w:val="1"/>
      </w:pPr>
      <w:bookmarkStart w:id="542" w:name="_bookmark44"/>
      <w:bookmarkEnd w:id="542"/>
      <w:bookmarkStart w:id="543" w:name="_bookmark44"/>
      <w:bookmarkEnd w:id="543"/>
      <w:bookmarkStart w:id="544" w:name="9.5 环境影响分析结论"/>
      <w:bookmarkEnd w:id="544"/>
      <w:bookmarkStart w:id="545" w:name="_Toc28475"/>
      <w:r>
        <w:t>环境影响分析结论</w:t>
      </w:r>
      <w:bookmarkEnd w:id="545"/>
    </w:p>
    <w:p>
      <w:pPr>
        <w:pStyle w:val="7"/>
        <w:spacing w:before="5"/>
        <w:ind w:left="0"/>
        <w:rPr>
          <w:b/>
          <w:sz w:val="28"/>
        </w:rPr>
      </w:pPr>
    </w:p>
    <w:p>
      <w:pPr>
        <w:pStyle w:val="5"/>
        <w:numPr>
          <w:ilvl w:val="2"/>
          <w:numId w:val="82"/>
        </w:numPr>
        <w:tabs>
          <w:tab w:val="left" w:pos="921"/>
        </w:tabs>
        <w:spacing w:before="1" w:after="0" w:line="240" w:lineRule="auto"/>
        <w:ind w:left="920" w:right="0" w:hanging="701"/>
        <w:jc w:val="left"/>
        <w:outlineLvl w:val="2"/>
      </w:pPr>
      <w:bookmarkStart w:id="546" w:name="9.5.1 大气环境影响"/>
      <w:bookmarkEnd w:id="546"/>
      <w:bookmarkStart w:id="547" w:name="9.5.1 大气环境影响"/>
      <w:bookmarkEnd w:id="547"/>
      <w:bookmarkStart w:id="548" w:name="_Toc28074"/>
      <w:r>
        <w:t>大气环境影响</w:t>
      </w:r>
      <w:bookmarkEnd w:id="548"/>
    </w:p>
    <w:p>
      <w:pPr>
        <w:pStyle w:val="7"/>
        <w:spacing w:before="1"/>
        <w:ind w:left="0"/>
        <w:rPr>
          <w:b/>
          <w:sz w:val="21"/>
        </w:rPr>
      </w:pPr>
    </w:p>
    <w:p>
      <w:pPr>
        <w:pStyle w:val="7"/>
        <w:spacing w:line="364" w:lineRule="auto"/>
        <w:ind w:left="220" w:right="310" w:firstLine="480"/>
        <w:jc w:val="both"/>
      </w:pPr>
      <w:r>
        <w:rPr>
          <w:spacing w:val="-20"/>
          <w:position w:val="2"/>
        </w:rPr>
        <w:t>根据</w:t>
      </w:r>
      <w:r>
        <w:rPr>
          <w:rFonts w:ascii="Times New Roman" w:hAnsi="Times New Roman" w:eastAsia="Times New Roman"/>
          <w:position w:val="2"/>
        </w:rPr>
        <w:t>AERSCREEN</w:t>
      </w:r>
      <w:r>
        <w:rPr>
          <w:spacing w:val="-9"/>
          <w:position w:val="2"/>
        </w:rPr>
        <w:t>模式进行预测后，本项目排放的有组织污染物</w:t>
      </w:r>
      <w:r>
        <w:rPr>
          <w:rFonts w:ascii="Times New Roman" w:hAnsi="Times New Roman" w:eastAsia="Times New Roman"/>
          <w:position w:val="2"/>
        </w:rPr>
        <w:t>NH</w:t>
      </w:r>
      <w:r>
        <w:rPr>
          <w:rFonts w:ascii="Times New Roman" w:hAnsi="Times New Roman" w:eastAsia="Times New Roman"/>
          <w:position w:val="2"/>
          <w:vertAlign w:val="subscript"/>
        </w:rPr>
        <w:t>3</w:t>
      </w:r>
      <w:r>
        <w:rPr>
          <w:spacing w:val="-41"/>
          <w:position w:val="2"/>
          <w:vertAlign w:val="baseline"/>
        </w:rPr>
        <w:t>、</w:t>
      </w:r>
      <w:r>
        <w:rPr>
          <w:rFonts w:ascii="Times New Roman" w:hAnsi="Times New Roman" w:eastAsia="Times New Roman"/>
          <w:spacing w:val="-5"/>
          <w:position w:val="2"/>
          <w:vertAlign w:val="baseline"/>
        </w:rPr>
        <w:t>H</w:t>
      </w:r>
      <w:r>
        <w:rPr>
          <w:rFonts w:ascii="Times New Roman" w:hAnsi="Times New Roman" w:eastAsia="Times New Roman"/>
          <w:spacing w:val="-5"/>
          <w:position w:val="2"/>
          <w:vertAlign w:val="subscript"/>
        </w:rPr>
        <w:t>2</w:t>
      </w:r>
      <w:r>
        <w:rPr>
          <w:rFonts w:ascii="Times New Roman" w:hAnsi="Times New Roman" w:eastAsia="Times New Roman"/>
          <w:spacing w:val="-5"/>
          <w:position w:val="2"/>
          <w:vertAlign w:val="baseline"/>
        </w:rPr>
        <w:t>S</w:t>
      </w:r>
      <w:r>
        <w:rPr>
          <w:spacing w:val="-3"/>
          <w:vertAlign w:val="baseline"/>
        </w:rPr>
        <w:t>和颗粒物的最大落地浓度分别</w:t>
      </w:r>
      <w:r>
        <w:rPr>
          <w:rFonts w:ascii="Times New Roman" w:hAnsi="Times New Roman" w:eastAsia="Times New Roman"/>
          <w:vertAlign w:val="baseline"/>
        </w:rPr>
        <w:t>0.4208μg/m</w:t>
      </w:r>
      <w:r>
        <w:rPr>
          <w:rFonts w:ascii="Times New Roman" w:hAnsi="Times New Roman" w:eastAsia="Times New Roman"/>
          <w:position w:val="8"/>
          <w:sz w:val="15"/>
          <w:vertAlign w:val="baseline"/>
        </w:rPr>
        <w:t>3</w:t>
      </w:r>
      <w:r>
        <w:rPr>
          <w:spacing w:val="-28"/>
          <w:vertAlign w:val="baseline"/>
        </w:rPr>
        <w:t>和</w:t>
      </w:r>
      <w:r>
        <w:rPr>
          <w:rFonts w:ascii="Times New Roman" w:hAnsi="Times New Roman" w:eastAsia="Times New Roman"/>
          <w:vertAlign w:val="baseline"/>
        </w:rPr>
        <w:t>0.2854μg/m</w:t>
      </w:r>
      <w:r>
        <w:rPr>
          <w:rFonts w:ascii="Times New Roman" w:hAnsi="Times New Roman" w:eastAsia="Times New Roman"/>
          <w:position w:val="8"/>
          <w:sz w:val="15"/>
          <w:vertAlign w:val="baseline"/>
        </w:rPr>
        <w:t>3</w:t>
      </w:r>
      <w:r>
        <w:rPr>
          <w:spacing w:val="-5"/>
          <w:vertAlign w:val="baseline"/>
        </w:rPr>
        <w:t>出现在离源距离</w:t>
      </w:r>
      <w:r>
        <w:rPr>
          <w:rFonts w:ascii="Times New Roman" w:hAnsi="Times New Roman" w:eastAsia="Times New Roman"/>
          <w:vertAlign w:val="baseline"/>
        </w:rPr>
        <w:t>91m</w:t>
      </w:r>
      <w:r>
        <w:rPr>
          <w:spacing w:val="-6"/>
          <w:vertAlign w:val="baseline"/>
        </w:rPr>
        <w:t>处，分别占《环境影响评价技术导则</w:t>
      </w:r>
      <w:r>
        <w:rPr>
          <w:rFonts w:ascii="Times New Roman" w:hAnsi="Times New Roman" w:eastAsia="Times New Roman"/>
          <w:vertAlign w:val="baseline"/>
        </w:rPr>
        <w:t>·</w:t>
      </w:r>
      <w:r>
        <w:rPr>
          <w:spacing w:val="-7"/>
          <w:vertAlign w:val="baseline"/>
        </w:rPr>
        <w:t>大气环境》</w:t>
      </w:r>
      <w:r>
        <w:rPr>
          <w:vertAlign w:val="baseline"/>
        </w:rPr>
        <w:t>（</w:t>
      </w:r>
      <w:r>
        <w:rPr>
          <w:rFonts w:ascii="Times New Roman" w:hAnsi="Times New Roman" w:eastAsia="Times New Roman"/>
          <w:vertAlign w:val="baseline"/>
        </w:rPr>
        <w:t>HJ.2-2018</w:t>
      </w:r>
      <w:r>
        <w:rPr>
          <w:vertAlign w:val="baseline"/>
        </w:rPr>
        <w:t>）</w:t>
      </w:r>
      <w:r>
        <w:rPr>
          <w:spacing w:val="-17"/>
          <w:vertAlign w:val="baseline"/>
        </w:rPr>
        <w:t>中“附录</w:t>
      </w:r>
      <w:r>
        <w:rPr>
          <w:rFonts w:ascii="Times New Roman" w:hAnsi="Times New Roman" w:eastAsia="Times New Roman"/>
          <w:vertAlign w:val="baseline"/>
        </w:rPr>
        <w:t>D</w:t>
      </w:r>
      <w:r>
        <w:rPr>
          <w:vertAlign w:val="baseline"/>
        </w:rPr>
        <w:t>其他</w:t>
      </w:r>
      <w:r>
        <w:rPr>
          <w:spacing w:val="-5"/>
          <w:vertAlign w:val="baseline"/>
        </w:rPr>
        <w:t>污染物空气质量浓度参考限值”的</w:t>
      </w:r>
      <w:r>
        <w:rPr>
          <w:rFonts w:ascii="Times New Roman" w:hAnsi="Times New Roman" w:eastAsia="Times New Roman"/>
          <w:vertAlign w:val="baseline"/>
        </w:rPr>
        <w:t>0.410%</w:t>
      </w:r>
      <w:r>
        <w:rPr>
          <w:spacing w:val="-31"/>
          <w:vertAlign w:val="baseline"/>
        </w:rPr>
        <w:t>和</w:t>
      </w:r>
      <w:r>
        <w:rPr>
          <w:rFonts w:ascii="Times New Roman" w:hAnsi="Times New Roman" w:eastAsia="Times New Roman"/>
          <w:vertAlign w:val="baseline"/>
        </w:rPr>
        <w:t>2.855%</w:t>
      </w:r>
      <w:r>
        <w:rPr>
          <w:spacing w:val="-12"/>
          <w:vertAlign w:val="baseline"/>
        </w:rPr>
        <w:t>，均小于</w:t>
      </w:r>
      <w:r>
        <w:rPr>
          <w:rFonts w:ascii="Times New Roman" w:hAnsi="Times New Roman" w:eastAsia="Times New Roman"/>
          <w:spacing w:val="-4"/>
          <w:vertAlign w:val="baseline"/>
        </w:rPr>
        <w:t>10%</w:t>
      </w:r>
      <w:r>
        <w:rPr>
          <w:spacing w:val="-4"/>
          <w:vertAlign w:val="baseline"/>
        </w:rPr>
        <w:t>；有组织污染</w:t>
      </w:r>
      <w:r>
        <w:rPr>
          <w:spacing w:val="-5"/>
          <w:vertAlign w:val="baseline"/>
        </w:rPr>
        <w:t>物颗粒物的最大落地浓度为</w:t>
      </w:r>
      <w:r>
        <w:rPr>
          <w:rFonts w:ascii="Times New Roman" w:hAnsi="Times New Roman" w:eastAsia="Times New Roman"/>
          <w:vertAlign w:val="baseline"/>
        </w:rPr>
        <w:t>29.616μg/m</w:t>
      </w:r>
      <w:r>
        <w:rPr>
          <w:rFonts w:ascii="Times New Roman" w:hAnsi="Times New Roman" w:eastAsia="Times New Roman"/>
          <w:position w:val="8"/>
          <w:sz w:val="15"/>
          <w:vertAlign w:val="baseline"/>
        </w:rPr>
        <w:t>3</w:t>
      </w:r>
      <w:r>
        <w:rPr>
          <w:spacing w:val="-8"/>
          <w:vertAlign w:val="baseline"/>
        </w:rPr>
        <w:t>出现在离源距离</w:t>
      </w:r>
      <w:r>
        <w:rPr>
          <w:rFonts w:ascii="Times New Roman" w:hAnsi="Times New Roman" w:eastAsia="Times New Roman"/>
          <w:vertAlign w:val="baseline"/>
        </w:rPr>
        <w:t>91m</w:t>
      </w:r>
      <w:r>
        <w:rPr>
          <w:spacing w:val="-9"/>
          <w:vertAlign w:val="baseline"/>
        </w:rPr>
        <w:t>处，占《环境空气</w:t>
      </w:r>
      <w:r>
        <w:rPr>
          <w:spacing w:val="4"/>
          <w:vertAlign w:val="baseline"/>
        </w:rPr>
        <w:t>质量标准》</w:t>
      </w:r>
      <w:r>
        <w:rPr>
          <w:vertAlign w:val="baseline"/>
        </w:rPr>
        <w:t>（</w:t>
      </w:r>
      <w:r>
        <w:rPr>
          <w:rFonts w:ascii="Times New Roman" w:hAnsi="Times New Roman" w:eastAsia="Times New Roman"/>
          <w:vertAlign w:val="baseline"/>
        </w:rPr>
        <w:t>GB3095-2012</w:t>
      </w:r>
      <w:r>
        <w:rPr>
          <w:vertAlign w:val="baseline"/>
        </w:rPr>
        <w:t>）</w:t>
      </w:r>
      <w:r>
        <w:rPr>
          <w:spacing w:val="-6"/>
          <w:vertAlign w:val="baseline"/>
        </w:rPr>
        <w:t>二级标准的</w:t>
      </w:r>
      <w:r>
        <w:rPr>
          <w:rFonts w:ascii="Times New Roman" w:hAnsi="Times New Roman" w:eastAsia="Times New Roman"/>
          <w:vertAlign w:val="baseline"/>
        </w:rPr>
        <w:t>3.291%</w:t>
      </w:r>
      <w:r>
        <w:rPr>
          <w:spacing w:val="-11"/>
          <w:vertAlign w:val="baseline"/>
        </w:rPr>
        <w:t>，小于</w:t>
      </w:r>
      <w:r>
        <w:rPr>
          <w:rFonts w:ascii="Times New Roman" w:hAnsi="Times New Roman" w:eastAsia="Times New Roman"/>
          <w:vertAlign w:val="baseline"/>
        </w:rPr>
        <w:t>10%</w:t>
      </w:r>
      <w:r>
        <w:rPr>
          <w:spacing w:val="1"/>
          <w:vertAlign w:val="baseline"/>
        </w:rPr>
        <w:t>；无组织排放废气</w:t>
      </w:r>
      <w:r>
        <w:rPr>
          <w:spacing w:val="-14"/>
          <w:position w:val="2"/>
          <w:vertAlign w:val="baseline"/>
        </w:rPr>
        <w:t>中的</w:t>
      </w:r>
      <w:r>
        <w:rPr>
          <w:rFonts w:ascii="Times New Roman" w:hAnsi="Times New Roman" w:eastAsia="Times New Roman"/>
          <w:position w:val="2"/>
          <w:vertAlign w:val="baseline"/>
        </w:rPr>
        <w:t>NH</w:t>
      </w:r>
      <w:r>
        <w:rPr>
          <w:rFonts w:ascii="Times New Roman" w:hAnsi="Times New Roman" w:eastAsia="Times New Roman"/>
          <w:position w:val="2"/>
          <w:vertAlign w:val="subscript"/>
        </w:rPr>
        <w:t>3</w:t>
      </w:r>
      <w:r>
        <w:rPr>
          <w:spacing w:val="-24"/>
          <w:position w:val="2"/>
          <w:vertAlign w:val="baseline"/>
        </w:rPr>
        <w:t>和</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S</w:t>
      </w:r>
      <w:r>
        <w:rPr>
          <w:position w:val="2"/>
          <w:vertAlign w:val="baseline"/>
        </w:rPr>
        <w:t>的最大落地浓度为</w:t>
      </w:r>
      <w:r>
        <w:rPr>
          <w:rFonts w:ascii="Times New Roman" w:hAnsi="Times New Roman" w:eastAsia="Times New Roman"/>
          <w:position w:val="2"/>
          <w:vertAlign w:val="baseline"/>
        </w:rPr>
        <w:t>6.93μg/m</w:t>
      </w:r>
      <w:r>
        <w:rPr>
          <w:rFonts w:ascii="Times New Roman" w:hAnsi="Times New Roman" w:eastAsia="Times New Roman"/>
          <w:position w:val="2"/>
          <w:vertAlign w:val="superscript"/>
        </w:rPr>
        <w:t>3</w:t>
      </w:r>
      <w:r>
        <w:rPr>
          <w:spacing w:val="-24"/>
          <w:position w:val="2"/>
          <w:vertAlign w:val="baseline"/>
        </w:rPr>
        <w:t>和</w:t>
      </w:r>
      <w:r>
        <w:rPr>
          <w:rFonts w:ascii="Times New Roman" w:hAnsi="Times New Roman" w:eastAsia="Times New Roman"/>
          <w:position w:val="2"/>
          <w:vertAlign w:val="baseline"/>
        </w:rPr>
        <w:t>0.693μg/m</w:t>
      </w:r>
      <w:r>
        <w:rPr>
          <w:rFonts w:ascii="Times New Roman" w:hAnsi="Times New Roman" w:eastAsia="Times New Roman"/>
          <w:position w:val="2"/>
          <w:vertAlign w:val="superscript"/>
        </w:rPr>
        <w:t>3</w:t>
      </w:r>
      <w:r>
        <w:rPr>
          <w:spacing w:val="5"/>
          <w:position w:val="2"/>
          <w:vertAlign w:val="baseline"/>
        </w:rPr>
        <w:t>，出现在离源距离</w:t>
      </w:r>
      <w:r>
        <w:rPr>
          <w:rFonts w:ascii="Times New Roman" w:hAnsi="Times New Roman" w:eastAsia="Times New Roman"/>
          <w:spacing w:val="5"/>
          <w:vertAlign w:val="baseline"/>
        </w:rPr>
        <w:t>168m</w:t>
      </w:r>
      <w:r>
        <w:rPr>
          <w:vertAlign w:val="baseline"/>
        </w:rPr>
        <w:t>处，占《环境影响评价技术导则</w:t>
      </w:r>
      <w:r>
        <w:rPr>
          <w:rFonts w:ascii="Times New Roman" w:hAnsi="Times New Roman" w:eastAsia="Times New Roman"/>
          <w:vertAlign w:val="baseline"/>
        </w:rPr>
        <w:t>·</w:t>
      </w:r>
      <w:r>
        <w:rPr>
          <w:vertAlign w:val="baseline"/>
        </w:rPr>
        <w:t>大气环境》（</w:t>
      </w:r>
      <w:r>
        <w:rPr>
          <w:rFonts w:ascii="Times New Roman" w:hAnsi="Times New Roman" w:eastAsia="Times New Roman"/>
          <w:vertAlign w:val="baseline"/>
        </w:rPr>
        <w:t>HJ.2-2018</w:t>
      </w:r>
      <w:r>
        <w:rPr>
          <w:vertAlign w:val="baseline"/>
        </w:rPr>
        <w:t>）</w:t>
      </w:r>
      <w:r>
        <w:rPr>
          <w:spacing w:val="-11"/>
          <w:vertAlign w:val="baseline"/>
        </w:rPr>
        <w:t>中“附录</w:t>
      </w:r>
      <w:r>
        <w:rPr>
          <w:rFonts w:ascii="Times New Roman" w:hAnsi="Times New Roman" w:eastAsia="Times New Roman"/>
          <w:vertAlign w:val="baseline"/>
        </w:rPr>
        <w:t>D</w:t>
      </w:r>
      <w:r>
        <w:rPr>
          <w:vertAlign w:val="baseline"/>
        </w:rPr>
        <w:t>其</w:t>
      </w:r>
      <w:r>
        <w:rPr>
          <w:spacing w:val="-4"/>
          <w:vertAlign w:val="baseline"/>
        </w:rPr>
        <w:t>他污染物空气质量浓度参考限值”的</w:t>
      </w:r>
      <w:r>
        <w:rPr>
          <w:rFonts w:ascii="Times New Roman" w:hAnsi="Times New Roman" w:eastAsia="Times New Roman"/>
          <w:vertAlign w:val="baseline"/>
        </w:rPr>
        <w:t>3.465</w:t>
      </w:r>
      <w:r>
        <w:rPr>
          <w:rFonts w:ascii="Times New Roman" w:hAnsi="Times New Roman" w:eastAsia="Times New Roman"/>
          <w:spacing w:val="2"/>
          <w:vertAlign w:val="baseline"/>
        </w:rPr>
        <w:t>%</w:t>
      </w:r>
      <w:r>
        <w:rPr>
          <w:spacing w:val="-27"/>
          <w:vertAlign w:val="baseline"/>
        </w:rPr>
        <w:t>和</w:t>
      </w:r>
      <w:r>
        <w:rPr>
          <w:rFonts w:ascii="Times New Roman" w:hAnsi="Times New Roman" w:eastAsia="Times New Roman"/>
          <w:vertAlign w:val="baseline"/>
        </w:rPr>
        <w:t>6.93%</w:t>
      </w:r>
      <w:r>
        <w:rPr>
          <w:spacing w:val="-14"/>
          <w:vertAlign w:val="baseline"/>
        </w:rPr>
        <w:t>，小于</w:t>
      </w:r>
      <w:r>
        <w:rPr>
          <w:rFonts w:ascii="Times New Roman" w:hAnsi="Times New Roman" w:eastAsia="Times New Roman"/>
          <w:vertAlign w:val="baseline"/>
        </w:rPr>
        <w:t>10%</w:t>
      </w:r>
      <w:r>
        <w:rPr>
          <w:vertAlign w:val="baseline"/>
        </w:rPr>
        <w:t>；无组织排放</w:t>
      </w:r>
      <w:r>
        <w:rPr>
          <w:spacing w:val="-4"/>
          <w:vertAlign w:val="baseline"/>
        </w:rPr>
        <w:t>废气中的颗粒物的最大落地浓度为</w:t>
      </w:r>
      <w:r>
        <w:rPr>
          <w:rFonts w:ascii="Times New Roman" w:hAnsi="Times New Roman" w:eastAsia="Times New Roman"/>
          <w:vertAlign w:val="baseline"/>
        </w:rPr>
        <w:t>49.1μg/m</w:t>
      </w:r>
      <w:r>
        <w:rPr>
          <w:rFonts w:ascii="Times New Roman" w:hAnsi="Times New Roman" w:eastAsia="Times New Roman"/>
          <w:position w:val="8"/>
          <w:sz w:val="15"/>
          <w:vertAlign w:val="baseline"/>
        </w:rPr>
        <w:t>3</w:t>
      </w:r>
      <w:r>
        <w:rPr>
          <w:spacing w:val="-7"/>
          <w:vertAlign w:val="baseline"/>
        </w:rPr>
        <w:t>，出现在离源距离</w:t>
      </w:r>
      <w:r>
        <w:rPr>
          <w:rFonts w:ascii="Times New Roman" w:hAnsi="Times New Roman" w:eastAsia="Times New Roman"/>
          <w:vertAlign w:val="baseline"/>
        </w:rPr>
        <w:t>44m</w:t>
      </w:r>
      <w:r>
        <w:rPr>
          <w:spacing w:val="-4"/>
          <w:vertAlign w:val="baseline"/>
        </w:rPr>
        <w:t>处，占《环境空气质量标准》（</w:t>
      </w:r>
      <w:r>
        <w:rPr>
          <w:rFonts w:ascii="Times New Roman" w:hAnsi="Times New Roman" w:eastAsia="Times New Roman"/>
          <w:spacing w:val="-4"/>
          <w:vertAlign w:val="baseline"/>
        </w:rPr>
        <w:t>GB3095-2012</w:t>
      </w:r>
      <w:r>
        <w:rPr>
          <w:spacing w:val="-4"/>
          <w:vertAlign w:val="baseline"/>
        </w:rPr>
        <w:t>）</w:t>
      </w:r>
      <w:r>
        <w:rPr>
          <w:spacing w:val="-14"/>
          <w:vertAlign w:val="baseline"/>
        </w:rPr>
        <w:t>二级标准的</w:t>
      </w:r>
      <w:r>
        <w:rPr>
          <w:rFonts w:ascii="Times New Roman" w:hAnsi="Times New Roman" w:eastAsia="Times New Roman"/>
          <w:vertAlign w:val="baseline"/>
        </w:rPr>
        <w:t>5.4556%</w:t>
      </w:r>
      <w:r>
        <w:rPr>
          <w:spacing w:val="-15"/>
          <w:vertAlign w:val="baseline"/>
        </w:rPr>
        <w:t>，小于</w:t>
      </w:r>
      <w:r>
        <w:rPr>
          <w:rFonts w:ascii="Times New Roman" w:hAnsi="Times New Roman" w:eastAsia="Times New Roman"/>
          <w:vertAlign w:val="baseline"/>
        </w:rPr>
        <w:t>10%</w:t>
      </w:r>
      <w:r>
        <w:rPr>
          <w:vertAlign w:val="baseline"/>
        </w:rPr>
        <w:t>；</w:t>
      </w:r>
    </w:p>
    <w:p>
      <w:pPr>
        <w:pStyle w:val="7"/>
        <w:spacing w:before="1" w:line="364" w:lineRule="auto"/>
        <w:ind w:left="220" w:right="317" w:firstLine="480"/>
        <w:jc w:val="both"/>
      </w:pPr>
      <w:r>
        <w:rPr>
          <w:spacing w:val="-8"/>
        </w:rPr>
        <w:t>预测结果表明本项目正常工况下，各污染物落地浓度预测浓度满足相关质量</w:t>
      </w:r>
      <w:r>
        <w:rPr>
          <w:spacing w:val="-7"/>
        </w:rPr>
        <w:t>标准，占标率均低于</w:t>
      </w:r>
      <w:r>
        <w:rPr>
          <w:rFonts w:ascii="Times New Roman" w:eastAsia="Times New Roman"/>
        </w:rPr>
        <w:t>10%</w:t>
      </w:r>
      <w:r>
        <w:t>，不会对周围环境产生明显影响。</w:t>
      </w:r>
    </w:p>
    <w:p>
      <w:pPr>
        <w:pStyle w:val="5"/>
        <w:numPr>
          <w:ilvl w:val="2"/>
          <w:numId w:val="82"/>
        </w:numPr>
        <w:tabs>
          <w:tab w:val="left" w:pos="921"/>
        </w:tabs>
        <w:spacing w:before="115" w:after="0" w:line="240" w:lineRule="auto"/>
        <w:ind w:left="920" w:right="0" w:hanging="701"/>
        <w:jc w:val="left"/>
        <w:outlineLvl w:val="2"/>
      </w:pPr>
      <w:bookmarkStart w:id="549" w:name="9.5.2 水环境影响"/>
      <w:bookmarkEnd w:id="549"/>
      <w:bookmarkStart w:id="550" w:name="9.5.2 水环境影响"/>
      <w:bookmarkEnd w:id="550"/>
      <w:bookmarkStart w:id="551" w:name="_Toc5684"/>
      <w:r>
        <w:t>水环境影响</w:t>
      </w:r>
      <w:bookmarkEnd w:id="551"/>
    </w:p>
    <w:p>
      <w:pPr>
        <w:pStyle w:val="7"/>
        <w:ind w:left="0"/>
        <w:rPr>
          <w:b/>
        </w:rPr>
      </w:pPr>
    </w:p>
    <w:p>
      <w:pPr>
        <w:pStyle w:val="7"/>
        <w:spacing w:line="343" w:lineRule="auto"/>
        <w:ind w:left="220" w:right="195" w:firstLine="480"/>
      </w:pPr>
      <w:r>
        <w:rPr>
          <w:spacing w:val="-5"/>
        </w:rPr>
        <w:t>本项目周围未划分集中式饮用水水源保护区。本项目采用干清粪工艺，不产</w:t>
      </w:r>
      <w:r>
        <w:rPr>
          <w:spacing w:val="-11"/>
        </w:rPr>
        <w:t>生圈舍冲洗废水；羊饮水一部分参与羊的新陈代谢，另一部分饮水以尿液的方式</w:t>
      </w:r>
      <w:r>
        <w:rPr>
          <w:spacing w:val="-10"/>
        </w:rPr>
        <w:t>排放，养殖场每栋羊舍地面为混凝土地面，上端覆盖</w:t>
      </w:r>
      <w:r>
        <w:rPr>
          <w:rFonts w:ascii="Times New Roman" w:eastAsia="Times New Roman"/>
        </w:rPr>
        <w:t>35cm</w:t>
      </w:r>
      <w:r>
        <w:rPr>
          <w:spacing w:val="-3"/>
        </w:rPr>
        <w:t>厚垫料，铺设垫床一般采用废气杂草、农作物秸秆粉、锯末等农业材料，羊排泄的尿液被垫料吸收、</w:t>
      </w:r>
      <w:r>
        <w:rPr>
          <w:spacing w:val="-9"/>
        </w:rPr>
        <w:t>蒸发，项目定期对垫料层和粪便进行清理更换，不需要对畜舍进行冲洗，无冲栏</w:t>
      </w:r>
      <w:r>
        <w:rPr>
          <w:spacing w:val="-17"/>
        </w:rPr>
        <w:t>废水产生。垫料层与羊粪一起进入堆肥厂堆肥发酵，废水实现综合利用，不外排。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r>
        <w:rPr>
          <w:spacing w:val="-6"/>
        </w:rPr>
        <w:t>项目区</w:t>
      </w:r>
      <w:r>
        <w:rPr>
          <w:spacing w:val="-17"/>
        </w:rPr>
        <w:t>夏季蒸发量很大，羊尿主要和粪便混合在一起，每日及时清除，不进入排水系统。</w:t>
      </w:r>
      <w:r>
        <w:rPr>
          <w:spacing w:val="-6"/>
        </w:rPr>
        <w:t>项目进场需对车辆进行消毒处理，消毒用水量较小，不会在厂区形成径流，随之</w:t>
      </w:r>
      <w:r>
        <w:rPr>
          <w:spacing w:val="-10"/>
        </w:rPr>
        <w:t>蒸发。畜禽无害化处理车间化制废水进入废水槽，收集后拉运至</w:t>
      </w:r>
      <w:r>
        <w:rPr>
          <w:rFonts w:hint="eastAsia"/>
          <w:spacing w:val="-10"/>
          <w:lang w:val="en-US" w:eastAsia="zh-CN"/>
        </w:rPr>
        <w:t>莎车</w:t>
      </w:r>
      <w:r>
        <w:rPr>
          <w:spacing w:val="-10"/>
        </w:rPr>
        <w:t>县污水处理站处理，不外排。因此，项目对地下水环境的影响较小。</w:t>
      </w:r>
    </w:p>
    <w:p>
      <w:pPr>
        <w:spacing w:after="0" w:line="343" w:lineRule="auto"/>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2"/>
        </w:numPr>
        <w:tabs>
          <w:tab w:val="left" w:pos="921"/>
        </w:tabs>
        <w:spacing w:before="143" w:after="0" w:line="240" w:lineRule="auto"/>
        <w:ind w:left="920" w:right="0" w:hanging="701"/>
        <w:jc w:val="left"/>
        <w:outlineLvl w:val="2"/>
      </w:pPr>
      <w:bookmarkStart w:id="552" w:name="9.5.3 声环境影响"/>
      <w:bookmarkEnd w:id="552"/>
      <w:bookmarkStart w:id="553" w:name="9.5.3 声环境影响"/>
      <w:bookmarkEnd w:id="553"/>
      <w:bookmarkStart w:id="554" w:name="_Toc21060"/>
      <w:r>
        <w:t>声环境影响</w:t>
      </w:r>
      <w:bookmarkEnd w:id="554"/>
    </w:p>
    <w:p>
      <w:pPr>
        <w:pStyle w:val="7"/>
        <w:spacing w:before="5"/>
        <w:ind w:left="0"/>
        <w:rPr>
          <w:b/>
          <w:sz w:val="21"/>
        </w:rPr>
      </w:pPr>
    </w:p>
    <w:p>
      <w:pPr>
        <w:pStyle w:val="7"/>
        <w:spacing w:line="364" w:lineRule="auto"/>
        <w:ind w:left="220" w:right="173" w:firstLine="480"/>
      </w:pPr>
      <w:r>
        <w:t>项目建成后通过对各产噪设备采取室内安置、墙体隔声、基础减震降噪措施后，各厂界噪声预测值均符合《工业企业厂界噪声排放标准》（</w:t>
      </w:r>
      <w:r>
        <w:rPr>
          <w:rFonts w:ascii="Times New Roman" w:eastAsia="Times New Roman"/>
        </w:rPr>
        <w:t>GB12348-2008</w:t>
      </w:r>
      <w:r>
        <w:t>）的</w:t>
      </w:r>
      <w:r>
        <w:rPr>
          <w:rFonts w:ascii="Times New Roman" w:eastAsia="Times New Roman"/>
        </w:rPr>
        <w:t>2</w:t>
      </w:r>
      <w:r>
        <w:t>类标准要求，项目产生的噪声对项目区周边环境影响不大。</w:t>
      </w:r>
    </w:p>
    <w:p>
      <w:pPr>
        <w:pStyle w:val="5"/>
        <w:numPr>
          <w:ilvl w:val="2"/>
          <w:numId w:val="82"/>
        </w:numPr>
        <w:tabs>
          <w:tab w:val="left" w:pos="921"/>
        </w:tabs>
        <w:spacing w:before="116" w:after="0" w:line="240" w:lineRule="auto"/>
        <w:ind w:left="920" w:right="0" w:hanging="701"/>
        <w:jc w:val="left"/>
        <w:outlineLvl w:val="2"/>
      </w:pPr>
      <w:bookmarkStart w:id="555" w:name="9.5.4 固体废物影响"/>
      <w:bookmarkEnd w:id="555"/>
      <w:bookmarkStart w:id="556" w:name="9.5.4 固体废物影响"/>
      <w:bookmarkEnd w:id="556"/>
      <w:bookmarkStart w:id="557" w:name="_Toc22910"/>
      <w:r>
        <w:t>固体废物影响</w:t>
      </w:r>
      <w:bookmarkEnd w:id="557"/>
    </w:p>
    <w:p>
      <w:pPr>
        <w:pStyle w:val="7"/>
        <w:spacing w:before="7"/>
        <w:ind w:left="0"/>
        <w:rPr>
          <w:b/>
          <w:sz w:val="21"/>
        </w:rPr>
      </w:pPr>
    </w:p>
    <w:p>
      <w:pPr>
        <w:pStyle w:val="7"/>
        <w:spacing w:line="364" w:lineRule="auto"/>
        <w:ind w:left="220" w:right="315" w:firstLine="480"/>
        <w:rPr>
          <w:color w:val="0000FF"/>
        </w:rPr>
      </w:pPr>
      <w:r>
        <w:rPr>
          <w:color w:val="0000FF"/>
          <w:spacing w:val="-6"/>
        </w:rPr>
        <w:t>本项目产生的固体废物主要为羊粪及粪渣、废弃垫料、病死羊及分娩物、医</w:t>
      </w:r>
      <w:r>
        <w:rPr>
          <w:color w:val="0000FF"/>
        </w:rPr>
        <w:t>疗垃圾、生活垃圾。</w:t>
      </w:r>
    </w:p>
    <w:p>
      <w:pPr>
        <w:pStyle w:val="7"/>
        <w:spacing w:before="1" w:line="364" w:lineRule="auto"/>
        <w:ind w:left="220" w:right="197" w:firstLine="480"/>
        <w:rPr>
          <w:color w:val="0000FF"/>
        </w:rPr>
      </w:pPr>
      <w:r>
        <w:rPr>
          <w:color w:val="0000FF"/>
          <w:spacing w:val="-7"/>
        </w:rPr>
        <w:t>本项目羊粪产生量为</w:t>
      </w:r>
      <w:r>
        <w:rPr>
          <w:rFonts w:hint="eastAsia" w:ascii="Times New Roman" w:eastAsia="宋体"/>
          <w:color w:val="0000FF"/>
          <w:lang w:val="en-US" w:eastAsia="zh-CN"/>
        </w:rPr>
        <w:t>39785</w:t>
      </w:r>
      <w:r>
        <w:rPr>
          <w:rFonts w:ascii="Times New Roman" w:eastAsia="Times New Roman"/>
          <w:color w:val="0000FF"/>
        </w:rPr>
        <w:t>t/a</w:t>
      </w:r>
      <w:r>
        <w:rPr>
          <w:color w:val="0000FF"/>
        </w:rPr>
        <w:t>，每天产生的粪便由人工清理至堆肥厂通过</w:t>
      </w:r>
      <w:r>
        <w:rPr>
          <w:color w:val="0000FF"/>
          <w:spacing w:val="-11"/>
        </w:rPr>
        <w:t>高温堆肥发酵处理方式对固体粪污进行无害化处理，符合《粪便无害化卫生要求》</w:t>
      </w:r>
    </w:p>
    <w:p>
      <w:pPr>
        <w:pStyle w:val="7"/>
        <w:spacing w:before="2" w:line="364" w:lineRule="auto"/>
        <w:ind w:left="220" w:right="266"/>
        <w:rPr>
          <w:color w:val="0000FF"/>
        </w:rPr>
      </w:pPr>
      <w:r>
        <w:rPr>
          <w:color w:val="0000FF"/>
        </w:rPr>
        <w:t>（</w:t>
      </w:r>
      <w:r>
        <w:rPr>
          <w:rFonts w:ascii="Times New Roman" w:eastAsia="Times New Roman"/>
          <w:color w:val="0000FF"/>
        </w:rPr>
        <w:t>GB7959-2012</w:t>
      </w:r>
      <w:r>
        <w:rPr>
          <w:color w:val="0000FF"/>
        </w:rPr>
        <w:t>）后，外售给附近村民，直接还田进行土地利用，禁止未经处理的畜禽粪便直接施入农田。</w:t>
      </w:r>
    </w:p>
    <w:p>
      <w:pPr>
        <w:pStyle w:val="7"/>
        <w:spacing w:before="1" w:line="364" w:lineRule="auto"/>
        <w:ind w:left="220" w:right="192" w:firstLine="480"/>
        <w:rPr>
          <w:color w:val="0000FF"/>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，羊舍总建筑面积</w:t>
      </w:r>
      <w:r>
        <w:rPr>
          <w:rFonts w:hint="eastAsia" w:ascii="Times New Roman" w:eastAsia="宋体"/>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。根据业主提供的资料，</w:t>
      </w:r>
      <w:r>
        <w:rPr>
          <w:color w:val="0000FF"/>
          <w:spacing w:val="-16"/>
        </w:rPr>
        <w:t>粪床每</w:t>
      </w:r>
      <w:r>
        <w:rPr>
          <w:rFonts w:ascii="Times New Roman" w:eastAsia="Times New Roman"/>
          <w:color w:val="0000FF"/>
        </w:rPr>
        <w:t>1</w:t>
      </w:r>
      <w:r>
        <w:rPr>
          <w:color w:val="0000FF"/>
          <w:spacing w:val="-16"/>
        </w:rPr>
        <w:t>年清理一次，垫料层与羊粪、粪渣一起进入堆肥厂高温发酵无害化处理，</w:t>
      </w:r>
      <w:r>
        <w:rPr>
          <w:color w:val="0000FF"/>
        </w:rPr>
        <w:t>不外排，实现综合利用。</w:t>
      </w:r>
    </w:p>
    <w:p>
      <w:pPr>
        <w:pStyle w:val="7"/>
        <w:spacing w:before="3" w:line="364" w:lineRule="auto"/>
        <w:ind w:left="220" w:right="197" w:firstLine="480"/>
        <w:rPr>
          <w:color w:val="0000FF"/>
        </w:rPr>
      </w:pPr>
      <w:r>
        <w:rPr>
          <w:color w:val="0000FF"/>
          <w:spacing w:val="-5"/>
        </w:rPr>
        <w:t>本项目运营期估算病死羊量约</w:t>
      </w:r>
      <w:r>
        <w:rPr>
          <w:rFonts w:ascii="Times New Roman" w:eastAsia="Times New Roman"/>
          <w:color w:val="0000FF"/>
        </w:rPr>
        <w:t>8t/a</w:t>
      </w:r>
      <w:r>
        <w:rPr>
          <w:color w:val="0000FF"/>
          <w:spacing w:val="-11"/>
        </w:rPr>
        <w:t>。本项目病死羊采用干化法畜禽无害化</w:t>
      </w:r>
      <w:r>
        <w:rPr>
          <w:color w:val="0000FF"/>
          <w:spacing w:val="-12"/>
        </w:rPr>
        <w:t>处理方式处理。计划项目区拟建畜禽无害化处理车间，并购进畜禽无害化处理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spacing w:val="-5"/>
        </w:rPr>
        <w:t>次成套设备，采用高温高压灭菌技术，大型动物无需肢解，可直接进行处理，</w:t>
      </w:r>
      <w:r>
        <w:rPr>
          <w:color w:val="0000FF"/>
          <w:spacing w:val="-4"/>
        </w:rPr>
        <w:t>处理后的产物可出售给肉骨粉干品生产厂和工业用油脂厂，综合利用，符合国家防疫法规要求。因此病死羊及分娩物对周边环境影响较小。</w:t>
      </w:r>
    </w:p>
    <w:p>
      <w:pPr>
        <w:pStyle w:val="7"/>
        <w:spacing w:before="2" w:line="364" w:lineRule="auto"/>
        <w:ind w:left="220" w:right="317" w:firstLine="480"/>
        <w:rPr>
          <w:bCs/>
          <w:color w:val="FF0000"/>
          <w:sz w:val="24"/>
          <w:szCs w:val="24"/>
        </w:rPr>
      </w:pPr>
      <w:r>
        <w:rPr>
          <w:color w:val="0000FF"/>
          <w:spacing w:val="-12"/>
        </w:rPr>
        <w:t>消毒、防疫废物和兽用医疗废物由项目所在乡镇</w:t>
      </w:r>
      <w:r>
        <w:rPr>
          <w:rFonts w:hint="eastAsia"/>
          <w:color w:val="0000FF"/>
          <w:spacing w:val="-12"/>
          <w:lang w:val="en-US" w:eastAsia="zh-CN"/>
        </w:rPr>
        <w:t>莎车</w:t>
      </w:r>
      <w:r>
        <w:rPr>
          <w:color w:val="0000FF"/>
          <w:spacing w:val="-12"/>
        </w:rPr>
        <w:t>乡兽医站以及村级防疫</w:t>
      </w:r>
      <w:r>
        <w:rPr>
          <w:color w:val="0000FF"/>
          <w:spacing w:val="-3"/>
        </w:rPr>
        <w:t>中心委托有资质的单位处理处置。本项目劳动定员</w:t>
      </w:r>
      <w:r>
        <w:rPr>
          <w:rFonts w:ascii="Times New Roman" w:eastAsia="Times New Roman"/>
          <w:color w:val="0000FF"/>
        </w:rPr>
        <w:t>30</w:t>
      </w:r>
      <w:r>
        <w:rPr>
          <w:color w:val="0000FF"/>
          <w:spacing w:val="-2"/>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7"/>
        <w:spacing w:before="2" w:line="364" w:lineRule="auto"/>
        <w:ind w:left="220" w:right="317" w:firstLine="480"/>
        <w:rPr>
          <w:color w:val="0000FF"/>
        </w:rPr>
      </w:pPr>
      <w:r>
        <w:rPr>
          <w:color w:val="0000FF"/>
          <w:spacing w:val="-6"/>
        </w:rPr>
        <w:t>本项目产生的固体废物均得到了妥善处置和利用，不向环境排放，所以本项</w:t>
      </w:r>
      <w:r>
        <w:rPr>
          <w:color w:val="0000FF"/>
        </w:rPr>
        <w:t>目固体废物对环境的影响可以接受。</w:t>
      </w:r>
    </w:p>
    <w:p>
      <w:pPr>
        <w:spacing w:after="0" w:line="364" w:lineRule="auto"/>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2"/>
        </w:numPr>
        <w:tabs>
          <w:tab w:val="left" w:pos="921"/>
        </w:tabs>
        <w:spacing w:before="143" w:after="0" w:line="240" w:lineRule="auto"/>
        <w:ind w:left="920" w:right="0" w:hanging="701"/>
        <w:jc w:val="left"/>
        <w:outlineLvl w:val="2"/>
      </w:pPr>
      <w:bookmarkStart w:id="558" w:name="9.5.5 生态环境影响"/>
      <w:bookmarkEnd w:id="558"/>
      <w:bookmarkStart w:id="559" w:name="9.5.5 生态环境影响"/>
      <w:bookmarkEnd w:id="559"/>
      <w:bookmarkStart w:id="560" w:name="_Toc15422"/>
      <w:r>
        <w:t>生态环境影响</w:t>
      </w:r>
      <w:bookmarkEnd w:id="560"/>
    </w:p>
    <w:p>
      <w:pPr>
        <w:pStyle w:val="7"/>
        <w:spacing w:before="5"/>
        <w:ind w:left="0"/>
        <w:rPr>
          <w:b/>
          <w:sz w:val="21"/>
        </w:rPr>
      </w:pPr>
    </w:p>
    <w:p>
      <w:pPr>
        <w:pStyle w:val="7"/>
        <w:spacing w:line="364" w:lineRule="auto"/>
        <w:ind w:left="220" w:right="315" w:firstLine="480"/>
        <w:jc w:val="both"/>
      </w:pPr>
      <w:r>
        <w:rPr>
          <w:spacing w:val="-10"/>
        </w:rPr>
        <w:t>项目建成后，养殖场将建成混凝土地面，并在空地和厂界四周进行绿化，项</w:t>
      </w:r>
      <w:r>
        <w:rPr>
          <w:spacing w:val="-6"/>
        </w:rPr>
        <w:t>目所在区域将会因为项目的建设而受益，植被覆盖率增大，多样性增加，使该地</w:t>
      </w:r>
      <w:r>
        <w:rPr>
          <w:spacing w:val="-7"/>
        </w:rPr>
        <w:t>区的生态得到有效的改善。因此本项目的实施可以提高土地利用率和生产力，且</w:t>
      </w:r>
      <w:r>
        <w:rPr>
          <w:spacing w:val="-6"/>
        </w:rPr>
        <w:t>绿化种植一方面可以起到降噪降恶臭的环境功能，另一方面更利于对地表径流水</w:t>
      </w:r>
      <w:r>
        <w:rPr>
          <w:spacing w:val="-10"/>
        </w:rPr>
        <w:t>的吸收，有利于水土保持，减少土壤侵蚀。综合来说对当地生态的影响，利大于</w:t>
      </w:r>
      <w:r>
        <w:t>弊。</w:t>
      </w:r>
    </w:p>
    <w:p>
      <w:pPr>
        <w:pStyle w:val="5"/>
        <w:numPr>
          <w:ilvl w:val="2"/>
          <w:numId w:val="82"/>
        </w:numPr>
        <w:tabs>
          <w:tab w:val="left" w:pos="921"/>
        </w:tabs>
        <w:spacing w:before="118" w:after="0" w:line="240" w:lineRule="auto"/>
        <w:ind w:left="920" w:right="0" w:hanging="701"/>
        <w:jc w:val="left"/>
        <w:outlineLvl w:val="2"/>
      </w:pPr>
      <w:bookmarkStart w:id="561" w:name="9.5.6 土壤环境影响"/>
      <w:bookmarkEnd w:id="561"/>
      <w:bookmarkStart w:id="562" w:name="9.5.6 土壤环境影响"/>
      <w:bookmarkEnd w:id="562"/>
      <w:bookmarkStart w:id="563" w:name="_Toc27297"/>
      <w:r>
        <w:t>土壤环境影响</w:t>
      </w:r>
      <w:bookmarkEnd w:id="563"/>
    </w:p>
    <w:p>
      <w:pPr>
        <w:pStyle w:val="7"/>
        <w:spacing w:before="7"/>
        <w:ind w:left="0"/>
        <w:rPr>
          <w:b/>
          <w:sz w:val="21"/>
        </w:rPr>
      </w:pPr>
    </w:p>
    <w:p>
      <w:pPr>
        <w:pStyle w:val="7"/>
        <w:spacing w:line="364" w:lineRule="auto"/>
        <w:ind w:left="220" w:right="316" w:firstLine="480"/>
        <w:jc w:val="both"/>
        <w:rPr>
          <w:color w:val="0000FF"/>
        </w:rPr>
      </w:pPr>
      <w:r>
        <w:rPr>
          <w:color w:val="0000FF"/>
          <w:spacing w:val="-6"/>
        </w:rPr>
        <w:t>项目区四周为</w:t>
      </w:r>
      <w:r>
        <w:rPr>
          <w:rFonts w:hint="eastAsia"/>
          <w:color w:val="0000FF"/>
          <w:spacing w:val="-6"/>
          <w:lang w:val="en-US" w:eastAsia="zh-CN"/>
        </w:rPr>
        <w:t>荒地</w:t>
      </w:r>
      <w:r>
        <w:rPr>
          <w:rFonts w:hint="eastAsia"/>
          <w:color w:val="0000FF"/>
          <w:spacing w:val="-1"/>
          <w:sz w:val="24"/>
          <w:lang w:val="en-US" w:eastAsia="zh-CN"/>
        </w:rPr>
        <w:t>南</w:t>
      </w:r>
      <w:r>
        <w:rPr>
          <w:color w:val="0000FF"/>
          <w:spacing w:val="-15"/>
          <w:sz w:val="24"/>
        </w:rPr>
        <w:t>侧约</w:t>
      </w:r>
      <w:r>
        <w:rPr>
          <w:rFonts w:hint="eastAsia"/>
          <w:color w:val="0000FF"/>
          <w:spacing w:val="-15"/>
          <w:sz w:val="24"/>
          <w:lang w:val="en-US" w:eastAsia="zh-CN"/>
        </w:rPr>
        <w:t>2</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托万巴格托格克拉村耕地</w:t>
      </w:r>
      <w:r>
        <w:rPr>
          <w:color w:val="0000FF"/>
          <w:spacing w:val="-6"/>
        </w:rPr>
        <w:t>，种植作物主要为玉米和小麦。项目的建</w:t>
      </w:r>
      <w:r>
        <w:rPr>
          <w:color w:val="0000FF"/>
          <w:spacing w:val="-7"/>
        </w:rPr>
        <w:t>设对土壤的影响主要是主体、辅助、公用以及环保工程建设破坏地表表层，加剧</w:t>
      </w:r>
      <w:r>
        <w:rPr>
          <w:color w:val="0000FF"/>
          <w:spacing w:val="-2"/>
        </w:rPr>
        <w:t>区域部分土壤的水分流失，降低原有土壤的抗侵蚀力，本项目占地约</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亩），项目的建设对土壤产生的较大影响基本限于主要工程</w:t>
      </w:r>
      <w:r>
        <w:rPr>
          <w:rFonts w:hint="eastAsia" w:ascii="Times New Roman"/>
          <w:color w:val="0000FF"/>
          <w:lang w:val="en-US" w:eastAsia="zh-CN"/>
        </w:rPr>
        <w:t>31.095</w:t>
      </w:r>
      <w:r>
        <w:rPr>
          <w:color w:val="0000FF"/>
        </w:rPr>
        <w:t>亩占地范围内，对项目区西侧耕地基本无影响。另外项目建成后场内地面将做硬化处理，建成后绿地面积占整个场区的</w:t>
      </w:r>
      <w:r>
        <w:rPr>
          <w:rFonts w:hint="eastAsia" w:ascii="Times New Roman" w:eastAsia="宋体"/>
          <w:color w:val="0000FF"/>
          <w:lang w:val="en-US" w:eastAsia="zh-CN"/>
        </w:rPr>
        <w:t>15</w:t>
      </w:r>
      <w:r>
        <w:rPr>
          <w:rFonts w:ascii="Times New Roman" w:eastAsia="Times New Roman"/>
          <w:color w:val="0000FF"/>
        </w:rPr>
        <w:t>%</w:t>
      </w:r>
      <w:r>
        <w:rPr>
          <w:color w:val="0000FF"/>
        </w:rPr>
        <w:t>，区域原土壤的抗外界侵蚀力将有所改善。</w:t>
      </w:r>
    </w:p>
    <w:p>
      <w:pPr>
        <w:pStyle w:val="5"/>
        <w:numPr>
          <w:ilvl w:val="2"/>
          <w:numId w:val="82"/>
        </w:numPr>
        <w:tabs>
          <w:tab w:val="left" w:pos="921"/>
        </w:tabs>
        <w:spacing w:before="115" w:after="0" w:line="240" w:lineRule="auto"/>
        <w:ind w:left="920" w:right="0" w:hanging="701"/>
        <w:jc w:val="left"/>
        <w:outlineLvl w:val="2"/>
      </w:pPr>
      <w:bookmarkStart w:id="564" w:name="9.5.7 环境风险评价结论"/>
      <w:bookmarkEnd w:id="564"/>
      <w:bookmarkStart w:id="565" w:name="9.5.7 环境风险评价结论"/>
      <w:bookmarkEnd w:id="565"/>
      <w:bookmarkStart w:id="566" w:name="_Toc23489"/>
      <w:r>
        <w:t>环境风险评价结论</w:t>
      </w:r>
      <w:bookmarkEnd w:id="566"/>
    </w:p>
    <w:p>
      <w:pPr>
        <w:pStyle w:val="7"/>
        <w:spacing w:before="5"/>
        <w:ind w:left="0"/>
        <w:rPr>
          <w:b/>
          <w:sz w:val="21"/>
        </w:rPr>
      </w:pPr>
    </w:p>
    <w:p>
      <w:pPr>
        <w:pStyle w:val="7"/>
        <w:spacing w:line="364" w:lineRule="auto"/>
        <w:ind w:left="220" w:right="225" w:firstLine="480"/>
      </w:pPr>
      <w:r>
        <w:rPr>
          <w:spacing w:val="2"/>
        </w:rPr>
        <w:t>项目生产过程中的主要环境风险是养殖场疫病风险，废气事故排放风险风</w:t>
      </w:r>
      <w:r>
        <w:rPr>
          <w:spacing w:val="-8"/>
        </w:rPr>
        <w:t>险。通过加强养殖场卫生管理和环境消毒、药物预防、羊的免疫接种、严格按照</w:t>
      </w:r>
      <w:r>
        <w:rPr>
          <w:spacing w:val="-13"/>
        </w:rPr>
        <w:t>防疫条例处置病死羊尸体等方式，降低养殖场疫病风险；定期对废气处理装置进</w:t>
      </w:r>
      <w:r>
        <w:rPr>
          <w:spacing w:val="-14"/>
        </w:rPr>
        <w:t>行检修，避免废气事故排放；对装置区管道经常巡查，杜绝“跑、冒、滴、漏”</w:t>
      </w:r>
      <w:r>
        <w:rPr>
          <w:spacing w:val="-8"/>
        </w:rPr>
        <w:t>等事故的发生，尤其是在储液池、污水输送管道周边，进行严格的防渗处理，从</w:t>
      </w:r>
      <w:r>
        <w:rPr>
          <w:spacing w:val="-12"/>
        </w:rPr>
        <w:t>源头上防止污水进入地下水含水层之间。通过采取以上措施，降低环境风险。建设单位必须严格落实事故预防措施，确定详尽的事故应急预案。</w:t>
      </w:r>
    </w:p>
    <w:p>
      <w:pPr>
        <w:pStyle w:val="4"/>
        <w:numPr>
          <w:ilvl w:val="1"/>
          <w:numId w:val="79"/>
        </w:numPr>
        <w:tabs>
          <w:tab w:val="left" w:pos="780"/>
        </w:tabs>
        <w:spacing w:before="157" w:after="0" w:line="240" w:lineRule="auto"/>
        <w:ind w:left="779" w:right="0" w:hanging="560"/>
        <w:jc w:val="left"/>
        <w:outlineLvl w:val="1"/>
      </w:pPr>
      <w:bookmarkStart w:id="567" w:name="_bookmark45"/>
      <w:bookmarkEnd w:id="567"/>
      <w:bookmarkStart w:id="568" w:name="9.6 污染防治措施"/>
      <w:bookmarkEnd w:id="568"/>
      <w:bookmarkStart w:id="569" w:name="_bookmark45"/>
      <w:bookmarkEnd w:id="569"/>
      <w:bookmarkStart w:id="570" w:name="_Toc21237"/>
      <w:r>
        <w:t>污染防治措施</w:t>
      </w:r>
      <w:bookmarkEnd w:id="570"/>
    </w:p>
    <w:p>
      <w:pPr>
        <w:pStyle w:val="7"/>
        <w:spacing w:before="6"/>
        <w:ind w:left="0"/>
        <w:rPr>
          <w:b/>
          <w:sz w:val="28"/>
        </w:rPr>
      </w:pPr>
    </w:p>
    <w:p>
      <w:pPr>
        <w:pStyle w:val="5"/>
        <w:numPr>
          <w:ilvl w:val="2"/>
          <w:numId w:val="83"/>
        </w:numPr>
        <w:tabs>
          <w:tab w:val="left" w:pos="921"/>
        </w:tabs>
        <w:spacing w:before="0" w:after="0" w:line="240" w:lineRule="auto"/>
        <w:ind w:left="920" w:right="0" w:hanging="701"/>
        <w:jc w:val="left"/>
        <w:outlineLvl w:val="2"/>
      </w:pPr>
      <w:bookmarkStart w:id="571" w:name="9.6.1 大气环境保护措施"/>
      <w:bookmarkEnd w:id="571"/>
      <w:bookmarkStart w:id="572" w:name="9.6.1 大气环境保护措施"/>
      <w:bookmarkEnd w:id="572"/>
      <w:bookmarkStart w:id="573" w:name="_Toc3916"/>
      <w:r>
        <w:t>大气环境保护措施</w:t>
      </w:r>
      <w:bookmarkEnd w:id="573"/>
    </w:p>
    <w:p>
      <w:pPr>
        <w:pStyle w:val="7"/>
        <w:spacing w:before="5"/>
        <w:ind w:left="0"/>
        <w:rPr>
          <w:b/>
          <w:sz w:val="21"/>
        </w:rPr>
      </w:pPr>
    </w:p>
    <w:p>
      <w:pPr>
        <w:pStyle w:val="7"/>
        <w:ind w:left="0" w:right="315"/>
        <w:jc w:val="right"/>
      </w:pPr>
      <w:r>
        <w:rPr>
          <w:spacing w:val="-7"/>
        </w:rPr>
        <w:t>羊舍采取保持羊舍清洁、及时清粪、加强管理、喷洒除臭剂、在日粮中投放</w:t>
      </w:r>
    </w:p>
    <w:p>
      <w:pPr>
        <w:pStyle w:val="7"/>
        <w:spacing w:before="160"/>
        <w:ind w:left="0" w:right="317"/>
        <w:jc w:val="right"/>
      </w:pPr>
      <w:r>
        <w:rPr>
          <w:rFonts w:ascii="Times New Roman" w:eastAsia="Times New Roman"/>
        </w:rPr>
        <w:t>EM</w:t>
      </w:r>
      <w:r>
        <w:rPr>
          <w:spacing w:val="-3"/>
        </w:rPr>
        <w:t>菌剂等有益微生物复合制剂、加强绿化、合理布置场区结构等措施减少臭气</w:t>
      </w:r>
    </w:p>
    <w:p>
      <w:pPr>
        <w:spacing w:after="0"/>
        <w:jc w:val="right"/>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197"/>
      </w:pPr>
      <w:r>
        <w:rPr>
          <w:spacing w:val="-16"/>
        </w:rPr>
        <w:t>扩散；羊粪发酵采用堆肥发酵；病死羊废物采用干化法畜禽无害化处理方式处理，</w:t>
      </w:r>
      <w:r>
        <w:rPr>
          <w:spacing w:val="-2"/>
        </w:rPr>
        <w:t>产生的废气引至光解除臭装置吸收处理，再经引风机引至</w:t>
      </w:r>
      <w:r>
        <w:rPr>
          <w:rFonts w:ascii="Times New Roman" w:eastAsia="Times New Roman"/>
        </w:rPr>
        <w:t>15m</w:t>
      </w:r>
      <w:r>
        <w:t>高排气筒集中排</w:t>
      </w:r>
      <w:r>
        <w:rPr>
          <w:spacing w:val="-11"/>
          <w:position w:val="2"/>
        </w:rPr>
        <w:t>放。项目</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厂界的浓度均小于《恶臭污染物排放标准》</w:t>
      </w:r>
      <w:r>
        <w:rPr>
          <w:spacing w:val="-3"/>
          <w:position w:val="2"/>
          <w:vertAlign w:val="baseline"/>
        </w:rPr>
        <w:t>（</w:t>
      </w:r>
      <w:r>
        <w:rPr>
          <w:rFonts w:ascii="Times New Roman" w:eastAsia="Times New Roman"/>
          <w:spacing w:val="-3"/>
          <w:position w:val="2"/>
          <w:vertAlign w:val="baseline"/>
        </w:rPr>
        <w:t>GB14554-93</w:t>
      </w:r>
      <w:r>
        <w:rPr>
          <w:spacing w:val="-3"/>
          <w:position w:val="2"/>
          <w:vertAlign w:val="baseline"/>
        </w:rPr>
        <w:t>）</w:t>
      </w:r>
      <w:r>
        <w:rPr>
          <w:spacing w:val="-30"/>
          <w:vertAlign w:val="baseline"/>
        </w:rPr>
        <w:t>表</w:t>
      </w:r>
      <w:r>
        <w:rPr>
          <w:rFonts w:ascii="Times New Roman" w:eastAsia="Times New Roman"/>
          <w:vertAlign w:val="baseline"/>
        </w:rPr>
        <w:t>1</w:t>
      </w:r>
      <w:r>
        <w:rPr>
          <w:spacing w:val="-6"/>
          <w:vertAlign w:val="baseline"/>
        </w:rPr>
        <w:t>恶臭污染物厂界标准值限值要求，排气筒排放污染物的浓度满足《恶臭污染</w:t>
      </w:r>
      <w:r>
        <w:t>物排放标准》（</w:t>
      </w:r>
      <w:r>
        <w:rPr>
          <w:rFonts w:ascii="Times New Roman" w:eastAsia="Times New Roman"/>
        </w:rPr>
        <w:t>GB14554-93</w:t>
      </w:r>
      <w:r>
        <w:t>）表</w:t>
      </w:r>
      <w:r>
        <w:rPr>
          <w:rFonts w:ascii="Times New Roman" w:eastAsia="Times New Roman"/>
        </w:rPr>
        <w:t>2</w:t>
      </w:r>
      <w:r>
        <w:t>限值要求。</w:t>
      </w:r>
    </w:p>
    <w:p>
      <w:pPr>
        <w:pStyle w:val="7"/>
        <w:spacing w:before="5"/>
        <w:ind w:left="0"/>
        <w:rPr>
          <w:sz w:val="21"/>
        </w:rPr>
      </w:pPr>
    </w:p>
    <w:p>
      <w:pPr>
        <w:pStyle w:val="5"/>
        <w:numPr>
          <w:ilvl w:val="2"/>
          <w:numId w:val="83"/>
        </w:numPr>
        <w:tabs>
          <w:tab w:val="left" w:pos="921"/>
        </w:tabs>
        <w:spacing w:before="0" w:after="0" w:line="240" w:lineRule="auto"/>
        <w:ind w:left="920" w:right="0" w:hanging="701"/>
        <w:jc w:val="left"/>
        <w:outlineLvl w:val="2"/>
      </w:pPr>
      <w:bookmarkStart w:id="574" w:name="9.6.2 水环境保护措施"/>
      <w:bookmarkEnd w:id="574"/>
      <w:bookmarkStart w:id="575" w:name="9.6.2 水环境保护措施"/>
      <w:bookmarkEnd w:id="575"/>
      <w:bookmarkStart w:id="576" w:name="_Toc12128"/>
      <w:r>
        <w:t>水环境保护措施</w:t>
      </w:r>
      <w:bookmarkEnd w:id="576"/>
    </w:p>
    <w:p>
      <w:pPr>
        <w:pStyle w:val="7"/>
        <w:spacing w:before="7"/>
        <w:ind w:left="0"/>
        <w:rPr>
          <w:b/>
          <w:sz w:val="21"/>
        </w:rPr>
      </w:pPr>
    </w:p>
    <w:p>
      <w:pPr>
        <w:pStyle w:val="7"/>
        <w:spacing w:line="364" w:lineRule="auto"/>
        <w:ind w:left="220" w:right="195" w:firstLine="480"/>
        <w:rPr>
          <w:color w:val="0000FF"/>
        </w:rPr>
      </w:pPr>
      <w:r>
        <w:rPr>
          <w:color w:val="0000FF"/>
          <w:spacing w:val="-7"/>
        </w:rPr>
        <w:t>本项目采用干清粪工艺，不产生圈舍冲洗废水；羊饮水一部分参与羊的新陈</w:t>
      </w:r>
      <w:r>
        <w:rPr>
          <w:color w:val="0000FF"/>
          <w:spacing w:val="-10"/>
        </w:rPr>
        <w:t>代谢，另一部分饮水以尿液的方式排放，养殖场每栋羊舍地面为混凝土地面，上</w:t>
      </w:r>
      <w:r>
        <w:rPr>
          <w:color w:val="0000FF"/>
          <w:spacing w:val="-23"/>
        </w:rPr>
        <w:t>端覆盖</w:t>
      </w:r>
      <w:r>
        <w:rPr>
          <w:rFonts w:ascii="Times New Roman" w:eastAsia="Times New Roman"/>
          <w:color w:val="0000FF"/>
        </w:rPr>
        <w:t>35cm</w:t>
      </w:r>
      <w:r>
        <w:rPr>
          <w:color w:val="0000FF"/>
          <w:spacing w:val="-4"/>
        </w:rPr>
        <w:t>厚垫料，铺设垫床一般采用废气杂草、农作物秸秆粉、锯末等农业</w:t>
      </w:r>
      <w:r>
        <w:rPr>
          <w:color w:val="0000FF"/>
          <w:spacing w:val="-18"/>
        </w:rPr>
        <w:t>材料，羊排泄的尿液被垫料吸收、蒸发，项目定期对垫料层和粪便进行清理更换，</w:t>
      </w:r>
      <w:r>
        <w:rPr>
          <w:color w:val="0000FF"/>
          <w:spacing w:val="-8"/>
        </w:rPr>
        <w:t>不需要对畜舍进行冲洗，无冲栏废水产生。垫料层与羊粪一起进入堆肥厂堆肥发</w:t>
      </w:r>
      <w:r>
        <w:rPr>
          <w:color w:val="0000FF"/>
          <w:spacing w:val="-10"/>
        </w:rPr>
        <w:t>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w:t>
      </w:r>
      <w:r>
        <w:rPr>
          <w:rFonts w:hint="eastAsia" w:cs="宋体"/>
          <w:color w:val="FF0000"/>
          <w:spacing w:val="-1"/>
          <w:sz w:val="24"/>
          <w:szCs w:val="24"/>
          <w:lang w:val="en-US" w:eastAsia="zh-CN"/>
        </w:rPr>
        <w:t>，</w:t>
      </w:r>
      <w:r>
        <w:rPr>
          <w:rFonts w:hint="eastAsia" w:ascii="宋体" w:hAnsi="宋体" w:eastAsia="宋体" w:cs="宋体"/>
          <w:color w:val="FF0000"/>
          <w:spacing w:val="-1"/>
          <w:sz w:val="24"/>
          <w:szCs w:val="24"/>
          <w:lang w:val="en-US" w:eastAsia="zh-CN"/>
        </w:rPr>
        <w:t>沉淀物由相关环卫部门抽运。</w:t>
      </w:r>
    </w:p>
    <w:p>
      <w:pPr>
        <w:pStyle w:val="7"/>
        <w:spacing w:before="5" w:line="364" w:lineRule="auto"/>
        <w:ind w:left="220" w:right="315" w:firstLine="480"/>
        <w:jc w:val="both"/>
        <w:rPr>
          <w:rFonts w:hint="default" w:eastAsia="宋体"/>
          <w:color w:val="0000FF"/>
          <w:lang w:val="en-US" w:eastAsia="zh-CN"/>
        </w:rPr>
      </w:pPr>
      <w:r>
        <w:rPr>
          <w:color w:val="0000FF"/>
          <w:spacing w:val="-7"/>
        </w:rPr>
        <w:t>项目进场需对车辆进行消毒处理，设置消毒池，消毒用水量较小，不会在厂</w:t>
      </w:r>
      <w:r>
        <w:rPr>
          <w:color w:val="0000FF"/>
          <w:spacing w:val="-9"/>
        </w:rPr>
        <w:t>区形成径流，随之蒸发。本项目厂内绿化面积为</w:t>
      </w:r>
      <w:r>
        <w:rPr>
          <w:rFonts w:hint="eastAsia" w:ascii="Times New Roman"/>
          <w:color w:val="0000FF"/>
          <w:spacing w:val="-3"/>
          <w:lang w:val="en-US" w:eastAsia="zh-CN"/>
        </w:rPr>
        <w:t>3109.5</w:t>
      </w:r>
      <w:r>
        <w:rPr>
          <w:rFonts w:ascii="Times New Roman" w:eastAsia="Times New Roman"/>
          <w:color w:val="0000FF"/>
          <w:spacing w:val="-3"/>
        </w:rPr>
        <w:t>m</w:t>
      </w:r>
      <w:r>
        <w:rPr>
          <w:rFonts w:ascii="Times New Roman" w:eastAsia="Times New Roman"/>
          <w:color w:val="0000FF"/>
          <w:spacing w:val="-3"/>
          <w:position w:val="8"/>
          <w:sz w:val="15"/>
        </w:rPr>
        <w:t>2</w:t>
      </w:r>
      <w:r>
        <w:rPr>
          <w:color w:val="0000FF"/>
          <w:spacing w:val="-3"/>
        </w:rPr>
        <w:t>（</w:t>
      </w:r>
      <w:r>
        <w:rPr>
          <w:rFonts w:hint="eastAsia" w:ascii="Times New Roman"/>
          <w:color w:val="0000FF"/>
          <w:spacing w:val="-3"/>
          <w:lang w:val="en-US" w:eastAsia="zh-CN"/>
        </w:rPr>
        <w:t>4.66</w:t>
      </w:r>
      <w:r>
        <w:rPr>
          <w:color w:val="0000FF"/>
        </w:rPr>
        <w:t>亩</w:t>
      </w:r>
      <w:r>
        <w:rPr>
          <w:color w:val="0000FF"/>
          <w:spacing w:val="-23"/>
        </w:rPr>
        <w:t>）</w:t>
      </w:r>
      <w:r>
        <w:rPr>
          <w:color w:val="0000FF"/>
          <w:spacing w:val="-8"/>
        </w:rPr>
        <w:t>，绿化用水全部被植物和土壤吸收。畜禽无害化处理车间化制废水进入废水槽，收集后拉运</w:t>
      </w:r>
      <w:r>
        <w:rPr>
          <w:color w:val="0000FF"/>
        </w:rPr>
        <w:t>至</w:t>
      </w:r>
      <w:r>
        <w:rPr>
          <w:rFonts w:hint="eastAsia"/>
          <w:color w:val="0000FF"/>
          <w:lang w:val="en-US" w:eastAsia="zh-CN"/>
        </w:rPr>
        <w:t>莎车</w:t>
      </w:r>
      <w:r>
        <w:rPr>
          <w:color w:val="0000FF"/>
        </w:rPr>
        <w:t>县污水处理站处理，不外排，对环境无影响。</w:t>
      </w:r>
    </w:p>
    <w:p>
      <w:pPr>
        <w:pStyle w:val="7"/>
        <w:spacing w:before="2" w:line="364" w:lineRule="auto"/>
        <w:ind w:left="220" w:right="225" w:firstLine="480"/>
        <w:rPr>
          <w:color w:val="0000FF"/>
        </w:rPr>
      </w:pPr>
      <w:r>
        <w:rPr>
          <w:color w:val="0000FF"/>
        </w:rPr>
        <w:t>地下水污染防治措施：为防止对地下水造成污染，环评要求羊舍、发酵区、羊粪堆场、无害化处理车间等采取防渗设施。</w:t>
      </w:r>
    </w:p>
    <w:p>
      <w:pPr>
        <w:pStyle w:val="5"/>
        <w:numPr>
          <w:ilvl w:val="2"/>
          <w:numId w:val="83"/>
        </w:numPr>
        <w:tabs>
          <w:tab w:val="left" w:pos="921"/>
        </w:tabs>
        <w:spacing w:before="115" w:after="0" w:line="240" w:lineRule="auto"/>
        <w:ind w:left="920" w:right="0" w:hanging="701"/>
        <w:jc w:val="left"/>
        <w:outlineLvl w:val="2"/>
      </w:pPr>
      <w:bookmarkStart w:id="577" w:name="9.6.3 声环境保护措施"/>
      <w:bookmarkEnd w:id="577"/>
      <w:bookmarkStart w:id="578" w:name="9.6.3 声环境保护措施"/>
      <w:bookmarkEnd w:id="578"/>
      <w:bookmarkStart w:id="579" w:name="_Toc24327"/>
      <w:r>
        <w:t>声环境保护措施</w:t>
      </w:r>
      <w:bookmarkEnd w:id="579"/>
    </w:p>
    <w:p>
      <w:pPr>
        <w:pStyle w:val="7"/>
        <w:spacing w:before="7"/>
        <w:ind w:left="0"/>
        <w:rPr>
          <w:b/>
          <w:sz w:val="21"/>
        </w:rPr>
      </w:pPr>
    </w:p>
    <w:p>
      <w:pPr>
        <w:pStyle w:val="7"/>
        <w:spacing w:line="364" w:lineRule="auto"/>
        <w:ind w:left="220" w:right="317" w:firstLine="480"/>
        <w:jc w:val="both"/>
      </w:pPr>
      <w:r>
        <w:rPr>
          <w:spacing w:val="-8"/>
        </w:rPr>
        <w:t>项目在建筑上采取隔声、吸声措施，在场区内外种植树木，以降低噪声向外</w:t>
      </w:r>
      <w:r>
        <w:rPr>
          <w:spacing w:val="-10"/>
        </w:rPr>
        <w:t>辐射；通过合理布局生产车间，达到阻隔、衰减噪声的目的。降噪后预计厂界噪</w:t>
      </w:r>
      <w:r>
        <w:t>声值可达到《工业企业厂界环境噪声排放标准》（</w:t>
      </w:r>
      <w:r>
        <w:rPr>
          <w:rFonts w:ascii="Times New Roman" w:eastAsia="Times New Roman"/>
        </w:rPr>
        <w:t>GB12348-2008</w:t>
      </w:r>
      <w:r>
        <w:t>）</w:t>
      </w:r>
      <w:r>
        <w:rPr>
          <w:spacing w:val="-14"/>
        </w:rPr>
        <w:t>中的</w:t>
      </w:r>
      <w:r>
        <w:rPr>
          <w:rFonts w:ascii="Times New Roman" w:eastAsia="Times New Roman"/>
        </w:rPr>
        <w:t>2</w:t>
      </w:r>
      <w:r>
        <w:t>类标准。</w:t>
      </w:r>
    </w:p>
    <w:p>
      <w:pPr>
        <w:pStyle w:val="5"/>
        <w:numPr>
          <w:ilvl w:val="2"/>
          <w:numId w:val="83"/>
        </w:numPr>
        <w:tabs>
          <w:tab w:val="left" w:pos="921"/>
        </w:tabs>
        <w:spacing w:before="116" w:after="0" w:line="240" w:lineRule="auto"/>
        <w:ind w:left="920" w:right="0" w:hanging="701"/>
        <w:jc w:val="left"/>
        <w:outlineLvl w:val="2"/>
      </w:pPr>
      <w:bookmarkStart w:id="580" w:name="9.6.4 固体废物处置措施"/>
      <w:bookmarkEnd w:id="580"/>
      <w:bookmarkStart w:id="581" w:name="9.6.4 固体废物处置措施"/>
      <w:bookmarkEnd w:id="581"/>
      <w:bookmarkStart w:id="582" w:name="_Toc13019"/>
      <w:r>
        <w:t>固体废物处置措施</w:t>
      </w:r>
      <w:bookmarkEnd w:id="582"/>
    </w:p>
    <w:p>
      <w:pPr>
        <w:pStyle w:val="7"/>
        <w:spacing w:before="5"/>
        <w:ind w:left="0"/>
        <w:rPr>
          <w:b/>
          <w:sz w:val="21"/>
        </w:rPr>
      </w:pPr>
    </w:p>
    <w:p>
      <w:pPr>
        <w:pStyle w:val="7"/>
        <w:ind w:left="700"/>
      </w:pPr>
      <w:r>
        <w:t>项目运营对其产生的固体废物均采取的有效的污染控制措施。</w:t>
      </w:r>
    </w:p>
    <w:p>
      <w:pPr>
        <w:pStyle w:val="7"/>
        <w:spacing w:before="161" w:line="364" w:lineRule="auto"/>
        <w:ind w:left="220" w:right="317" w:firstLine="480"/>
        <w:rPr>
          <w:color w:val="0000FF"/>
        </w:rPr>
      </w:pPr>
      <w:r>
        <w:rPr>
          <w:color w:val="0000FF"/>
          <w:spacing w:val="-6"/>
        </w:rPr>
        <w:t>本项目羊舍粪便采用机械干清粪为主，人工辅助干清粪，清理的干鲜粪集中</w:t>
      </w:r>
      <w:r>
        <w:rPr>
          <w:color w:val="0000FF"/>
          <w:spacing w:val="-9"/>
        </w:rPr>
        <w:t>在堆肥厂处置，经腐熟发酵后，达到无害化标准后还田。羊粪最终经堆存发酵处</w:t>
      </w:r>
    </w:p>
    <w:p>
      <w:pPr>
        <w:spacing w:after="0" w:line="364" w:lineRule="auto"/>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315"/>
        <w:jc w:val="both"/>
        <w:rPr>
          <w:color w:val="0000FF"/>
        </w:rPr>
      </w:pPr>
      <w:r>
        <w:rPr>
          <w:color w:val="0000FF"/>
          <w:spacing w:val="-2"/>
        </w:rPr>
        <w:t>置后应满足《粪便无害化卫生标准》</w:t>
      </w:r>
      <w:r>
        <w:rPr>
          <w:color w:val="0000FF"/>
        </w:rPr>
        <w:t>（</w:t>
      </w:r>
      <w:r>
        <w:rPr>
          <w:rFonts w:ascii="Times New Roman" w:eastAsia="Times New Roman"/>
          <w:color w:val="0000FF"/>
        </w:rPr>
        <w:t>GB7959-2012</w:t>
      </w:r>
      <w:r>
        <w:rPr>
          <w:color w:val="0000FF"/>
        </w:rPr>
        <w:t>）</w:t>
      </w:r>
      <w:r>
        <w:rPr>
          <w:color w:val="0000FF"/>
          <w:spacing w:val="-3"/>
        </w:rPr>
        <w:t>中污染物排放标准及《畜</w:t>
      </w:r>
      <w:r>
        <w:rPr>
          <w:color w:val="0000FF"/>
        </w:rPr>
        <w:t>禽养殖业污染物排放标准》（</w:t>
      </w:r>
      <w:r>
        <w:rPr>
          <w:rFonts w:ascii="Times New Roman" w:eastAsia="Times New Roman"/>
          <w:color w:val="0000FF"/>
        </w:rPr>
        <w:t>GB18596-2001</w:t>
      </w:r>
      <w:r>
        <w:rPr>
          <w:color w:val="0000FF"/>
        </w:rPr>
        <w:t>）</w:t>
      </w:r>
      <w:r>
        <w:rPr>
          <w:color w:val="0000FF"/>
          <w:spacing w:val="-21"/>
        </w:rPr>
        <w:t>表</w:t>
      </w:r>
      <w:r>
        <w:rPr>
          <w:rFonts w:ascii="Times New Roman" w:eastAsia="Times New Roman"/>
          <w:color w:val="0000FF"/>
        </w:rPr>
        <w:t>6</w:t>
      </w:r>
      <w:r>
        <w:rPr>
          <w:color w:val="0000FF"/>
        </w:rPr>
        <w:t>中畜禽养殖业废渣无害化环境标准要求。</w:t>
      </w:r>
    </w:p>
    <w:p>
      <w:pPr>
        <w:pStyle w:val="7"/>
        <w:spacing w:before="2" w:line="364" w:lineRule="auto"/>
        <w:ind w:left="220" w:right="197" w:firstLine="480"/>
        <w:rPr>
          <w:color w:val="0000FF"/>
        </w:rPr>
      </w:pPr>
      <w:r>
        <w:rPr>
          <w:color w:val="0000FF"/>
          <w:spacing w:val="-4"/>
        </w:rPr>
        <w:t>病死羊及分娩物采用干化法畜禽无害化处理方式处理，计划项目区拟建畜禽</w:t>
      </w:r>
      <w:r>
        <w:rPr>
          <w:color w:val="0000FF"/>
          <w:spacing w:val="-9"/>
        </w:rPr>
        <w:t>无害化处理车间，面积</w:t>
      </w:r>
      <w:r>
        <w:rPr>
          <w:rFonts w:ascii="Times New Roman" w:eastAsia="Times New Roman"/>
          <w:color w:val="0000FF"/>
        </w:rPr>
        <w:t>300m</w:t>
      </w:r>
      <w:r>
        <w:rPr>
          <w:rFonts w:ascii="Times New Roman" w:eastAsia="Times New Roman"/>
          <w:color w:val="0000FF"/>
          <w:position w:val="8"/>
          <w:sz w:val="15"/>
        </w:rPr>
        <w:t>2</w:t>
      </w:r>
      <w:r>
        <w:rPr>
          <w:color w:val="0000FF"/>
          <w:spacing w:val="-5"/>
        </w:rPr>
        <w:t>，并且购进畜禽无害化处理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次成套设备，适用</w:t>
      </w:r>
      <w:r>
        <w:rPr>
          <w:color w:val="0000FF"/>
          <w:spacing w:val="-15"/>
        </w:rPr>
        <w:t>于病死畜禽无害化处理，处理设备采用高温高压灭菌技术，大型动物无需肢解，</w:t>
      </w:r>
      <w:r>
        <w:rPr>
          <w:color w:val="0000FF"/>
          <w:spacing w:val="-8"/>
        </w:rPr>
        <w:t>可直接进行处理。高温化制法一次性处理量大，本项目病死羊及分娩物的年产生</w:t>
      </w:r>
      <w:r>
        <w:rPr>
          <w:color w:val="0000FF"/>
          <w:spacing w:val="-22"/>
        </w:rPr>
        <w:t>总量为</w:t>
      </w:r>
      <w:r>
        <w:rPr>
          <w:rFonts w:hint="eastAsia" w:ascii="Times New Roman" w:eastAsia="宋体"/>
          <w:color w:val="0000FF"/>
          <w:lang w:val="en-US" w:eastAsia="zh-CN"/>
        </w:rPr>
        <w:t>8</w:t>
      </w:r>
      <w:r>
        <w:rPr>
          <w:rFonts w:ascii="Times New Roman" w:eastAsia="Times New Roman"/>
          <w:color w:val="0000FF"/>
        </w:rPr>
        <w:t>t</w:t>
      </w:r>
      <w:r>
        <w:rPr>
          <w:color w:val="0000FF"/>
        </w:rPr>
        <w:t>，能满足其数量要求，病死畜禽无害化处理最终得到肉骨粉干品和工业用油脂。肉骨粉可出售给肉骨粉干品生产厂；油脂出售给工业用油脂厂。</w:t>
      </w:r>
    </w:p>
    <w:p>
      <w:pPr>
        <w:pStyle w:val="7"/>
        <w:spacing w:before="3" w:line="364" w:lineRule="auto"/>
        <w:ind w:left="220" w:right="317" w:firstLine="480"/>
        <w:jc w:val="both"/>
        <w:rPr>
          <w:rFonts w:hint="eastAsia" w:eastAsia="宋体"/>
          <w:color w:val="0000FF"/>
          <w:lang w:eastAsia="zh-CN"/>
        </w:rPr>
      </w:pPr>
      <w:r>
        <w:rPr>
          <w:color w:val="0000FF"/>
          <w:spacing w:val="1"/>
        </w:rPr>
        <w:t>本项目充分发挥</w:t>
      </w:r>
      <w:r>
        <w:rPr>
          <w:rFonts w:hint="eastAsia"/>
          <w:color w:val="0000FF"/>
          <w:spacing w:val="1"/>
          <w:lang w:val="en-US" w:eastAsia="zh-CN"/>
        </w:rPr>
        <w:t>莎车</w:t>
      </w:r>
      <w:r>
        <w:rPr>
          <w:color w:val="0000FF"/>
          <w:spacing w:val="1"/>
        </w:rPr>
        <w:t>县农业农村局和</w:t>
      </w:r>
      <w:r>
        <w:rPr>
          <w:rFonts w:hint="eastAsia"/>
          <w:color w:val="0000FF"/>
          <w:spacing w:val="1"/>
          <w:lang w:val="en-US" w:eastAsia="zh-CN"/>
        </w:rPr>
        <w:t>莎车</w:t>
      </w:r>
      <w:r>
        <w:rPr>
          <w:color w:val="0000FF"/>
          <w:spacing w:val="1"/>
        </w:rPr>
        <w:t>乡镇兽医站以及村级防疫中心在</w:t>
      </w:r>
      <w:r>
        <w:rPr>
          <w:color w:val="0000FF"/>
          <w:spacing w:val="-9"/>
        </w:rPr>
        <w:t>养殖工作的作用，负责标准化羊产业养殖场的日常防疫工作；</w:t>
      </w:r>
      <w:r>
        <w:rPr>
          <w:rFonts w:hint="eastAsia"/>
          <w:color w:val="0000FF"/>
          <w:spacing w:val="-9"/>
          <w:lang w:val="en-US" w:eastAsia="zh-CN"/>
        </w:rPr>
        <w:t>莎车</w:t>
      </w:r>
      <w:r>
        <w:rPr>
          <w:color w:val="0000FF"/>
          <w:spacing w:val="-9"/>
        </w:rPr>
        <w:t>县农业农村局作为技术指导单位，负责羊产业养殖场的全局防疫工作。肉羊在生长过程接种免</w:t>
      </w:r>
      <w:r>
        <w:rPr>
          <w:color w:val="0000FF"/>
        </w:rPr>
        <w:t>疫或发病期接受治疗产生的少量医疗废物由项目所在乡镇</w:t>
      </w:r>
      <w:r>
        <w:rPr>
          <w:rFonts w:hint="eastAsia"/>
          <w:color w:val="0000FF"/>
          <w:lang w:val="en-US" w:eastAsia="zh-CN"/>
        </w:rPr>
        <w:t>莎车</w:t>
      </w:r>
      <w:r>
        <w:rPr>
          <w:color w:val="0000FF"/>
        </w:rPr>
        <w:t>乡兽医站以及村级防疫中心委托有资质的单位处理处置。</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w:t>
      </w:r>
      <w:r>
        <w:rPr>
          <w:rFonts w:hint="eastAsia"/>
          <w:bCs/>
          <w:color w:val="FF0000"/>
          <w:sz w:val="24"/>
          <w:szCs w:val="24"/>
          <w:lang w:eastAsia="zh-CN"/>
        </w:rPr>
        <w:t>。</w:t>
      </w:r>
    </w:p>
    <w:p>
      <w:pPr>
        <w:pStyle w:val="7"/>
        <w:spacing w:before="3" w:line="364" w:lineRule="auto"/>
        <w:ind w:left="220" w:right="317" w:firstLine="480"/>
        <w:rPr>
          <w:color w:val="0000FF"/>
        </w:rPr>
      </w:pPr>
      <w:r>
        <w:rPr>
          <w:color w:val="0000FF"/>
          <w:spacing w:val="-10"/>
        </w:rPr>
        <w:t>综上所述，本项目对产生的固体废物均采取了妥善的处理或处置措施，不会</w:t>
      </w:r>
      <w:r>
        <w:rPr>
          <w:color w:val="0000FF"/>
        </w:rPr>
        <w:t>对环境产生二次污染。</w:t>
      </w:r>
    </w:p>
    <w:p>
      <w:pPr>
        <w:pStyle w:val="5"/>
        <w:numPr>
          <w:ilvl w:val="2"/>
          <w:numId w:val="83"/>
        </w:numPr>
        <w:tabs>
          <w:tab w:val="left" w:pos="921"/>
        </w:tabs>
        <w:spacing w:before="115" w:after="0" w:line="240" w:lineRule="auto"/>
        <w:ind w:left="920" w:right="0" w:hanging="701"/>
        <w:jc w:val="left"/>
        <w:outlineLvl w:val="2"/>
      </w:pPr>
      <w:bookmarkStart w:id="583" w:name="9.6.5 土壤污染防治措施"/>
      <w:bookmarkEnd w:id="583"/>
      <w:bookmarkStart w:id="584" w:name="9.6.5 土壤污染防治措施"/>
      <w:bookmarkEnd w:id="584"/>
      <w:bookmarkStart w:id="585" w:name="_Toc6064"/>
      <w:r>
        <w:t>土壤污染防治措施</w:t>
      </w:r>
      <w:bookmarkEnd w:id="585"/>
    </w:p>
    <w:p>
      <w:pPr>
        <w:pStyle w:val="7"/>
        <w:spacing w:before="7"/>
        <w:ind w:left="0"/>
        <w:rPr>
          <w:b/>
          <w:sz w:val="21"/>
        </w:rPr>
      </w:pPr>
    </w:p>
    <w:p>
      <w:pPr>
        <w:pStyle w:val="7"/>
        <w:spacing w:line="364" w:lineRule="auto"/>
        <w:ind w:left="220" w:right="317" w:firstLine="480"/>
        <w:jc w:val="both"/>
      </w:pPr>
      <w:r>
        <w:rPr>
          <w:spacing w:val="-7"/>
        </w:rPr>
        <w:t>本项目的建设性质为新建项目。从土壤环境质量现状监测结果来看，项目占地范围内未发现超标现象。项目运行过程中，确保项目废气污染物达标排放，养</w:t>
      </w:r>
      <w:r>
        <w:rPr>
          <w:spacing w:val="-9"/>
        </w:rPr>
        <w:t>殖废水全部综合利用，不外排。确保项目产生的一般固废和危险废物按照相应的</w:t>
      </w:r>
      <w:r>
        <w:rPr>
          <w:spacing w:val="-8"/>
        </w:rPr>
        <w:t>环境管理要求进行暂存、转移、处置，不得随意堆弃。同时，在场区占地范围内</w:t>
      </w:r>
      <w:r>
        <w:rPr>
          <w:spacing w:val="-10"/>
        </w:rPr>
        <w:t>采取绿化措施，种植对特征污染物粉尘、氨、硫化氢等具有较强吸附能力的植物为主；在装置界区进行地面硬化，危废暂存间设置围堰，按要求执行分区防渗措</w:t>
      </w:r>
      <w:r>
        <w:t>施。</w:t>
      </w:r>
    </w:p>
    <w:p>
      <w:pPr>
        <w:pStyle w:val="4"/>
        <w:numPr>
          <w:ilvl w:val="1"/>
          <w:numId w:val="79"/>
        </w:numPr>
        <w:tabs>
          <w:tab w:val="left" w:pos="780"/>
        </w:tabs>
        <w:spacing w:before="157" w:after="0" w:line="240" w:lineRule="auto"/>
        <w:ind w:left="779" w:right="0" w:hanging="560"/>
        <w:jc w:val="left"/>
        <w:outlineLvl w:val="1"/>
        <w:rPr>
          <w:b/>
          <w:sz w:val="28"/>
          <w:szCs w:val="28"/>
        </w:rPr>
      </w:pPr>
      <w:bookmarkStart w:id="586" w:name="_bookmark46"/>
      <w:bookmarkEnd w:id="586"/>
      <w:bookmarkStart w:id="587" w:name="9.7 总量控制"/>
      <w:bookmarkEnd w:id="587"/>
      <w:bookmarkStart w:id="588" w:name="_bookmark46"/>
      <w:bookmarkEnd w:id="588"/>
      <w:bookmarkStart w:id="589" w:name="_Toc28208"/>
      <w:r>
        <w:rPr>
          <w:sz w:val="28"/>
          <w:szCs w:val="28"/>
        </w:rPr>
        <w:t>总量控制</w:t>
      </w:r>
      <w:bookmarkEnd w:id="589"/>
    </w:p>
    <w:p>
      <w:pPr>
        <w:pStyle w:val="7"/>
        <w:spacing w:before="90" w:line="364" w:lineRule="auto"/>
        <w:ind w:left="220" w:right="317" w:firstLine="448" w:firstLineChars="200"/>
        <w:rPr>
          <w:color w:val="0000FF"/>
        </w:rPr>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w:t>
      </w:r>
      <w:r>
        <w:rPr>
          <w:color w:val="0000FF"/>
          <w:spacing w:val="-6"/>
        </w:rPr>
        <w:t>本项目职工</w:t>
      </w:r>
      <w:r>
        <w:rPr>
          <w:rFonts w:hint="eastAsia"/>
          <w:color w:val="0000FF"/>
          <w:spacing w:val="-6"/>
          <w:lang w:val="en-US" w:eastAsia="zh-CN"/>
        </w:rPr>
        <w:t>人数较少产生的</w:t>
      </w:r>
      <w:r>
        <w:rPr>
          <w:rFonts w:hint="eastAsia" w:ascii="宋体" w:hAnsi="宋体" w:eastAsia="宋体" w:cs="宋体"/>
          <w:color w:val="0000FF"/>
          <w:spacing w:val="-1"/>
          <w:sz w:val="24"/>
          <w:szCs w:val="24"/>
          <w:lang w:val="en-US" w:eastAsia="zh-CN"/>
        </w:rPr>
        <w:t>污水经过</w:t>
      </w:r>
      <w:r>
        <w:rPr>
          <w:rFonts w:hint="eastAsia" w:ascii="宋体" w:hAnsi="宋体" w:eastAsia="宋体" w:cs="宋体"/>
          <w:color w:val="0000FF"/>
          <w:sz w:val="24"/>
          <w:szCs w:val="24"/>
        </w:rPr>
        <w:t>化粪池及一套地埋式</w:t>
      </w:r>
      <w:r>
        <w:rPr>
          <w:rFonts w:hint="eastAsia" w:cs="宋体"/>
          <w:color w:val="0000FF"/>
          <w:sz w:val="24"/>
          <w:szCs w:val="24"/>
          <w:lang w:val="en-US" w:eastAsia="zh-CN"/>
        </w:rPr>
        <w:t>一体化</w:t>
      </w:r>
      <w:r>
        <w:rPr>
          <w:rFonts w:hint="eastAsia" w:ascii="宋体" w:hAnsi="宋体" w:eastAsia="宋体" w:cs="宋体"/>
          <w:color w:val="0000FF"/>
          <w:sz w:val="24"/>
          <w:szCs w:val="24"/>
        </w:rPr>
        <w:t>污水处理设备</w:t>
      </w:r>
      <w:r>
        <w:rPr>
          <w:rFonts w:hint="eastAsia" w:ascii="宋体" w:hAnsi="宋体" w:eastAsia="宋体" w:cs="宋体"/>
          <w:color w:val="0000FF"/>
          <w:sz w:val="24"/>
          <w:szCs w:val="24"/>
          <w:lang w:val="en-US" w:eastAsia="zh-CN"/>
        </w:rPr>
        <w:t>处理过的水</w:t>
      </w:r>
      <w:r>
        <w:rPr>
          <w:rFonts w:hint="eastAsia" w:ascii="宋体" w:hAnsi="宋体" w:eastAsia="宋体" w:cs="宋体"/>
          <w:color w:val="0000FF"/>
          <w:spacing w:val="-1"/>
          <w:sz w:val="24"/>
          <w:szCs w:val="24"/>
          <w:lang w:val="en-US" w:eastAsia="zh-CN"/>
        </w:rPr>
        <w:t>冬季储存，夏季用于场区洒水降尘。沉淀物由相关环卫部门抽运。</w:t>
      </w:r>
      <w:r>
        <w:rPr>
          <w:color w:val="0000FF"/>
          <w:spacing w:val="-10"/>
        </w:rPr>
        <w:t>因此，本项目不需申请水污染物排放总量控制</w:t>
      </w:r>
      <w:r>
        <w:rPr>
          <w:color w:val="0000FF"/>
        </w:rPr>
        <w:t>指标。</w:t>
      </w:r>
    </w:p>
    <w:p>
      <w:pPr>
        <w:pStyle w:val="7"/>
        <w:spacing w:before="1" w:line="362" w:lineRule="auto"/>
        <w:ind w:left="220" w:right="22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7"/>
        <w:ind w:left="700"/>
      </w:pPr>
      <w:r>
        <w:t>综上所述，本项目无需申请总量控制指标。</w:t>
      </w:r>
    </w:p>
    <w:p>
      <w:pPr>
        <w:pStyle w:val="7"/>
        <w:spacing w:before="5"/>
        <w:ind w:left="0"/>
      </w:pPr>
    </w:p>
    <w:p>
      <w:pPr>
        <w:pStyle w:val="4"/>
        <w:numPr>
          <w:ilvl w:val="1"/>
          <w:numId w:val="79"/>
        </w:numPr>
        <w:tabs>
          <w:tab w:val="left" w:pos="780"/>
        </w:tabs>
        <w:spacing w:before="1" w:after="0" w:line="240" w:lineRule="auto"/>
        <w:ind w:left="779" w:right="0" w:hanging="560"/>
        <w:jc w:val="left"/>
        <w:outlineLvl w:val="1"/>
      </w:pPr>
      <w:bookmarkStart w:id="590" w:name="_bookmark47"/>
      <w:bookmarkEnd w:id="590"/>
      <w:bookmarkStart w:id="591" w:name="_bookmark47"/>
      <w:bookmarkEnd w:id="591"/>
      <w:bookmarkStart w:id="592" w:name="9.8 公众参与结论"/>
      <w:bookmarkEnd w:id="592"/>
      <w:bookmarkStart w:id="593" w:name="_Toc10727"/>
      <w:r>
        <w:t>公众参与结论</w:t>
      </w:r>
      <w:bookmarkEnd w:id="593"/>
    </w:p>
    <w:p>
      <w:pPr>
        <w:pStyle w:val="7"/>
        <w:spacing w:before="3"/>
        <w:ind w:left="0"/>
        <w:rPr>
          <w:b/>
        </w:rPr>
      </w:pPr>
    </w:p>
    <w:p>
      <w:pPr>
        <w:pStyle w:val="7"/>
        <w:spacing w:line="364" w:lineRule="auto"/>
        <w:ind w:left="220" w:right="317" w:firstLine="480"/>
        <w:jc w:val="both"/>
        <w:rPr>
          <w:color w:val="0000FF"/>
        </w:rPr>
      </w:pPr>
      <w:r>
        <w:rPr>
          <w:color w:val="0000FF"/>
          <w:spacing w:val="-4"/>
        </w:rPr>
        <w:t>按照生态环境部发布的《环境影响评价公众参与办法》</w:t>
      </w:r>
      <w:r>
        <w:rPr>
          <w:color w:val="0000FF"/>
        </w:rPr>
        <w:t>（</w:t>
      </w:r>
      <w:r>
        <w:rPr>
          <w:color w:val="0000FF"/>
          <w:spacing w:val="-15"/>
        </w:rPr>
        <w:t>部令第</w:t>
      </w:r>
      <w:r>
        <w:rPr>
          <w:rFonts w:ascii="Times New Roman" w:eastAsia="Times New Roman"/>
          <w:color w:val="0000FF"/>
        </w:rPr>
        <w:t>4</w:t>
      </w:r>
      <w:r>
        <w:rPr>
          <w:color w:val="0000FF"/>
        </w:rPr>
        <w:t>号</w:t>
      </w:r>
      <w:r>
        <w:rPr>
          <w:color w:val="0000FF"/>
          <w:spacing w:val="-20"/>
        </w:rPr>
        <w:t>），</w:t>
      </w:r>
      <w:r>
        <w:rPr>
          <w:rFonts w:hint="eastAsia"/>
          <w:color w:val="0000FF"/>
          <w:spacing w:val="-15"/>
          <w:lang w:val="en-US" w:eastAsia="zh-CN"/>
        </w:rPr>
        <w:t>莎车县</w:t>
      </w:r>
      <w:r>
        <w:rPr>
          <w:color w:val="0000FF"/>
        </w:rPr>
        <w:t>农业农村局在环评单位的协助下，先后在</w:t>
      </w:r>
      <w:r>
        <w:rPr>
          <w:rFonts w:hint="eastAsia"/>
          <w:color w:val="0000FF"/>
          <w:lang w:val="en-US" w:eastAsia="zh-CN"/>
        </w:rPr>
        <w:t>喀什</w:t>
      </w:r>
      <w:r>
        <w:rPr>
          <w:color w:val="0000FF"/>
        </w:rPr>
        <w:t>市人民政府发布三次网络公示，向公众告知本项目的建设情况。项目在公示期间，均未收到反馈意见。</w:t>
      </w:r>
    </w:p>
    <w:p>
      <w:pPr>
        <w:pStyle w:val="7"/>
        <w:spacing w:before="2" w:line="364" w:lineRule="auto"/>
        <w:ind w:left="220" w:right="317" w:firstLine="480"/>
        <w:jc w:val="both"/>
        <w:rPr>
          <w:color w:val="0000FF"/>
        </w:rPr>
      </w:pPr>
      <w:r>
        <w:rPr>
          <w:color w:val="0000FF"/>
          <w:spacing w:val="-7"/>
        </w:rPr>
        <w:t>征求意见稿公示期间，在</w:t>
      </w:r>
      <w:r>
        <w:rPr>
          <w:rFonts w:hint="eastAsia"/>
          <w:color w:val="0000FF"/>
          <w:spacing w:val="-7"/>
          <w:lang w:val="en-US" w:eastAsia="zh-CN"/>
        </w:rPr>
        <w:t>喀什</w:t>
      </w:r>
      <w:r>
        <w:rPr>
          <w:color w:val="0000FF"/>
          <w:spacing w:val="-7"/>
        </w:rPr>
        <w:t>市人民政府进行本项目环境影响报告书</w:t>
      </w:r>
      <w:r>
        <w:rPr>
          <w:color w:val="0000FF"/>
        </w:rPr>
        <w:t>（</w:t>
      </w:r>
      <w:r>
        <w:rPr>
          <w:color w:val="0000FF"/>
          <w:spacing w:val="-9"/>
        </w:rPr>
        <w:t>征求</w:t>
      </w:r>
      <w:r>
        <w:rPr>
          <w:color w:val="0000FF"/>
        </w:rPr>
        <w:t>意见稿</w:t>
      </w:r>
      <w:r>
        <w:rPr>
          <w:color w:val="0000FF"/>
          <w:spacing w:val="-48"/>
        </w:rPr>
        <w:t>）</w:t>
      </w:r>
      <w:r>
        <w:rPr>
          <w:color w:val="0000FF"/>
          <w:spacing w:val="-5"/>
        </w:rPr>
        <w:t>及其网络公众意见调查表的公告，同期在</w:t>
      </w:r>
      <w:r>
        <w:rPr>
          <w:rFonts w:hint="eastAsia"/>
          <w:color w:val="0000FF"/>
          <w:spacing w:val="-5"/>
          <w:lang w:val="en-US" w:eastAsia="zh-CN"/>
        </w:rPr>
        <w:t>喀什</w:t>
      </w:r>
      <w:r>
        <w:rPr>
          <w:color w:val="0000FF"/>
          <w:spacing w:val="-5"/>
        </w:rPr>
        <w:t>日报对项目环境影响报告</w:t>
      </w:r>
      <w:r>
        <w:rPr>
          <w:color w:val="0000FF"/>
          <w:spacing w:val="-6"/>
        </w:rPr>
        <w:t>书的环境影响评价信息进行了两期报纸公告，在距离项目最近的乡政府和村委会</w:t>
      </w:r>
      <w:r>
        <w:rPr>
          <w:color w:val="0000FF"/>
        </w:rPr>
        <w:t>张贴了公示。在此期间，未收到公众反馈的本项目关于环境保护方面的意见。</w:t>
      </w:r>
    </w:p>
    <w:p>
      <w:pPr>
        <w:pStyle w:val="4"/>
        <w:numPr>
          <w:ilvl w:val="1"/>
          <w:numId w:val="79"/>
        </w:numPr>
        <w:tabs>
          <w:tab w:val="left" w:pos="780"/>
        </w:tabs>
        <w:spacing w:before="155" w:after="0" w:line="240" w:lineRule="auto"/>
        <w:ind w:left="779" w:right="0" w:hanging="560"/>
        <w:jc w:val="left"/>
        <w:outlineLvl w:val="1"/>
      </w:pPr>
      <w:bookmarkStart w:id="594" w:name="9.9 综合评价结论"/>
      <w:bookmarkEnd w:id="594"/>
      <w:bookmarkStart w:id="595" w:name="_bookmark48"/>
      <w:bookmarkEnd w:id="595"/>
      <w:bookmarkStart w:id="596" w:name="_bookmark48"/>
      <w:bookmarkEnd w:id="596"/>
      <w:bookmarkStart w:id="597" w:name="_Toc3725"/>
      <w:r>
        <w:t>综合评价结论</w:t>
      </w:r>
      <w:bookmarkEnd w:id="597"/>
    </w:p>
    <w:p>
      <w:pPr>
        <w:pStyle w:val="7"/>
        <w:spacing w:before="5"/>
        <w:ind w:left="0"/>
        <w:rPr>
          <w:b/>
        </w:rPr>
      </w:pPr>
    </w:p>
    <w:p>
      <w:pPr>
        <w:pStyle w:val="7"/>
        <w:spacing w:before="1" w:line="364" w:lineRule="auto"/>
        <w:ind w:left="220" w:right="317" w:firstLine="480"/>
        <w:jc w:val="both"/>
        <w:rPr>
          <w:color w:val="0000FF"/>
        </w:rPr>
      </w:pPr>
      <w:r>
        <w:rPr>
          <w:color w:val="0000FF"/>
          <w:spacing w:val="-5"/>
        </w:rPr>
        <w:t>本项目建设地点不在</w:t>
      </w:r>
      <w:r>
        <w:rPr>
          <w:rFonts w:hint="eastAsia"/>
          <w:color w:val="0000FF"/>
          <w:spacing w:val="-5"/>
          <w:lang w:val="en-US" w:eastAsia="zh-CN"/>
        </w:rPr>
        <w:t>莎车</w:t>
      </w:r>
      <w:r>
        <w:rPr>
          <w:color w:val="0000FF"/>
          <w:spacing w:val="-5"/>
        </w:rPr>
        <w:t>县划定的畜禽养殖禁养区范围内，符合国家产业政</w:t>
      </w:r>
      <w:r>
        <w:rPr>
          <w:color w:val="0000FF"/>
          <w:spacing w:val="-10"/>
        </w:rPr>
        <w:t>策和地方相关规划，项目选址合理，工程所选养殖设备及工艺路线产生的污染物较小，符合清洁生产的要求，建设方在认真贯彻执行国家环保法律、法规，严格</w:t>
      </w:r>
      <w:r>
        <w:rPr>
          <w:color w:val="0000FF"/>
          <w:spacing w:val="-7"/>
        </w:rPr>
        <w:t>落实环评提出的各项环保措施后，污染物的排放可以满足达标排放的要求。项目</w:t>
      </w:r>
      <w:r>
        <w:rPr>
          <w:color w:val="0000FF"/>
        </w:rPr>
        <w:t>建成后，具有良好的经济效益、社会效益和环境效益。</w:t>
      </w:r>
    </w:p>
    <w:p>
      <w:pPr>
        <w:pStyle w:val="7"/>
        <w:spacing w:before="3" w:line="364" w:lineRule="auto"/>
        <w:ind w:left="220" w:right="317" w:firstLine="480"/>
        <w:jc w:val="both"/>
        <w:rPr>
          <w:color w:val="0000FF"/>
        </w:rPr>
      </w:pPr>
      <w:r>
        <w:rPr>
          <w:color w:val="0000FF"/>
          <w:spacing w:val="-10"/>
        </w:rPr>
        <w:t>因此，只要本项目在下一步的工程设计和建设中，严格落实本报告书提出的</w:t>
      </w:r>
      <w:r>
        <w:rPr>
          <w:color w:val="0000FF"/>
          <w:spacing w:val="-7"/>
        </w:rPr>
        <w:t>补充措施和各项建议，并严格执行环境保护“三同时”制度。本报告书认为：从</w:t>
      </w:r>
      <w:r>
        <w:rPr>
          <w:color w:val="0000FF"/>
        </w:rPr>
        <w:t>环保角度分析，本项目的建设是可行的。</w:t>
      </w:r>
    </w:p>
    <w:p>
      <w:pPr>
        <w:pStyle w:val="4"/>
        <w:numPr>
          <w:ilvl w:val="1"/>
          <w:numId w:val="79"/>
        </w:numPr>
        <w:tabs>
          <w:tab w:val="left" w:pos="940"/>
        </w:tabs>
        <w:spacing w:before="152" w:after="0" w:line="240" w:lineRule="auto"/>
        <w:ind w:left="940" w:right="0" w:hanging="720"/>
        <w:jc w:val="left"/>
        <w:outlineLvl w:val="1"/>
      </w:pPr>
      <w:bookmarkStart w:id="598" w:name="9.10 对策与建议"/>
      <w:bookmarkEnd w:id="598"/>
      <w:bookmarkStart w:id="599" w:name="_bookmark49"/>
      <w:bookmarkEnd w:id="599"/>
      <w:bookmarkStart w:id="600" w:name="_bookmark49"/>
      <w:bookmarkEnd w:id="600"/>
      <w:bookmarkStart w:id="601" w:name="_Toc22758"/>
      <w:r>
        <w:t>对策与建议</w:t>
      </w:r>
      <w:bookmarkEnd w:id="601"/>
    </w:p>
    <w:p>
      <w:pPr>
        <w:pStyle w:val="7"/>
        <w:spacing w:before="5"/>
        <w:ind w:left="0"/>
        <w:rPr>
          <w:b/>
        </w:rPr>
      </w:pPr>
    </w:p>
    <w:p>
      <w:pPr>
        <w:pStyle w:val="17"/>
        <w:numPr>
          <w:ilvl w:val="0"/>
          <w:numId w:val="84"/>
        </w:numPr>
        <w:tabs>
          <w:tab w:val="left" w:pos="1301"/>
        </w:tabs>
        <w:spacing w:before="0" w:after="0" w:line="364" w:lineRule="auto"/>
        <w:ind w:left="220" w:right="317" w:firstLine="480"/>
        <w:jc w:val="both"/>
        <w:rPr>
          <w:sz w:val="24"/>
        </w:rPr>
      </w:pPr>
      <w:r>
        <w:rPr>
          <w:spacing w:val="-1"/>
          <w:sz w:val="24"/>
        </w:rPr>
        <w:t>建设单位在项目实施过程中，应认真落实本项目的各项治理措施，加</w:t>
      </w:r>
      <w:r>
        <w:rPr>
          <w:spacing w:val="-7"/>
          <w:sz w:val="24"/>
        </w:rPr>
        <w:t>强对环保设施的运行管理，制定有效的管理规章制度，建立环保管理机制，防止</w:t>
      </w:r>
      <w:r>
        <w:rPr>
          <w:sz w:val="24"/>
        </w:rPr>
        <w:t>出现事故性和非正常污染排放；</w:t>
      </w:r>
    </w:p>
    <w:p>
      <w:pPr>
        <w:spacing w:after="0" w:line="364" w:lineRule="auto"/>
        <w:jc w:val="both"/>
        <w:rPr>
          <w:sz w:val="24"/>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17"/>
        <w:numPr>
          <w:ilvl w:val="0"/>
          <w:numId w:val="84"/>
        </w:numPr>
        <w:tabs>
          <w:tab w:val="left" w:pos="1301"/>
        </w:tabs>
        <w:spacing w:before="90" w:after="0" w:line="364" w:lineRule="auto"/>
        <w:ind w:left="220" w:right="317" w:firstLine="480"/>
        <w:jc w:val="left"/>
        <w:rPr>
          <w:sz w:val="24"/>
        </w:rPr>
      </w:pPr>
      <w:r>
        <w:rPr>
          <w:spacing w:val="-1"/>
          <w:sz w:val="24"/>
        </w:rPr>
        <w:t>建设单位在项目实施过程中应严格执行原国家环保总局颁布的《畜禽</w:t>
      </w:r>
      <w:r>
        <w:rPr>
          <w:sz w:val="24"/>
        </w:rPr>
        <w:t>养殖业污染防治技术规范》（</w:t>
      </w:r>
      <w:r>
        <w:rPr>
          <w:rFonts w:ascii="Times New Roman" w:eastAsia="Times New Roman"/>
          <w:sz w:val="24"/>
        </w:rPr>
        <w:t>HJ/T81-2001</w:t>
      </w:r>
      <w:r>
        <w:rPr>
          <w:sz w:val="24"/>
        </w:rPr>
        <w:t>）；</w:t>
      </w:r>
    </w:p>
    <w:p>
      <w:pPr>
        <w:pStyle w:val="17"/>
        <w:numPr>
          <w:ilvl w:val="0"/>
          <w:numId w:val="84"/>
        </w:numPr>
        <w:tabs>
          <w:tab w:val="left" w:pos="1301"/>
        </w:tabs>
        <w:spacing w:before="1" w:after="0" w:line="364" w:lineRule="auto"/>
        <w:ind w:left="220" w:right="317" w:firstLine="480"/>
        <w:jc w:val="left"/>
        <w:rPr>
          <w:sz w:val="24"/>
        </w:rPr>
      </w:pPr>
      <w:r>
        <w:rPr>
          <w:spacing w:val="-1"/>
          <w:sz w:val="24"/>
        </w:rPr>
        <w:t>严格执行“三同时”制度，落实各项环保措施，平时注意各项环保设</w:t>
      </w:r>
      <w:r>
        <w:rPr>
          <w:sz w:val="24"/>
        </w:rPr>
        <w:t>施的维护，及时发现处理设备的隐患，确保处理系统正常运行；</w:t>
      </w:r>
    </w:p>
    <w:p>
      <w:pPr>
        <w:pStyle w:val="17"/>
        <w:numPr>
          <w:ilvl w:val="0"/>
          <w:numId w:val="84"/>
        </w:numPr>
        <w:tabs>
          <w:tab w:val="left" w:pos="1301"/>
        </w:tabs>
        <w:spacing w:before="1" w:after="0" w:line="364" w:lineRule="auto"/>
        <w:ind w:left="220" w:right="320" w:firstLine="480"/>
        <w:jc w:val="left"/>
        <w:rPr>
          <w:sz w:val="24"/>
        </w:rPr>
      </w:pPr>
      <w:r>
        <w:rPr>
          <w:spacing w:val="-1"/>
          <w:sz w:val="24"/>
        </w:rPr>
        <w:t>饲养人员每年应至少进行一次身体检查，如发现患有危害人、畜禽的</w:t>
      </w:r>
      <w:r>
        <w:rPr>
          <w:sz w:val="24"/>
        </w:rPr>
        <w:t>传染病者，应及时调离，以防传染；</w:t>
      </w:r>
    </w:p>
    <w:p>
      <w:pPr>
        <w:pStyle w:val="17"/>
        <w:numPr>
          <w:ilvl w:val="0"/>
          <w:numId w:val="84"/>
        </w:numPr>
        <w:tabs>
          <w:tab w:val="left" w:pos="1301"/>
        </w:tabs>
        <w:spacing w:before="1" w:after="0" w:line="240" w:lineRule="auto"/>
        <w:ind w:left="1301" w:right="0" w:hanging="601"/>
        <w:jc w:val="left"/>
        <w:rPr>
          <w:sz w:val="24"/>
        </w:rPr>
      </w:pPr>
      <w:r>
        <w:rPr>
          <w:sz w:val="24"/>
        </w:rPr>
        <w:t>落实环境监测计划。</w:t>
      </w:r>
    </w:p>
    <w:sectPr>
      <w:footerReference r:id="rId28"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宋?">
    <w:altName w:val="Times New Roman"/>
    <w:panose1 w:val="00000000000000000000"/>
    <w:charset w:val="00"/>
    <w:family w:val="auto"/>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T Extra">
    <w:panose1 w:val="05050102010205020202"/>
    <w:charset w:val="02"/>
    <w:family w:val="roman"/>
    <w:pitch w:val="default"/>
    <w:sig w:usb0="8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715"/>
        <w:tab w:val="clear" w:pos="4153"/>
      </w:tabs>
    </w:pP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5248" behindDoc="0" locked="0" layoutInCell="1" allowOverlap="1">
              <wp:simplePos x="0" y="0"/>
              <wp:positionH relativeFrom="margin">
                <wp:align>center</wp:align>
              </wp:positionH>
              <wp:positionV relativeFrom="page">
                <wp:posOffset>9843770</wp:posOffset>
              </wp:positionV>
              <wp:extent cx="166370" cy="152400"/>
              <wp:effectExtent l="0" t="0" r="0" b="0"/>
              <wp:wrapNone/>
              <wp:docPr id="177"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10" o:spid="_x0000_s1026" o:spt="202" type="#_x0000_t202" style="position:absolute;left:0pt;margin-top:775.1pt;height:12pt;width:13.1pt;mso-position-horizontal:center;mso-position-horizontal-relative:margin;mso-position-vertical-relative:page;z-index:232245248;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ox7H1wAAAAkBAAAPAAAAAAAAAAEA&#10;IAAAACIAAABkcnMvZG93bnJldi54bWxQSwECFAAUAAAACACHTuJASUuB554BAAAmAwAADgAAAAAA&#10;AAABACAAAAAm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6272" behindDoc="0" locked="0" layoutInCell="1" allowOverlap="1">
              <wp:simplePos x="0" y="0"/>
              <wp:positionH relativeFrom="margin">
                <wp:align>center</wp:align>
              </wp:positionH>
              <wp:positionV relativeFrom="page">
                <wp:posOffset>9843770</wp:posOffset>
              </wp:positionV>
              <wp:extent cx="166370" cy="152400"/>
              <wp:effectExtent l="0" t="0" r="0" b="0"/>
              <wp:wrapNone/>
              <wp:docPr id="178"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11" o:spid="_x0000_s1026" o:spt="202" type="#_x0000_t202" style="position:absolute;left:0pt;margin-top:775.1pt;height:12pt;width:13.1pt;mso-position-horizontal:center;mso-position-horizontal-relative:margin;mso-position-vertical-relative:page;z-index:232246272;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6Mex9cAAAAJAQAADwAAAAAAAAAB&#10;ACAAAAAiAAAAZHJzL2Rvd25yZXYueG1sUEsBAhQAFAAAAAgAh07iQCrDoDm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7296" behindDoc="0" locked="0" layoutInCell="1" allowOverlap="1">
              <wp:simplePos x="0" y="0"/>
              <wp:positionH relativeFrom="margin">
                <wp:align>center</wp:align>
              </wp:positionH>
              <wp:positionV relativeFrom="page">
                <wp:posOffset>9843770</wp:posOffset>
              </wp:positionV>
              <wp:extent cx="166370" cy="152400"/>
              <wp:effectExtent l="0" t="0" r="0" b="0"/>
              <wp:wrapNone/>
              <wp:docPr id="179"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2" o:spid="_x0000_s1026" o:spt="202" type="#_x0000_t202" style="position:absolute;left:0pt;margin-top:775.1pt;height:12pt;width:13.1pt;mso-position-horizontal:center;mso-position-horizontal-relative:margin;mso-position-vertical-relative:page;z-index:232247296;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jHsfXAAAACQEAAA8AAAAAAAAA&#10;AQAgAAAAIgAAAGRycy9kb3ducmV2LnhtbFBLAQIUABQAAAAIAIdO4kAz0spEoAEAACYDAAAOAAAA&#10;AAAAAAEAIAAAACY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9344" behindDoc="0" locked="0" layoutInCell="1" allowOverlap="1">
              <wp:simplePos x="0" y="0"/>
              <wp:positionH relativeFrom="margin">
                <wp:align>center</wp:align>
              </wp:positionH>
              <wp:positionV relativeFrom="page">
                <wp:posOffset>9843770</wp:posOffset>
              </wp:positionV>
              <wp:extent cx="222250" cy="152400"/>
              <wp:effectExtent l="0" t="0" r="0" b="0"/>
              <wp:wrapNone/>
              <wp:docPr id="180" name="文本框 1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4" o:spid="_x0000_s1026" o:spt="202" type="#_x0000_t202" style="position:absolute;left:0pt;margin-top:775.1pt;height:12pt;width:17.5pt;mso-position-horizontal:center;mso-position-horizontal-relative:margin;mso-position-vertical-relative:page;z-index:232249344;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xXS9cAAAAJAQAADwAAAAAAAAAB&#10;ACAAAAAiAAAAZHJzL2Rvd25yZXYueG1sUEsBAhQAFAAAAAgAh07iQClyeZG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0368" behindDoc="0" locked="0" layoutInCell="1" allowOverlap="1">
              <wp:simplePos x="0" y="0"/>
              <wp:positionH relativeFrom="margin">
                <wp:align>center</wp:align>
              </wp:positionH>
              <wp:positionV relativeFrom="page">
                <wp:posOffset>9843770</wp:posOffset>
              </wp:positionV>
              <wp:extent cx="219710" cy="152400"/>
              <wp:effectExtent l="0" t="0" r="0" b="0"/>
              <wp:wrapNone/>
              <wp:docPr id="181" name="文本框 15"/>
              <wp:cNvGraphicFramePr/>
              <a:graphic xmlns:a="http://schemas.openxmlformats.org/drawingml/2006/main">
                <a:graphicData uri="http://schemas.microsoft.com/office/word/2010/wordprocessingShape">
                  <wps:wsp>
                    <wps:cNvSpPr txBox="1"/>
                    <wps:spPr>
                      <a:xfrm>
                        <a:off x="0" y="0"/>
                        <a:ext cx="21971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5" o:spid="_x0000_s1026" o:spt="202" type="#_x0000_t202" style="position:absolute;left:0pt;margin-top:775.1pt;height:12pt;width:17.3pt;mso-position-horizontal:center;mso-position-horizontal-relative:margin;mso-position-vertical-relative:page;z-index:232250368;mso-width-relative:page;mso-height-relative:page;" filled="f" stroked="f" coordsize="21600,21600" o:gfxdata="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P71bm2AAAAAkBAAAPAAAAAAAA&#10;AAEAIAAAACIAAABkcnMvZG93bnJldi54bWxQSwECFAAUAAAACACHTuJAA3xkEKABAAAmAwAADgAA&#10;AAAAAAABACAAAAAn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1392" behindDoc="0" locked="0" layoutInCell="1" allowOverlap="1">
              <wp:simplePos x="0" y="0"/>
              <wp:positionH relativeFrom="margin">
                <wp:align>center</wp:align>
              </wp:positionH>
              <wp:positionV relativeFrom="page">
                <wp:posOffset>9843770</wp:posOffset>
              </wp:positionV>
              <wp:extent cx="222250" cy="152400"/>
              <wp:effectExtent l="0" t="0" r="0" b="0"/>
              <wp:wrapNone/>
              <wp:docPr id="182" name="文本框 1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6" o:spid="_x0000_s1026" o:spt="202" type="#_x0000_t202" style="position:absolute;left:0pt;margin-top:775.1pt;height:12pt;width:17.5pt;mso-position-horizontal:center;mso-position-horizontal-relative:margin;mso-position-vertical-relative:page;z-index:232251392;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e3FdL1wAAAAkBAAAPAAAAAAAAAAEA&#10;IAAAACIAAABkcnMvZG93bnJldi54bWxQSwECFAAUAAAACACHTuJA4o10+p4BAAAmAwAADgAAAAAA&#10;AAABACAAAAAm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2416" behindDoc="0" locked="0" layoutInCell="1" allowOverlap="1">
              <wp:simplePos x="0" y="0"/>
              <wp:positionH relativeFrom="margin">
                <wp:align>center</wp:align>
              </wp:positionH>
              <wp:positionV relativeFrom="page">
                <wp:posOffset>9843770</wp:posOffset>
              </wp:positionV>
              <wp:extent cx="222250" cy="152400"/>
              <wp:effectExtent l="0" t="0" r="0" b="0"/>
              <wp:wrapNone/>
              <wp:docPr id="183" name="文本框 1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7" o:spid="_x0000_s1026" o:spt="202" type="#_x0000_t202" style="position:absolute;left:0pt;margin-top:775.1pt;height:12pt;width:17.5pt;mso-position-horizontal:center;mso-position-horizontal-relative:margin;mso-position-vertical-relative:page;z-index:232252416;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7cV0vXAAAACQEAAA8AAAAAAAAA&#10;AQAgAAAAIgAAAGRycy9kb3ducmV2LnhtbFBLAQIUABQAAAAIAIdO4kAn8UoioAEAACYDAAAOAAAA&#10;AAAAAAEAIAAAACY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3440" behindDoc="0" locked="0" layoutInCell="1" allowOverlap="1">
              <wp:simplePos x="0" y="0"/>
              <wp:positionH relativeFrom="margin">
                <wp:align>center</wp:align>
              </wp:positionH>
              <wp:positionV relativeFrom="page">
                <wp:posOffset>9843770</wp:posOffset>
              </wp:positionV>
              <wp:extent cx="222250" cy="152400"/>
              <wp:effectExtent l="0" t="0" r="0" b="0"/>
              <wp:wrapNone/>
              <wp:docPr id="184" name="文本框 18"/>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8" o:spid="_x0000_s1026" o:spt="202" type="#_x0000_t202" style="position:absolute;left:0pt;margin-top:775.1pt;height:12pt;width:17.5pt;mso-position-horizontal:center;mso-position-horizontal-relative:margin;mso-position-vertical-relative:page;z-index:232253440;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xXS9cAAAAJAQAADwAAAAAAAAAB&#10;ACAAAAAiAAAAZHJzL2Rvd25yZXYueG1sUEsBAhQAFAAAAAgAh07iQAwwoL+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4464" behindDoc="0" locked="0" layoutInCell="1" allowOverlap="1">
              <wp:simplePos x="0" y="0"/>
              <wp:positionH relativeFrom="margin">
                <wp:align>center</wp:align>
              </wp:positionH>
              <wp:positionV relativeFrom="page">
                <wp:posOffset>9843770</wp:posOffset>
              </wp:positionV>
              <wp:extent cx="222250" cy="152400"/>
              <wp:effectExtent l="0" t="0" r="0" b="0"/>
              <wp:wrapNone/>
              <wp:docPr id="185" name="文本框 19"/>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wps:txbx>
                    <wps:bodyPr lIns="0" tIns="0" rIns="0" bIns="0" upright="1"/>
                  </wps:wsp>
                </a:graphicData>
              </a:graphic>
            </wp:anchor>
          </w:drawing>
        </mc:Choice>
        <mc:Fallback>
          <w:pict>
            <v:shape id="文本框 19" o:spid="_x0000_s1026" o:spt="202" type="#_x0000_t202" style="position:absolute;left:0pt;margin-top:775.1pt;height:12pt;width:17.5pt;mso-position-horizontal:center;mso-position-horizontal-relative:margin;mso-position-vertical-relative:page;z-index:232254464;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xXS9cAAAAJAQAADwAAAAAAAAAB&#10;ACAAAAAiAAAAZHJzL2Rvd25yZXYueG1sUEsBAhQAFAAAAAgAh07iQMlMnme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5488" behindDoc="0" locked="0" layoutInCell="1" allowOverlap="1">
              <wp:simplePos x="0" y="0"/>
              <wp:positionH relativeFrom="margin">
                <wp:align>center</wp:align>
              </wp:positionH>
              <wp:positionV relativeFrom="page">
                <wp:posOffset>9843770</wp:posOffset>
              </wp:positionV>
              <wp:extent cx="222250" cy="152400"/>
              <wp:effectExtent l="0" t="0" r="0" b="0"/>
              <wp:wrapNone/>
              <wp:docPr id="186" name="文本框 2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id="文本框 20" o:spid="_x0000_s1026" o:spt="202" type="#_x0000_t202" style="position:absolute;left:0pt;margin-top:775.1pt;height:12pt;width:17.5pt;mso-position-horizontal:center;mso-position-horizontal-relative:margin;mso-position-vertical-relative:page;z-index:232255488;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e3FdL1wAAAAkBAAAPAAAAAAAAAAEA&#10;IAAAACIAAABkcnMvZG93bnJldi54bWxQSwECFAAUAAAACACHTuJAc7AbQZ4BAAAmAwAADgAAAAAA&#10;AAABACAAAAAm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r>
      <w:rPr>
        <w:sz w:val="2"/>
      </w:rPr>
      <mc:AlternateContent>
        <mc:Choice Requires="wps">
          <w:drawing>
            <wp:anchor distT="0" distB="0" distL="114300" distR="114300" simplePos="0" relativeHeight="232263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32263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qoOk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YV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3qoOk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8560" behindDoc="0" locked="0" layoutInCell="1" allowOverlap="1">
              <wp:simplePos x="0" y="0"/>
              <wp:positionH relativeFrom="margin">
                <wp:align>center</wp:align>
              </wp:positionH>
              <wp:positionV relativeFrom="page">
                <wp:posOffset>9843770</wp:posOffset>
              </wp:positionV>
              <wp:extent cx="222250" cy="152400"/>
              <wp:effectExtent l="0" t="0" r="0" b="0"/>
              <wp:wrapNone/>
              <wp:docPr id="189" name="文本框 2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164</w:t>
                          </w:r>
                          <w:r>
                            <w:fldChar w:fldCharType="end"/>
                          </w:r>
                        </w:p>
                      </w:txbxContent>
                    </wps:txbx>
                    <wps:bodyPr lIns="0" tIns="0" rIns="0" bIns="0" upright="1"/>
                  </wps:wsp>
                </a:graphicData>
              </a:graphic>
            </wp:anchor>
          </w:drawing>
        </mc:Choice>
        <mc:Fallback>
          <w:pict>
            <v:shape id="文本框 23" o:spid="_x0000_s1026" o:spt="202" type="#_x0000_t202" style="position:absolute;left:0pt;margin-top:775.1pt;height:12pt;width:17.5pt;mso-position-horizontal:center;mso-position-horizontal-relative:margin;mso-position-vertical-relative:page;z-index:232258560;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7cV0vXAAAACQEAAA8AAAAAAAAA&#10;AQAgAAAAIgAAAGRycy9kb3ducmV2LnhtbFBLAQIUABQAAAAIAIdO4kDMVW46oAEAACYDAAAOAAAA&#10;AAAAAAEAIAAAACY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9584" behindDoc="0" locked="0" layoutInCell="1" allowOverlap="1">
              <wp:simplePos x="0" y="0"/>
              <wp:positionH relativeFrom="margin">
                <wp:align>center</wp:align>
              </wp:positionH>
              <wp:positionV relativeFrom="page">
                <wp:posOffset>9843770</wp:posOffset>
              </wp:positionV>
              <wp:extent cx="222250" cy="152400"/>
              <wp:effectExtent l="0" t="0" r="0" b="0"/>
              <wp:wrapNone/>
              <wp:docPr id="190" name="文本框 2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wps:txbx>
                    <wps:bodyPr lIns="0" tIns="0" rIns="0" bIns="0" upright="1"/>
                  </wps:wsp>
                </a:graphicData>
              </a:graphic>
            </wp:anchor>
          </w:drawing>
        </mc:Choice>
        <mc:Fallback>
          <w:pict>
            <v:shape id="文本框 24" o:spid="_x0000_s1026" o:spt="202" type="#_x0000_t202" style="position:absolute;left:0pt;margin-top:775.1pt;height:12pt;width:17.5pt;mso-position-horizontal:center;mso-position-horizontal-relative:margin;mso-position-vertical-relative:page;z-index:232259584;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xXS9cAAAAJAQAADwAAAAAAAAAB&#10;ACAAAAAiAAAAZHJzL2Rvd25yZXYueG1sUEsBAhQAFAAAAAgAh07iQPiwb/W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60608" behindDoc="0" locked="0" layoutInCell="1" allowOverlap="1">
              <wp:simplePos x="0" y="0"/>
              <wp:positionH relativeFrom="margin">
                <wp:align>center</wp:align>
              </wp:positionH>
              <wp:positionV relativeFrom="page">
                <wp:posOffset>9843770</wp:posOffset>
              </wp:positionV>
              <wp:extent cx="222250" cy="152400"/>
              <wp:effectExtent l="0" t="0" r="0" b="0"/>
              <wp:wrapNone/>
              <wp:docPr id="191" name="文本框 2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wps:txbx>
                    <wps:bodyPr lIns="0" tIns="0" rIns="0" bIns="0" upright="1"/>
                  </wps:wsp>
                </a:graphicData>
              </a:graphic>
            </wp:anchor>
          </w:drawing>
        </mc:Choice>
        <mc:Fallback>
          <w:pict>
            <v:shape id="文本框 25" o:spid="_x0000_s1026" o:spt="202" type="#_x0000_t202" style="position:absolute;left:0pt;margin-top:775.1pt;height:12pt;width:17.5pt;mso-position-horizontal:center;mso-position-horizontal-relative:margin;mso-position-vertical-relative:page;z-index:232260608;mso-width-relative:page;mso-height-relative:page;" filled="f" stroked="f" coordsize="21600,21600" o:gfxdata="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xXS9cAAAAJAQAADwAAAAAAAAAB&#10;ACAAAAAiAAAAZHJzL2Rvd25yZXYueG1sUEsBAhQAFAAAAAgAh07iQD3MUS2fAQAAJg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mc:AlternateContent>
        <mc:Choice Requires="wps">
          <w:drawing>
            <wp:anchor distT="0" distB="0" distL="114300" distR="114300" simplePos="0" relativeHeight="232262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32262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Tm4g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7Tm4g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39104" behindDoc="0" locked="0" layoutInCell="1" allowOverlap="1">
              <wp:simplePos x="0" y="0"/>
              <wp:positionH relativeFrom="margin">
                <wp:align>center</wp:align>
              </wp:positionH>
              <wp:positionV relativeFrom="page">
                <wp:posOffset>9843770</wp:posOffset>
              </wp:positionV>
              <wp:extent cx="107950" cy="152400"/>
              <wp:effectExtent l="0" t="0" r="0" b="0"/>
              <wp:wrapNone/>
              <wp:docPr id="171" name="文本框 4"/>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4" o:spid="_x0000_s1026" o:spt="202" type="#_x0000_t202" style="position:absolute;left:0pt;margin-top:775.1pt;height:12pt;width:8.5pt;mso-position-horizontal:center;mso-position-horizontal-relative:margin;mso-position-vertical-relative:page;z-index:232239104;mso-width-relative:page;mso-height-relative:page;" filled="f" stroked="f" coordsize="21600,21600" o:gfxdata="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sy1ku1gAAAAkBAAAPAAAAAAAAAAEA&#10;IAAAACIAAABkcnMvZG93bnJldi54bWxQSwECFAAUAAAACACHTuJA9L+OZp8BAAAlAwAADgAAAAAA&#10;AAABACAAAAAl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0128" behindDoc="0" locked="0" layoutInCell="1" allowOverlap="1">
              <wp:simplePos x="0" y="0"/>
              <wp:positionH relativeFrom="margin">
                <wp:align>center</wp:align>
              </wp:positionH>
              <wp:positionV relativeFrom="page">
                <wp:posOffset>9843770</wp:posOffset>
              </wp:positionV>
              <wp:extent cx="166370" cy="152400"/>
              <wp:effectExtent l="0" t="0" r="0" b="0"/>
              <wp:wrapNone/>
              <wp:docPr id="172"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top:775.1pt;height:12pt;width:13.1pt;mso-position-horizontal:center;mso-position-horizontal-relative:margin;mso-position-vertical-relative:page;z-index:232240128;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6Mex9cAAAAJAQAADwAAAAAAAAAB&#10;ACAAAAAiAAAAZHJzL2Rvd25yZXYueG1sUEsBAhQAFAAAAAgAh07iQGM0Jc6fAQAAJQ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1152" behindDoc="0" locked="0" layoutInCell="1" allowOverlap="1">
              <wp:simplePos x="0" y="0"/>
              <wp:positionH relativeFrom="margin">
                <wp:align>center</wp:align>
              </wp:positionH>
              <wp:positionV relativeFrom="page">
                <wp:posOffset>9843770</wp:posOffset>
              </wp:positionV>
              <wp:extent cx="166370" cy="152400"/>
              <wp:effectExtent l="0" t="0" r="0" b="0"/>
              <wp:wrapNone/>
              <wp:docPr id="173"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6" o:spid="_x0000_s1026" o:spt="202" type="#_x0000_t202" style="position:absolute;left:0pt;margin-top:775.1pt;height:12pt;width:13.1pt;mso-position-horizontal:center;mso-position-horizontal-relative:margin;mso-position-vertical-relative:page;z-index:232241152;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6Mex9cAAAAJAQAADwAAAAAAAAAB&#10;ACAAAAAiAAAAZHJzL2Rvd25yZXYueG1sUEsBAhQAFAAAAAgAh07iQEqoWMifAQAAJQ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42176" behindDoc="0" locked="0" layoutInCell="1" allowOverlap="1">
              <wp:simplePos x="0" y="0"/>
              <wp:positionH relativeFrom="margin">
                <wp:align>center</wp:align>
              </wp:positionH>
              <wp:positionV relativeFrom="page">
                <wp:posOffset>9843770</wp:posOffset>
              </wp:positionV>
              <wp:extent cx="166370" cy="152400"/>
              <wp:effectExtent l="0" t="0" r="0" b="0"/>
              <wp:wrapNone/>
              <wp:docPr id="174"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7" o:spid="_x0000_s1026" o:spt="202" type="#_x0000_t202" style="position:absolute;left:0pt;margin-top:775.1pt;height:12pt;width:13.1pt;mso-position-horizontal:center;mso-position-horizontal-relative:margin;mso-position-vertical-relative:page;z-index:232242176;mso-width-relative:page;mso-height-relative:page;" filled="f" stroked="f" coordsize="21600,21600" o:gfxdata="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6Mex9cAAAAJAQAADwAAAAAAAAAB&#10;ACAAAAAiAAAAZHJzL2Rvd25yZXYueG1sUEsBAhQAFAAAAAgAh07iQCbB6iOfAQAAJQMAAA4AAAAA&#10;AAAAAQAgAAAAJgEAAGRycy9lMm9Eb2MueG1sUEsFBgAAAAAGAAYAWQEAADc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37056" behindDoc="1" locked="0" layoutInCell="1" allowOverlap="1">
              <wp:simplePos x="0" y="0"/>
              <wp:positionH relativeFrom="page">
                <wp:posOffset>1402080</wp:posOffset>
              </wp:positionH>
              <wp:positionV relativeFrom="page">
                <wp:posOffset>537845</wp:posOffset>
              </wp:positionV>
              <wp:extent cx="4600575" cy="168275"/>
              <wp:effectExtent l="0" t="0" r="0" b="0"/>
              <wp:wrapNone/>
              <wp:docPr id="169" name="文本框 26"/>
              <wp:cNvGraphicFramePr/>
              <a:graphic xmlns:a="http://schemas.openxmlformats.org/drawingml/2006/main">
                <a:graphicData uri="http://schemas.microsoft.com/office/word/2010/wordprocessingShape">
                  <wps:wsp>
                    <wps:cNvSpPr txBox="1"/>
                    <wps:spPr>
                      <a:xfrm>
                        <a:off x="0" y="0"/>
                        <a:ext cx="4600575" cy="168275"/>
                      </a:xfrm>
                      <a:prstGeom prst="rect">
                        <a:avLst/>
                      </a:prstGeom>
                      <a:noFill/>
                      <a:ln>
                        <a:noFill/>
                      </a:ln>
                    </wps:spPr>
                    <wps:txbx>
                      <w:txbxContent>
                        <w:p>
                          <w:pPr>
                            <w:autoSpaceDE w:val="0"/>
                            <w:autoSpaceDN w:val="0"/>
                            <w:adjustRightInd w:val="0"/>
                            <w:spacing w:line="280" w:lineRule="exact"/>
                            <w:ind w:left="2356"/>
                            <w:jc w:val="left"/>
                            <w:rPr>
                              <w:rFonts w:ascii="宋?" w:hAnsi="宋?" w:cs="宋?"/>
                              <w:color w:val="000000"/>
                              <w:kern w:val="0"/>
                              <w:sz w:val="21"/>
                              <w:szCs w:val="21"/>
                            </w:rPr>
                          </w:pPr>
                          <w:r>
                            <w:rPr>
                              <w:rFonts w:ascii="宋?" w:hAnsi="宋?" w:cs="宋?"/>
                              <w:color w:val="000000"/>
                              <w:kern w:val="0"/>
                              <w:sz w:val="21"/>
                              <w:szCs w:val="21"/>
                            </w:rPr>
                            <w:t>莎车县阿拉买提良种繁育中心建设项目</w:t>
                          </w:r>
                        </w:p>
                        <w:p>
                          <w:pPr>
                            <w:spacing w:before="0" w:line="220" w:lineRule="exact"/>
                            <w:ind w:right="0"/>
                            <w:jc w:val="both"/>
                            <w:rPr>
                              <w:color w:val="000000" w:themeColor="text1"/>
                              <w:sz w:val="21"/>
                              <w:szCs w:val="21"/>
                              <w14:textFill>
                                <w14:solidFill>
                                  <w14:schemeClr w14:val="tx1"/>
                                </w14:solidFill>
                              </w14:textFill>
                            </w:rPr>
                          </w:pPr>
                        </w:p>
                      </w:txbxContent>
                    </wps:txbx>
                    <wps:bodyPr vert="horz" lIns="0" tIns="0" rIns="0" bIns="0" anchor="t" upright="1"/>
                  </wps:wsp>
                </a:graphicData>
              </a:graphic>
            </wp:anchor>
          </w:drawing>
        </mc:Choice>
        <mc:Fallback>
          <w:pict>
            <v:shape id="文本框 26" o:spid="_x0000_s1026" o:spt="202" type="#_x0000_t202" style="position:absolute;left:0pt;margin-left:110.4pt;margin-top:42.35pt;height:13.25pt;width:362.25pt;mso-position-horizontal-relative:page;mso-position-vertical-relative:page;z-index:-271079424;mso-width-relative:page;mso-height-relative:page;" filled="f" stroked="f" coordsize="21600,21600" o:gfxdata="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a&#10;OzHZAAAACgEAAA8AAAAAAAAAAQAgAAAAIgAAAGRycy9kb3ducmV2LnhtbFBLAQIUABQAAAAIAIdO&#10;4kAcyy7ysAEAAD4DAAAOAAAAAAAAAAEAIAAAACgBAABkcnMvZTJvRG9jLnhtbFBLBQYAAAAABgAG&#10;AFkBAABKBQAAAAA=&#10;">
              <v:fill on="f" focussize="0,0"/>
              <v:stroke on="f"/>
              <v:imagedata o:title=""/>
              <o:lock v:ext="edit" aspectratio="f"/>
              <v:textbox inset="0mm,0mm,0mm,0mm">
                <w:txbxContent>
                  <w:p>
                    <w:pPr>
                      <w:autoSpaceDE w:val="0"/>
                      <w:autoSpaceDN w:val="0"/>
                      <w:adjustRightInd w:val="0"/>
                      <w:spacing w:line="280" w:lineRule="exact"/>
                      <w:ind w:left="2356"/>
                      <w:jc w:val="left"/>
                      <w:rPr>
                        <w:rFonts w:ascii="宋?" w:hAnsi="宋?" w:cs="宋?"/>
                        <w:color w:val="000000"/>
                        <w:kern w:val="0"/>
                        <w:sz w:val="21"/>
                        <w:szCs w:val="21"/>
                      </w:rPr>
                    </w:pPr>
                    <w:r>
                      <w:rPr>
                        <w:rFonts w:ascii="宋?" w:hAnsi="宋?" w:cs="宋?"/>
                        <w:color w:val="000000"/>
                        <w:kern w:val="0"/>
                        <w:sz w:val="21"/>
                        <w:szCs w:val="21"/>
                      </w:rPr>
                      <w:t>莎车县阿拉买提良种繁育中心建设项目</w:t>
                    </w:r>
                  </w:p>
                  <w:p>
                    <w:pPr>
                      <w:spacing w:before="0" w:line="220" w:lineRule="exact"/>
                      <w:ind w:right="0"/>
                      <w:jc w:val="both"/>
                      <w:rPr>
                        <w:color w:val="000000" w:themeColor="text1"/>
                        <w:sz w:val="21"/>
                        <w:szCs w:val="21"/>
                        <w14:textFill>
                          <w14:solidFill>
                            <w14:schemeClr w14:val="tx1"/>
                          </w14:solidFill>
                        </w14:textFill>
                      </w:rPr>
                    </w:pPr>
                  </w:p>
                </w:txbxContent>
              </v:textbox>
            </v:shape>
          </w:pict>
        </mc:Fallback>
      </mc:AlternateContent>
    </w:r>
  </w:p>
  <w:p>
    <w:pPr>
      <w:pStyle w:val="7"/>
      <w:spacing w:line="14" w:lineRule="auto"/>
      <w:ind w:left="0"/>
      <w:rPr>
        <w:sz w:val="20"/>
      </w:rPr>
    </w:pPr>
    <w:r>
      <mc:AlternateContent>
        <mc:Choice Requires="wps">
          <w:drawing>
            <wp:anchor distT="0" distB="0" distL="114300" distR="114300" simplePos="0" relativeHeight="232236032" behindDoc="1" locked="0" layoutInCell="1" allowOverlap="1">
              <wp:simplePos x="0" y="0"/>
              <wp:positionH relativeFrom="page">
                <wp:posOffset>1143000</wp:posOffset>
              </wp:positionH>
              <wp:positionV relativeFrom="page">
                <wp:posOffset>716280</wp:posOffset>
              </wp:positionV>
              <wp:extent cx="5274310" cy="0"/>
              <wp:effectExtent l="0" t="0" r="0" b="0"/>
              <wp:wrapNone/>
              <wp:docPr id="168" name="直线 1"/>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0pt;margin-top:56.4pt;height:0pt;width:415.3pt;mso-position-horizontal-relative:page;mso-position-vertical-relative:page;z-index:-271080448;mso-width-relative:page;mso-height-relative:page;" filled="f" stroked="t" coordsize="21600,21600" o:gfxdata="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&#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i+v1wAAAAwBAAAPAAAAAAAAAAEAIAAAACIAAABk&#10;cnMvZG93bnJldi54bWxQSwECFAAUAAAACACHTuJAb83em84BAACPAwAADgAAAAAAAAABACAAAAAm&#10;AQAAZHJzL2Uyb0RvYy54bWxQSwUGAAAAAAYABgBZAQAAZgUAAAAA&#10;">
              <v:fill on="f" focussize="0,0"/>
              <v:stroke weight="0.48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32256512" behindDoc="1" locked="0" layoutInCell="1" allowOverlap="1">
              <wp:simplePos x="0" y="0"/>
              <wp:positionH relativeFrom="page">
                <wp:posOffset>1143000</wp:posOffset>
              </wp:positionH>
              <wp:positionV relativeFrom="page">
                <wp:posOffset>716280</wp:posOffset>
              </wp:positionV>
              <wp:extent cx="5274310" cy="0"/>
              <wp:effectExtent l="0" t="0" r="0" b="0"/>
              <wp:wrapNone/>
              <wp:docPr id="187" name="直线 21"/>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90pt;margin-top:56.4pt;height:0pt;width:415.3pt;mso-position-horizontal-relative:page;mso-position-vertical-relative:page;z-index:-271059968;mso-width-relative:page;mso-height-relative:page;" filled="f" stroked="t" coordsize="21600,21600" o:gfxdata="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mL6/XAAAADAEAAA8AAAAAAAAAAQAgAAAAIgAA&#10;AGRycy9kb3ducmV2LnhtbFBLAQIUABQAAAAIAIdO4kA632cD0AEAAJADAAAOAAAAAAAAAAEAIAAA&#10;ACYBAABkcnMvZTJvRG9jLnhtbFBLBQYAAAAABgAGAFkBAABo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2257536" behindDoc="1" locked="0" layoutInCell="1" allowOverlap="1">
              <wp:simplePos x="0" y="0"/>
              <wp:positionH relativeFrom="page">
                <wp:posOffset>2966720</wp:posOffset>
              </wp:positionH>
              <wp:positionV relativeFrom="page">
                <wp:posOffset>556895</wp:posOffset>
              </wp:positionV>
              <wp:extent cx="1625600" cy="139700"/>
              <wp:effectExtent l="0" t="0" r="0" b="0"/>
              <wp:wrapNone/>
              <wp:docPr id="188" name="文本框 22"/>
              <wp:cNvGraphicFramePr/>
              <a:graphic xmlns:a="http://schemas.openxmlformats.org/drawingml/2006/main">
                <a:graphicData uri="http://schemas.microsoft.com/office/word/2010/wordprocessingShape">
                  <wps:wsp>
                    <wps:cNvSpPr txBox="1"/>
                    <wps:spPr>
                      <a:xfrm>
                        <a:off x="0" y="0"/>
                        <a:ext cx="1625600" cy="139700"/>
                      </a:xfrm>
                      <a:prstGeom prst="rect">
                        <a:avLst/>
                      </a:prstGeom>
                      <a:noFill/>
                      <a:ln>
                        <a:noFill/>
                      </a:ln>
                    </wps:spPr>
                    <wps:txbx>
                      <w:txbxContent>
                        <w:p>
                          <w:pPr>
                            <w:spacing w:before="0" w:line="220" w:lineRule="exact"/>
                            <w:ind w:left="20" w:right="0" w:firstLine="0"/>
                            <w:jc w:val="left"/>
                            <w:rPr>
                              <w:sz w:val="18"/>
                            </w:rPr>
                          </w:pPr>
                          <w:r>
                            <w:rPr>
                              <w:rFonts w:hint="eastAsia"/>
                              <w:sz w:val="18"/>
                              <w:lang w:eastAsia="zh-CN"/>
                            </w:rPr>
                            <w:t>莎车</w:t>
                          </w:r>
                          <w:r>
                            <w:rPr>
                              <w:sz w:val="18"/>
                            </w:rPr>
                            <w:t>县羊养殖扶贫产业建设项目</w:t>
                          </w:r>
                        </w:p>
                      </w:txbxContent>
                    </wps:txbx>
                    <wps:bodyPr lIns="0" tIns="0" rIns="0" bIns="0" upright="1"/>
                  </wps:wsp>
                </a:graphicData>
              </a:graphic>
            </wp:anchor>
          </w:drawing>
        </mc:Choice>
        <mc:Fallback>
          <w:pict>
            <v:shape id="文本框 22" o:spid="_x0000_s1026" o:spt="202" type="#_x0000_t202" style="position:absolute;left:0pt;margin-left:233.6pt;margin-top:43.85pt;height:11pt;width:128pt;mso-position-horizontal-relative:page;mso-position-vertical-relative:page;z-index:-271058944;mso-width-relative:page;mso-height-relative:page;" filled="f" stroked="f" coordsize="21600,21600" o:gfxdata="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TJt/YAAAACgEAAA8AAAAAAAAA&#10;AQAgAAAAIgAAAGRycy9kb3ducmV2LnhtbFBLAQIUABQAAAAIAIdO4kAAz+ODnwEAACcDAAAOAAAA&#10;AAAAAAEAIAAAACcBAABkcnMvZTJvRG9jLnhtbFBLBQYAAAAABgAGAFkBAAA4BQAAAAA=&#10;">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莎车</w:t>
                    </w:r>
                    <w:r>
                      <w:rPr>
                        <w:sz w:val="18"/>
                      </w:rPr>
                      <w:t>县羊养殖扶贫产业建设项目</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
    <w:nsid w:val="813A4B87"/>
    <w:multiLevelType w:val="multilevel"/>
    <w:tmpl w:val="813A4B87"/>
    <w:lvl w:ilvl="0" w:tentative="0">
      <w:start w:val="3"/>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
    <w:nsid w:val="825EC3C5"/>
    <w:multiLevelType w:val="multilevel"/>
    <w:tmpl w:val="825EC3C5"/>
    <w:lvl w:ilvl="0" w:tentative="0">
      <w:start w:val="9"/>
      <w:numFmt w:val="decimal"/>
      <w:lvlText w:val="%1"/>
      <w:lvlJc w:val="left"/>
      <w:pPr>
        <w:ind w:left="920" w:hanging="701"/>
        <w:jc w:val="left"/>
      </w:pPr>
      <w:rPr>
        <w:rFonts w:hint="default"/>
        <w:lang w:val="zh-CN" w:eastAsia="zh-CN" w:bidi="zh-CN"/>
      </w:rPr>
    </w:lvl>
    <w:lvl w:ilvl="1" w:tentative="0">
      <w:start w:val="5"/>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
    <w:nsid w:val="883B3669"/>
    <w:multiLevelType w:val="multilevel"/>
    <w:tmpl w:val="883B3669"/>
    <w:lvl w:ilvl="0" w:tentative="0">
      <w:start w:val="9"/>
      <w:numFmt w:val="decimal"/>
      <w:lvlText w:val="%1"/>
      <w:lvlJc w:val="left"/>
      <w:pPr>
        <w:ind w:left="920" w:hanging="701"/>
        <w:jc w:val="left"/>
      </w:pPr>
      <w:rPr>
        <w:rFonts w:hint="default"/>
        <w:lang w:val="zh-CN" w:eastAsia="zh-CN" w:bidi="zh-CN"/>
      </w:rPr>
    </w:lvl>
    <w:lvl w:ilvl="1" w:tentative="0">
      <w:start w:val="6"/>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5">
    <w:nsid w:val="8CAEB125"/>
    <w:multiLevelType w:val="multilevel"/>
    <w:tmpl w:val="8CAEB125"/>
    <w:lvl w:ilvl="0" w:tentative="0">
      <w:start w:val="3"/>
      <w:numFmt w:val="decimal"/>
      <w:lvlText w:val="%1"/>
      <w:lvlJc w:val="left"/>
      <w:pPr>
        <w:ind w:left="1440" w:hanging="900"/>
        <w:jc w:val="left"/>
      </w:pPr>
      <w:rPr>
        <w:rFonts w:hint="default"/>
        <w:lang w:val="zh-CN" w:eastAsia="zh-CN" w:bidi="zh-CN"/>
      </w:rPr>
    </w:lvl>
    <w:lvl w:ilvl="1" w:tentative="0">
      <w:start w:val="1"/>
      <w:numFmt w:val="decimal"/>
      <w:lvlText w:val="%1.%2"/>
      <w:lvlJc w:val="left"/>
      <w:pPr>
        <w:ind w:left="1440" w:hanging="900"/>
        <w:jc w:val="left"/>
      </w:pPr>
      <w:rPr>
        <w:rFonts w:hint="default"/>
        <w:lang w:val="zh-CN" w:eastAsia="zh-CN" w:bidi="zh-CN"/>
      </w:rPr>
    </w:lvl>
    <w:lvl w:ilvl="2" w:tentative="0">
      <w:start w:val="12"/>
      <w:numFmt w:val="decimal"/>
      <w:lvlText w:val="%1.%2.%3"/>
      <w:lvlJc w:val="left"/>
      <w:pPr>
        <w:ind w:left="1440" w:hanging="900"/>
        <w:jc w:val="left"/>
      </w:pPr>
      <w:rPr>
        <w:rFonts w:hint="default"/>
        <w:lang w:val="zh-CN" w:eastAsia="zh-CN" w:bidi="zh-CN"/>
      </w:rPr>
    </w:lvl>
    <w:lvl w:ilvl="3" w:tentative="0">
      <w:start w:val="1"/>
      <w:numFmt w:val="decimal"/>
      <w:lvlText w:val="%1.%2.%3.%4"/>
      <w:lvlJc w:val="left"/>
      <w:pPr>
        <w:ind w:left="1440" w:hanging="90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634" w:hanging="900"/>
      </w:pPr>
      <w:rPr>
        <w:rFonts w:hint="default"/>
        <w:lang w:val="zh-CN" w:eastAsia="zh-CN" w:bidi="zh-CN"/>
      </w:rPr>
    </w:lvl>
    <w:lvl w:ilvl="5" w:tentative="0">
      <w:start w:val="0"/>
      <w:numFmt w:val="bullet"/>
      <w:lvlText w:val="•"/>
      <w:lvlJc w:val="left"/>
      <w:pPr>
        <w:ind w:left="5433" w:hanging="900"/>
      </w:pPr>
      <w:rPr>
        <w:rFonts w:hint="default"/>
        <w:lang w:val="zh-CN" w:eastAsia="zh-CN" w:bidi="zh-CN"/>
      </w:rPr>
    </w:lvl>
    <w:lvl w:ilvl="6" w:tentative="0">
      <w:start w:val="0"/>
      <w:numFmt w:val="bullet"/>
      <w:lvlText w:val="•"/>
      <w:lvlJc w:val="left"/>
      <w:pPr>
        <w:ind w:left="6231" w:hanging="900"/>
      </w:pPr>
      <w:rPr>
        <w:rFonts w:hint="default"/>
        <w:lang w:val="zh-CN" w:eastAsia="zh-CN" w:bidi="zh-CN"/>
      </w:rPr>
    </w:lvl>
    <w:lvl w:ilvl="7" w:tentative="0">
      <w:start w:val="0"/>
      <w:numFmt w:val="bullet"/>
      <w:lvlText w:val="•"/>
      <w:lvlJc w:val="left"/>
      <w:pPr>
        <w:ind w:left="7030" w:hanging="900"/>
      </w:pPr>
      <w:rPr>
        <w:rFonts w:hint="default"/>
        <w:lang w:val="zh-CN" w:eastAsia="zh-CN" w:bidi="zh-CN"/>
      </w:rPr>
    </w:lvl>
    <w:lvl w:ilvl="8" w:tentative="0">
      <w:start w:val="0"/>
      <w:numFmt w:val="bullet"/>
      <w:lvlText w:val="•"/>
      <w:lvlJc w:val="left"/>
      <w:pPr>
        <w:ind w:left="7828" w:hanging="900"/>
      </w:pPr>
      <w:rPr>
        <w:rFonts w:hint="default"/>
        <w:lang w:val="zh-CN" w:eastAsia="zh-CN" w:bidi="zh-CN"/>
      </w:rPr>
    </w:lvl>
  </w:abstractNum>
  <w:abstractNum w:abstractNumId="6">
    <w:nsid w:val="91995D4F"/>
    <w:multiLevelType w:val="multilevel"/>
    <w:tmpl w:val="91995D4F"/>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
    <w:nsid w:val="91B69C97"/>
    <w:multiLevelType w:val="multilevel"/>
    <w:tmpl w:val="91B69C97"/>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222" w:hanging="780"/>
      </w:pPr>
      <w:rPr>
        <w:rFonts w:hint="default"/>
        <w:lang w:val="zh-CN" w:eastAsia="zh-CN" w:bidi="zh-CN"/>
      </w:rPr>
    </w:lvl>
    <w:lvl w:ilvl="5" w:tentative="0">
      <w:start w:val="0"/>
      <w:numFmt w:val="bullet"/>
      <w:lvlText w:val="•"/>
      <w:lvlJc w:val="left"/>
      <w:pPr>
        <w:ind w:left="5089" w:hanging="780"/>
      </w:pPr>
      <w:rPr>
        <w:rFonts w:hint="default"/>
        <w:lang w:val="zh-CN" w:eastAsia="zh-CN" w:bidi="zh-CN"/>
      </w:rPr>
    </w:lvl>
    <w:lvl w:ilvl="6" w:tentative="0">
      <w:start w:val="0"/>
      <w:numFmt w:val="bullet"/>
      <w:lvlText w:val="•"/>
      <w:lvlJc w:val="left"/>
      <w:pPr>
        <w:ind w:left="5956" w:hanging="780"/>
      </w:pPr>
      <w:rPr>
        <w:rFonts w:hint="default"/>
        <w:lang w:val="zh-CN" w:eastAsia="zh-CN" w:bidi="zh-CN"/>
      </w:rPr>
    </w:lvl>
    <w:lvl w:ilvl="7" w:tentative="0">
      <w:start w:val="0"/>
      <w:numFmt w:val="bullet"/>
      <w:lvlText w:val="•"/>
      <w:lvlJc w:val="left"/>
      <w:pPr>
        <w:ind w:left="6824" w:hanging="780"/>
      </w:pPr>
      <w:rPr>
        <w:rFonts w:hint="default"/>
        <w:lang w:val="zh-CN" w:eastAsia="zh-CN" w:bidi="zh-CN"/>
      </w:rPr>
    </w:lvl>
    <w:lvl w:ilvl="8" w:tentative="0">
      <w:start w:val="0"/>
      <w:numFmt w:val="bullet"/>
      <w:lvlText w:val="•"/>
      <w:lvlJc w:val="left"/>
      <w:pPr>
        <w:ind w:left="7691" w:hanging="780"/>
      </w:pPr>
      <w:rPr>
        <w:rFonts w:hint="default"/>
        <w:lang w:val="zh-CN" w:eastAsia="zh-CN" w:bidi="zh-CN"/>
      </w:rPr>
    </w:lvl>
  </w:abstractNum>
  <w:abstractNum w:abstractNumId="8">
    <w:nsid w:val="9239341B"/>
    <w:multiLevelType w:val="multilevel"/>
    <w:tmpl w:val="9239341B"/>
    <w:lvl w:ilvl="0" w:tentative="0">
      <w:start w:val="1"/>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3333" w:hanging="209"/>
        <w:jc w:val="left"/>
      </w:pPr>
      <w:rPr>
        <w:rFonts w:hint="default" w:ascii="Times New Roman" w:hAnsi="Times New Roman" w:eastAsia="Times New Roman" w:cs="Times New Roman"/>
        <w:w w:val="99"/>
        <w:sz w:val="21"/>
        <w:szCs w:val="21"/>
        <w:lang w:val="zh-CN" w:eastAsia="zh-CN" w:bidi="zh-CN"/>
      </w:rPr>
    </w:lvl>
    <w:lvl w:ilvl="3" w:tentative="0">
      <w:start w:val="1"/>
      <w:numFmt w:val="decimal"/>
      <w:lvlText w:val="%4"/>
      <w:lvlJc w:val="left"/>
      <w:pPr>
        <w:ind w:left="3492" w:hanging="212"/>
        <w:jc w:val="left"/>
      </w:pPr>
      <w:rPr>
        <w:rFonts w:hint="default" w:ascii="Times New Roman" w:hAnsi="Times New Roman" w:eastAsia="Times New Roman" w:cs="Times New Roman"/>
        <w:w w:val="99"/>
        <w:sz w:val="21"/>
        <w:szCs w:val="21"/>
        <w:lang w:val="zh-CN" w:eastAsia="zh-CN" w:bidi="zh-CN"/>
      </w:rPr>
    </w:lvl>
    <w:lvl w:ilvl="4" w:tentative="0">
      <w:start w:val="0"/>
      <w:numFmt w:val="bullet"/>
      <w:lvlText w:val="•"/>
      <w:lvlJc w:val="left"/>
      <w:pPr>
        <w:ind w:left="4981" w:hanging="212"/>
      </w:pPr>
      <w:rPr>
        <w:rFonts w:hint="default"/>
        <w:lang w:val="zh-CN" w:eastAsia="zh-CN" w:bidi="zh-CN"/>
      </w:rPr>
    </w:lvl>
    <w:lvl w:ilvl="5" w:tentative="0">
      <w:start w:val="0"/>
      <w:numFmt w:val="bullet"/>
      <w:lvlText w:val="•"/>
      <w:lvlJc w:val="left"/>
      <w:pPr>
        <w:ind w:left="5722" w:hanging="212"/>
      </w:pPr>
      <w:rPr>
        <w:rFonts w:hint="default"/>
        <w:lang w:val="zh-CN" w:eastAsia="zh-CN" w:bidi="zh-CN"/>
      </w:rPr>
    </w:lvl>
    <w:lvl w:ilvl="6" w:tentative="0">
      <w:start w:val="0"/>
      <w:numFmt w:val="bullet"/>
      <w:lvlText w:val="•"/>
      <w:lvlJc w:val="left"/>
      <w:pPr>
        <w:ind w:left="6463" w:hanging="212"/>
      </w:pPr>
      <w:rPr>
        <w:rFonts w:hint="default"/>
        <w:lang w:val="zh-CN" w:eastAsia="zh-CN" w:bidi="zh-CN"/>
      </w:rPr>
    </w:lvl>
    <w:lvl w:ilvl="7" w:tentative="0">
      <w:start w:val="0"/>
      <w:numFmt w:val="bullet"/>
      <w:lvlText w:val="•"/>
      <w:lvlJc w:val="left"/>
      <w:pPr>
        <w:ind w:left="7203" w:hanging="212"/>
      </w:pPr>
      <w:rPr>
        <w:rFonts w:hint="default"/>
        <w:lang w:val="zh-CN" w:eastAsia="zh-CN" w:bidi="zh-CN"/>
      </w:rPr>
    </w:lvl>
    <w:lvl w:ilvl="8" w:tentative="0">
      <w:start w:val="0"/>
      <w:numFmt w:val="bullet"/>
      <w:lvlText w:val="•"/>
      <w:lvlJc w:val="left"/>
      <w:pPr>
        <w:ind w:left="7944" w:hanging="212"/>
      </w:pPr>
      <w:rPr>
        <w:rFonts w:hint="default"/>
        <w:lang w:val="zh-CN" w:eastAsia="zh-CN" w:bidi="zh-CN"/>
      </w:rPr>
    </w:lvl>
  </w:abstractNum>
  <w:abstractNum w:abstractNumId="9">
    <w:nsid w:val="9288B902"/>
    <w:multiLevelType w:val="multilevel"/>
    <w:tmpl w:val="9288B902"/>
    <w:lvl w:ilvl="0" w:tentative="0">
      <w:start w:val="2"/>
      <w:numFmt w:val="decimal"/>
      <w:lvlText w:val="%1"/>
      <w:lvlJc w:val="left"/>
      <w:pPr>
        <w:ind w:left="1099" w:hanging="560"/>
        <w:jc w:val="left"/>
      </w:pPr>
      <w:rPr>
        <w:rFonts w:hint="default"/>
        <w:lang w:val="zh-CN" w:eastAsia="zh-CN" w:bidi="zh-CN"/>
      </w:rPr>
    </w:lvl>
    <w:lvl w:ilvl="1" w:tentative="0">
      <w:start w:val="7"/>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10">
    <w:nsid w:val="9377BC45"/>
    <w:multiLevelType w:val="multilevel"/>
    <w:tmpl w:val="9377BC45"/>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1">
    <w:nsid w:val="9ACF65A0"/>
    <w:multiLevelType w:val="multilevel"/>
    <w:tmpl w:val="9ACF65A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2">
    <w:nsid w:val="9C11E984"/>
    <w:multiLevelType w:val="multilevel"/>
    <w:tmpl w:val="9C11E98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3">
    <w:nsid w:val="9D5D7490"/>
    <w:multiLevelType w:val="multilevel"/>
    <w:tmpl w:val="9D5D7490"/>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4">
    <w:nsid w:val="A0C93552"/>
    <w:multiLevelType w:val="multilevel"/>
    <w:tmpl w:val="A0C93552"/>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5">
    <w:nsid w:val="A0F05207"/>
    <w:multiLevelType w:val="multilevel"/>
    <w:tmpl w:val="A0F05207"/>
    <w:lvl w:ilvl="0" w:tentative="0">
      <w:start w:val="5"/>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6">
    <w:nsid w:val="A9AC3AA7"/>
    <w:multiLevelType w:val="multilevel"/>
    <w:tmpl w:val="A9AC3AA7"/>
    <w:lvl w:ilvl="0" w:tentative="0">
      <w:start w:val="9"/>
      <w:numFmt w:val="decimal"/>
      <w:lvlText w:val="%1"/>
      <w:lvlJc w:val="left"/>
      <w:pPr>
        <w:ind w:left="920" w:hanging="701"/>
        <w:jc w:val="left"/>
      </w:pPr>
      <w:rPr>
        <w:rFonts w:hint="default"/>
        <w:lang w:val="zh-CN" w:eastAsia="zh-CN" w:bidi="zh-CN"/>
      </w:rPr>
    </w:lvl>
    <w:lvl w:ilvl="1" w:tentative="0">
      <w:start w:val="3"/>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17">
    <w:nsid w:val="AAF3F3FA"/>
    <w:multiLevelType w:val="multilevel"/>
    <w:tmpl w:val="AAF3F3F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8">
    <w:nsid w:val="B0ED9BEA"/>
    <w:multiLevelType w:val="multilevel"/>
    <w:tmpl w:val="B0ED9BEA"/>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9">
    <w:nsid w:val="B0F1ACD9"/>
    <w:multiLevelType w:val="multilevel"/>
    <w:tmpl w:val="B0F1ACD9"/>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20">
    <w:nsid w:val="B23A94A9"/>
    <w:multiLevelType w:val="multilevel"/>
    <w:tmpl w:val="B23A94A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4"/>
      <w:numFmt w:val="decimal"/>
      <w:lvlText w:val="%1.%2.%3"/>
      <w:lvlJc w:val="left"/>
      <w:pPr>
        <w:ind w:left="1320" w:hanging="780"/>
        <w:jc w:val="left"/>
      </w:pPr>
      <w:rPr>
        <w:rFonts w:hint="default"/>
        <w:lang w:val="zh-CN" w:eastAsia="zh-CN" w:bidi="zh-CN"/>
      </w:rPr>
    </w:lvl>
    <w:lvl w:ilvl="3" w:tentative="0">
      <w:start w:val="3"/>
      <w:numFmt w:val="decimal"/>
      <w:lvlText w:val="%1.%2.%3.%4"/>
      <w:lvlJc w:val="left"/>
      <w:pPr>
        <w:ind w:left="1320" w:hanging="780"/>
        <w:jc w:val="righ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21">
    <w:nsid w:val="B88D21A8"/>
    <w:multiLevelType w:val="multilevel"/>
    <w:tmpl w:val="B88D21A8"/>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2">
    <w:nsid w:val="B8CEF35B"/>
    <w:multiLevelType w:val="multilevel"/>
    <w:tmpl w:val="B8CEF35B"/>
    <w:lvl w:ilvl="0" w:tentative="0">
      <w:start w:val="3"/>
      <w:numFmt w:val="decimal"/>
      <w:lvlText w:val="%1"/>
      <w:lvlJc w:val="left"/>
      <w:pPr>
        <w:ind w:left="1430" w:hanging="891"/>
        <w:jc w:val="left"/>
      </w:pPr>
      <w:rPr>
        <w:rFonts w:hint="default"/>
        <w:lang w:val="zh-CN" w:eastAsia="zh-CN" w:bidi="zh-CN"/>
      </w:rPr>
    </w:lvl>
    <w:lvl w:ilvl="1" w:tentative="0">
      <w:start w:val="1"/>
      <w:numFmt w:val="decimal"/>
      <w:lvlText w:val="%1.%2"/>
      <w:lvlJc w:val="left"/>
      <w:pPr>
        <w:ind w:left="1430" w:hanging="891"/>
        <w:jc w:val="left"/>
      </w:pPr>
      <w:rPr>
        <w:rFonts w:hint="default"/>
        <w:lang w:val="zh-CN" w:eastAsia="zh-CN" w:bidi="zh-CN"/>
      </w:rPr>
    </w:lvl>
    <w:lvl w:ilvl="2" w:tentative="0">
      <w:start w:val="11"/>
      <w:numFmt w:val="decimal"/>
      <w:lvlText w:val="%1.%2.%3"/>
      <w:lvlJc w:val="left"/>
      <w:pPr>
        <w:ind w:left="1430" w:hanging="891"/>
        <w:jc w:val="left"/>
      </w:pPr>
      <w:rPr>
        <w:rFonts w:hint="default"/>
        <w:lang w:val="zh-CN" w:eastAsia="zh-CN" w:bidi="zh-CN"/>
      </w:rPr>
    </w:lvl>
    <w:lvl w:ilvl="3" w:tentative="0">
      <w:start w:val="1"/>
      <w:numFmt w:val="decimal"/>
      <w:lvlText w:val="%1.%2.%3.%4"/>
      <w:lvlJc w:val="left"/>
      <w:pPr>
        <w:ind w:left="1430" w:hanging="891"/>
        <w:jc w:val="left"/>
      </w:pPr>
      <w:rPr>
        <w:rFonts w:hint="default" w:ascii="Times New Roman" w:hAnsi="Times New Roman" w:eastAsia="Times New Roman" w:cs="Times New Roman"/>
        <w:spacing w:val="-5"/>
        <w:w w:val="100"/>
        <w:sz w:val="24"/>
        <w:szCs w:val="24"/>
        <w:lang w:val="zh-CN" w:eastAsia="zh-CN" w:bidi="zh-CN"/>
      </w:rPr>
    </w:lvl>
    <w:lvl w:ilvl="4" w:tentative="0">
      <w:start w:val="1"/>
      <w:numFmt w:val="decimal"/>
      <w:lvlText w:val="%1.%2.%3.%4.%5"/>
      <w:lvlJc w:val="left"/>
      <w:pPr>
        <w:ind w:left="1730" w:hanging="1191"/>
        <w:jc w:val="left"/>
      </w:pPr>
      <w:rPr>
        <w:rFonts w:hint="default" w:ascii="Times New Roman" w:hAnsi="Times New Roman" w:eastAsia="Times New Roman" w:cs="Times New Roman"/>
        <w:spacing w:val="-5"/>
        <w:w w:val="100"/>
        <w:sz w:val="24"/>
        <w:szCs w:val="24"/>
        <w:lang w:val="zh-CN" w:eastAsia="zh-CN" w:bidi="zh-CN"/>
      </w:rPr>
    </w:lvl>
    <w:lvl w:ilvl="5" w:tentative="0">
      <w:start w:val="1"/>
      <w:numFmt w:val="decimal"/>
      <w:lvlText w:val="（%6）"/>
      <w:lvlJc w:val="left"/>
      <w:pPr>
        <w:ind w:left="540" w:hanging="601"/>
        <w:jc w:val="left"/>
      </w:pPr>
      <w:rPr>
        <w:rFonts w:hint="default" w:ascii="宋体" w:hAnsi="宋体" w:eastAsia="宋体" w:cs="宋体"/>
        <w:w w:val="100"/>
        <w:sz w:val="22"/>
        <w:szCs w:val="22"/>
        <w:lang w:val="zh-CN" w:eastAsia="zh-CN" w:bidi="zh-CN"/>
      </w:rPr>
    </w:lvl>
    <w:lvl w:ilvl="6" w:tentative="0">
      <w:start w:val="0"/>
      <w:numFmt w:val="bullet"/>
      <w:lvlText w:val="•"/>
      <w:lvlJc w:val="left"/>
      <w:pPr>
        <w:ind w:left="5583" w:hanging="601"/>
      </w:pPr>
      <w:rPr>
        <w:rFonts w:hint="default"/>
        <w:lang w:val="zh-CN" w:eastAsia="zh-CN" w:bidi="zh-CN"/>
      </w:rPr>
    </w:lvl>
    <w:lvl w:ilvl="7" w:tentative="0">
      <w:start w:val="0"/>
      <w:numFmt w:val="bullet"/>
      <w:lvlText w:val="•"/>
      <w:lvlJc w:val="left"/>
      <w:pPr>
        <w:ind w:left="6543" w:hanging="601"/>
      </w:pPr>
      <w:rPr>
        <w:rFonts w:hint="default"/>
        <w:lang w:val="zh-CN" w:eastAsia="zh-CN" w:bidi="zh-CN"/>
      </w:rPr>
    </w:lvl>
    <w:lvl w:ilvl="8" w:tentative="0">
      <w:start w:val="0"/>
      <w:numFmt w:val="bullet"/>
      <w:lvlText w:val="•"/>
      <w:lvlJc w:val="left"/>
      <w:pPr>
        <w:ind w:left="7504" w:hanging="601"/>
      </w:pPr>
      <w:rPr>
        <w:rFonts w:hint="default"/>
        <w:lang w:val="zh-CN" w:eastAsia="zh-CN" w:bidi="zh-CN"/>
      </w:rPr>
    </w:lvl>
  </w:abstractNum>
  <w:abstractNum w:abstractNumId="23">
    <w:nsid w:val="BB64CFA9"/>
    <w:multiLevelType w:val="multilevel"/>
    <w:tmpl w:val="BB64CFA9"/>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24">
    <w:nsid w:val="BCECA0B4"/>
    <w:multiLevelType w:val="multilevel"/>
    <w:tmpl w:val="BCECA0B4"/>
    <w:lvl w:ilvl="0" w:tentative="0">
      <w:start w:val="7"/>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3850" w:hanging="601"/>
      </w:pPr>
      <w:rPr>
        <w:rFonts w:hint="default"/>
        <w:lang w:val="zh-CN" w:eastAsia="zh-CN" w:bidi="zh-CN"/>
      </w:rPr>
    </w:lvl>
    <w:lvl w:ilvl="6" w:tentative="0">
      <w:start w:val="0"/>
      <w:numFmt w:val="bullet"/>
      <w:lvlText w:val="•"/>
      <w:lvlJc w:val="left"/>
      <w:pPr>
        <w:ind w:left="4965" w:hanging="601"/>
      </w:pPr>
      <w:rPr>
        <w:rFonts w:hint="default"/>
        <w:lang w:val="zh-CN" w:eastAsia="zh-CN" w:bidi="zh-CN"/>
      </w:rPr>
    </w:lvl>
    <w:lvl w:ilvl="7" w:tentative="0">
      <w:start w:val="0"/>
      <w:numFmt w:val="bullet"/>
      <w:lvlText w:val="•"/>
      <w:lvlJc w:val="left"/>
      <w:pPr>
        <w:ind w:left="6080" w:hanging="601"/>
      </w:pPr>
      <w:rPr>
        <w:rFonts w:hint="default"/>
        <w:lang w:val="zh-CN" w:eastAsia="zh-CN" w:bidi="zh-CN"/>
      </w:rPr>
    </w:lvl>
    <w:lvl w:ilvl="8" w:tentative="0">
      <w:start w:val="0"/>
      <w:numFmt w:val="bullet"/>
      <w:lvlText w:val="•"/>
      <w:lvlJc w:val="left"/>
      <w:pPr>
        <w:ind w:left="7195" w:hanging="601"/>
      </w:pPr>
      <w:rPr>
        <w:rFonts w:hint="default"/>
        <w:lang w:val="zh-CN" w:eastAsia="zh-CN" w:bidi="zh-CN"/>
      </w:rPr>
    </w:lvl>
  </w:abstractNum>
  <w:abstractNum w:abstractNumId="25">
    <w:nsid w:val="BDA1395C"/>
    <w:multiLevelType w:val="multilevel"/>
    <w:tmpl w:val="BDA1395C"/>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26">
    <w:nsid w:val="BE8A4F4C"/>
    <w:multiLevelType w:val="multilevel"/>
    <w:tmpl w:val="BE8A4F4C"/>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4"/>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7">
    <w:nsid w:val="BE923771"/>
    <w:multiLevelType w:val="multilevel"/>
    <w:tmpl w:val="BE923771"/>
    <w:lvl w:ilvl="0" w:tentative="0">
      <w:start w:val="2"/>
      <w:numFmt w:val="decimal"/>
      <w:lvlText w:val="%1"/>
      <w:lvlJc w:val="left"/>
      <w:pPr>
        <w:ind w:left="1099" w:hanging="560"/>
        <w:jc w:val="left"/>
      </w:pPr>
      <w:rPr>
        <w:rFonts w:hint="default"/>
        <w:lang w:val="zh-CN" w:eastAsia="zh-CN" w:bidi="zh-CN"/>
      </w:rPr>
    </w:lvl>
    <w:lvl w:ilvl="1" w:tentative="0">
      <w:start w:val="5"/>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28">
    <w:nsid w:val="C4E0D24A"/>
    <w:multiLevelType w:val="multilevel"/>
    <w:tmpl w:val="C4E0D24A"/>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29">
    <w:nsid w:val="C8879AEF"/>
    <w:multiLevelType w:val="multilevel"/>
    <w:tmpl w:val="C8879AEF"/>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0">
    <w:nsid w:val="D1EB1714"/>
    <w:multiLevelType w:val="multilevel"/>
    <w:tmpl w:val="D1EB171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1">
    <w:nsid w:val="D7D140E4"/>
    <w:multiLevelType w:val="multilevel"/>
    <w:tmpl w:val="D7D140E4"/>
    <w:lvl w:ilvl="0" w:tentative="0">
      <w:start w:val="1"/>
      <w:numFmt w:val="decimal"/>
      <w:lvlText w:val="（%1）"/>
      <w:lvlJc w:val="left"/>
      <w:pPr>
        <w:ind w:left="540" w:hanging="601"/>
        <w:jc w:val="left"/>
      </w:pPr>
      <w:rPr>
        <w:rFonts w:hint="default" w:ascii="宋体" w:hAnsi="宋体" w:eastAsia="宋体" w:cs="宋体"/>
        <w:spacing w:val="-19"/>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32">
    <w:nsid w:val="DAD3A854"/>
    <w:multiLevelType w:val="multilevel"/>
    <w:tmpl w:val="DAD3A854"/>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33">
    <w:nsid w:val="E0294EC7"/>
    <w:multiLevelType w:val="multilevel"/>
    <w:tmpl w:val="E0294EC7"/>
    <w:lvl w:ilvl="0" w:tentative="0">
      <w:start w:val="2"/>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809" w:hanging="601"/>
      </w:pPr>
      <w:rPr>
        <w:rFonts w:hint="default"/>
        <w:lang w:val="zh-CN" w:eastAsia="zh-CN" w:bidi="zh-CN"/>
      </w:rPr>
    </w:lvl>
    <w:lvl w:ilvl="3" w:tentative="0">
      <w:start w:val="0"/>
      <w:numFmt w:val="bullet"/>
      <w:lvlText w:val="•"/>
      <w:lvlJc w:val="left"/>
      <w:pPr>
        <w:ind w:left="3563" w:hanging="601"/>
      </w:pPr>
      <w:rPr>
        <w:rFonts w:hint="default"/>
        <w:lang w:val="zh-CN" w:eastAsia="zh-CN" w:bidi="zh-CN"/>
      </w:rPr>
    </w:lvl>
    <w:lvl w:ilvl="4" w:tentative="0">
      <w:start w:val="0"/>
      <w:numFmt w:val="bullet"/>
      <w:lvlText w:val="•"/>
      <w:lvlJc w:val="left"/>
      <w:pPr>
        <w:ind w:left="4318"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5827" w:hanging="601"/>
      </w:pPr>
      <w:rPr>
        <w:rFonts w:hint="default"/>
        <w:lang w:val="zh-CN" w:eastAsia="zh-CN" w:bidi="zh-CN"/>
      </w:rPr>
    </w:lvl>
    <w:lvl w:ilvl="7" w:tentative="0">
      <w:start w:val="0"/>
      <w:numFmt w:val="bullet"/>
      <w:lvlText w:val="•"/>
      <w:lvlJc w:val="left"/>
      <w:pPr>
        <w:ind w:left="6582" w:hanging="601"/>
      </w:pPr>
      <w:rPr>
        <w:rFonts w:hint="default"/>
        <w:lang w:val="zh-CN" w:eastAsia="zh-CN" w:bidi="zh-CN"/>
      </w:rPr>
    </w:lvl>
    <w:lvl w:ilvl="8" w:tentative="0">
      <w:start w:val="0"/>
      <w:numFmt w:val="bullet"/>
      <w:lvlText w:val="•"/>
      <w:lvlJc w:val="left"/>
      <w:pPr>
        <w:ind w:left="7336" w:hanging="601"/>
      </w:pPr>
      <w:rPr>
        <w:rFonts w:hint="default"/>
        <w:lang w:val="zh-CN" w:eastAsia="zh-CN" w:bidi="zh-CN"/>
      </w:rPr>
    </w:lvl>
  </w:abstractNum>
  <w:abstractNum w:abstractNumId="34">
    <w:nsid w:val="E093A4B0"/>
    <w:multiLevelType w:val="multilevel"/>
    <w:tmpl w:val="E093A4B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5">
    <w:nsid w:val="E504947C"/>
    <w:multiLevelType w:val="multilevel"/>
    <w:tmpl w:val="E504947C"/>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36">
    <w:nsid w:val="E7B27C5B"/>
    <w:multiLevelType w:val="multilevel"/>
    <w:tmpl w:val="E7B27C5B"/>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7">
    <w:nsid w:val="F4B5D9F5"/>
    <w:multiLevelType w:val="multilevel"/>
    <w:tmpl w:val="F4B5D9F5"/>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8">
    <w:nsid w:val="F585BF25"/>
    <w:multiLevelType w:val="multilevel"/>
    <w:tmpl w:val="F585BF25"/>
    <w:lvl w:ilvl="0" w:tentative="0">
      <w:start w:val="7"/>
      <w:numFmt w:val="decimal"/>
      <w:lvlText w:val="%1"/>
      <w:lvlJc w:val="left"/>
      <w:pPr>
        <w:ind w:left="1099" w:hanging="560"/>
        <w:jc w:val="left"/>
      </w:pPr>
      <w:rPr>
        <w:rFonts w:hint="default"/>
        <w:lang w:val="zh-CN" w:eastAsia="zh-CN" w:bidi="zh-CN"/>
      </w:rPr>
    </w:lvl>
    <w:lvl w:ilvl="1" w:tentative="0">
      <w:start w:val="2"/>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540"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2950"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800" w:hanging="601"/>
      </w:pPr>
      <w:rPr>
        <w:rFonts w:hint="default"/>
        <w:lang w:val="zh-CN" w:eastAsia="zh-CN" w:bidi="zh-CN"/>
      </w:rPr>
    </w:lvl>
    <w:lvl w:ilvl="6" w:tentative="0">
      <w:start w:val="0"/>
      <w:numFmt w:val="bullet"/>
      <w:lvlText w:val="•"/>
      <w:lvlJc w:val="left"/>
      <w:pPr>
        <w:ind w:left="5725" w:hanging="601"/>
      </w:pPr>
      <w:rPr>
        <w:rFonts w:hint="default"/>
        <w:lang w:val="zh-CN" w:eastAsia="zh-CN" w:bidi="zh-CN"/>
      </w:rPr>
    </w:lvl>
    <w:lvl w:ilvl="7" w:tentative="0">
      <w:start w:val="0"/>
      <w:numFmt w:val="bullet"/>
      <w:lvlText w:val="•"/>
      <w:lvlJc w:val="left"/>
      <w:pPr>
        <w:ind w:left="6650" w:hanging="601"/>
      </w:pPr>
      <w:rPr>
        <w:rFonts w:hint="default"/>
        <w:lang w:val="zh-CN" w:eastAsia="zh-CN" w:bidi="zh-CN"/>
      </w:rPr>
    </w:lvl>
    <w:lvl w:ilvl="8" w:tentative="0">
      <w:start w:val="0"/>
      <w:numFmt w:val="bullet"/>
      <w:lvlText w:val="•"/>
      <w:lvlJc w:val="left"/>
      <w:pPr>
        <w:ind w:left="7575" w:hanging="601"/>
      </w:pPr>
      <w:rPr>
        <w:rFonts w:hint="default"/>
        <w:lang w:val="zh-CN" w:eastAsia="zh-CN" w:bidi="zh-CN"/>
      </w:rPr>
    </w:lvl>
  </w:abstractNum>
  <w:abstractNum w:abstractNumId="39">
    <w:nsid w:val="F689643B"/>
    <w:multiLevelType w:val="multilevel"/>
    <w:tmpl w:val="F689643B"/>
    <w:lvl w:ilvl="0" w:tentative="0">
      <w:start w:val="1"/>
      <w:numFmt w:val="decimal"/>
      <w:lvlText w:val="（%1）"/>
      <w:lvlJc w:val="left"/>
      <w:pPr>
        <w:ind w:left="540" w:hanging="601"/>
        <w:jc w:val="left"/>
      </w:pPr>
      <w:rPr>
        <w:rFonts w:hint="default" w:ascii="宋体" w:hAnsi="宋体" w:eastAsia="宋体" w:cs="宋体"/>
        <w:spacing w:val="-13"/>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0">
    <w:nsid w:val="FEC2EA36"/>
    <w:multiLevelType w:val="multilevel"/>
    <w:tmpl w:val="FEC2EA36"/>
    <w:lvl w:ilvl="0" w:tentative="0">
      <w:start w:val="1"/>
      <w:numFmt w:val="decimal"/>
      <w:lvlText w:val="（%1）"/>
      <w:lvlJc w:val="left"/>
      <w:pPr>
        <w:ind w:left="540" w:hanging="601"/>
        <w:jc w:val="left"/>
      </w:pPr>
      <w:rPr>
        <w:rFonts w:hint="default" w:ascii="宋体" w:hAnsi="宋体" w:eastAsia="宋体" w:cs="宋体"/>
        <w:spacing w:val="-72"/>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1">
    <w:nsid w:val="01836A6D"/>
    <w:multiLevelType w:val="multilevel"/>
    <w:tmpl w:val="01836A6D"/>
    <w:lvl w:ilvl="0" w:tentative="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82" w:hanging="601"/>
      </w:pPr>
      <w:rPr>
        <w:rFonts w:hint="default"/>
        <w:lang w:val="zh-CN" w:eastAsia="zh-CN" w:bidi="zh-CN"/>
      </w:rPr>
    </w:lvl>
    <w:lvl w:ilvl="2" w:tentative="0">
      <w:start w:val="0"/>
      <w:numFmt w:val="bullet"/>
      <w:lvlText w:val="•"/>
      <w:lvlJc w:val="left"/>
      <w:pPr>
        <w:ind w:left="1945" w:hanging="601"/>
      </w:pPr>
      <w:rPr>
        <w:rFonts w:hint="default"/>
        <w:lang w:val="zh-CN" w:eastAsia="zh-CN" w:bidi="zh-CN"/>
      </w:rPr>
    </w:lvl>
    <w:lvl w:ilvl="3" w:tentative="0">
      <w:start w:val="0"/>
      <w:numFmt w:val="bullet"/>
      <w:lvlText w:val="•"/>
      <w:lvlJc w:val="left"/>
      <w:pPr>
        <w:ind w:left="2807" w:hanging="601"/>
      </w:pPr>
      <w:rPr>
        <w:rFonts w:hint="default"/>
        <w:lang w:val="zh-CN" w:eastAsia="zh-CN" w:bidi="zh-CN"/>
      </w:rPr>
    </w:lvl>
    <w:lvl w:ilvl="4" w:tentative="0">
      <w:start w:val="0"/>
      <w:numFmt w:val="bullet"/>
      <w:lvlText w:val="•"/>
      <w:lvlJc w:val="left"/>
      <w:pPr>
        <w:ind w:left="3670" w:hanging="601"/>
      </w:pPr>
      <w:rPr>
        <w:rFonts w:hint="default"/>
        <w:lang w:val="zh-CN" w:eastAsia="zh-CN" w:bidi="zh-CN"/>
      </w:rPr>
    </w:lvl>
    <w:lvl w:ilvl="5" w:tentative="0">
      <w:start w:val="0"/>
      <w:numFmt w:val="bullet"/>
      <w:lvlText w:val="•"/>
      <w:lvlJc w:val="left"/>
      <w:pPr>
        <w:ind w:left="4533" w:hanging="601"/>
      </w:pPr>
      <w:rPr>
        <w:rFonts w:hint="default"/>
        <w:lang w:val="zh-CN" w:eastAsia="zh-CN" w:bidi="zh-CN"/>
      </w:rPr>
    </w:lvl>
    <w:lvl w:ilvl="6" w:tentative="0">
      <w:start w:val="0"/>
      <w:numFmt w:val="bullet"/>
      <w:lvlText w:val="•"/>
      <w:lvlJc w:val="left"/>
      <w:pPr>
        <w:ind w:left="5395" w:hanging="601"/>
      </w:pPr>
      <w:rPr>
        <w:rFonts w:hint="default"/>
        <w:lang w:val="zh-CN" w:eastAsia="zh-CN" w:bidi="zh-CN"/>
      </w:rPr>
    </w:lvl>
    <w:lvl w:ilvl="7" w:tentative="0">
      <w:start w:val="0"/>
      <w:numFmt w:val="bullet"/>
      <w:lvlText w:val="•"/>
      <w:lvlJc w:val="left"/>
      <w:pPr>
        <w:ind w:left="6258" w:hanging="601"/>
      </w:pPr>
      <w:rPr>
        <w:rFonts w:hint="default"/>
        <w:lang w:val="zh-CN" w:eastAsia="zh-CN" w:bidi="zh-CN"/>
      </w:rPr>
    </w:lvl>
    <w:lvl w:ilvl="8" w:tentative="0">
      <w:start w:val="0"/>
      <w:numFmt w:val="bullet"/>
      <w:lvlText w:val="•"/>
      <w:lvlJc w:val="left"/>
      <w:pPr>
        <w:ind w:left="7120" w:hanging="601"/>
      </w:pPr>
      <w:rPr>
        <w:rFonts w:hint="default"/>
        <w:lang w:val="zh-CN" w:eastAsia="zh-CN" w:bidi="zh-CN"/>
      </w:rPr>
    </w:lvl>
  </w:abstractNum>
  <w:abstractNum w:abstractNumId="42">
    <w:nsid w:val="03A63A41"/>
    <w:multiLevelType w:val="multilevel"/>
    <w:tmpl w:val="03A63A41"/>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43">
    <w:nsid w:val="0709FD3E"/>
    <w:multiLevelType w:val="multilevel"/>
    <w:tmpl w:val="0709FD3E"/>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44">
    <w:nsid w:val="0CEF100B"/>
    <w:multiLevelType w:val="multilevel"/>
    <w:tmpl w:val="0CEF100B"/>
    <w:lvl w:ilvl="0" w:tentative="0">
      <w:start w:val="6"/>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45">
    <w:nsid w:val="0E640482"/>
    <w:multiLevelType w:val="multilevel"/>
    <w:tmpl w:val="0E640482"/>
    <w:lvl w:ilvl="0" w:tentative="0">
      <w:start w:val="1"/>
      <w:numFmt w:val="decimal"/>
      <w:lvlText w:val="（%1）"/>
      <w:lvlJc w:val="left"/>
      <w:pPr>
        <w:ind w:left="540"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6">
    <w:nsid w:val="10D591E5"/>
    <w:multiLevelType w:val="multilevel"/>
    <w:tmpl w:val="10D591E5"/>
    <w:lvl w:ilvl="0" w:tentative="0">
      <w:start w:val="8"/>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righ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326" w:hanging="601"/>
      </w:pPr>
      <w:rPr>
        <w:rFonts w:hint="default"/>
        <w:lang w:val="zh-CN" w:eastAsia="zh-CN" w:bidi="zh-CN"/>
      </w:rPr>
    </w:lvl>
    <w:lvl w:ilvl="5" w:tentative="0">
      <w:start w:val="0"/>
      <w:numFmt w:val="bullet"/>
      <w:lvlText w:val="•"/>
      <w:lvlJc w:val="left"/>
      <w:pPr>
        <w:ind w:left="3413" w:hanging="601"/>
      </w:pPr>
      <w:rPr>
        <w:rFonts w:hint="default"/>
        <w:lang w:val="zh-CN" w:eastAsia="zh-CN" w:bidi="zh-CN"/>
      </w:rPr>
    </w:lvl>
    <w:lvl w:ilvl="6" w:tentative="0">
      <w:start w:val="0"/>
      <w:numFmt w:val="bullet"/>
      <w:lvlText w:val="•"/>
      <w:lvlJc w:val="left"/>
      <w:pPr>
        <w:ind w:left="4499" w:hanging="601"/>
      </w:pPr>
      <w:rPr>
        <w:rFonts w:hint="default"/>
        <w:lang w:val="zh-CN" w:eastAsia="zh-CN" w:bidi="zh-CN"/>
      </w:rPr>
    </w:lvl>
    <w:lvl w:ilvl="7" w:tentative="0">
      <w:start w:val="0"/>
      <w:numFmt w:val="bullet"/>
      <w:lvlText w:val="•"/>
      <w:lvlJc w:val="left"/>
      <w:pPr>
        <w:ind w:left="5586" w:hanging="601"/>
      </w:pPr>
      <w:rPr>
        <w:rFonts w:hint="default"/>
        <w:lang w:val="zh-CN" w:eastAsia="zh-CN" w:bidi="zh-CN"/>
      </w:rPr>
    </w:lvl>
    <w:lvl w:ilvl="8" w:tentative="0">
      <w:start w:val="0"/>
      <w:numFmt w:val="bullet"/>
      <w:lvlText w:val="•"/>
      <w:lvlJc w:val="left"/>
      <w:pPr>
        <w:ind w:left="6672" w:hanging="601"/>
      </w:pPr>
      <w:rPr>
        <w:rFonts w:hint="default"/>
        <w:lang w:val="zh-CN" w:eastAsia="zh-CN" w:bidi="zh-CN"/>
      </w:rPr>
    </w:lvl>
  </w:abstractNum>
  <w:abstractNum w:abstractNumId="47">
    <w:nsid w:val="12EADF99"/>
    <w:multiLevelType w:val="multilevel"/>
    <w:tmpl w:val="12EADF9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48">
    <w:nsid w:val="1450273B"/>
    <w:multiLevelType w:val="multilevel"/>
    <w:tmpl w:val="1450273B"/>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49">
    <w:nsid w:val="18F74015"/>
    <w:multiLevelType w:val="multilevel"/>
    <w:tmpl w:val="18F74015"/>
    <w:lvl w:ilvl="0" w:tentative="0">
      <w:start w:val="5"/>
      <w:numFmt w:val="decimal"/>
      <w:lvlText w:val="%1"/>
      <w:lvlJc w:val="left"/>
      <w:pPr>
        <w:ind w:left="1240" w:hanging="701"/>
        <w:jc w:val="left"/>
      </w:pPr>
      <w:rPr>
        <w:rFonts w:hint="default"/>
        <w:lang w:val="zh-CN" w:eastAsia="zh-CN" w:bidi="zh-CN"/>
      </w:rPr>
    </w:lvl>
    <w:lvl w:ilvl="1" w:tentative="0">
      <w:start w:val="1"/>
      <w:numFmt w:val="decimal"/>
      <w:lvlText w:val="%1.%2"/>
      <w:lvlJc w:val="left"/>
      <w:pPr>
        <w:ind w:left="1240" w:hanging="701"/>
        <w:jc w:val="left"/>
      </w:pPr>
      <w:rPr>
        <w:rFonts w:hint="default"/>
        <w:lang w:val="zh-CN" w:eastAsia="zh-CN" w:bidi="zh-CN"/>
      </w:rPr>
    </w:lvl>
    <w:lvl w:ilvl="2" w:tentative="0">
      <w:start w:val="5"/>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0">
    <w:nsid w:val="1ACDE60F"/>
    <w:multiLevelType w:val="multilevel"/>
    <w:tmpl w:val="1ACDE60F"/>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1">
    <w:nsid w:val="1AD50295"/>
    <w:multiLevelType w:val="multilevel"/>
    <w:tmpl w:val="1AD50295"/>
    <w:lvl w:ilvl="0" w:tentative="0">
      <w:start w:val="8"/>
      <w:numFmt w:val="decimal"/>
      <w:lvlText w:val="%1"/>
      <w:lvlJc w:val="left"/>
      <w:pPr>
        <w:ind w:left="1000" w:hanging="780"/>
        <w:jc w:val="left"/>
      </w:pPr>
      <w:rPr>
        <w:rFonts w:hint="default"/>
        <w:lang w:val="zh-CN" w:eastAsia="zh-CN" w:bidi="zh-CN"/>
      </w:rPr>
    </w:lvl>
    <w:lvl w:ilvl="1" w:tentative="0">
      <w:start w:val="2"/>
      <w:numFmt w:val="decimal"/>
      <w:lvlText w:val="%1.%2"/>
      <w:lvlJc w:val="left"/>
      <w:pPr>
        <w:ind w:left="1000" w:hanging="780"/>
        <w:jc w:val="left"/>
      </w:pPr>
      <w:rPr>
        <w:rFonts w:hint="default"/>
        <w:lang w:val="zh-CN" w:eastAsia="zh-CN" w:bidi="zh-CN"/>
      </w:rPr>
    </w:lvl>
    <w:lvl w:ilvl="2" w:tentative="0">
      <w:start w:val="2"/>
      <w:numFmt w:val="decimal"/>
      <w:lvlText w:val="%1.%2.%3"/>
      <w:lvlJc w:val="left"/>
      <w:pPr>
        <w:ind w:left="1000" w:hanging="780"/>
        <w:jc w:val="left"/>
      </w:pPr>
      <w:rPr>
        <w:rFonts w:hint="default"/>
        <w:lang w:val="zh-CN" w:eastAsia="zh-CN" w:bidi="zh-CN"/>
      </w:rPr>
    </w:lvl>
    <w:lvl w:ilvl="3" w:tentative="0">
      <w:start w:val="1"/>
      <w:numFmt w:val="decimal"/>
      <w:lvlText w:val="%1.%2.%3.%4"/>
      <w:lvlJc w:val="left"/>
      <w:pPr>
        <w:ind w:left="100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3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52">
    <w:nsid w:val="1BCBBCF0"/>
    <w:multiLevelType w:val="multilevel"/>
    <w:tmpl w:val="1BCBBCF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3">
    <w:nsid w:val="1C257C7B"/>
    <w:multiLevelType w:val="multilevel"/>
    <w:tmpl w:val="1C257C7B"/>
    <w:lvl w:ilvl="0" w:tentative="0">
      <w:start w:val="4"/>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286" w:hanging="601"/>
      </w:pPr>
      <w:rPr>
        <w:rFonts w:hint="default"/>
        <w:lang w:val="zh-CN" w:eastAsia="zh-CN" w:bidi="zh-CN"/>
      </w:rPr>
    </w:lvl>
    <w:lvl w:ilvl="5" w:tentative="0">
      <w:start w:val="0"/>
      <w:numFmt w:val="bullet"/>
      <w:lvlText w:val="•"/>
      <w:lvlJc w:val="left"/>
      <w:pPr>
        <w:ind w:left="4309" w:hanging="601"/>
      </w:pPr>
      <w:rPr>
        <w:rFonts w:hint="default"/>
        <w:lang w:val="zh-CN" w:eastAsia="zh-CN" w:bidi="zh-CN"/>
      </w:rPr>
    </w:lvl>
    <w:lvl w:ilvl="6" w:tentative="0">
      <w:start w:val="0"/>
      <w:numFmt w:val="bullet"/>
      <w:lvlText w:val="•"/>
      <w:lvlJc w:val="left"/>
      <w:pPr>
        <w:ind w:left="5333" w:hanging="601"/>
      </w:pPr>
      <w:rPr>
        <w:rFonts w:hint="default"/>
        <w:lang w:val="zh-CN" w:eastAsia="zh-CN" w:bidi="zh-CN"/>
      </w:rPr>
    </w:lvl>
    <w:lvl w:ilvl="7" w:tentative="0">
      <w:start w:val="0"/>
      <w:numFmt w:val="bullet"/>
      <w:lvlText w:val="•"/>
      <w:lvlJc w:val="left"/>
      <w:pPr>
        <w:ind w:left="6356" w:hanging="601"/>
      </w:pPr>
      <w:rPr>
        <w:rFonts w:hint="default"/>
        <w:lang w:val="zh-CN" w:eastAsia="zh-CN" w:bidi="zh-CN"/>
      </w:rPr>
    </w:lvl>
    <w:lvl w:ilvl="8" w:tentative="0">
      <w:start w:val="0"/>
      <w:numFmt w:val="bullet"/>
      <w:lvlText w:val="•"/>
      <w:lvlJc w:val="left"/>
      <w:pPr>
        <w:ind w:left="7379" w:hanging="601"/>
      </w:pPr>
      <w:rPr>
        <w:rFonts w:hint="default"/>
        <w:lang w:val="zh-CN" w:eastAsia="zh-CN" w:bidi="zh-CN"/>
      </w:rPr>
    </w:lvl>
  </w:abstractNum>
  <w:abstractNum w:abstractNumId="54">
    <w:nsid w:val="243FCF68"/>
    <w:multiLevelType w:val="multilevel"/>
    <w:tmpl w:val="243FCF68"/>
    <w:lvl w:ilvl="0" w:tentative="0">
      <w:start w:val="3"/>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1.%2.%3.%4.%5"/>
      <w:lvlJc w:val="left"/>
      <w:pPr>
        <w:ind w:left="1500" w:hanging="960"/>
        <w:jc w:val="left"/>
      </w:pPr>
      <w:rPr>
        <w:rFonts w:hint="default" w:ascii="Times New Roman" w:hAnsi="Times New Roman" w:eastAsia="Times New Roman" w:cs="Times New Roman"/>
        <w:w w:val="100"/>
        <w:sz w:val="24"/>
        <w:szCs w:val="24"/>
        <w:lang w:val="zh-CN" w:eastAsia="zh-CN" w:bidi="zh-CN"/>
      </w:rPr>
    </w:lvl>
    <w:lvl w:ilvl="5" w:tentative="0">
      <w:start w:val="1"/>
      <w:numFmt w:val="decimal"/>
      <w:lvlText w:val="（%6）"/>
      <w:lvlJc w:val="left"/>
      <w:pPr>
        <w:ind w:left="1621" w:hanging="601"/>
        <w:jc w:val="left"/>
      </w:pPr>
      <w:rPr>
        <w:rFonts w:hint="default" w:ascii="宋体" w:hAnsi="宋体" w:eastAsia="宋体" w:cs="宋体"/>
        <w:w w:val="100"/>
        <w:sz w:val="22"/>
        <w:szCs w:val="22"/>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55">
    <w:nsid w:val="2761666B"/>
    <w:multiLevelType w:val="singleLevel"/>
    <w:tmpl w:val="2761666B"/>
    <w:lvl w:ilvl="0" w:tentative="0">
      <w:start w:val="1"/>
      <w:numFmt w:val="decimal"/>
      <w:suff w:val="nothing"/>
      <w:lvlText w:val="（%1）"/>
      <w:lvlJc w:val="left"/>
    </w:lvl>
  </w:abstractNum>
  <w:abstractNum w:abstractNumId="56">
    <w:nsid w:val="2A8F537B"/>
    <w:multiLevelType w:val="multilevel"/>
    <w:tmpl w:val="2A8F537B"/>
    <w:lvl w:ilvl="0" w:tentative="0">
      <w:start w:val="1"/>
      <w:numFmt w:val="decimal"/>
      <w:lvlText w:val="%1"/>
      <w:lvlJc w:val="left"/>
      <w:pPr>
        <w:ind w:left="1140" w:hanging="600"/>
        <w:jc w:val="left"/>
      </w:pPr>
      <w:rPr>
        <w:rFonts w:hint="default"/>
        <w:lang w:val="zh-CN" w:eastAsia="zh-CN" w:bidi="zh-CN"/>
      </w:rPr>
    </w:lvl>
    <w:lvl w:ilvl="1" w:tentative="0">
      <w:start w:val="4"/>
      <w:numFmt w:val="decimal"/>
      <w:lvlText w:val="%1.%2"/>
      <w:lvlJc w:val="left"/>
      <w:pPr>
        <w:ind w:left="1140" w:hanging="600"/>
        <w:jc w:val="left"/>
      </w:pPr>
      <w:rPr>
        <w:rFonts w:hint="default"/>
        <w:lang w:val="zh-CN" w:eastAsia="zh-CN" w:bidi="zh-CN"/>
      </w:rPr>
    </w:lvl>
    <w:lvl w:ilvl="2" w:tentative="0">
      <w:start w:val="1"/>
      <w:numFmt w:val="decimal"/>
      <w:lvlText w:val="%1.%2.%3"/>
      <w:lvlJc w:val="left"/>
      <w:pPr>
        <w:ind w:left="1140" w:hanging="60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621" w:hanging="601"/>
        <w:jc w:val="left"/>
      </w:pPr>
      <w:rPr>
        <w:rFonts w:hint="default" w:ascii="宋体" w:hAnsi="宋体" w:eastAsia="宋体" w:cs="宋体"/>
        <w:spacing w:val="-36"/>
        <w:w w:val="100"/>
        <w:sz w:val="22"/>
        <w:szCs w:val="22"/>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7">
    <w:nsid w:val="2F2D79CE"/>
    <w:multiLevelType w:val="multilevel"/>
    <w:tmpl w:val="2F2D79CE"/>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8">
    <w:nsid w:val="30A0AC00"/>
    <w:multiLevelType w:val="multilevel"/>
    <w:tmpl w:val="30A0AC0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9">
    <w:nsid w:val="30FC5B15"/>
    <w:multiLevelType w:val="multilevel"/>
    <w:tmpl w:val="30FC5B15"/>
    <w:lvl w:ilvl="0" w:tentative="0">
      <w:start w:val="3"/>
      <w:numFmt w:val="decimal"/>
      <w:lvlText w:val="%1"/>
      <w:lvlJc w:val="left"/>
      <w:pPr>
        <w:ind w:left="1500" w:hanging="960"/>
        <w:jc w:val="left"/>
      </w:pPr>
      <w:rPr>
        <w:rFonts w:hint="default"/>
        <w:lang w:val="zh-CN" w:eastAsia="zh-CN" w:bidi="zh-CN"/>
      </w:rPr>
    </w:lvl>
    <w:lvl w:ilvl="1" w:tentative="0">
      <w:start w:val="1"/>
      <w:numFmt w:val="decimal"/>
      <w:lvlText w:val="%1.%2"/>
      <w:lvlJc w:val="left"/>
      <w:pPr>
        <w:ind w:left="1500" w:hanging="960"/>
        <w:jc w:val="left"/>
      </w:pPr>
      <w:rPr>
        <w:rFonts w:hint="default"/>
        <w:lang w:val="zh-CN" w:eastAsia="zh-CN" w:bidi="zh-CN"/>
      </w:rPr>
    </w:lvl>
    <w:lvl w:ilvl="2" w:tentative="0">
      <w:start w:val="7"/>
      <w:numFmt w:val="decimal"/>
      <w:lvlText w:val="%1.%2.%3"/>
      <w:lvlJc w:val="left"/>
      <w:pPr>
        <w:ind w:left="1500" w:hanging="960"/>
        <w:jc w:val="left"/>
      </w:pPr>
      <w:rPr>
        <w:rFonts w:hint="default"/>
        <w:lang w:val="zh-CN" w:eastAsia="zh-CN" w:bidi="zh-CN"/>
      </w:rPr>
    </w:lvl>
    <w:lvl w:ilvl="3" w:tentative="0">
      <w:start w:val="2"/>
      <w:numFmt w:val="decimal"/>
      <w:lvlText w:val="%1.%2.%3.%4"/>
      <w:lvlJc w:val="left"/>
      <w:pPr>
        <w:ind w:left="1500" w:hanging="960"/>
        <w:jc w:val="left"/>
      </w:pPr>
      <w:rPr>
        <w:rFonts w:hint="default"/>
        <w:lang w:val="zh-CN" w:eastAsia="zh-CN" w:bidi="zh-CN"/>
      </w:rPr>
    </w:lvl>
    <w:lvl w:ilvl="4" w:tentative="0">
      <w:start w:val="3"/>
      <w:numFmt w:val="decimal"/>
      <w:lvlText w:val="%1.%2.%3.%4.%5"/>
      <w:lvlJc w:val="left"/>
      <w:pPr>
        <w:ind w:left="1500" w:hanging="960"/>
        <w:jc w:val="right"/>
      </w:pPr>
      <w:rPr>
        <w:rFonts w:hint="default" w:ascii="Times New Roman" w:hAnsi="Times New Roman" w:eastAsia="Times New Roman" w:cs="Times New Roman"/>
        <w:w w:val="100"/>
        <w:sz w:val="24"/>
        <w:szCs w:val="24"/>
        <w:lang w:val="zh-CN" w:eastAsia="zh-CN" w:bidi="zh-CN"/>
      </w:rPr>
    </w:lvl>
    <w:lvl w:ilvl="5" w:tentative="0">
      <w:start w:val="0"/>
      <w:numFmt w:val="bullet"/>
      <w:lvlText w:val="•"/>
      <w:lvlJc w:val="left"/>
      <w:pPr>
        <w:ind w:left="5463" w:hanging="960"/>
      </w:pPr>
      <w:rPr>
        <w:rFonts w:hint="default"/>
        <w:lang w:val="zh-CN" w:eastAsia="zh-CN" w:bidi="zh-CN"/>
      </w:rPr>
    </w:lvl>
    <w:lvl w:ilvl="6" w:tentative="0">
      <w:start w:val="0"/>
      <w:numFmt w:val="bullet"/>
      <w:lvlText w:val="•"/>
      <w:lvlJc w:val="left"/>
      <w:pPr>
        <w:ind w:left="6255" w:hanging="960"/>
      </w:pPr>
      <w:rPr>
        <w:rFonts w:hint="default"/>
        <w:lang w:val="zh-CN" w:eastAsia="zh-CN" w:bidi="zh-CN"/>
      </w:rPr>
    </w:lvl>
    <w:lvl w:ilvl="7" w:tentative="0">
      <w:start w:val="0"/>
      <w:numFmt w:val="bullet"/>
      <w:lvlText w:val="•"/>
      <w:lvlJc w:val="left"/>
      <w:pPr>
        <w:ind w:left="7048" w:hanging="960"/>
      </w:pPr>
      <w:rPr>
        <w:rFonts w:hint="default"/>
        <w:lang w:val="zh-CN" w:eastAsia="zh-CN" w:bidi="zh-CN"/>
      </w:rPr>
    </w:lvl>
    <w:lvl w:ilvl="8" w:tentative="0">
      <w:start w:val="0"/>
      <w:numFmt w:val="bullet"/>
      <w:lvlText w:val="•"/>
      <w:lvlJc w:val="left"/>
      <w:pPr>
        <w:ind w:left="7840" w:hanging="960"/>
      </w:pPr>
      <w:rPr>
        <w:rFonts w:hint="default"/>
        <w:lang w:val="zh-CN" w:eastAsia="zh-CN" w:bidi="zh-CN"/>
      </w:rPr>
    </w:lvl>
  </w:abstractNum>
  <w:abstractNum w:abstractNumId="60">
    <w:nsid w:val="322D85CA"/>
    <w:multiLevelType w:val="multilevel"/>
    <w:tmpl w:val="322D85C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61">
    <w:nsid w:val="32A7AF2D"/>
    <w:multiLevelType w:val="multilevel"/>
    <w:tmpl w:val="32A7AF2D"/>
    <w:lvl w:ilvl="0" w:tentative="0">
      <w:start w:val="2"/>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62">
    <w:nsid w:val="3B8127DF"/>
    <w:multiLevelType w:val="multilevel"/>
    <w:tmpl w:val="3B8127DF"/>
    <w:lvl w:ilvl="0" w:tentative="0">
      <w:start w:val="5"/>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63">
    <w:nsid w:val="40B249F9"/>
    <w:multiLevelType w:val="multilevel"/>
    <w:tmpl w:val="40B249F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64">
    <w:nsid w:val="46A08BB8"/>
    <w:multiLevelType w:val="multilevel"/>
    <w:tmpl w:val="46A08BB8"/>
    <w:lvl w:ilvl="0" w:tentative="0">
      <w:start w:val="0"/>
      <w:numFmt w:val="bullet"/>
      <w:lvlText w:val="◆"/>
      <w:lvlJc w:val="left"/>
      <w:pPr>
        <w:ind w:left="318" w:hanging="212"/>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19" w:hanging="212"/>
      </w:pPr>
      <w:rPr>
        <w:rFonts w:hint="default"/>
        <w:lang w:val="zh-CN" w:eastAsia="zh-CN" w:bidi="zh-CN"/>
      </w:rPr>
    </w:lvl>
    <w:lvl w:ilvl="2" w:tentative="0">
      <w:start w:val="0"/>
      <w:numFmt w:val="bullet"/>
      <w:lvlText w:val="•"/>
      <w:lvlJc w:val="left"/>
      <w:pPr>
        <w:ind w:left="1918" w:hanging="212"/>
      </w:pPr>
      <w:rPr>
        <w:rFonts w:hint="default"/>
        <w:lang w:val="zh-CN" w:eastAsia="zh-CN" w:bidi="zh-CN"/>
      </w:rPr>
    </w:lvl>
    <w:lvl w:ilvl="3" w:tentative="0">
      <w:start w:val="0"/>
      <w:numFmt w:val="bullet"/>
      <w:lvlText w:val="•"/>
      <w:lvlJc w:val="left"/>
      <w:pPr>
        <w:ind w:left="2717" w:hanging="212"/>
      </w:pPr>
      <w:rPr>
        <w:rFonts w:hint="default"/>
        <w:lang w:val="zh-CN" w:eastAsia="zh-CN" w:bidi="zh-CN"/>
      </w:rPr>
    </w:lvl>
    <w:lvl w:ilvl="4" w:tentative="0">
      <w:start w:val="0"/>
      <w:numFmt w:val="bullet"/>
      <w:lvlText w:val="•"/>
      <w:lvlJc w:val="left"/>
      <w:pPr>
        <w:ind w:left="3517" w:hanging="212"/>
      </w:pPr>
      <w:rPr>
        <w:rFonts w:hint="default"/>
        <w:lang w:val="zh-CN" w:eastAsia="zh-CN" w:bidi="zh-CN"/>
      </w:rPr>
    </w:lvl>
    <w:lvl w:ilvl="5" w:tentative="0">
      <w:start w:val="0"/>
      <w:numFmt w:val="bullet"/>
      <w:lvlText w:val="•"/>
      <w:lvlJc w:val="left"/>
      <w:pPr>
        <w:ind w:left="4316" w:hanging="212"/>
      </w:pPr>
      <w:rPr>
        <w:rFonts w:hint="default"/>
        <w:lang w:val="zh-CN" w:eastAsia="zh-CN" w:bidi="zh-CN"/>
      </w:rPr>
    </w:lvl>
    <w:lvl w:ilvl="6" w:tentative="0">
      <w:start w:val="0"/>
      <w:numFmt w:val="bullet"/>
      <w:lvlText w:val="•"/>
      <w:lvlJc w:val="left"/>
      <w:pPr>
        <w:ind w:left="5115" w:hanging="212"/>
      </w:pPr>
      <w:rPr>
        <w:rFonts w:hint="default"/>
        <w:lang w:val="zh-CN" w:eastAsia="zh-CN" w:bidi="zh-CN"/>
      </w:rPr>
    </w:lvl>
    <w:lvl w:ilvl="7" w:tentative="0">
      <w:start w:val="0"/>
      <w:numFmt w:val="bullet"/>
      <w:lvlText w:val="•"/>
      <w:lvlJc w:val="left"/>
      <w:pPr>
        <w:ind w:left="5915" w:hanging="212"/>
      </w:pPr>
      <w:rPr>
        <w:rFonts w:hint="default"/>
        <w:lang w:val="zh-CN" w:eastAsia="zh-CN" w:bidi="zh-CN"/>
      </w:rPr>
    </w:lvl>
    <w:lvl w:ilvl="8" w:tentative="0">
      <w:start w:val="0"/>
      <w:numFmt w:val="bullet"/>
      <w:lvlText w:val="•"/>
      <w:lvlJc w:val="left"/>
      <w:pPr>
        <w:ind w:left="6714" w:hanging="212"/>
      </w:pPr>
      <w:rPr>
        <w:rFonts w:hint="default"/>
        <w:lang w:val="zh-CN" w:eastAsia="zh-CN" w:bidi="zh-CN"/>
      </w:rPr>
    </w:lvl>
  </w:abstractNum>
  <w:abstractNum w:abstractNumId="65">
    <w:nsid w:val="4A51D704"/>
    <w:multiLevelType w:val="multilevel"/>
    <w:tmpl w:val="4A51D704"/>
    <w:lvl w:ilvl="0" w:tentative="0">
      <w:start w:val="9"/>
      <w:numFmt w:val="decimal"/>
      <w:lvlText w:val="%1"/>
      <w:lvlJc w:val="left"/>
      <w:pPr>
        <w:ind w:left="779" w:hanging="560"/>
        <w:jc w:val="left"/>
      </w:pPr>
      <w:rPr>
        <w:rFonts w:hint="default"/>
        <w:lang w:val="zh-CN" w:eastAsia="zh-CN" w:bidi="zh-CN"/>
      </w:rPr>
    </w:lvl>
    <w:lvl w:ilvl="1" w:tentative="0">
      <w:start w:val="1"/>
      <w:numFmt w:val="decimal"/>
      <w:lvlText w:val="%1.%2"/>
      <w:lvlJc w:val="left"/>
      <w:pPr>
        <w:ind w:left="77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130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976" w:hanging="601"/>
      </w:pPr>
      <w:rPr>
        <w:rFonts w:hint="default"/>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66">
    <w:nsid w:val="4C1BAE26"/>
    <w:multiLevelType w:val="multilevel"/>
    <w:tmpl w:val="4C1BAE26"/>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67">
    <w:nsid w:val="4CD1E351"/>
    <w:multiLevelType w:val="multilevel"/>
    <w:tmpl w:val="4CD1E351"/>
    <w:lvl w:ilvl="0" w:tentative="0">
      <w:start w:val="7"/>
      <w:numFmt w:val="decimal"/>
      <w:lvlText w:val="%1"/>
      <w:lvlJc w:val="left"/>
      <w:pPr>
        <w:ind w:left="1240" w:hanging="701"/>
        <w:jc w:val="left"/>
      </w:pPr>
      <w:rPr>
        <w:rFonts w:hint="default"/>
        <w:lang w:val="zh-CN" w:eastAsia="zh-CN" w:bidi="zh-CN"/>
      </w:rPr>
    </w:lvl>
    <w:lvl w:ilvl="1" w:tentative="0">
      <w:start w:val="3"/>
      <w:numFmt w:val="decimal"/>
      <w:lvlText w:val="%1.%2"/>
      <w:lvlJc w:val="left"/>
      <w:pPr>
        <w:ind w:left="1240" w:hanging="701"/>
        <w:jc w:val="left"/>
      </w:pPr>
      <w:rPr>
        <w:rFonts w:hint="default"/>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spacing w:val="-60"/>
        <w:w w:val="100"/>
        <w:sz w:val="22"/>
        <w:szCs w:val="22"/>
        <w:lang w:val="zh-CN" w:eastAsia="zh-CN" w:bidi="zh-CN"/>
      </w:rPr>
    </w:lvl>
    <w:lvl w:ilvl="4" w:tentative="0">
      <w:start w:val="0"/>
      <w:numFmt w:val="bullet"/>
      <w:lvlText w:val="•"/>
      <w:lvlJc w:val="left"/>
      <w:pPr>
        <w:ind w:left="3968" w:hanging="601"/>
      </w:pPr>
      <w:rPr>
        <w:rFonts w:hint="default"/>
        <w:lang w:val="zh-CN" w:eastAsia="zh-CN" w:bidi="zh-CN"/>
      </w:rPr>
    </w:lvl>
    <w:lvl w:ilvl="5" w:tentative="0">
      <w:start w:val="0"/>
      <w:numFmt w:val="bullet"/>
      <w:lvlText w:val="•"/>
      <w:lvlJc w:val="left"/>
      <w:pPr>
        <w:ind w:left="4878" w:hanging="601"/>
      </w:pPr>
      <w:rPr>
        <w:rFonts w:hint="default"/>
        <w:lang w:val="zh-CN" w:eastAsia="zh-CN" w:bidi="zh-CN"/>
      </w:rPr>
    </w:lvl>
    <w:lvl w:ilvl="6" w:tentative="0">
      <w:start w:val="0"/>
      <w:numFmt w:val="bullet"/>
      <w:lvlText w:val="•"/>
      <w:lvlJc w:val="left"/>
      <w:pPr>
        <w:ind w:left="5787" w:hanging="601"/>
      </w:pPr>
      <w:rPr>
        <w:rFonts w:hint="default"/>
        <w:lang w:val="zh-CN" w:eastAsia="zh-CN" w:bidi="zh-CN"/>
      </w:rPr>
    </w:lvl>
    <w:lvl w:ilvl="7" w:tentative="0">
      <w:start w:val="0"/>
      <w:numFmt w:val="bullet"/>
      <w:lvlText w:val="•"/>
      <w:lvlJc w:val="left"/>
      <w:pPr>
        <w:ind w:left="6697" w:hanging="601"/>
      </w:pPr>
      <w:rPr>
        <w:rFonts w:hint="default"/>
        <w:lang w:val="zh-CN" w:eastAsia="zh-CN" w:bidi="zh-CN"/>
      </w:rPr>
    </w:lvl>
    <w:lvl w:ilvl="8" w:tentative="0">
      <w:start w:val="0"/>
      <w:numFmt w:val="bullet"/>
      <w:lvlText w:val="•"/>
      <w:lvlJc w:val="left"/>
      <w:pPr>
        <w:ind w:left="7606" w:hanging="601"/>
      </w:pPr>
      <w:rPr>
        <w:rFonts w:hint="default"/>
        <w:lang w:val="zh-CN" w:eastAsia="zh-CN" w:bidi="zh-CN"/>
      </w:rPr>
    </w:lvl>
  </w:abstractNum>
  <w:abstractNum w:abstractNumId="68">
    <w:nsid w:val="4D4DC07F"/>
    <w:multiLevelType w:val="multilevel"/>
    <w:tmpl w:val="4D4DC07F"/>
    <w:lvl w:ilvl="0" w:tentative="0">
      <w:start w:val="2"/>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b/>
        <w:bCs/>
        <w:spacing w:val="-2"/>
        <w:w w:val="100"/>
        <w:lang w:val="zh-CN" w:eastAsia="zh-CN" w:bidi="zh-CN"/>
      </w:rPr>
    </w:lvl>
    <w:lvl w:ilvl="3" w:tentative="0">
      <w:start w:val="1"/>
      <w:numFmt w:val="decimal"/>
      <w:lvlText w:val="（%4）"/>
      <w:lvlJc w:val="left"/>
      <w:pPr>
        <w:ind w:left="540" w:hanging="7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409" w:hanging="701"/>
      </w:pPr>
      <w:rPr>
        <w:rFonts w:hint="default"/>
        <w:lang w:val="zh-CN" w:eastAsia="zh-CN" w:bidi="zh-CN"/>
      </w:rPr>
    </w:lvl>
    <w:lvl w:ilvl="5" w:tentative="0">
      <w:start w:val="0"/>
      <w:numFmt w:val="bullet"/>
      <w:lvlText w:val="•"/>
      <w:lvlJc w:val="left"/>
      <w:pPr>
        <w:ind w:left="3578" w:hanging="701"/>
      </w:pPr>
      <w:rPr>
        <w:rFonts w:hint="default"/>
        <w:lang w:val="zh-CN" w:eastAsia="zh-CN" w:bidi="zh-CN"/>
      </w:rPr>
    </w:lvl>
    <w:lvl w:ilvl="6" w:tentative="0">
      <w:start w:val="0"/>
      <w:numFmt w:val="bullet"/>
      <w:lvlText w:val="•"/>
      <w:lvlJc w:val="left"/>
      <w:pPr>
        <w:ind w:left="4748" w:hanging="701"/>
      </w:pPr>
      <w:rPr>
        <w:rFonts w:hint="default"/>
        <w:lang w:val="zh-CN" w:eastAsia="zh-CN" w:bidi="zh-CN"/>
      </w:rPr>
    </w:lvl>
    <w:lvl w:ilvl="7" w:tentative="0">
      <w:start w:val="0"/>
      <w:numFmt w:val="bullet"/>
      <w:lvlText w:val="•"/>
      <w:lvlJc w:val="left"/>
      <w:pPr>
        <w:ind w:left="5917" w:hanging="701"/>
      </w:pPr>
      <w:rPr>
        <w:rFonts w:hint="default"/>
        <w:lang w:val="zh-CN" w:eastAsia="zh-CN" w:bidi="zh-CN"/>
      </w:rPr>
    </w:lvl>
    <w:lvl w:ilvl="8" w:tentative="0">
      <w:start w:val="0"/>
      <w:numFmt w:val="bullet"/>
      <w:lvlText w:val="•"/>
      <w:lvlJc w:val="left"/>
      <w:pPr>
        <w:ind w:left="7087" w:hanging="701"/>
      </w:pPr>
      <w:rPr>
        <w:rFonts w:hint="default"/>
        <w:lang w:val="zh-CN" w:eastAsia="zh-CN" w:bidi="zh-CN"/>
      </w:rPr>
    </w:lvl>
  </w:abstractNum>
  <w:abstractNum w:abstractNumId="69">
    <w:nsid w:val="58765686"/>
    <w:multiLevelType w:val="multilevel"/>
    <w:tmpl w:val="58765686"/>
    <w:lvl w:ilvl="0" w:tentative="0">
      <w:start w:val="3"/>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70">
    <w:nsid w:val="59EEFD2A"/>
    <w:multiLevelType w:val="multilevel"/>
    <w:tmpl w:val="59EEFD2A"/>
    <w:lvl w:ilvl="0" w:tentative="0">
      <w:start w:val="6"/>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71">
    <w:nsid w:val="5A241D34"/>
    <w:multiLevelType w:val="multilevel"/>
    <w:tmpl w:val="5A241D3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2">
    <w:nsid w:val="5E29AB5A"/>
    <w:multiLevelType w:val="multilevel"/>
    <w:tmpl w:val="5E29AB5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3">
    <w:nsid w:val="5FFFB1A7"/>
    <w:multiLevelType w:val="multilevel"/>
    <w:tmpl w:val="5FFFB1A7"/>
    <w:lvl w:ilvl="0" w:tentative="0">
      <w:start w:val="3"/>
      <w:numFmt w:val="decimal"/>
      <w:lvlText w:val="%1"/>
      <w:lvlJc w:val="left"/>
      <w:pPr>
        <w:ind w:left="1099" w:hanging="560"/>
        <w:jc w:val="left"/>
      </w:pPr>
      <w:rPr>
        <w:rFonts w:hint="default"/>
        <w:lang w:val="zh-CN" w:eastAsia="zh-CN" w:bidi="zh-CN"/>
      </w:rPr>
    </w:lvl>
    <w:lvl w:ilvl="1" w:tentative="0">
      <w:start w:val="2"/>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3850" w:hanging="601"/>
      </w:pPr>
      <w:rPr>
        <w:rFonts w:hint="default"/>
        <w:lang w:val="zh-CN" w:eastAsia="zh-CN" w:bidi="zh-CN"/>
      </w:rPr>
    </w:lvl>
    <w:lvl w:ilvl="6" w:tentative="0">
      <w:start w:val="0"/>
      <w:numFmt w:val="bullet"/>
      <w:lvlText w:val="•"/>
      <w:lvlJc w:val="left"/>
      <w:pPr>
        <w:ind w:left="4965" w:hanging="601"/>
      </w:pPr>
      <w:rPr>
        <w:rFonts w:hint="default"/>
        <w:lang w:val="zh-CN" w:eastAsia="zh-CN" w:bidi="zh-CN"/>
      </w:rPr>
    </w:lvl>
    <w:lvl w:ilvl="7" w:tentative="0">
      <w:start w:val="0"/>
      <w:numFmt w:val="bullet"/>
      <w:lvlText w:val="•"/>
      <w:lvlJc w:val="left"/>
      <w:pPr>
        <w:ind w:left="6080" w:hanging="601"/>
      </w:pPr>
      <w:rPr>
        <w:rFonts w:hint="default"/>
        <w:lang w:val="zh-CN" w:eastAsia="zh-CN" w:bidi="zh-CN"/>
      </w:rPr>
    </w:lvl>
    <w:lvl w:ilvl="8" w:tentative="0">
      <w:start w:val="0"/>
      <w:numFmt w:val="bullet"/>
      <w:lvlText w:val="•"/>
      <w:lvlJc w:val="left"/>
      <w:pPr>
        <w:ind w:left="7195" w:hanging="601"/>
      </w:pPr>
      <w:rPr>
        <w:rFonts w:hint="default"/>
        <w:lang w:val="zh-CN" w:eastAsia="zh-CN" w:bidi="zh-CN"/>
      </w:rPr>
    </w:lvl>
  </w:abstractNum>
  <w:abstractNum w:abstractNumId="74">
    <w:nsid w:val="60382F6E"/>
    <w:multiLevelType w:val="multilevel"/>
    <w:tmpl w:val="60382F6E"/>
    <w:lvl w:ilvl="0" w:tentative="0">
      <w:start w:val="1"/>
      <w:numFmt w:val="decimal"/>
      <w:lvlText w:val="（%1）"/>
      <w:lvlJc w:val="left"/>
      <w:pPr>
        <w:ind w:left="1621"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5">
    <w:nsid w:val="610EFE5C"/>
    <w:multiLevelType w:val="multilevel"/>
    <w:tmpl w:val="610EFE5C"/>
    <w:lvl w:ilvl="0" w:tentative="0">
      <w:start w:val="9"/>
      <w:numFmt w:val="decimal"/>
      <w:lvlText w:val="%1"/>
      <w:lvlJc w:val="left"/>
      <w:pPr>
        <w:ind w:left="920" w:hanging="701"/>
        <w:jc w:val="left"/>
      </w:pPr>
      <w:rPr>
        <w:rFonts w:hint="default"/>
        <w:lang w:val="zh-CN" w:eastAsia="zh-CN" w:bidi="zh-CN"/>
      </w:rPr>
    </w:lvl>
    <w:lvl w:ilvl="1" w:tentative="0">
      <w:start w:val="4"/>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76">
    <w:nsid w:val="629F7852"/>
    <w:multiLevelType w:val="multilevel"/>
    <w:tmpl w:val="629F7852"/>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77">
    <w:nsid w:val="65CD0074"/>
    <w:multiLevelType w:val="multilevel"/>
    <w:tmpl w:val="65CD007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8">
    <w:nsid w:val="68B298F7"/>
    <w:multiLevelType w:val="multilevel"/>
    <w:tmpl w:val="68B298F7"/>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79">
    <w:nsid w:val="700FDCEF"/>
    <w:multiLevelType w:val="multilevel"/>
    <w:tmpl w:val="700FDCEF"/>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80">
    <w:nsid w:val="74C28B35"/>
    <w:multiLevelType w:val="multilevel"/>
    <w:tmpl w:val="74C28B35"/>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1">
    <w:nsid w:val="77633216"/>
    <w:multiLevelType w:val="multilevel"/>
    <w:tmpl w:val="77633216"/>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82">
    <w:nsid w:val="79AA4FA4"/>
    <w:multiLevelType w:val="multilevel"/>
    <w:tmpl w:val="79AA4FA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3">
    <w:nsid w:val="7C246926"/>
    <w:multiLevelType w:val="multilevel"/>
    <w:tmpl w:val="7C246926"/>
    <w:lvl w:ilvl="0" w:tentative="0">
      <w:start w:val="2"/>
      <w:numFmt w:val="decimal"/>
      <w:lvlText w:val="%1"/>
      <w:lvlJc w:val="left"/>
      <w:pPr>
        <w:ind w:left="1320" w:hanging="780"/>
        <w:jc w:val="left"/>
      </w:pPr>
      <w:rPr>
        <w:rFonts w:hint="default"/>
        <w:lang w:val="zh-CN" w:eastAsia="zh-CN" w:bidi="zh-CN"/>
      </w:rPr>
    </w:lvl>
    <w:lvl w:ilvl="1" w:tentative="0">
      <w:start w:val="4"/>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num w:numId="1">
    <w:abstractNumId w:val="8"/>
  </w:num>
  <w:num w:numId="2">
    <w:abstractNumId w:val="56"/>
  </w:num>
  <w:num w:numId="3">
    <w:abstractNumId w:val="71"/>
  </w:num>
  <w:num w:numId="4">
    <w:abstractNumId w:val="29"/>
  </w:num>
  <w:num w:numId="5">
    <w:abstractNumId w:val="68"/>
  </w:num>
  <w:num w:numId="6">
    <w:abstractNumId w:val="37"/>
  </w:num>
  <w:num w:numId="7">
    <w:abstractNumId w:val="66"/>
  </w:num>
  <w:num w:numId="8">
    <w:abstractNumId w:val="74"/>
  </w:num>
  <w:num w:numId="9">
    <w:abstractNumId w:val="45"/>
  </w:num>
  <w:num w:numId="10">
    <w:abstractNumId w:val="64"/>
  </w:num>
  <w:num w:numId="11">
    <w:abstractNumId w:val="19"/>
  </w:num>
  <w:num w:numId="12">
    <w:abstractNumId w:val="83"/>
  </w:num>
  <w:num w:numId="13">
    <w:abstractNumId w:val="27"/>
  </w:num>
  <w:num w:numId="14">
    <w:abstractNumId w:val="76"/>
  </w:num>
  <w:num w:numId="15">
    <w:abstractNumId w:val="9"/>
  </w:num>
  <w:num w:numId="16">
    <w:abstractNumId w:val="69"/>
  </w:num>
  <w:num w:numId="17">
    <w:abstractNumId w:val="1"/>
  </w:num>
  <w:num w:numId="18">
    <w:abstractNumId w:val="54"/>
  </w:num>
  <w:num w:numId="19">
    <w:abstractNumId w:val="34"/>
  </w:num>
  <w:num w:numId="20">
    <w:abstractNumId w:val="59"/>
  </w:num>
  <w:num w:numId="21">
    <w:abstractNumId w:val="82"/>
  </w:num>
  <w:num w:numId="22">
    <w:abstractNumId w:val="23"/>
  </w:num>
  <w:num w:numId="23">
    <w:abstractNumId w:val="6"/>
  </w:num>
  <w:num w:numId="24">
    <w:abstractNumId w:val="22"/>
  </w:num>
  <w:num w:numId="25">
    <w:abstractNumId w:val="72"/>
  </w:num>
  <w:num w:numId="26">
    <w:abstractNumId w:val="3"/>
  </w:num>
  <w:num w:numId="27">
    <w:abstractNumId w:val="50"/>
  </w:num>
  <w:num w:numId="28">
    <w:abstractNumId w:val="5"/>
  </w:num>
  <w:num w:numId="29">
    <w:abstractNumId w:val="73"/>
  </w:num>
  <w:num w:numId="30">
    <w:abstractNumId w:val="80"/>
  </w:num>
  <w:num w:numId="31">
    <w:abstractNumId w:val="60"/>
  </w:num>
  <w:num w:numId="32">
    <w:abstractNumId w:val="77"/>
  </w:num>
  <w:num w:numId="33">
    <w:abstractNumId w:val="43"/>
  </w:num>
  <w:num w:numId="34">
    <w:abstractNumId w:val="44"/>
  </w:num>
  <w:num w:numId="35">
    <w:abstractNumId w:val="31"/>
  </w:num>
  <w:num w:numId="36">
    <w:abstractNumId w:val="61"/>
  </w:num>
  <w:num w:numId="37">
    <w:abstractNumId w:val="53"/>
  </w:num>
  <w:num w:numId="38">
    <w:abstractNumId w:val="63"/>
  </w:num>
  <w:num w:numId="39">
    <w:abstractNumId w:val="55"/>
  </w:num>
  <w:num w:numId="40">
    <w:abstractNumId w:val="42"/>
  </w:num>
  <w:num w:numId="41">
    <w:abstractNumId w:val="47"/>
  </w:num>
  <w:num w:numId="42">
    <w:abstractNumId w:val="20"/>
  </w:num>
  <w:num w:numId="43">
    <w:abstractNumId w:val="62"/>
  </w:num>
  <w:num w:numId="44">
    <w:abstractNumId w:val="15"/>
  </w:num>
  <w:num w:numId="45">
    <w:abstractNumId w:val="39"/>
  </w:num>
  <w:num w:numId="46">
    <w:abstractNumId w:val="58"/>
  </w:num>
  <w:num w:numId="47">
    <w:abstractNumId w:val="40"/>
  </w:num>
  <w:num w:numId="48">
    <w:abstractNumId w:val="49"/>
  </w:num>
  <w:num w:numId="49">
    <w:abstractNumId w:val="79"/>
  </w:num>
  <w:num w:numId="50">
    <w:abstractNumId w:val="35"/>
  </w:num>
  <w:num w:numId="51">
    <w:abstractNumId w:val="28"/>
  </w:num>
  <w:num w:numId="52">
    <w:abstractNumId w:val="14"/>
  </w:num>
  <w:num w:numId="53">
    <w:abstractNumId w:val="81"/>
  </w:num>
  <w:num w:numId="54">
    <w:abstractNumId w:val="32"/>
  </w:num>
  <w:num w:numId="55">
    <w:abstractNumId w:val="21"/>
  </w:num>
  <w:num w:numId="56">
    <w:abstractNumId w:val="57"/>
  </w:num>
  <w:num w:numId="57">
    <w:abstractNumId w:val="36"/>
  </w:num>
  <w:num w:numId="58">
    <w:abstractNumId w:val="11"/>
  </w:num>
  <w:num w:numId="59">
    <w:abstractNumId w:val="70"/>
  </w:num>
  <w:num w:numId="60">
    <w:abstractNumId w:val="25"/>
  </w:num>
  <w:num w:numId="61">
    <w:abstractNumId w:val="18"/>
  </w:num>
  <w:num w:numId="62">
    <w:abstractNumId w:val="10"/>
  </w:num>
  <w:num w:numId="63">
    <w:abstractNumId w:val="13"/>
  </w:num>
  <w:num w:numId="64">
    <w:abstractNumId w:val="17"/>
  </w:num>
  <w:num w:numId="65">
    <w:abstractNumId w:val="7"/>
  </w:num>
  <w:num w:numId="66">
    <w:abstractNumId w:val="52"/>
  </w:num>
  <w:num w:numId="67">
    <w:abstractNumId w:val="26"/>
  </w:num>
  <w:num w:numId="68">
    <w:abstractNumId w:val="48"/>
  </w:num>
  <w:num w:numId="69">
    <w:abstractNumId w:val="30"/>
  </w:num>
  <w:num w:numId="70">
    <w:abstractNumId w:val="78"/>
  </w:num>
  <w:num w:numId="71">
    <w:abstractNumId w:val="0"/>
  </w:num>
  <w:num w:numId="72">
    <w:abstractNumId w:val="24"/>
  </w:num>
  <w:num w:numId="73">
    <w:abstractNumId w:val="38"/>
  </w:num>
  <w:num w:numId="74">
    <w:abstractNumId w:val="67"/>
  </w:num>
  <w:num w:numId="75">
    <w:abstractNumId w:val="46"/>
  </w:num>
  <w:num w:numId="76">
    <w:abstractNumId w:val="12"/>
  </w:num>
  <w:num w:numId="77">
    <w:abstractNumId w:val="33"/>
  </w:num>
  <w:num w:numId="78">
    <w:abstractNumId w:val="51"/>
  </w:num>
  <w:num w:numId="79">
    <w:abstractNumId w:val="65"/>
  </w:num>
  <w:num w:numId="80">
    <w:abstractNumId w:val="16"/>
  </w:num>
  <w:num w:numId="81">
    <w:abstractNumId w:val="75"/>
  </w:num>
  <w:num w:numId="82">
    <w:abstractNumId w:val="2"/>
  </w:num>
  <w:num w:numId="83">
    <w:abstractNumId w:val="4"/>
  </w:num>
  <w:num w:numId="8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916933"/>
    <w:rsid w:val="09457D54"/>
    <w:rsid w:val="0C344CE8"/>
    <w:rsid w:val="103E2438"/>
    <w:rsid w:val="106D2479"/>
    <w:rsid w:val="1FDE4241"/>
    <w:rsid w:val="223E05B2"/>
    <w:rsid w:val="23DD75E4"/>
    <w:rsid w:val="2E7F04F9"/>
    <w:rsid w:val="30740FF6"/>
    <w:rsid w:val="50E219F6"/>
    <w:rsid w:val="55EB54F8"/>
    <w:rsid w:val="581C2013"/>
    <w:rsid w:val="5B9919A6"/>
    <w:rsid w:val="5BDB1964"/>
    <w:rsid w:val="68374E58"/>
    <w:rsid w:val="69A000BC"/>
    <w:rsid w:val="6FFD7B64"/>
    <w:rsid w:val="76AC6328"/>
    <w:rsid w:val="79EF2DA2"/>
    <w:rsid w:val="7E4971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143"/>
      <w:ind w:right="32"/>
      <w:jc w:val="center"/>
      <w:outlineLvl w:val="1"/>
    </w:pPr>
    <w:rPr>
      <w:rFonts w:ascii="宋体" w:hAnsi="宋体" w:eastAsia="宋体" w:cs="宋体"/>
      <w:b/>
      <w:bCs/>
      <w:sz w:val="36"/>
      <w:szCs w:val="36"/>
      <w:lang w:val="zh-CN" w:eastAsia="zh-CN" w:bidi="zh-CN"/>
    </w:rPr>
  </w:style>
  <w:style w:type="paragraph" w:styleId="4">
    <w:name w:val="heading 2"/>
    <w:basedOn w:val="1"/>
    <w:next w:val="1"/>
    <w:qFormat/>
    <w:uiPriority w:val="1"/>
    <w:pPr>
      <w:ind w:left="1099" w:hanging="560"/>
      <w:outlineLvl w:val="2"/>
    </w:pPr>
    <w:rPr>
      <w:rFonts w:ascii="宋体" w:hAnsi="宋体" w:eastAsia="宋体" w:cs="宋体"/>
      <w:b/>
      <w:bCs/>
      <w:sz w:val="32"/>
      <w:szCs w:val="32"/>
      <w:lang w:val="zh-CN" w:eastAsia="zh-CN" w:bidi="zh-CN"/>
    </w:rPr>
  </w:style>
  <w:style w:type="paragraph" w:styleId="5">
    <w:name w:val="heading 3"/>
    <w:basedOn w:val="1"/>
    <w:next w:val="1"/>
    <w:qFormat/>
    <w:uiPriority w:val="1"/>
    <w:pPr>
      <w:ind w:left="1240" w:hanging="701"/>
      <w:outlineLvl w:val="3"/>
    </w:pPr>
    <w:rPr>
      <w:rFonts w:ascii="宋体" w:hAnsi="宋体" w:eastAsia="宋体" w:cs="宋体"/>
      <w:b/>
      <w:bCs/>
      <w:sz w:val="28"/>
      <w:szCs w:val="28"/>
      <w:lang w:val="zh-CN" w:eastAsia="zh-CN" w:bidi="zh-CN"/>
    </w:rPr>
  </w:style>
  <w:style w:type="paragraph" w:styleId="2">
    <w:name w:val="heading 4"/>
    <w:basedOn w:val="1"/>
    <w:next w:val="1"/>
    <w:qFormat/>
    <w:uiPriority w:val="1"/>
    <w:pPr>
      <w:jc w:val="center"/>
      <w:outlineLvl w:val="4"/>
    </w:pPr>
    <w:rPr>
      <w:rFonts w:ascii="宋体" w:hAnsi="宋体" w:eastAsia="宋体" w:cs="宋体"/>
      <w:b/>
      <w:bCs/>
      <w:sz w:val="24"/>
      <w:szCs w:val="24"/>
      <w:lang w:val="zh-CN" w:eastAsia="zh-CN" w:bidi="zh-CN"/>
    </w:rPr>
  </w:style>
  <w:style w:type="character" w:default="1" w:styleId="15">
    <w:name w:val="Default Paragraph Font"/>
    <w:semiHidden/>
    <w:unhideWhenUsed/>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szCs w:val="20"/>
    </w:rPr>
  </w:style>
  <w:style w:type="paragraph" w:styleId="7">
    <w:name w:val="Body Text"/>
    <w:basedOn w:val="1"/>
    <w:qFormat/>
    <w:uiPriority w:val="1"/>
    <w:pPr>
      <w:ind w:left="540"/>
    </w:pPr>
    <w:rPr>
      <w:rFonts w:ascii="宋体" w:hAnsi="宋体" w:eastAsia="宋体" w:cs="宋体"/>
      <w:sz w:val="24"/>
      <w:szCs w:val="24"/>
      <w:lang w:val="zh-CN" w:eastAsia="zh-CN" w:bidi="zh-CN"/>
    </w:rPr>
  </w:style>
  <w:style w:type="paragraph" w:styleId="8">
    <w:name w:val="Body Text Indent"/>
    <w:basedOn w:val="1"/>
    <w:qFormat/>
    <w:uiPriority w:val="0"/>
    <w:pPr>
      <w:spacing w:after="120"/>
      <w:ind w:left="420" w:leftChars="200"/>
    </w:pPr>
  </w:style>
  <w:style w:type="paragraph" w:styleId="9">
    <w:name w:val="toc 3"/>
    <w:basedOn w:val="1"/>
    <w:next w:val="1"/>
    <w:qFormat/>
    <w:uiPriority w:val="1"/>
    <w:pPr>
      <w:spacing w:before="121"/>
      <w:ind w:left="1440" w:hanging="420"/>
    </w:pPr>
    <w:rPr>
      <w:rFonts w:ascii="宋体" w:hAnsi="宋体" w:eastAsia="宋体" w:cs="宋体"/>
      <w:sz w:val="24"/>
      <w:szCs w:val="24"/>
      <w:lang w:val="zh-CN" w:eastAsia="zh-CN" w:bidi="zh-CN"/>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1"/>
    <w:pPr>
      <w:spacing w:before="94"/>
      <w:ind w:right="576"/>
      <w:jc w:val="right"/>
    </w:pPr>
    <w:rPr>
      <w:rFonts w:ascii="宋体" w:hAnsi="宋体" w:eastAsia="宋体" w:cs="宋体"/>
      <w:b/>
      <w:bCs/>
      <w:sz w:val="28"/>
      <w:szCs w:val="28"/>
      <w:lang w:val="zh-CN" w:eastAsia="zh-CN" w:bidi="zh-CN"/>
    </w:rPr>
  </w:style>
  <w:style w:type="paragraph" w:styleId="12">
    <w:name w:val="toc 2"/>
    <w:basedOn w:val="1"/>
    <w:next w:val="1"/>
    <w:qFormat/>
    <w:uiPriority w:val="1"/>
    <w:pPr>
      <w:spacing w:before="132"/>
      <w:ind w:left="1440" w:right="577" w:hanging="1440"/>
      <w:jc w:val="right"/>
    </w:pPr>
    <w:rPr>
      <w:rFonts w:ascii="宋体" w:hAnsi="宋体" w:eastAsia="宋体" w:cs="宋体"/>
      <w:sz w:val="24"/>
      <w:szCs w:val="24"/>
      <w:lang w:val="zh-CN" w:eastAsia="zh-CN" w:bidi="zh-CN"/>
    </w:rPr>
  </w:style>
  <w:style w:type="paragraph" w:styleId="13">
    <w:name w:val="Body Text First Indent 2"/>
    <w:basedOn w:val="8"/>
    <w:qFormat/>
    <w:uiPriority w:val="0"/>
    <w:pPr>
      <w:ind w:firstLine="420" w:firstLineChars="200"/>
    </w:pPr>
    <w:rPr>
      <w:rFonts w:eastAsia="仿宋_GB2312"/>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1621" w:hanging="601"/>
    </w:pPr>
    <w:rPr>
      <w:rFonts w:ascii="宋体" w:hAnsi="宋体" w:eastAsia="宋体" w:cs="宋体"/>
      <w:lang w:val="zh-CN" w:eastAsia="zh-CN" w:bidi="zh-CN"/>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正文(首行缩进)"/>
    <w:basedOn w:val="1"/>
    <w:next w:val="1"/>
    <w:qFormat/>
    <w:uiPriority w:val="0"/>
    <w:pPr>
      <w:spacing w:line="360" w:lineRule="auto"/>
      <w:ind w:firstLine="540" w:firstLineChars="225"/>
    </w:pPr>
    <w:rPr>
      <w:snapToGrid w:val="0"/>
      <w:color w:val="000000"/>
      <w:kern w:val="0"/>
      <w:sz w:val="24"/>
    </w:rPr>
  </w:style>
  <w:style w:type="paragraph" w:customStyle="1" w:styleId="20">
    <w:name w:val="5-表标题"/>
    <w:basedOn w:val="1"/>
    <w:qFormat/>
    <w:uiPriority w:val="0"/>
    <w:pPr>
      <w:spacing w:before="156" w:beforeLines="50" w:line="240" w:lineRule="auto"/>
      <w:ind w:firstLine="0" w:firstLineChars="0"/>
      <w:jc w:val="center"/>
    </w:pPr>
    <w:rPr>
      <w:b/>
    </w:rPr>
  </w:style>
  <w:style w:type="character" w:customStyle="1" w:styleId="21">
    <w:name w:val="font21"/>
    <w:basedOn w:val="15"/>
    <w:qFormat/>
    <w:uiPriority w:val="0"/>
    <w:rPr>
      <w:rFonts w:hint="eastAsia" w:ascii="宋体" w:hAnsi="宋体" w:eastAsia="宋体" w:cs="宋体"/>
      <w:color w:val="000000"/>
      <w:sz w:val="21"/>
      <w:szCs w:val="21"/>
      <w:u w:val="none"/>
    </w:rPr>
  </w:style>
  <w:style w:type="character" w:customStyle="1" w:styleId="22">
    <w:name w:val="font11"/>
    <w:basedOn w:val="15"/>
    <w:qFormat/>
    <w:uiPriority w:val="0"/>
    <w:rPr>
      <w:rFonts w:hint="default" w:ascii="Times New Roman" w:hAnsi="Times New Roman" w:cs="Times New Roman"/>
      <w:color w:val="000000"/>
      <w:sz w:val="21"/>
      <w:szCs w:val="21"/>
      <w:u w:val="none"/>
    </w:rPr>
  </w:style>
  <w:style w:type="character" w:customStyle="1" w:styleId="23">
    <w:name w:val="font41"/>
    <w:basedOn w:val="15"/>
    <w:qFormat/>
    <w:uiPriority w:val="0"/>
    <w:rPr>
      <w:rFonts w:ascii="Arial" w:hAnsi="Arial" w:cs="Arial"/>
      <w:color w:val="000000"/>
      <w:sz w:val="21"/>
      <w:szCs w:val="21"/>
      <w:u w:val="none"/>
    </w:rPr>
  </w:style>
  <w:style w:type="character" w:customStyle="1" w:styleId="24">
    <w:name w:val="font01"/>
    <w:basedOn w:val="15"/>
    <w:qFormat/>
    <w:uiPriority w:val="0"/>
    <w:rPr>
      <w:rFonts w:hint="eastAsia" w:ascii="宋体" w:hAnsi="宋体" w:eastAsia="宋体" w:cs="宋体"/>
      <w:color w:val="000000"/>
      <w:sz w:val="21"/>
      <w:szCs w:val="21"/>
      <w:u w:val="none"/>
    </w:rPr>
  </w:style>
  <w:style w:type="character" w:customStyle="1" w:styleId="25">
    <w:name w:val="font31"/>
    <w:basedOn w:val="15"/>
    <w:qFormat/>
    <w:uiPriority w:val="0"/>
    <w:rPr>
      <w:rFonts w:hint="eastAsia" w:ascii="宋体" w:hAnsi="宋体" w:eastAsia="宋体" w:cs="宋体"/>
      <w:color w:val="000000"/>
      <w:sz w:val="21"/>
      <w:szCs w:val="21"/>
      <w:u w:val="none"/>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 w:type="paragraph" w:customStyle="1" w:styleId="27">
    <w:name w:val="WPSOffice手动目录 1"/>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2.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jpeg"/><Relationship Id="rId42" Type="http://schemas.openxmlformats.org/officeDocument/2006/relationships/image" Target="media/image13.wmf"/><Relationship Id="rId41" Type="http://schemas.openxmlformats.org/officeDocument/2006/relationships/image" Target="media/image12.wmf"/><Relationship Id="rId40" Type="http://schemas.openxmlformats.org/officeDocument/2006/relationships/image" Target="media/image11.wmf"/><Relationship Id="rId4" Type="http://schemas.openxmlformats.org/officeDocument/2006/relationships/footer" Target="footer1.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jpe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header" Target="header3.xml"/><Relationship Id="rId24" Type="http://schemas.openxmlformats.org/officeDocument/2006/relationships/footer" Target="footer20.xml"/><Relationship Id="rId23" Type="http://schemas.openxmlformats.org/officeDocument/2006/relationships/header" Target="header2.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2020-06-03T04:52:00Z</dcterms:created>
  <dc:creator>QQ1404835872</dc:creator>
  <cp:lastModifiedBy>天道酬勤</cp:lastModifiedBy>
  <dcterms:modified xsi:type="dcterms:W3CDTF">2020-06-07T05:10:35Z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WPS 文字</vt:lpwstr>
  </property>
  <property fmtid="{D5CDD505-2E9C-101B-9397-08002B2CF9AE}" pid="4" name="LastSaved">
    <vt:filetime>2020-06-03T00:00:00Z</vt:filetime>
  </property>
  <property fmtid="{D5CDD505-2E9C-101B-9397-08002B2CF9AE}" pid="5" name="KSOProductBuildVer">
    <vt:lpwstr>2052-11.1.0.9740</vt:lpwstr>
  </property>
</Properties>
</file>