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png" ContentType="image/png"/>
  <Default Extension="wmf" ContentType="image/x-wmf"/>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auto"/>
        <w:ind w:firstLine="0" w:firstLineChars="0"/>
        <w:rPr>
          <w:rFonts w:eastAsia="黑体"/>
          <w:b/>
          <w:sz w:val="28"/>
          <w:szCs w:val="28"/>
        </w:rPr>
      </w:pPr>
    </w:p>
    <w:p>
      <w:pPr>
        <w:spacing w:line="480" w:lineRule="auto"/>
        <w:ind w:firstLine="0" w:firstLineChars="0"/>
        <w:rPr>
          <w:rFonts w:eastAsia="黑体"/>
          <w:b/>
          <w:sz w:val="28"/>
          <w:szCs w:val="28"/>
        </w:rPr>
      </w:pPr>
    </w:p>
    <w:p>
      <w:pPr>
        <w:overflowPunct w:val="0"/>
        <w:autoSpaceDE w:val="0"/>
        <w:autoSpaceDN w:val="0"/>
        <w:ind w:firstLine="0" w:firstLineChars="0"/>
        <w:jc w:val="center"/>
        <w:rPr>
          <w:rFonts w:eastAsia="黑体"/>
          <w:spacing w:val="-8"/>
          <w:sz w:val="36"/>
          <w:szCs w:val="36"/>
        </w:rPr>
      </w:pPr>
    </w:p>
    <w:p>
      <w:pPr>
        <w:overflowPunct w:val="0"/>
        <w:autoSpaceDE w:val="0"/>
        <w:autoSpaceDN w:val="0"/>
        <w:ind w:firstLine="0" w:firstLineChars="0"/>
        <w:jc w:val="center"/>
        <w:rPr>
          <w:rFonts w:eastAsia="黑体"/>
          <w:spacing w:val="-8"/>
          <w:sz w:val="36"/>
          <w:szCs w:val="36"/>
        </w:rPr>
      </w:pPr>
    </w:p>
    <w:p>
      <w:pPr>
        <w:topLinePunct w:val="0"/>
        <w:adjustRightInd/>
        <w:ind w:firstLine="0" w:firstLineChars="0"/>
        <w:jc w:val="center"/>
        <w:rPr>
          <w:rFonts w:asciiTheme="minorEastAsia" w:hAnsiTheme="minorEastAsia" w:eastAsiaTheme="minorEastAsia"/>
          <w:b/>
          <w:color w:val="000000"/>
          <w:kern w:val="2"/>
          <w:sz w:val="44"/>
          <w:szCs w:val="44"/>
        </w:rPr>
      </w:pPr>
      <w:r>
        <w:rPr>
          <w:rFonts w:hint="eastAsia" w:asciiTheme="minorEastAsia" w:hAnsiTheme="minorEastAsia" w:eastAsiaTheme="minorEastAsia"/>
          <w:b/>
          <w:color w:val="000000"/>
          <w:kern w:val="2"/>
          <w:sz w:val="44"/>
          <w:szCs w:val="44"/>
        </w:rPr>
        <w:t>第十四师224团小区给水管网改造项目</w:t>
      </w:r>
    </w:p>
    <w:p>
      <w:pPr>
        <w:pStyle w:val="22"/>
        <w:topLinePunct w:val="0"/>
        <w:adjustRightInd/>
        <w:snapToGrid/>
        <w:spacing w:line="360" w:lineRule="auto"/>
        <w:jc w:val="center"/>
        <w:rPr>
          <w:rFonts w:ascii="Times New Roman" w:hAnsi="Times New Roman" w:eastAsia="黑体" w:cs="Times New Roman"/>
          <w:kern w:val="10"/>
          <w:sz w:val="84"/>
          <w:szCs w:val="84"/>
        </w:rPr>
      </w:pPr>
      <w:r>
        <w:rPr>
          <w:rFonts w:ascii="Times New Roman" w:hAnsi="Times New Roman" w:eastAsia="黑体" w:cs="Times New Roman"/>
          <w:kern w:val="10"/>
          <w:sz w:val="84"/>
          <w:szCs w:val="84"/>
        </w:rPr>
        <w:t>水土保持方案报告</w:t>
      </w:r>
      <w:bookmarkStart w:id="0" w:name="_Toc156913665"/>
      <w:bookmarkStart w:id="1" w:name="_Toc156917543"/>
      <w:bookmarkStart w:id="2" w:name="_Toc302030720"/>
      <w:bookmarkStart w:id="3" w:name="_Toc157260578"/>
      <w:bookmarkStart w:id="4" w:name="_Toc157260753"/>
      <w:bookmarkStart w:id="5" w:name="_Toc157003232"/>
      <w:bookmarkStart w:id="6" w:name="_Toc58853158"/>
      <w:r>
        <w:rPr>
          <w:rFonts w:hint="eastAsia" w:ascii="Times New Roman" w:hAnsi="Times New Roman" w:eastAsia="黑体" w:cs="Times New Roman"/>
          <w:kern w:val="10"/>
          <w:sz w:val="84"/>
          <w:szCs w:val="84"/>
        </w:rPr>
        <w:t>表</w:t>
      </w:r>
    </w:p>
    <w:bookmarkEnd w:id="0"/>
    <w:bookmarkEnd w:id="1"/>
    <w:bookmarkEnd w:id="2"/>
    <w:bookmarkEnd w:id="3"/>
    <w:bookmarkEnd w:id="4"/>
    <w:bookmarkEnd w:id="5"/>
    <w:bookmarkEnd w:id="6"/>
    <w:p>
      <w:pPr>
        <w:topLinePunct w:val="0"/>
        <w:adjustRightInd/>
        <w:ind w:firstLine="0" w:firstLineChars="0"/>
        <w:jc w:val="center"/>
        <w:rPr>
          <w:rFonts w:eastAsia="黑体"/>
          <w:kern w:val="10"/>
          <w:sz w:val="44"/>
          <w:szCs w:val="44"/>
        </w:rPr>
      </w:pPr>
      <w:r>
        <w:rPr>
          <w:rFonts w:hint="eastAsia" w:asciiTheme="minorEastAsia" w:hAnsiTheme="minorEastAsia" w:eastAsiaTheme="minorEastAsia"/>
          <w:b/>
          <w:color w:val="000000"/>
          <w:kern w:val="2"/>
          <w:sz w:val="44"/>
          <w:szCs w:val="44"/>
        </w:rPr>
        <w:t>（报批稿）</w:t>
      </w:r>
    </w:p>
    <w:p>
      <w:pPr>
        <w:overflowPunct w:val="0"/>
        <w:autoSpaceDE w:val="0"/>
        <w:autoSpaceDN w:val="0"/>
        <w:spacing w:line="720" w:lineRule="auto"/>
        <w:ind w:firstLine="0" w:firstLineChars="0"/>
        <w:jc w:val="center"/>
        <w:rPr>
          <w:rFonts w:eastAsia="黑体"/>
          <w:sz w:val="36"/>
          <w:szCs w:val="36"/>
        </w:rPr>
      </w:pPr>
    </w:p>
    <w:p>
      <w:pPr>
        <w:overflowPunct w:val="0"/>
        <w:autoSpaceDE w:val="0"/>
        <w:autoSpaceDN w:val="0"/>
        <w:spacing w:line="720" w:lineRule="auto"/>
        <w:ind w:firstLine="0" w:firstLineChars="0"/>
        <w:jc w:val="center"/>
        <w:rPr>
          <w:rFonts w:eastAsia="黑体"/>
          <w:sz w:val="36"/>
          <w:szCs w:val="36"/>
        </w:rPr>
      </w:pPr>
    </w:p>
    <w:p>
      <w:pPr>
        <w:overflowPunct w:val="0"/>
        <w:autoSpaceDE w:val="0"/>
        <w:autoSpaceDN w:val="0"/>
        <w:spacing w:line="720" w:lineRule="auto"/>
        <w:ind w:firstLine="0" w:firstLineChars="0"/>
        <w:jc w:val="center"/>
        <w:rPr>
          <w:rFonts w:eastAsia="黑体"/>
          <w:sz w:val="36"/>
          <w:szCs w:val="36"/>
        </w:rPr>
      </w:pPr>
    </w:p>
    <w:p>
      <w:pPr>
        <w:overflowPunct w:val="0"/>
        <w:autoSpaceDE w:val="0"/>
        <w:autoSpaceDN w:val="0"/>
        <w:spacing w:line="720" w:lineRule="auto"/>
        <w:ind w:firstLine="0" w:firstLineChars="0"/>
        <w:jc w:val="center"/>
        <w:rPr>
          <w:rFonts w:eastAsia="黑体"/>
          <w:sz w:val="36"/>
          <w:szCs w:val="36"/>
        </w:rPr>
      </w:pPr>
    </w:p>
    <w:p>
      <w:pPr>
        <w:overflowPunct w:val="0"/>
        <w:autoSpaceDE w:val="0"/>
        <w:autoSpaceDN w:val="0"/>
        <w:spacing w:line="720" w:lineRule="auto"/>
        <w:ind w:firstLine="0" w:firstLineChars="0"/>
        <w:jc w:val="center"/>
        <w:rPr>
          <w:rFonts w:eastAsia="黑体"/>
        </w:rPr>
      </w:pPr>
    </w:p>
    <w:p>
      <w:pPr>
        <w:overflowPunct w:val="0"/>
        <w:autoSpaceDE w:val="0"/>
        <w:autoSpaceDN w:val="0"/>
        <w:ind w:firstLine="675" w:firstLineChars="210"/>
        <w:rPr>
          <w:rFonts w:asciiTheme="minorEastAsia" w:hAnsiTheme="minorEastAsia" w:eastAsiaTheme="minorEastAsia"/>
          <w:b/>
          <w:sz w:val="32"/>
          <w:szCs w:val="32"/>
        </w:rPr>
      </w:pPr>
      <w:r>
        <w:rPr>
          <w:rFonts w:asciiTheme="minorEastAsia" w:hAnsiTheme="minorEastAsia" w:eastAsiaTheme="minorEastAsia"/>
          <w:b/>
          <w:sz w:val="32"/>
          <w:szCs w:val="32"/>
        </w:rPr>
        <w:t>建设单位：第十四师水利工程管理服务中心</w:t>
      </w:r>
    </w:p>
    <w:p>
      <w:pPr>
        <w:overflowPunct w:val="0"/>
        <w:autoSpaceDE w:val="0"/>
        <w:autoSpaceDN w:val="0"/>
        <w:ind w:firstLine="0" w:firstLineChars="0"/>
        <w:jc w:val="center"/>
        <w:rPr>
          <w:rFonts w:asciiTheme="minorEastAsia" w:hAnsiTheme="minorEastAsia" w:eastAsiaTheme="minorEastAsia"/>
          <w:b/>
          <w:sz w:val="32"/>
          <w:szCs w:val="32"/>
        </w:rPr>
      </w:pPr>
      <w:r>
        <w:rPr>
          <w:rFonts w:asciiTheme="minorEastAsia" w:hAnsiTheme="minorEastAsia" w:eastAsiaTheme="minorEastAsia"/>
          <w:b/>
          <w:sz w:val="32"/>
          <w:szCs w:val="32"/>
        </w:rPr>
        <w:t>编制单位：</w:t>
      </w:r>
      <w:r>
        <w:rPr>
          <w:rFonts w:hint="eastAsia" w:asciiTheme="minorEastAsia" w:hAnsiTheme="minorEastAsia" w:eastAsiaTheme="minorEastAsia"/>
          <w:b/>
          <w:sz w:val="32"/>
          <w:szCs w:val="32"/>
        </w:rPr>
        <w:t>新疆新农丽景环境工程咨询有限公司</w:t>
      </w:r>
    </w:p>
    <w:p>
      <w:pPr>
        <w:ind w:firstLine="0" w:firstLineChars="0"/>
        <w:jc w:val="center"/>
        <w:rPr>
          <w:rFonts w:eastAsiaTheme="minorEastAsia"/>
          <w:b/>
          <w:bCs/>
          <w:sz w:val="32"/>
          <w:szCs w:val="32"/>
        </w:rPr>
      </w:pPr>
      <w:r>
        <w:rPr>
          <w:rFonts w:eastAsiaTheme="minorEastAsia"/>
          <w:b/>
          <w:sz w:val="32"/>
          <w:szCs w:val="32"/>
        </w:rPr>
        <w:t>20</w:t>
      </w:r>
      <w:r>
        <w:rPr>
          <w:rFonts w:hint="eastAsia" w:eastAsiaTheme="minorEastAsia"/>
          <w:b/>
          <w:sz w:val="32"/>
          <w:szCs w:val="32"/>
        </w:rPr>
        <w:t>20</w:t>
      </w:r>
      <w:r>
        <w:rPr>
          <w:rFonts w:eastAsiaTheme="minorEastAsia"/>
          <w:b/>
          <w:sz w:val="32"/>
          <w:szCs w:val="32"/>
        </w:rPr>
        <w:t>年</w:t>
      </w:r>
      <w:r>
        <w:rPr>
          <w:rFonts w:hint="eastAsia" w:eastAsiaTheme="minorEastAsia"/>
          <w:b/>
          <w:sz w:val="32"/>
          <w:szCs w:val="32"/>
        </w:rPr>
        <w:t>10</w:t>
      </w:r>
      <w:r>
        <w:rPr>
          <w:rFonts w:eastAsiaTheme="minorEastAsia"/>
          <w:b/>
          <w:sz w:val="32"/>
          <w:szCs w:val="32"/>
        </w:rPr>
        <w:t>月</w:t>
      </w:r>
    </w:p>
    <w:p>
      <w:pPr>
        <w:ind w:firstLine="480"/>
        <w:sectPr>
          <w:headerReference r:id="rId3" w:type="default"/>
          <w:footerReference r:id="rId4" w:type="default"/>
          <w:pgSz w:w="11906" w:h="16838"/>
          <w:pgMar w:top="1440" w:right="1803" w:bottom="1440" w:left="1803" w:header="851" w:footer="992" w:gutter="0"/>
          <w:pgNumType w:fmt="lowerRoman" w:start="1"/>
          <w:cols w:space="720" w:num="1"/>
          <w:docGrid w:linePitch="326" w:charSpace="0"/>
        </w:sectPr>
      </w:pPr>
    </w:p>
    <w:p>
      <w:pPr>
        <w:ind w:left="0" w:leftChars="0" w:firstLine="0" w:firstLineChars="0"/>
        <w:sectPr>
          <w:pgSz w:w="11906" w:h="16838"/>
          <w:pgMar w:top="1440" w:right="1803" w:bottom="1440" w:left="1803" w:header="851" w:footer="992" w:gutter="0"/>
          <w:pgNumType w:fmt="lowerRoman" w:start="1"/>
          <w:cols w:space="720" w:num="1"/>
          <w:docGrid w:linePitch="326" w:charSpace="0"/>
        </w:sectPr>
      </w:pPr>
    </w:p>
    <w:p>
      <w:pPr>
        <w:ind w:firstLine="0" w:firstLineChars="0"/>
        <w:jc w:val="center"/>
        <w:rPr>
          <w:b/>
          <w:bCs/>
          <w:kern w:val="10"/>
          <w:sz w:val="32"/>
          <w:szCs w:val="32"/>
        </w:rPr>
      </w:pPr>
      <w:r>
        <w:rPr>
          <w:rFonts w:hint="eastAsia"/>
          <w:b/>
          <w:bCs/>
          <w:kern w:val="10"/>
          <w:sz w:val="32"/>
          <w:szCs w:val="32"/>
        </w:rPr>
        <w:t>第十四师224团小区给水管网改造项目</w:t>
      </w:r>
    </w:p>
    <w:p>
      <w:pPr>
        <w:ind w:firstLine="0" w:firstLineChars="0"/>
        <w:jc w:val="center"/>
        <w:rPr>
          <w:b/>
          <w:kern w:val="10"/>
          <w:sz w:val="32"/>
          <w:szCs w:val="32"/>
        </w:rPr>
      </w:pPr>
      <w:r>
        <w:rPr>
          <w:b/>
          <w:kern w:val="10"/>
          <w:sz w:val="32"/>
          <w:szCs w:val="32"/>
        </w:rPr>
        <w:t>水土保持方案报告</w:t>
      </w:r>
      <w:r>
        <w:rPr>
          <w:rFonts w:hint="eastAsia"/>
          <w:b/>
          <w:kern w:val="10"/>
          <w:sz w:val="32"/>
          <w:szCs w:val="32"/>
        </w:rPr>
        <w:t>表</w:t>
      </w:r>
      <w:r>
        <w:rPr>
          <w:b/>
          <w:kern w:val="10"/>
          <w:sz w:val="32"/>
          <w:szCs w:val="32"/>
        </w:rPr>
        <w:t>责任页</w:t>
      </w:r>
    </w:p>
    <w:p>
      <w:pPr>
        <w:ind w:firstLine="0" w:firstLineChars="0"/>
        <w:jc w:val="center"/>
        <w:rPr>
          <w:b/>
          <w:kern w:val="10"/>
          <w:sz w:val="32"/>
          <w:szCs w:val="32"/>
        </w:rPr>
      </w:pPr>
      <w:r>
        <w:rPr>
          <w:rFonts w:hint="eastAsia"/>
          <w:b/>
          <w:sz w:val="32"/>
          <w:szCs w:val="32"/>
        </w:rPr>
        <w:t>新疆新农丽景环境工程咨询有限公司</w:t>
      </w:r>
    </w:p>
    <w:p>
      <w:pPr>
        <w:ind w:firstLine="260"/>
        <w:rPr>
          <w:sz w:val="13"/>
          <w:szCs w:val="13"/>
        </w:rPr>
      </w:pPr>
    </w:p>
    <w:p>
      <w:pPr>
        <w:tabs>
          <w:tab w:val="left" w:pos="2280"/>
        </w:tabs>
        <w:ind w:left="780" w:right="3580" w:firstLine="480"/>
        <w:rPr>
          <w:rFonts w:eastAsia="Microsoft JhengHei"/>
          <w:spacing w:val="1"/>
        </w:rPr>
      </w:pPr>
      <w:r>
        <w:drawing>
          <wp:anchor distT="0" distB="0" distL="114300" distR="114300" simplePos="0" relativeHeight="254076928" behindDoc="0" locked="0" layoutInCell="1" allowOverlap="0">
            <wp:simplePos x="0" y="0"/>
            <wp:positionH relativeFrom="column">
              <wp:posOffset>2685415</wp:posOffset>
            </wp:positionH>
            <wp:positionV relativeFrom="paragraph">
              <wp:posOffset>50800</wp:posOffset>
            </wp:positionV>
            <wp:extent cx="862330" cy="539750"/>
            <wp:effectExtent l="0" t="0" r="0" b="0"/>
            <wp:wrapNone/>
            <wp:docPr id="15" name="图片 15" descr="周心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周心澄"/>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862330" cy="539750"/>
                    </a:xfrm>
                    <a:prstGeom prst="rect">
                      <a:avLst/>
                    </a:prstGeom>
                    <a:noFill/>
                    <a:ln>
                      <a:noFill/>
                    </a:ln>
                    <a:effectLst/>
                  </pic:spPr>
                </pic:pic>
              </a:graphicData>
            </a:graphic>
          </wp:anchor>
        </w:drawing>
      </w:r>
    </w:p>
    <w:p>
      <w:pPr>
        <w:spacing w:line="720" w:lineRule="auto"/>
        <w:ind w:firstLine="480"/>
        <w:rPr>
          <w:sz w:val="32"/>
          <w:szCs w:val="32"/>
        </w:rPr>
      </w:pPr>
      <w:r>
        <w:drawing>
          <wp:anchor distT="0" distB="0" distL="114300" distR="114300" simplePos="0" relativeHeight="254260224" behindDoc="0" locked="0" layoutInCell="1" allowOverlap="0">
            <wp:simplePos x="0" y="0"/>
            <wp:positionH relativeFrom="column">
              <wp:posOffset>2686050</wp:posOffset>
            </wp:positionH>
            <wp:positionV relativeFrom="paragraph">
              <wp:posOffset>731520</wp:posOffset>
            </wp:positionV>
            <wp:extent cx="725170" cy="539750"/>
            <wp:effectExtent l="0" t="0" r="0" b="0"/>
            <wp:wrapNone/>
            <wp:docPr id="12" name="图片 18" descr="张建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8" descr="张建军"/>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725170" cy="539750"/>
                    </a:xfrm>
                    <a:prstGeom prst="rect">
                      <a:avLst/>
                    </a:prstGeom>
                    <a:noFill/>
                    <a:ln>
                      <a:noFill/>
                    </a:ln>
                    <a:effectLst/>
                  </pic:spPr>
                </pic:pic>
              </a:graphicData>
            </a:graphic>
          </wp:anchor>
        </w:drawing>
      </w:r>
      <w:r>
        <w:rPr>
          <w:b/>
          <w:bCs/>
          <w:sz w:val="32"/>
          <w:szCs w:val="32"/>
        </w:rPr>
        <w:t>批准：</w:t>
      </w:r>
      <w:r>
        <w:rPr>
          <w:rFonts w:hint="eastAsia" w:ascii="宋体" w:hAnsi="宋体"/>
          <w:b/>
          <w:sz w:val="32"/>
          <w:szCs w:val="32"/>
        </w:rPr>
        <w:t>周心澄</w:t>
      </w:r>
      <w:r>
        <w:rPr>
          <w:sz w:val="32"/>
          <w:szCs w:val="32"/>
        </w:rPr>
        <w:t>（</w:t>
      </w:r>
      <w:r>
        <w:rPr>
          <w:rFonts w:hint="eastAsia"/>
          <w:sz w:val="32"/>
          <w:szCs w:val="32"/>
        </w:rPr>
        <w:t>教授</w:t>
      </w:r>
      <w:r>
        <w:rPr>
          <w:sz w:val="32"/>
          <w:szCs w:val="32"/>
        </w:rPr>
        <w:t>）</w:t>
      </w:r>
    </w:p>
    <w:p>
      <w:pPr>
        <w:spacing w:line="720" w:lineRule="auto"/>
        <w:ind w:firstLine="480"/>
        <w:rPr>
          <w:sz w:val="32"/>
          <w:szCs w:val="32"/>
        </w:rPr>
      </w:pPr>
      <w:r>
        <w:drawing>
          <wp:anchor distT="0" distB="0" distL="114300" distR="114300" simplePos="0" relativeHeight="254261248" behindDoc="0" locked="0" layoutInCell="1" allowOverlap="1">
            <wp:simplePos x="0" y="0"/>
            <wp:positionH relativeFrom="column">
              <wp:posOffset>2772410</wp:posOffset>
            </wp:positionH>
            <wp:positionV relativeFrom="paragraph">
              <wp:posOffset>734060</wp:posOffset>
            </wp:positionV>
            <wp:extent cx="553720" cy="504190"/>
            <wp:effectExtent l="0" t="0" r="0" b="0"/>
            <wp:wrapNone/>
            <wp:docPr id="13" name="图片 19" descr="毕华兴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9" descr="毕华兴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553720" cy="504190"/>
                    </a:xfrm>
                    <a:prstGeom prst="rect">
                      <a:avLst/>
                    </a:prstGeom>
                    <a:noFill/>
                    <a:ln>
                      <a:noFill/>
                    </a:ln>
                    <a:effectLst/>
                  </pic:spPr>
                </pic:pic>
              </a:graphicData>
            </a:graphic>
          </wp:anchor>
        </w:drawing>
      </w:r>
      <w:r>
        <w:rPr>
          <w:b/>
          <w:bCs/>
          <w:sz w:val="32"/>
          <w:szCs w:val="32"/>
        </w:rPr>
        <w:t>核定：</w:t>
      </w:r>
      <w:r>
        <w:rPr>
          <w:rFonts w:hint="eastAsia" w:ascii="宋体" w:hAnsi="宋体"/>
          <w:b/>
          <w:sz w:val="32"/>
          <w:szCs w:val="32"/>
        </w:rPr>
        <w:t>张建军</w:t>
      </w:r>
      <w:r>
        <w:rPr>
          <w:sz w:val="32"/>
          <w:szCs w:val="32"/>
        </w:rPr>
        <w:t>（高工）</w:t>
      </w:r>
    </w:p>
    <w:p>
      <w:pPr>
        <w:spacing w:line="720" w:lineRule="auto"/>
        <w:ind w:firstLine="517" w:firstLineChars="161"/>
        <w:rPr>
          <w:sz w:val="32"/>
          <w:szCs w:val="32"/>
        </w:rPr>
      </w:pPr>
      <w:r>
        <w:rPr>
          <w:b/>
          <w:bCs/>
          <w:sz w:val="32"/>
          <w:szCs w:val="32"/>
        </w:rPr>
        <w:t>审查：</w:t>
      </w:r>
      <w:r>
        <w:rPr>
          <w:rFonts w:hint="eastAsia" w:ascii="宋体" w:hAnsi="宋体"/>
          <w:b/>
          <w:sz w:val="32"/>
          <w:szCs w:val="32"/>
        </w:rPr>
        <w:t>毕华兴</w:t>
      </w:r>
      <w:r>
        <w:rPr>
          <w:sz w:val="32"/>
          <w:szCs w:val="32"/>
        </w:rPr>
        <w:t>（高工）</w:t>
      </w:r>
    </w:p>
    <w:p>
      <w:pPr>
        <w:spacing w:line="720" w:lineRule="auto"/>
        <w:ind w:firstLine="504" w:firstLineChars="210"/>
        <w:rPr>
          <w:sz w:val="32"/>
          <w:szCs w:val="32"/>
        </w:rPr>
      </w:pPr>
      <w:r>
        <w:drawing>
          <wp:anchor distT="0" distB="0" distL="114300" distR="114300" simplePos="0" relativeHeight="254262272" behindDoc="0" locked="0" layoutInCell="1" allowOverlap="1">
            <wp:simplePos x="0" y="0"/>
            <wp:positionH relativeFrom="column">
              <wp:posOffset>3324860</wp:posOffset>
            </wp:positionH>
            <wp:positionV relativeFrom="paragraph">
              <wp:posOffset>675005</wp:posOffset>
            </wp:positionV>
            <wp:extent cx="723265" cy="539750"/>
            <wp:effectExtent l="0" t="0" r="635" b="0"/>
            <wp:wrapNone/>
            <wp:docPr id="14" name="图片 450" descr="张建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50" descr="张建军"/>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723265" cy="539750"/>
                    </a:xfrm>
                    <a:prstGeom prst="rect">
                      <a:avLst/>
                    </a:prstGeom>
                    <a:noFill/>
                    <a:ln>
                      <a:noFill/>
                    </a:ln>
                  </pic:spPr>
                </pic:pic>
              </a:graphicData>
            </a:graphic>
          </wp:anchor>
        </w:drawing>
      </w:r>
      <w:r>
        <w:rPr>
          <w:b/>
          <w:bCs/>
          <w:sz w:val="32"/>
          <w:szCs w:val="32"/>
        </w:rPr>
        <w:t>校核：</w:t>
      </w:r>
      <w:r>
        <w:rPr>
          <w:rFonts w:hint="eastAsia" w:ascii="宋体" w:hAnsi="宋体"/>
          <w:b/>
          <w:sz w:val="32"/>
          <w:szCs w:val="32"/>
        </w:rPr>
        <w:t>周建勤</w:t>
      </w:r>
      <w:r>
        <w:rPr>
          <w:sz w:val="32"/>
          <w:szCs w:val="32"/>
        </w:rPr>
        <w:t>（高工）</w:t>
      </w:r>
    </w:p>
    <w:p>
      <w:pPr>
        <w:spacing w:line="720" w:lineRule="auto"/>
        <w:ind w:firstLine="517" w:firstLineChars="161"/>
        <w:rPr>
          <w:sz w:val="32"/>
          <w:szCs w:val="32"/>
        </w:rPr>
      </w:pPr>
      <w:r>
        <w:rPr>
          <w:b/>
          <w:bCs/>
          <w:sz w:val="32"/>
          <w:szCs w:val="32"/>
        </w:rPr>
        <w:t>项目负责人：</w:t>
      </w:r>
      <w:r>
        <w:rPr>
          <w:rFonts w:hint="eastAsia" w:ascii="宋体" w:hAnsi="宋体"/>
          <w:b/>
          <w:sz w:val="32"/>
          <w:szCs w:val="32"/>
        </w:rPr>
        <w:t>张建军</w:t>
      </w:r>
      <w:r>
        <w:rPr>
          <w:sz w:val="32"/>
          <w:szCs w:val="32"/>
        </w:rPr>
        <w:t>（</w:t>
      </w:r>
      <w:r>
        <w:rPr>
          <w:rFonts w:hint="eastAsia"/>
          <w:sz w:val="32"/>
          <w:szCs w:val="32"/>
        </w:rPr>
        <w:t>高工</w:t>
      </w:r>
      <w:r>
        <w:rPr>
          <w:sz w:val="32"/>
          <w:szCs w:val="32"/>
        </w:rPr>
        <w:t>）</w:t>
      </w:r>
    </w:p>
    <w:p>
      <w:pPr>
        <w:spacing w:line="720" w:lineRule="auto"/>
        <w:ind w:firstLine="562"/>
        <w:rPr>
          <w:rFonts w:ascii="宋体" w:hAnsi="宋体"/>
          <w:b/>
          <w:sz w:val="32"/>
          <w:szCs w:val="32"/>
        </w:rPr>
      </w:pPr>
      <w:r>
        <w:rPr>
          <w:rFonts w:hint="eastAsia" w:ascii="宋体" w:hAnsi="宋体"/>
          <w:b/>
          <w:sz w:val="28"/>
          <w:szCs w:val="28"/>
        </w:rPr>
        <w:drawing>
          <wp:anchor distT="0" distB="0" distL="114300" distR="114300" simplePos="0" relativeHeight="254263296" behindDoc="0" locked="0" layoutInCell="1" allowOverlap="1">
            <wp:simplePos x="0" y="0"/>
            <wp:positionH relativeFrom="column">
              <wp:posOffset>2505075</wp:posOffset>
            </wp:positionH>
            <wp:positionV relativeFrom="paragraph">
              <wp:posOffset>666115</wp:posOffset>
            </wp:positionV>
            <wp:extent cx="1047750" cy="428625"/>
            <wp:effectExtent l="19050" t="0" r="0" b="0"/>
            <wp:wrapNone/>
            <wp:docPr id="16" name="图片 453" descr="杨建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53" descr="杨建英"/>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055511" cy="431800"/>
                    </a:xfrm>
                    <a:prstGeom prst="rect">
                      <a:avLst/>
                    </a:prstGeom>
                    <a:noFill/>
                    <a:ln>
                      <a:noFill/>
                    </a:ln>
                    <a:effectLst/>
                  </pic:spPr>
                </pic:pic>
              </a:graphicData>
            </a:graphic>
          </wp:anchor>
        </w:drawing>
      </w:r>
      <w:r>
        <w:rPr>
          <w:b/>
          <w:bCs/>
          <w:sz w:val="32"/>
          <w:szCs w:val="32"/>
        </w:rPr>
        <w:t>编写：</w:t>
      </w:r>
      <w:r>
        <w:rPr>
          <w:rFonts w:hint="eastAsia" w:ascii="宋体" w:hAnsi="宋体"/>
          <w:b/>
          <w:sz w:val="32"/>
          <w:szCs w:val="32"/>
        </w:rPr>
        <w:t>孙喜旺</w:t>
      </w:r>
      <w:r>
        <w:rPr>
          <w:sz w:val="32"/>
          <w:szCs w:val="32"/>
        </w:rPr>
        <w:t>（工程师）（</w:t>
      </w:r>
      <w:r>
        <w:rPr>
          <w:rFonts w:hint="eastAsia"/>
          <w:sz w:val="32"/>
          <w:szCs w:val="32"/>
        </w:rPr>
        <w:t>第一章至第三章、</w:t>
      </w:r>
      <w:r>
        <w:rPr>
          <w:sz w:val="32"/>
          <w:szCs w:val="32"/>
        </w:rPr>
        <w:t>附件）</w:t>
      </w:r>
    </w:p>
    <w:p>
      <w:pPr>
        <w:spacing w:line="720" w:lineRule="auto"/>
        <w:ind w:firstLine="1475" w:firstLineChars="459"/>
        <w:rPr>
          <w:sz w:val="32"/>
          <w:szCs w:val="32"/>
        </w:rPr>
      </w:pPr>
      <w:r>
        <w:rPr>
          <w:b/>
          <w:bCs/>
          <w:sz w:val="32"/>
          <w:szCs w:val="32"/>
        </w:rPr>
        <w:drawing>
          <wp:anchor distT="0" distB="0" distL="114300" distR="114300" simplePos="0" relativeHeight="254264320" behindDoc="0" locked="0" layoutInCell="1" allowOverlap="1">
            <wp:simplePos x="0" y="0"/>
            <wp:positionH relativeFrom="column">
              <wp:posOffset>2771775</wp:posOffset>
            </wp:positionH>
            <wp:positionV relativeFrom="paragraph">
              <wp:posOffset>685165</wp:posOffset>
            </wp:positionV>
            <wp:extent cx="552450" cy="539750"/>
            <wp:effectExtent l="19050" t="0" r="0" b="0"/>
            <wp:wrapNone/>
            <wp:docPr id="17" name="图片 455" descr="李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55" descr="李扬"/>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552450" cy="539750"/>
                    </a:xfrm>
                    <a:prstGeom prst="rect">
                      <a:avLst/>
                    </a:prstGeom>
                    <a:noFill/>
                    <a:ln>
                      <a:noFill/>
                    </a:ln>
                    <a:effectLst/>
                  </pic:spPr>
                </pic:pic>
              </a:graphicData>
            </a:graphic>
          </wp:anchor>
        </w:drawing>
      </w:r>
      <w:r>
        <w:rPr>
          <w:rFonts w:hint="eastAsia" w:ascii="宋体" w:hAnsi="宋体"/>
          <w:b/>
          <w:sz w:val="32"/>
          <w:szCs w:val="32"/>
        </w:rPr>
        <w:t>杨建英</w:t>
      </w:r>
      <w:r>
        <w:rPr>
          <w:sz w:val="32"/>
          <w:szCs w:val="32"/>
        </w:rPr>
        <w:t>（工程师）（</w:t>
      </w:r>
      <w:r>
        <w:rPr>
          <w:rFonts w:hint="eastAsia"/>
          <w:sz w:val="32"/>
          <w:szCs w:val="32"/>
        </w:rPr>
        <w:t>第四章  第四章至第六章</w:t>
      </w:r>
      <w:r>
        <w:rPr>
          <w:sz w:val="32"/>
          <w:szCs w:val="32"/>
        </w:rPr>
        <w:t>）</w:t>
      </w:r>
    </w:p>
    <w:p>
      <w:pPr>
        <w:spacing w:line="720" w:lineRule="auto"/>
        <w:ind w:right="170" w:firstLine="1475" w:firstLineChars="459"/>
        <w:rPr>
          <w:sz w:val="32"/>
          <w:szCs w:val="32"/>
        </w:rPr>
        <w:sectPr>
          <w:headerReference r:id="rId5" w:type="default"/>
          <w:footerReference r:id="rId6" w:type="default"/>
          <w:pgSz w:w="11906" w:h="16838"/>
          <w:pgMar w:top="1440" w:right="1440" w:bottom="1440" w:left="1440" w:header="851" w:footer="992" w:gutter="0"/>
          <w:pgNumType w:fmt="lowerRoman" w:start="1"/>
          <w:cols w:space="720" w:num="1"/>
          <w:docGrid w:linePitch="326" w:charSpace="0"/>
        </w:sectPr>
      </w:pPr>
      <w:r>
        <w:rPr>
          <w:rFonts w:hint="eastAsia" w:ascii="宋体" w:hAnsi="宋体"/>
          <w:b/>
          <w:sz w:val="32"/>
          <w:szCs w:val="32"/>
        </w:rPr>
        <w:t>李扬</w:t>
      </w:r>
      <w:r>
        <w:rPr>
          <w:sz w:val="32"/>
          <w:szCs w:val="32"/>
        </w:rPr>
        <w:t>（工程师）（</w:t>
      </w:r>
      <w:r>
        <w:rPr>
          <w:rFonts w:hint="eastAsia"/>
          <w:sz w:val="32"/>
          <w:szCs w:val="32"/>
        </w:rPr>
        <w:t>第七章、第七、八章、</w:t>
      </w:r>
      <w:r>
        <w:rPr>
          <w:sz w:val="32"/>
          <w:szCs w:val="32"/>
        </w:rPr>
        <w:t>附图）</w:t>
      </w:r>
    </w:p>
    <w:p>
      <w:pPr>
        <w:spacing w:line="720" w:lineRule="auto"/>
        <w:ind w:left="0" w:leftChars="0" w:right="170" w:firstLine="0" w:firstLineChars="0"/>
        <w:rPr>
          <w:sz w:val="32"/>
          <w:szCs w:val="32"/>
        </w:rPr>
      </w:pPr>
    </w:p>
    <w:p>
      <w:pPr>
        <w:ind w:left="480" w:firstLine="0" w:firstLineChars="0"/>
      </w:pPr>
    </w:p>
    <w:p>
      <w:pPr>
        <w:ind w:left="480" w:firstLine="0" w:firstLineChars="0"/>
      </w:pPr>
    </w:p>
    <w:p>
      <w:pPr>
        <w:ind w:firstLine="199" w:firstLineChars="83"/>
      </w:pPr>
    </w:p>
    <w:p>
      <w:pPr>
        <w:overflowPunct w:val="0"/>
        <w:autoSpaceDE w:val="0"/>
        <w:autoSpaceDN w:val="0"/>
        <w:spacing w:line="240" w:lineRule="auto"/>
        <w:ind w:firstLine="0" w:firstLineChars="0"/>
        <w:jc w:val="center"/>
        <w:rPr>
          <w:b/>
          <w:bCs/>
          <w:kern w:val="10"/>
          <w:sz w:val="32"/>
          <w:szCs w:val="32"/>
        </w:rPr>
        <w:sectPr>
          <w:pgSz w:w="11906" w:h="16838"/>
          <w:pgMar w:top="1440" w:right="1440" w:bottom="1440" w:left="1440" w:header="851" w:footer="992" w:gutter="0"/>
          <w:pgNumType w:fmt="lowerRoman" w:start="1"/>
          <w:cols w:space="720" w:num="1"/>
          <w:docGrid w:linePitch="326" w:charSpace="0"/>
        </w:sectPr>
      </w:pPr>
    </w:p>
    <w:p>
      <w:pPr>
        <w:overflowPunct w:val="0"/>
        <w:autoSpaceDE w:val="0"/>
        <w:autoSpaceDN w:val="0"/>
        <w:spacing w:line="240" w:lineRule="auto"/>
        <w:ind w:firstLine="0" w:firstLineChars="0"/>
        <w:jc w:val="center"/>
        <w:rPr>
          <w:rFonts w:eastAsia="仿宋_GB2312"/>
          <w:b/>
          <w:sz w:val="32"/>
          <w:szCs w:val="36"/>
        </w:rPr>
      </w:pPr>
      <w:r>
        <w:rPr>
          <w:rFonts w:hint="eastAsia" w:eastAsia="仿宋_GB2312"/>
          <w:b/>
          <w:sz w:val="32"/>
          <w:szCs w:val="36"/>
        </w:rPr>
        <w:t>第十四师224团小区给水管网改造项目</w:t>
      </w:r>
      <w:r>
        <w:rPr>
          <w:rFonts w:eastAsia="仿宋_GB2312"/>
          <w:b/>
          <w:sz w:val="32"/>
          <w:szCs w:val="36"/>
        </w:rPr>
        <w:t>水土保持方案报告表</w:t>
      </w:r>
    </w:p>
    <w:tbl>
      <w:tblPr>
        <w:tblStyle w:val="40"/>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939"/>
        <w:gridCol w:w="1061"/>
        <w:gridCol w:w="850"/>
        <w:gridCol w:w="1486"/>
        <w:gridCol w:w="498"/>
        <w:gridCol w:w="1125"/>
        <w:gridCol w:w="223"/>
        <w:gridCol w:w="152"/>
        <w:gridCol w:w="756"/>
        <w:gridCol w:w="124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564" w:type="pct"/>
            <w:vMerge w:val="restart"/>
            <w:vAlign w:val="center"/>
          </w:tcPr>
          <w:p>
            <w:pPr>
              <w:widowControl/>
              <w:adjustRightInd/>
              <w:snapToGrid/>
              <w:spacing w:line="240" w:lineRule="auto"/>
              <w:ind w:firstLine="0" w:firstLineChars="0"/>
              <w:jc w:val="center"/>
              <w:rPr>
                <w:rFonts w:eastAsia="仿宋_GB2312"/>
                <w:sz w:val="21"/>
                <w:szCs w:val="21"/>
              </w:rPr>
            </w:pPr>
            <w:r>
              <w:rPr>
                <w:rFonts w:eastAsia="仿宋_GB2312"/>
                <w:sz w:val="21"/>
                <w:szCs w:val="21"/>
              </w:rPr>
              <w:t>项目概况</w:t>
            </w:r>
          </w:p>
        </w:tc>
        <w:tc>
          <w:tcPr>
            <w:tcW w:w="1147" w:type="pct"/>
            <w:gridSpan w:val="2"/>
            <w:vAlign w:val="center"/>
          </w:tcPr>
          <w:p>
            <w:pPr>
              <w:widowControl/>
              <w:adjustRightInd/>
              <w:snapToGrid/>
              <w:spacing w:line="240" w:lineRule="auto"/>
              <w:ind w:firstLine="0" w:firstLineChars="0"/>
              <w:jc w:val="center"/>
              <w:rPr>
                <w:rFonts w:eastAsia="仿宋_GB2312"/>
                <w:sz w:val="21"/>
                <w:szCs w:val="21"/>
              </w:rPr>
            </w:pPr>
            <w:r>
              <w:rPr>
                <w:rFonts w:eastAsia="仿宋_GB2312"/>
                <w:sz w:val="21"/>
                <w:szCs w:val="21"/>
              </w:rPr>
              <w:t>位置</w:t>
            </w:r>
          </w:p>
        </w:tc>
        <w:tc>
          <w:tcPr>
            <w:tcW w:w="3289" w:type="pct"/>
            <w:gridSpan w:val="7"/>
            <w:vAlign w:val="center"/>
          </w:tcPr>
          <w:p>
            <w:pPr>
              <w:widowControl/>
              <w:adjustRightInd/>
              <w:snapToGrid/>
              <w:spacing w:line="240" w:lineRule="auto"/>
              <w:ind w:firstLine="0" w:firstLineChars="0"/>
              <w:jc w:val="center"/>
              <w:rPr>
                <w:rFonts w:eastAsia="仿宋_GB2312"/>
                <w:sz w:val="21"/>
                <w:szCs w:val="21"/>
              </w:rPr>
            </w:pPr>
            <w:r>
              <w:rPr>
                <w:rFonts w:hint="eastAsia" w:eastAsia="仿宋_GB2312"/>
                <w:sz w:val="21"/>
                <w:szCs w:val="21"/>
              </w:rPr>
              <w:t>兵团第十四师224团</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564" w:type="pct"/>
            <w:vMerge w:val="continue"/>
            <w:vAlign w:val="center"/>
          </w:tcPr>
          <w:p>
            <w:pPr>
              <w:widowControl/>
              <w:adjustRightInd/>
              <w:snapToGrid/>
              <w:spacing w:line="240" w:lineRule="auto"/>
              <w:ind w:firstLine="0" w:firstLineChars="0"/>
              <w:jc w:val="left"/>
              <w:rPr>
                <w:rFonts w:eastAsia="仿宋_GB2312"/>
                <w:sz w:val="21"/>
                <w:szCs w:val="21"/>
              </w:rPr>
            </w:pPr>
          </w:p>
        </w:tc>
        <w:tc>
          <w:tcPr>
            <w:tcW w:w="1147" w:type="pct"/>
            <w:gridSpan w:val="2"/>
            <w:vAlign w:val="center"/>
          </w:tcPr>
          <w:p>
            <w:pPr>
              <w:widowControl/>
              <w:adjustRightInd/>
              <w:snapToGrid/>
              <w:spacing w:line="240" w:lineRule="auto"/>
              <w:ind w:firstLine="0" w:firstLineChars="0"/>
              <w:jc w:val="center"/>
              <w:rPr>
                <w:rFonts w:eastAsia="仿宋_GB2312"/>
                <w:position w:val="-2"/>
                <w:sz w:val="21"/>
                <w:szCs w:val="21"/>
              </w:rPr>
            </w:pPr>
            <w:r>
              <w:rPr>
                <w:rFonts w:eastAsia="仿宋_GB2312"/>
                <w:position w:val="-2"/>
                <w:sz w:val="21"/>
                <w:szCs w:val="21"/>
              </w:rPr>
              <w:t>建设内容</w:t>
            </w:r>
          </w:p>
        </w:tc>
        <w:tc>
          <w:tcPr>
            <w:tcW w:w="3289" w:type="pct"/>
            <w:gridSpan w:val="7"/>
            <w:vAlign w:val="center"/>
          </w:tcPr>
          <w:p>
            <w:pPr>
              <w:widowControl/>
              <w:adjustRightInd/>
              <w:snapToGrid/>
              <w:spacing w:line="240" w:lineRule="auto"/>
              <w:ind w:firstLine="0" w:firstLineChars="0"/>
              <w:jc w:val="center"/>
              <w:rPr>
                <w:rFonts w:eastAsia="仿宋_GB2312"/>
                <w:position w:val="-2"/>
                <w:sz w:val="21"/>
                <w:szCs w:val="21"/>
              </w:rPr>
            </w:pPr>
            <w:r>
              <w:rPr>
                <w:rFonts w:hint="eastAsia" w:eastAsia="仿宋_GB2312"/>
                <w:sz w:val="21"/>
                <w:szCs w:val="21"/>
              </w:rPr>
              <w:t>天翔、明珠小区给水管网改造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564" w:type="pct"/>
            <w:vMerge w:val="continue"/>
            <w:vAlign w:val="center"/>
          </w:tcPr>
          <w:p>
            <w:pPr>
              <w:widowControl/>
              <w:adjustRightInd/>
              <w:snapToGrid/>
              <w:spacing w:line="240" w:lineRule="auto"/>
              <w:ind w:firstLine="0" w:firstLineChars="0"/>
              <w:jc w:val="left"/>
              <w:rPr>
                <w:rFonts w:eastAsia="仿宋_GB2312"/>
                <w:sz w:val="21"/>
                <w:szCs w:val="21"/>
              </w:rPr>
            </w:pPr>
          </w:p>
        </w:tc>
        <w:tc>
          <w:tcPr>
            <w:tcW w:w="1147" w:type="pct"/>
            <w:gridSpan w:val="2"/>
            <w:vAlign w:val="center"/>
          </w:tcPr>
          <w:p>
            <w:pPr>
              <w:widowControl/>
              <w:adjustRightInd/>
              <w:snapToGrid/>
              <w:spacing w:line="240" w:lineRule="auto"/>
              <w:ind w:firstLine="0" w:firstLineChars="0"/>
              <w:jc w:val="center"/>
              <w:rPr>
                <w:rFonts w:eastAsia="仿宋_GB2312"/>
                <w:sz w:val="21"/>
                <w:szCs w:val="21"/>
              </w:rPr>
            </w:pPr>
            <w:r>
              <w:rPr>
                <w:rFonts w:eastAsia="仿宋_GB2312"/>
                <w:sz w:val="21"/>
                <w:szCs w:val="21"/>
              </w:rPr>
              <w:t>建设性质</w:t>
            </w:r>
          </w:p>
        </w:tc>
        <w:tc>
          <w:tcPr>
            <w:tcW w:w="1191" w:type="pct"/>
            <w:gridSpan w:val="2"/>
            <w:vAlign w:val="center"/>
          </w:tcPr>
          <w:p>
            <w:pPr>
              <w:widowControl/>
              <w:adjustRightInd/>
              <w:snapToGrid/>
              <w:spacing w:line="240" w:lineRule="auto"/>
              <w:ind w:firstLine="0" w:firstLineChars="0"/>
              <w:jc w:val="center"/>
              <w:rPr>
                <w:rFonts w:eastAsia="仿宋_GB2312"/>
                <w:sz w:val="21"/>
                <w:szCs w:val="21"/>
              </w:rPr>
            </w:pPr>
            <w:r>
              <w:rPr>
                <w:rFonts w:hint="eastAsia" w:eastAsia="仿宋_GB2312"/>
                <w:sz w:val="21"/>
                <w:szCs w:val="21"/>
              </w:rPr>
              <w:t>新建</w:t>
            </w:r>
          </w:p>
        </w:tc>
        <w:tc>
          <w:tcPr>
            <w:tcW w:w="809" w:type="pct"/>
            <w:gridSpan w:val="2"/>
            <w:vAlign w:val="center"/>
          </w:tcPr>
          <w:p>
            <w:pPr>
              <w:widowControl/>
              <w:adjustRightInd/>
              <w:snapToGrid/>
              <w:spacing w:line="240" w:lineRule="auto"/>
              <w:ind w:firstLine="0" w:firstLineChars="0"/>
              <w:jc w:val="center"/>
              <w:rPr>
                <w:rFonts w:eastAsia="仿宋_GB2312"/>
                <w:sz w:val="21"/>
                <w:szCs w:val="21"/>
              </w:rPr>
            </w:pPr>
            <w:r>
              <w:rPr>
                <w:rFonts w:eastAsia="仿宋_GB2312"/>
                <w:sz w:val="21"/>
                <w:szCs w:val="21"/>
              </w:rPr>
              <w:t>总投资（万元）</w:t>
            </w:r>
          </w:p>
        </w:tc>
        <w:tc>
          <w:tcPr>
            <w:tcW w:w="1289" w:type="pct"/>
            <w:gridSpan w:val="3"/>
            <w:vAlign w:val="center"/>
          </w:tcPr>
          <w:p>
            <w:pPr>
              <w:widowControl/>
              <w:adjustRightInd/>
              <w:snapToGrid/>
              <w:spacing w:line="240" w:lineRule="auto"/>
              <w:ind w:firstLine="630" w:firstLineChars="300"/>
              <w:rPr>
                <w:rFonts w:eastAsia="仿宋_GB2312"/>
                <w:sz w:val="21"/>
                <w:szCs w:val="21"/>
              </w:rPr>
            </w:pPr>
            <w:r>
              <w:rPr>
                <w:rFonts w:hint="eastAsia" w:eastAsia="仿宋_GB2312"/>
                <w:sz w:val="21"/>
                <w:szCs w:val="21"/>
              </w:rPr>
              <w:t>430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564" w:type="pct"/>
            <w:vMerge w:val="continue"/>
            <w:vAlign w:val="center"/>
          </w:tcPr>
          <w:p>
            <w:pPr>
              <w:widowControl/>
              <w:adjustRightInd/>
              <w:snapToGrid/>
              <w:spacing w:line="240" w:lineRule="auto"/>
              <w:ind w:firstLine="0" w:firstLineChars="0"/>
              <w:jc w:val="left"/>
              <w:rPr>
                <w:rFonts w:eastAsia="仿宋_GB2312"/>
                <w:sz w:val="21"/>
                <w:szCs w:val="21"/>
              </w:rPr>
            </w:pPr>
          </w:p>
        </w:tc>
        <w:tc>
          <w:tcPr>
            <w:tcW w:w="1147" w:type="pct"/>
            <w:gridSpan w:val="2"/>
            <w:vMerge w:val="restart"/>
            <w:vAlign w:val="center"/>
          </w:tcPr>
          <w:p>
            <w:pPr>
              <w:widowControl/>
              <w:adjustRightInd/>
              <w:snapToGrid/>
              <w:spacing w:line="240" w:lineRule="auto"/>
              <w:ind w:firstLine="0" w:firstLineChars="0"/>
              <w:jc w:val="center"/>
              <w:rPr>
                <w:rFonts w:eastAsia="仿宋_GB2312"/>
                <w:sz w:val="21"/>
                <w:szCs w:val="21"/>
              </w:rPr>
            </w:pPr>
            <w:r>
              <w:rPr>
                <w:rFonts w:eastAsia="仿宋_GB2312"/>
                <w:sz w:val="21"/>
                <w:szCs w:val="21"/>
              </w:rPr>
              <w:t>土建投资（万元）</w:t>
            </w:r>
          </w:p>
        </w:tc>
        <w:tc>
          <w:tcPr>
            <w:tcW w:w="1191" w:type="pct"/>
            <w:gridSpan w:val="2"/>
            <w:vMerge w:val="restart"/>
            <w:vAlign w:val="center"/>
          </w:tcPr>
          <w:p>
            <w:pPr>
              <w:widowControl/>
              <w:adjustRightInd/>
              <w:snapToGrid/>
              <w:spacing w:line="240" w:lineRule="auto"/>
              <w:ind w:firstLine="0" w:firstLineChars="0"/>
              <w:jc w:val="center"/>
              <w:rPr>
                <w:rFonts w:eastAsia="仿宋_GB2312"/>
                <w:sz w:val="21"/>
                <w:szCs w:val="21"/>
              </w:rPr>
            </w:pPr>
            <w:r>
              <w:rPr>
                <w:rFonts w:hint="eastAsia" w:eastAsia="仿宋_GB2312"/>
                <w:sz w:val="21"/>
                <w:szCs w:val="21"/>
              </w:rPr>
              <w:t>366.97</w:t>
            </w:r>
          </w:p>
        </w:tc>
        <w:tc>
          <w:tcPr>
            <w:tcW w:w="809" w:type="pct"/>
            <w:gridSpan w:val="2"/>
            <w:vMerge w:val="restart"/>
            <w:vAlign w:val="center"/>
          </w:tcPr>
          <w:p>
            <w:pPr>
              <w:widowControl/>
              <w:adjustRightInd/>
              <w:snapToGrid/>
              <w:spacing w:line="240" w:lineRule="auto"/>
              <w:ind w:firstLine="0" w:firstLineChars="0"/>
              <w:jc w:val="center"/>
              <w:rPr>
                <w:rFonts w:eastAsia="仿宋_GB2312"/>
                <w:sz w:val="21"/>
                <w:szCs w:val="21"/>
              </w:rPr>
            </w:pPr>
            <w:r>
              <w:rPr>
                <w:rFonts w:eastAsia="仿宋_GB2312"/>
                <w:sz w:val="21"/>
                <w:szCs w:val="21"/>
              </w:rPr>
              <w:t>占地面积（</w:t>
            </w:r>
            <w:r>
              <w:rPr>
                <w:rFonts w:hint="eastAsia" w:eastAsia="仿宋_GB2312"/>
                <w:sz w:val="21"/>
                <w:szCs w:val="21"/>
              </w:rPr>
              <w:t>h</w:t>
            </w:r>
            <w:r>
              <w:rPr>
                <w:rFonts w:eastAsia="仿宋_GB2312"/>
                <w:sz w:val="21"/>
                <w:szCs w:val="21"/>
              </w:rPr>
              <w:t>m</w:t>
            </w:r>
            <w:r>
              <w:rPr>
                <w:rFonts w:eastAsia="仿宋_GB2312"/>
                <w:sz w:val="21"/>
                <w:szCs w:val="21"/>
                <w:vertAlign w:val="superscript"/>
              </w:rPr>
              <w:t>2</w:t>
            </w:r>
            <w:r>
              <w:rPr>
                <w:rFonts w:eastAsia="仿宋_GB2312"/>
                <w:sz w:val="21"/>
                <w:szCs w:val="21"/>
              </w:rPr>
              <w:t>）</w:t>
            </w:r>
          </w:p>
        </w:tc>
        <w:tc>
          <w:tcPr>
            <w:tcW w:w="1289" w:type="pct"/>
            <w:gridSpan w:val="3"/>
            <w:vAlign w:val="center"/>
          </w:tcPr>
          <w:p>
            <w:pPr>
              <w:widowControl/>
              <w:adjustRightInd/>
              <w:snapToGrid/>
              <w:spacing w:line="240" w:lineRule="auto"/>
              <w:ind w:firstLine="0" w:firstLineChars="0"/>
              <w:rPr>
                <w:rFonts w:eastAsia="仿宋_GB2312"/>
                <w:sz w:val="21"/>
                <w:szCs w:val="21"/>
              </w:rPr>
            </w:pPr>
            <w:r>
              <w:rPr>
                <w:rFonts w:eastAsia="仿宋_GB2312"/>
                <w:sz w:val="21"/>
                <w:szCs w:val="21"/>
              </w:rPr>
              <w:t>永久：</w:t>
            </w:r>
            <w:r>
              <w:rPr>
                <w:rFonts w:hint="eastAsia" w:eastAsia="仿宋_GB2312"/>
                <w:sz w:val="21"/>
                <w:szCs w:val="21"/>
              </w:rPr>
              <w:t>0.11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564" w:type="pct"/>
            <w:vMerge w:val="continue"/>
            <w:vAlign w:val="center"/>
          </w:tcPr>
          <w:p>
            <w:pPr>
              <w:widowControl/>
              <w:adjustRightInd/>
              <w:snapToGrid/>
              <w:spacing w:line="240" w:lineRule="auto"/>
              <w:ind w:firstLine="0" w:firstLineChars="0"/>
              <w:jc w:val="left"/>
              <w:rPr>
                <w:rFonts w:eastAsia="仿宋_GB2312"/>
                <w:sz w:val="21"/>
                <w:szCs w:val="21"/>
              </w:rPr>
            </w:pPr>
          </w:p>
        </w:tc>
        <w:tc>
          <w:tcPr>
            <w:tcW w:w="1147" w:type="pct"/>
            <w:gridSpan w:val="2"/>
            <w:vMerge w:val="continue"/>
            <w:vAlign w:val="center"/>
          </w:tcPr>
          <w:p>
            <w:pPr>
              <w:widowControl/>
              <w:adjustRightInd/>
              <w:snapToGrid/>
              <w:spacing w:line="240" w:lineRule="auto"/>
              <w:ind w:firstLine="0" w:firstLineChars="0"/>
              <w:jc w:val="left"/>
              <w:rPr>
                <w:rFonts w:eastAsia="仿宋_GB2312"/>
                <w:sz w:val="21"/>
                <w:szCs w:val="21"/>
              </w:rPr>
            </w:pPr>
          </w:p>
        </w:tc>
        <w:tc>
          <w:tcPr>
            <w:tcW w:w="1191" w:type="pct"/>
            <w:gridSpan w:val="2"/>
            <w:vMerge w:val="continue"/>
            <w:vAlign w:val="center"/>
          </w:tcPr>
          <w:p>
            <w:pPr>
              <w:widowControl/>
              <w:adjustRightInd/>
              <w:snapToGrid/>
              <w:spacing w:line="240" w:lineRule="auto"/>
              <w:ind w:firstLine="0" w:firstLineChars="0"/>
              <w:jc w:val="left"/>
              <w:rPr>
                <w:rFonts w:eastAsia="仿宋_GB2312"/>
                <w:sz w:val="21"/>
                <w:szCs w:val="21"/>
              </w:rPr>
            </w:pPr>
          </w:p>
        </w:tc>
        <w:tc>
          <w:tcPr>
            <w:tcW w:w="809" w:type="pct"/>
            <w:gridSpan w:val="2"/>
            <w:vMerge w:val="continue"/>
            <w:vAlign w:val="center"/>
          </w:tcPr>
          <w:p>
            <w:pPr>
              <w:widowControl/>
              <w:adjustRightInd/>
              <w:snapToGrid/>
              <w:spacing w:line="240" w:lineRule="auto"/>
              <w:ind w:firstLine="0" w:firstLineChars="0"/>
              <w:jc w:val="left"/>
              <w:rPr>
                <w:rFonts w:eastAsia="仿宋_GB2312"/>
                <w:sz w:val="21"/>
                <w:szCs w:val="21"/>
              </w:rPr>
            </w:pPr>
          </w:p>
        </w:tc>
        <w:tc>
          <w:tcPr>
            <w:tcW w:w="1289" w:type="pct"/>
            <w:gridSpan w:val="3"/>
            <w:vAlign w:val="center"/>
          </w:tcPr>
          <w:p>
            <w:pPr>
              <w:widowControl/>
              <w:adjustRightInd/>
              <w:snapToGrid/>
              <w:spacing w:line="240" w:lineRule="auto"/>
              <w:ind w:firstLine="0" w:firstLineChars="0"/>
              <w:rPr>
                <w:rFonts w:eastAsia="仿宋_GB2312"/>
                <w:sz w:val="21"/>
                <w:szCs w:val="21"/>
              </w:rPr>
            </w:pPr>
            <w:r>
              <w:rPr>
                <w:rFonts w:eastAsia="仿宋_GB2312"/>
                <w:sz w:val="21"/>
                <w:szCs w:val="21"/>
              </w:rPr>
              <w:t>临时：</w:t>
            </w:r>
            <w:r>
              <w:rPr>
                <w:rFonts w:hint="eastAsia" w:eastAsia="仿宋_GB2312"/>
                <w:sz w:val="21"/>
                <w:szCs w:val="21"/>
              </w:rPr>
              <w:t>1.73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564" w:type="pct"/>
            <w:vMerge w:val="continue"/>
            <w:vAlign w:val="center"/>
          </w:tcPr>
          <w:p>
            <w:pPr>
              <w:widowControl/>
              <w:adjustRightInd/>
              <w:snapToGrid/>
              <w:spacing w:line="240" w:lineRule="auto"/>
              <w:ind w:firstLine="0" w:firstLineChars="0"/>
              <w:jc w:val="left"/>
              <w:rPr>
                <w:rFonts w:eastAsia="仿宋_GB2312"/>
                <w:sz w:val="21"/>
                <w:szCs w:val="21"/>
              </w:rPr>
            </w:pPr>
          </w:p>
        </w:tc>
        <w:tc>
          <w:tcPr>
            <w:tcW w:w="1147" w:type="pct"/>
            <w:gridSpan w:val="2"/>
            <w:vAlign w:val="center"/>
          </w:tcPr>
          <w:p>
            <w:pPr>
              <w:widowControl/>
              <w:adjustRightInd/>
              <w:snapToGrid/>
              <w:spacing w:line="240" w:lineRule="auto"/>
              <w:ind w:firstLine="0" w:firstLineChars="0"/>
              <w:jc w:val="center"/>
              <w:rPr>
                <w:rFonts w:eastAsia="仿宋_GB2312"/>
                <w:sz w:val="21"/>
                <w:szCs w:val="21"/>
              </w:rPr>
            </w:pPr>
            <w:r>
              <w:rPr>
                <w:rFonts w:eastAsia="仿宋_GB2312"/>
                <w:sz w:val="21"/>
                <w:szCs w:val="21"/>
              </w:rPr>
              <w:t>动工时间</w:t>
            </w:r>
          </w:p>
        </w:tc>
        <w:tc>
          <w:tcPr>
            <w:tcW w:w="1191" w:type="pct"/>
            <w:gridSpan w:val="2"/>
            <w:vAlign w:val="center"/>
          </w:tcPr>
          <w:p>
            <w:pPr>
              <w:widowControl/>
              <w:adjustRightInd/>
              <w:snapToGrid/>
              <w:spacing w:line="240" w:lineRule="auto"/>
              <w:ind w:firstLine="0" w:firstLineChars="0"/>
              <w:jc w:val="center"/>
              <w:rPr>
                <w:rFonts w:eastAsia="仿宋_GB2312"/>
                <w:sz w:val="21"/>
                <w:szCs w:val="21"/>
              </w:rPr>
            </w:pPr>
            <w:r>
              <w:rPr>
                <w:rFonts w:eastAsia="仿宋_GB2312"/>
                <w:sz w:val="21"/>
                <w:szCs w:val="21"/>
              </w:rPr>
              <w:t>20</w:t>
            </w:r>
            <w:r>
              <w:rPr>
                <w:rFonts w:hint="eastAsia" w:eastAsia="仿宋_GB2312"/>
                <w:sz w:val="21"/>
                <w:szCs w:val="21"/>
              </w:rPr>
              <w:t>21</w:t>
            </w:r>
            <w:r>
              <w:rPr>
                <w:rFonts w:eastAsia="仿宋_GB2312"/>
                <w:sz w:val="21"/>
                <w:szCs w:val="21"/>
              </w:rPr>
              <w:t>年</w:t>
            </w:r>
            <w:r>
              <w:rPr>
                <w:rFonts w:hint="eastAsia" w:eastAsia="仿宋_GB2312"/>
                <w:sz w:val="21"/>
                <w:szCs w:val="21"/>
              </w:rPr>
              <w:t>9</w:t>
            </w:r>
            <w:r>
              <w:rPr>
                <w:rFonts w:eastAsia="仿宋_GB2312"/>
                <w:sz w:val="21"/>
                <w:szCs w:val="21"/>
              </w:rPr>
              <w:t>月</w:t>
            </w:r>
          </w:p>
        </w:tc>
        <w:tc>
          <w:tcPr>
            <w:tcW w:w="809" w:type="pct"/>
            <w:gridSpan w:val="2"/>
            <w:vAlign w:val="center"/>
          </w:tcPr>
          <w:p>
            <w:pPr>
              <w:widowControl/>
              <w:adjustRightInd/>
              <w:snapToGrid/>
              <w:spacing w:line="240" w:lineRule="auto"/>
              <w:ind w:firstLine="0" w:firstLineChars="0"/>
              <w:jc w:val="center"/>
              <w:rPr>
                <w:rFonts w:eastAsia="仿宋_GB2312"/>
                <w:sz w:val="21"/>
                <w:szCs w:val="21"/>
              </w:rPr>
            </w:pPr>
            <w:r>
              <w:rPr>
                <w:rFonts w:eastAsia="仿宋_GB2312"/>
                <w:sz w:val="21"/>
                <w:szCs w:val="21"/>
              </w:rPr>
              <w:t>完工时间</w:t>
            </w:r>
          </w:p>
        </w:tc>
        <w:tc>
          <w:tcPr>
            <w:tcW w:w="1289" w:type="pct"/>
            <w:gridSpan w:val="3"/>
            <w:vAlign w:val="center"/>
          </w:tcPr>
          <w:p>
            <w:pPr>
              <w:widowControl/>
              <w:adjustRightInd/>
              <w:snapToGrid/>
              <w:spacing w:line="240" w:lineRule="auto"/>
              <w:ind w:firstLine="0" w:firstLineChars="0"/>
              <w:jc w:val="center"/>
              <w:rPr>
                <w:rFonts w:eastAsia="仿宋_GB2312"/>
                <w:sz w:val="21"/>
                <w:szCs w:val="21"/>
              </w:rPr>
            </w:pPr>
            <w:r>
              <w:rPr>
                <w:rFonts w:eastAsia="仿宋_GB2312"/>
                <w:sz w:val="21"/>
                <w:szCs w:val="21"/>
              </w:rPr>
              <w:t>20</w:t>
            </w:r>
            <w:r>
              <w:rPr>
                <w:rFonts w:hint="eastAsia" w:eastAsia="仿宋_GB2312"/>
                <w:sz w:val="21"/>
                <w:szCs w:val="21"/>
              </w:rPr>
              <w:t>21</w:t>
            </w:r>
            <w:r>
              <w:rPr>
                <w:rFonts w:eastAsia="仿宋_GB2312"/>
                <w:sz w:val="21"/>
                <w:szCs w:val="21"/>
              </w:rPr>
              <w:t>年</w:t>
            </w:r>
            <w:r>
              <w:rPr>
                <w:rFonts w:hint="eastAsia" w:eastAsia="仿宋_GB2312"/>
                <w:sz w:val="21"/>
                <w:szCs w:val="21"/>
              </w:rPr>
              <w:t>12</w:t>
            </w:r>
            <w:r>
              <w:rPr>
                <w:rFonts w:eastAsia="仿宋_GB2312"/>
                <w:sz w:val="21"/>
                <w:szCs w:val="21"/>
              </w:rPr>
              <w:t>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564" w:type="pct"/>
            <w:vMerge w:val="continue"/>
            <w:vAlign w:val="center"/>
          </w:tcPr>
          <w:p>
            <w:pPr>
              <w:widowControl/>
              <w:adjustRightInd/>
              <w:snapToGrid/>
              <w:spacing w:line="240" w:lineRule="auto"/>
              <w:ind w:firstLine="0" w:firstLineChars="0"/>
              <w:jc w:val="left"/>
              <w:rPr>
                <w:rFonts w:eastAsia="仿宋_GB2312"/>
                <w:sz w:val="21"/>
                <w:szCs w:val="21"/>
              </w:rPr>
            </w:pPr>
          </w:p>
        </w:tc>
        <w:tc>
          <w:tcPr>
            <w:tcW w:w="1147" w:type="pct"/>
            <w:gridSpan w:val="2"/>
            <w:vMerge w:val="restart"/>
            <w:vAlign w:val="center"/>
          </w:tcPr>
          <w:p>
            <w:pPr>
              <w:widowControl/>
              <w:adjustRightInd/>
              <w:snapToGrid/>
              <w:spacing w:line="240" w:lineRule="auto"/>
              <w:ind w:firstLine="0" w:firstLineChars="0"/>
              <w:jc w:val="center"/>
              <w:rPr>
                <w:rFonts w:eastAsia="仿宋_GB2312"/>
                <w:sz w:val="21"/>
                <w:szCs w:val="21"/>
              </w:rPr>
            </w:pPr>
            <w:r>
              <w:rPr>
                <w:rFonts w:eastAsia="仿宋_GB2312"/>
                <w:sz w:val="21"/>
                <w:szCs w:val="21"/>
              </w:rPr>
              <w:t>土石方（</w:t>
            </w:r>
            <w:r>
              <w:rPr>
                <w:rFonts w:hint="eastAsia" w:eastAsia="仿宋_GB2312"/>
                <w:sz w:val="21"/>
                <w:szCs w:val="21"/>
              </w:rPr>
              <w:t>万</w:t>
            </w:r>
            <w:r>
              <w:rPr>
                <w:rFonts w:eastAsia="仿宋_GB2312"/>
                <w:sz w:val="21"/>
                <w:szCs w:val="21"/>
              </w:rPr>
              <w:t>m</w:t>
            </w:r>
            <w:r>
              <w:rPr>
                <w:rFonts w:eastAsia="仿宋_GB2312"/>
                <w:sz w:val="21"/>
                <w:szCs w:val="21"/>
                <w:vertAlign w:val="superscript"/>
              </w:rPr>
              <w:t>3</w:t>
            </w:r>
            <w:r>
              <w:rPr>
                <w:rFonts w:eastAsia="仿宋_GB2312"/>
                <w:sz w:val="21"/>
                <w:szCs w:val="21"/>
              </w:rPr>
              <w:t>）</w:t>
            </w:r>
          </w:p>
        </w:tc>
        <w:tc>
          <w:tcPr>
            <w:tcW w:w="1191" w:type="pct"/>
            <w:gridSpan w:val="2"/>
            <w:vAlign w:val="center"/>
          </w:tcPr>
          <w:p>
            <w:pPr>
              <w:widowControl/>
              <w:adjustRightInd/>
              <w:snapToGrid/>
              <w:spacing w:line="240" w:lineRule="auto"/>
              <w:ind w:firstLine="0" w:firstLineChars="0"/>
              <w:jc w:val="center"/>
              <w:rPr>
                <w:rFonts w:eastAsia="仿宋_GB2312"/>
                <w:sz w:val="21"/>
                <w:szCs w:val="21"/>
              </w:rPr>
            </w:pPr>
            <w:r>
              <w:rPr>
                <w:rFonts w:eastAsia="仿宋_GB2312"/>
                <w:sz w:val="21"/>
                <w:szCs w:val="21"/>
              </w:rPr>
              <w:t>挖方</w:t>
            </w:r>
          </w:p>
        </w:tc>
        <w:tc>
          <w:tcPr>
            <w:tcW w:w="809" w:type="pct"/>
            <w:gridSpan w:val="2"/>
            <w:vAlign w:val="center"/>
          </w:tcPr>
          <w:p>
            <w:pPr>
              <w:widowControl/>
              <w:adjustRightInd/>
              <w:snapToGrid/>
              <w:spacing w:line="240" w:lineRule="auto"/>
              <w:ind w:firstLine="0" w:firstLineChars="0"/>
              <w:jc w:val="center"/>
              <w:rPr>
                <w:rFonts w:eastAsia="仿宋_GB2312"/>
                <w:sz w:val="21"/>
                <w:szCs w:val="21"/>
              </w:rPr>
            </w:pPr>
            <w:r>
              <w:rPr>
                <w:rFonts w:eastAsia="仿宋_GB2312"/>
                <w:sz w:val="21"/>
                <w:szCs w:val="21"/>
              </w:rPr>
              <w:t>填方</w:t>
            </w:r>
          </w:p>
        </w:tc>
        <w:tc>
          <w:tcPr>
            <w:tcW w:w="545" w:type="pct"/>
            <w:gridSpan w:val="2"/>
            <w:vAlign w:val="center"/>
          </w:tcPr>
          <w:p>
            <w:pPr>
              <w:widowControl/>
              <w:adjustRightInd/>
              <w:snapToGrid/>
              <w:spacing w:line="240" w:lineRule="auto"/>
              <w:ind w:firstLine="0" w:firstLineChars="0"/>
              <w:jc w:val="center"/>
              <w:rPr>
                <w:rFonts w:eastAsia="仿宋_GB2312"/>
                <w:sz w:val="21"/>
                <w:szCs w:val="21"/>
              </w:rPr>
            </w:pPr>
            <w:r>
              <w:rPr>
                <w:rFonts w:eastAsia="仿宋_GB2312"/>
                <w:sz w:val="21"/>
                <w:szCs w:val="21"/>
              </w:rPr>
              <w:t>借方</w:t>
            </w:r>
          </w:p>
        </w:tc>
        <w:tc>
          <w:tcPr>
            <w:tcW w:w="744" w:type="pct"/>
            <w:vAlign w:val="center"/>
          </w:tcPr>
          <w:p>
            <w:pPr>
              <w:widowControl/>
              <w:adjustRightInd/>
              <w:snapToGrid/>
              <w:spacing w:line="240" w:lineRule="auto"/>
              <w:ind w:firstLine="0" w:firstLineChars="0"/>
              <w:jc w:val="center"/>
              <w:rPr>
                <w:rFonts w:eastAsia="仿宋_GB2312"/>
                <w:sz w:val="21"/>
                <w:szCs w:val="21"/>
              </w:rPr>
            </w:pPr>
            <w:r>
              <w:rPr>
                <w:rFonts w:eastAsia="仿宋_GB2312"/>
                <w:sz w:val="21"/>
                <w:szCs w:val="21"/>
              </w:rPr>
              <w:t>余（弃）方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564" w:type="pct"/>
            <w:vMerge w:val="continue"/>
            <w:vAlign w:val="center"/>
          </w:tcPr>
          <w:p>
            <w:pPr>
              <w:widowControl/>
              <w:adjustRightInd/>
              <w:snapToGrid/>
              <w:spacing w:line="240" w:lineRule="auto"/>
              <w:ind w:firstLine="0" w:firstLineChars="0"/>
              <w:jc w:val="left"/>
              <w:rPr>
                <w:rFonts w:eastAsia="仿宋_GB2312"/>
                <w:sz w:val="21"/>
                <w:szCs w:val="21"/>
              </w:rPr>
            </w:pPr>
          </w:p>
        </w:tc>
        <w:tc>
          <w:tcPr>
            <w:tcW w:w="1147" w:type="pct"/>
            <w:gridSpan w:val="2"/>
            <w:vMerge w:val="continue"/>
            <w:vAlign w:val="center"/>
          </w:tcPr>
          <w:p>
            <w:pPr>
              <w:widowControl/>
              <w:adjustRightInd/>
              <w:snapToGrid/>
              <w:spacing w:line="240" w:lineRule="auto"/>
              <w:ind w:firstLine="0" w:firstLineChars="0"/>
              <w:jc w:val="left"/>
              <w:rPr>
                <w:rFonts w:eastAsia="仿宋_GB2312"/>
                <w:sz w:val="21"/>
                <w:szCs w:val="21"/>
              </w:rPr>
            </w:pPr>
          </w:p>
        </w:tc>
        <w:tc>
          <w:tcPr>
            <w:tcW w:w="1191" w:type="pct"/>
            <w:gridSpan w:val="2"/>
            <w:vAlign w:val="center"/>
          </w:tcPr>
          <w:p>
            <w:pPr>
              <w:widowControl/>
              <w:adjustRightInd/>
              <w:snapToGrid/>
              <w:spacing w:line="240" w:lineRule="auto"/>
              <w:ind w:firstLine="0" w:firstLineChars="0"/>
              <w:jc w:val="center"/>
              <w:rPr>
                <w:rFonts w:eastAsia="仿宋_GB2312"/>
                <w:sz w:val="21"/>
                <w:szCs w:val="21"/>
              </w:rPr>
            </w:pPr>
            <w:r>
              <w:rPr>
                <w:rFonts w:hint="eastAsia" w:eastAsia="仿宋_GB2312"/>
                <w:sz w:val="21"/>
                <w:szCs w:val="21"/>
              </w:rPr>
              <w:t>0.68</w:t>
            </w:r>
          </w:p>
        </w:tc>
        <w:tc>
          <w:tcPr>
            <w:tcW w:w="809" w:type="pct"/>
            <w:gridSpan w:val="2"/>
            <w:vAlign w:val="center"/>
          </w:tcPr>
          <w:p>
            <w:pPr>
              <w:widowControl/>
              <w:adjustRightInd/>
              <w:snapToGrid/>
              <w:spacing w:line="240" w:lineRule="auto"/>
              <w:ind w:firstLine="0" w:firstLineChars="0"/>
              <w:jc w:val="center"/>
              <w:rPr>
                <w:rFonts w:eastAsia="仿宋_GB2312"/>
                <w:sz w:val="21"/>
                <w:szCs w:val="21"/>
              </w:rPr>
            </w:pPr>
            <w:r>
              <w:rPr>
                <w:rFonts w:hint="eastAsia" w:eastAsia="仿宋_GB2312"/>
                <w:sz w:val="21"/>
                <w:szCs w:val="21"/>
              </w:rPr>
              <w:t>0.68</w:t>
            </w:r>
          </w:p>
        </w:tc>
        <w:tc>
          <w:tcPr>
            <w:tcW w:w="545" w:type="pct"/>
            <w:gridSpan w:val="2"/>
            <w:vAlign w:val="center"/>
          </w:tcPr>
          <w:p>
            <w:pPr>
              <w:widowControl/>
              <w:adjustRightInd/>
              <w:snapToGrid/>
              <w:spacing w:line="240" w:lineRule="auto"/>
              <w:ind w:firstLine="0" w:firstLineChars="0"/>
              <w:jc w:val="center"/>
              <w:rPr>
                <w:rFonts w:eastAsia="仿宋_GB2312"/>
                <w:sz w:val="21"/>
                <w:szCs w:val="21"/>
              </w:rPr>
            </w:pPr>
            <w:r>
              <w:rPr>
                <w:rFonts w:eastAsia="仿宋_GB2312"/>
                <w:sz w:val="21"/>
                <w:szCs w:val="21"/>
              </w:rPr>
              <w:t>/</w:t>
            </w:r>
          </w:p>
        </w:tc>
        <w:tc>
          <w:tcPr>
            <w:tcW w:w="744" w:type="pct"/>
            <w:vAlign w:val="center"/>
          </w:tcPr>
          <w:p>
            <w:pPr>
              <w:widowControl/>
              <w:adjustRightInd/>
              <w:snapToGrid/>
              <w:spacing w:line="240" w:lineRule="auto"/>
              <w:ind w:firstLine="0" w:firstLineChars="0"/>
              <w:jc w:val="center"/>
              <w:rPr>
                <w:rFonts w:eastAsia="仿宋_GB2312"/>
                <w:sz w:val="21"/>
                <w:szCs w:val="21"/>
              </w:rPr>
            </w:pPr>
            <w:r>
              <w:rPr>
                <w:rFonts w:hint="eastAsia" w:eastAsia="仿宋_GB2312"/>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564" w:type="pct"/>
            <w:vMerge w:val="continue"/>
            <w:vAlign w:val="center"/>
          </w:tcPr>
          <w:p>
            <w:pPr>
              <w:widowControl/>
              <w:adjustRightInd/>
              <w:snapToGrid/>
              <w:spacing w:line="240" w:lineRule="auto"/>
              <w:ind w:firstLine="0" w:firstLineChars="0"/>
              <w:jc w:val="left"/>
              <w:rPr>
                <w:rFonts w:eastAsia="仿宋_GB2312"/>
                <w:sz w:val="21"/>
                <w:szCs w:val="21"/>
              </w:rPr>
            </w:pPr>
          </w:p>
        </w:tc>
        <w:tc>
          <w:tcPr>
            <w:tcW w:w="1147" w:type="pct"/>
            <w:gridSpan w:val="2"/>
            <w:vAlign w:val="center"/>
          </w:tcPr>
          <w:p>
            <w:pPr>
              <w:widowControl/>
              <w:adjustRightInd/>
              <w:snapToGrid/>
              <w:spacing w:line="240" w:lineRule="auto"/>
              <w:ind w:firstLine="0" w:firstLineChars="0"/>
              <w:jc w:val="center"/>
              <w:rPr>
                <w:rFonts w:eastAsia="仿宋_GB2312"/>
                <w:sz w:val="21"/>
                <w:szCs w:val="21"/>
              </w:rPr>
            </w:pPr>
            <w:r>
              <w:rPr>
                <w:rFonts w:eastAsia="仿宋_GB2312"/>
                <w:sz w:val="21"/>
                <w:szCs w:val="21"/>
              </w:rPr>
              <w:t>取土（石、渣）场</w:t>
            </w:r>
          </w:p>
        </w:tc>
        <w:tc>
          <w:tcPr>
            <w:tcW w:w="3289" w:type="pct"/>
            <w:gridSpan w:val="7"/>
            <w:vAlign w:val="center"/>
          </w:tcPr>
          <w:p>
            <w:pPr>
              <w:widowControl/>
              <w:adjustRightInd/>
              <w:snapToGrid/>
              <w:spacing w:line="240" w:lineRule="auto"/>
              <w:ind w:firstLine="0" w:firstLineChars="0"/>
              <w:jc w:val="center"/>
              <w:rPr>
                <w:rFonts w:eastAsia="仿宋_GB2312"/>
                <w:sz w:val="21"/>
                <w:szCs w:val="21"/>
              </w:rPr>
            </w:pPr>
            <w:r>
              <w:rPr>
                <w:rFonts w:eastAsia="仿宋_GB2312"/>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564" w:type="pct"/>
            <w:vMerge w:val="continue"/>
            <w:vAlign w:val="center"/>
          </w:tcPr>
          <w:p>
            <w:pPr>
              <w:widowControl/>
              <w:adjustRightInd/>
              <w:snapToGrid/>
              <w:spacing w:line="240" w:lineRule="auto"/>
              <w:ind w:firstLine="0" w:firstLineChars="0"/>
              <w:jc w:val="left"/>
              <w:rPr>
                <w:rFonts w:eastAsia="仿宋_GB2312"/>
                <w:sz w:val="21"/>
                <w:szCs w:val="21"/>
              </w:rPr>
            </w:pPr>
          </w:p>
        </w:tc>
        <w:tc>
          <w:tcPr>
            <w:tcW w:w="1147" w:type="pct"/>
            <w:gridSpan w:val="2"/>
            <w:vAlign w:val="center"/>
          </w:tcPr>
          <w:p>
            <w:pPr>
              <w:widowControl/>
              <w:adjustRightInd/>
              <w:snapToGrid/>
              <w:spacing w:line="240" w:lineRule="auto"/>
              <w:ind w:firstLine="0" w:firstLineChars="0"/>
              <w:jc w:val="center"/>
              <w:rPr>
                <w:rFonts w:eastAsia="仿宋_GB2312"/>
                <w:sz w:val="21"/>
                <w:szCs w:val="21"/>
              </w:rPr>
            </w:pPr>
            <w:r>
              <w:rPr>
                <w:rFonts w:eastAsia="仿宋_GB2312"/>
                <w:sz w:val="21"/>
                <w:szCs w:val="21"/>
              </w:rPr>
              <w:t>弃土（石、渣）场</w:t>
            </w:r>
          </w:p>
        </w:tc>
        <w:tc>
          <w:tcPr>
            <w:tcW w:w="3289" w:type="pct"/>
            <w:gridSpan w:val="7"/>
            <w:vAlign w:val="center"/>
          </w:tcPr>
          <w:p>
            <w:pPr>
              <w:widowControl/>
              <w:adjustRightInd/>
              <w:snapToGrid/>
              <w:spacing w:line="240" w:lineRule="auto"/>
              <w:ind w:firstLine="0" w:firstLineChars="0"/>
              <w:jc w:val="center"/>
              <w:rPr>
                <w:rFonts w:eastAsia="仿宋_GB2312"/>
                <w:sz w:val="21"/>
                <w:szCs w:val="21"/>
              </w:rPr>
            </w:pPr>
            <w:r>
              <w:rPr>
                <w:rFonts w:eastAsia="仿宋_GB2312"/>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564" w:type="pct"/>
            <w:vMerge w:val="restart"/>
            <w:vAlign w:val="center"/>
          </w:tcPr>
          <w:p>
            <w:pPr>
              <w:widowControl/>
              <w:adjustRightInd/>
              <w:snapToGrid/>
              <w:spacing w:line="240" w:lineRule="auto"/>
              <w:ind w:firstLine="0" w:firstLineChars="0"/>
              <w:jc w:val="center"/>
              <w:rPr>
                <w:rFonts w:eastAsia="仿宋_GB2312"/>
                <w:sz w:val="21"/>
                <w:szCs w:val="21"/>
              </w:rPr>
            </w:pPr>
            <w:r>
              <w:rPr>
                <w:rFonts w:eastAsia="仿宋_GB2312"/>
                <w:sz w:val="21"/>
                <w:szCs w:val="21"/>
              </w:rPr>
              <w:t>项目区</w:t>
            </w:r>
          </w:p>
          <w:p>
            <w:pPr>
              <w:widowControl/>
              <w:adjustRightInd/>
              <w:snapToGrid/>
              <w:spacing w:line="240" w:lineRule="auto"/>
              <w:ind w:firstLine="0" w:firstLineChars="0"/>
              <w:jc w:val="center"/>
              <w:rPr>
                <w:rFonts w:eastAsia="仿宋_GB2312"/>
                <w:sz w:val="21"/>
                <w:szCs w:val="21"/>
              </w:rPr>
            </w:pPr>
            <w:r>
              <w:rPr>
                <w:rFonts w:eastAsia="仿宋_GB2312"/>
                <w:sz w:val="21"/>
                <w:szCs w:val="21"/>
              </w:rPr>
              <w:t>概况</w:t>
            </w:r>
          </w:p>
        </w:tc>
        <w:tc>
          <w:tcPr>
            <w:tcW w:w="1147" w:type="pct"/>
            <w:gridSpan w:val="2"/>
            <w:vAlign w:val="center"/>
          </w:tcPr>
          <w:p>
            <w:pPr>
              <w:widowControl/>
              <w:adjustRightInd/>
              <w:snapToGrid/>
              <w:spacing w:line="240" w:lineRule="auto"/>
              <w:ind w:firstLine="0" w:firstLineChars="0"/>
              <w:jc w:val="center"/>
              <w:rPr>
                <w:rFonts w:eastAsia="仿宋_GB2312"/>
                <w:sz w:val="21"/>
                <w:szCs w:val="21"/>
              </w:rPr>
            </w:pPr>
            <w:r>
              <w:rPr>
                <w:rFonts w:eastAsia="仿宋_GB2312"/>
                <w:sz w:val="21"/>
                <w:szCs w:val="21"/>
              </w:rPr>
              <w:t>涉及重点防治区情况</w:t>
            </w:r>
          </w:p>
        </w:tc>
        <w:tc>
          <w:tcPr>
            <w:tcW w:w="1191" w:type="pct"/>
            <w:gridSpan w:val="2"/>
            <w:vAlign w:val="center"/>
          </w:tcPr>
          <w:p>
            <w:pPr>
              <w:widowControl/>
              <w:adjustRightInd/>
              <w:snapToGrid/>
              <w:spacing w:line="240" w:lineRule="auto"/>
              <w:ind w:firstLine="0" w:firstLineChars="0"/>
              <w:jc w:val="center"/>
              <w:rPr>
                <w:rFonts w:eastAsia="仿宋_GB2312"/>
                <w:sz w:val="21"/>
                <w:szCs w:val="21"/>
              </w:rPr>
            </w:pPr>
            <w:r>
              <w:rPr>
                <w:rFonts w:eastAsia="仿宋_GB2312"/>
                <w:sz w:val="21"/>
                <w:szCs w:val="21"/>
              </w:rPr>
              <w:t>塔里木河国家级水土流失重点预防区</w:t>
            </w:r>
            <w:r>
              <w:rPr>
                <w:rFonts w:hint="eastAsia" w:eastAsia="仿宋_GB2312"/>
                <w:sz w:val="21"/>
                <w:szCs w:val="21"/>
              </w:rPr>
              <w:t>和塔里木河流域兵团级水土流失重点治理区</w:t>
            </w:r>
          </w:p>
        </w:tc>
        <w:tc>
          <w:tcPr>
            <w:tcW w:w="900" w:type="pct"/>
            <w:gridSpan w:val="3"/>
            <w:vAlign w:val="center"/>
          </w:tcPr>
          <w:p>
            <w:pPr>
              <w:widowControl/>
              <w:adjustRightInd/>
              <w:snapToGrid/>
              <w:spacing w:line="240" w:lineRule="auto"/>
              <w:ind w:firstLine="0" w:firstLineChars="0"/>
              <w:jc w:val="center"/>
              <w:rPr>
                <w:rFonts w:eastAsia="仿宋_GB2312"/>
                <w:sz w:val="21"/>
                <w:szCs w:val="21"/>
              </w:rPr>
            </w:pPr>
            <w:r>
              <w:rPr>
                <w:rFonts w:eastAsia="仿宋_GB2312"/>
                <w:sz w:val="21"/>
                <w:szCs w:val="21"/>
              </w:rPr>
              <w:t>地貌类型</w:t>
            </w:r>
          </w:p>
        </w:tc>
        <w:tc>
          <w:tcPr>
            <w:tcW w:w="1198" w:type="pct"/>
            <w:gridSpan w:val="2"/>
            <w:vAlign w:val="center"/>
          </w:tcPr>
          <w:p>
            <w:pPr>
              <w:widowControl/>
              <w:adjustRightInd/>
              <w:snapToGrid/>
              <w:spacing w:line="240" w:lineRule="auto"/>
              <w:ind w:firstLine="0" w:firstLineChars="0"/>
              <w:jc w:val="center"/>
              <w:rPr>
                <w:rFonts w:eastAsia="仿宋_GB2312"/>
                <w:sz w:val="21"/>
                <w:szCs w:val="21"/>
              </w:rPr>
            </w:pPr>
            <w:r>
              <w:rPr>
                <w:rFonts w:hint="eastAsia" w:eastAsia="仿宋_GB2312"/>
                <w:snapToGrid w:val="0"/>
                <w:sz w:val="21"/>
                <w:szCs w:val="21"/>
              </w:rPr>
              <w:t>冲洪积</w:t>
            </w:r>
            <w:r>
              <w:rPr>
                <w:rFonts w:eastAsia="仿宋_GB2312"/>
                <w:snapToGrid w:val="0"/>
                <w:sz w:val="21"/>
                <w:szCs w:val="21"/>
              </w:rPr>
              <w:t>平原区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564" w:type="pct"/>
            <w:vMerge w:val="continue"/>
            <w:vAlign w:val="center"/>
          </w:tcPr>
          <w:p>
            <w:pPr>
              <w:widowControl/>
              <w:adjustRightInd/>
              <w:snapToGrid/>
              <w:spacing w:line="240" w:lineRule="auto"/>
              <w:ind w:firstLine="0" w:firstLineChars="0"/>
              <w:jc w:val="left"/>
              <w:rPr>
                <w:rFonts w:eastAsia="仿宋_GB2312"/>
                <w:sz w:val="21"/>
                <w:szCs w:val="21"/>
              </w:rPr>
            </w:pPr>
          </w:p>
        </w:tc>
        <w:tc>
          <w:tcPr>
            <w:tcW w:w="1147" w:type="pct"/>
            <w:gridSpan w:val="2"/>
            <w:vAlign w:val="center"/>
          </w:tcPr>
          <w:p>
            <w:pPr>
              <w:widowControl/>
              <w:adjustRightInd/>
              <w:snapToGrid/>
              <w:spacing w:line="240" w:lineRule="auto"/>
              <w:ind w:firstLine="0" w:firstLineChars="0"/>
              <w:jc w:val="center"/>
              <w:rPr>
                <w:rFonts w:eastAsia="仿宋_GB2312"/>
                <w:sz w:val="21"/>
                <w:szCs w:val="21"/>
              </w:rPr>
            </w:pPr>
            <w:r>
              <w:rPr>
                <w:rFonts w:eastAsia="仿宋_GB2312"/>
                <w:sz w:val="21"/>
                <w:szCs w:val="21"/>
              </w:rPr>
              <w:t>原地貌土壤侵蚀模数[t/(km</w:t>
            </w:r>
            <w:r>
              <w:rPr>
                <w:rFonts w:eastAsia="仿宋_GB2312"/>
                <w:sz w:val="21"/>
                <w:szCs w:val="21"/>
                <w:vertAlign w:val="superscript"/>
              </w:rPr>
              <w:t>2</w:t>
            </w:r>
            <w:r>
              <w:rPr>
                <w:rFonts w:eastAsia="仿宋_GB2312"/>
                <w:sz w:val="21"/>
                <w:szCs w:val="21"/>
              </w:rPr>
              <w:t>·a)]</w:t>
            </w:r>
          </w:p>
        </w:tc>
        <w:tc>
          <w:tcPr>
            <w:tcW w:w="1191" w:type="pct"/>
            <w:gridSpan w:val="2"/>
            <w:vAlign w:val="center"/>
          </w:tcPr>
          <w:p>
            <w:pPr>
              <w:widowControl/>
              <w:adjustRightInd/>
              <w:snapToGrid/>
              <w:spacing w:line="240" w:lineRule="auto"/>
              <w:ind w:firstLine="0" w:firstLineChars="0"/>
              <w:jc w:val="center"/>
              <w:rPr>
                <w:rFonts w:eastAsia="仿宋_GB2312"/>
                <w:sz w:val="21"/>
                <w:szCs w:val="21"/>
              </w:rPr>
            </w:pPr>
            <w:r>
              <w:rPr>
                <w:rFonts w:eastAsia="仿宋_GB2312"/>
                <w:sz w:val="21"/>
                <w:szCs w:val="21"/>
              </w:rPr>
              <w:t>1500</w:t>
            </w:r>
          </w:p>
        </w:tc>
        <w:tc>
          <w:tcPr>
            <w:tcW w:w="900" w:type="pct"/>
            <w:gridSpan w:val="3"/>
            <w:vAlign w:val="center"/>
          </w:tcPr>
          <w:p>
            <w:pPr>
              <w:widowControl/>
              <w:adjustRightInd/>
              <w:snapToGrid/>
              <w:spacing w:line="240" w:lineRule="auto"/>
              <w:ind w:firstLine="0" w:firstLineChars="0"/>
              <w:jc w:val="center"/>
              <w:rPr>
                <w:rFonts w:eastAsia="仿宋_GB2312"/>
                <w:sz w:val="21"/>
                <w:szCs w:val="21"/>
              </w:rPr>
            </w:pPr>
            <w:r>
              <w:rPr>
                <w:rFonts w:eastAsia="仿宋_GB2312"/>
                <w:sz w:val="21"/>
                <w:szCs w:val="21"/>
              </w:rPr>
              <w:t>容许土壤流失量[t/(km</w:t>
            </w:r>
            <w:r>
              <w:rPr>
                <w:rFonts w:eastAsia="仿宋_GB2312"/>
                <w:sz w:val="21"/>
                <w:szCs w:val="21"/>
                <w:vertAlign w:val="superscript"/>
              </w:rPr>
              <w:t>2</w:t>
            </w:r>
            <w:r>
              <w:rPr>
                <w:rFonts w:eastAsia="仿宋_GB2312"/>
                <w:sz w:val="21"/>
                <w:szCs w:val="21"/>
              </w:rPr>
              <w:t>·a)]</w:t>
            </w:r>
          </w:p>
        </w:tc>
        <w:tc>
          <w:tcPr>
            <w:tcW w:w="1198" w:type="pct"/>
            <w:gridSpan w:val="2"/>
            <w:vAlign w:val="center"/>
          </w:tcPr>
          <w:p>
            <w:pPr>
              <w:widowControl/>
              <w:adjustRightInd/>
              <w:snapToGrid/>
              <w:spacing w:line="240" w:lineRule="auto"/>
              <w:ind w:firstLine="0" w:firstLineChars="0"/>
              <w:jc w:val="center"/>
              <w:rPr>
                <w:rFonts w:eastAsia="仿宋_GB2312"/>
                <w:sz w:val="21"/>
                <w:szCs w:val="21"/>
              </w:rPr>
            </w:pPr>
            <w:r>
              <w:rPr>
                <w:rFonts w:eastAsia="仿宋_GB2312"/>
                <w:sz w:val="21"/>
                <w:szCs w:val="21"/>
              </w:rPr>
              <w:t>1500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1711" w:type="pct"/>
            <w:gridSpan w:val="3"/>
            <w:vAlign w:val="center"/>
          </w:tcPr>
          <w:p>
            <w:pPr>
              <w:widowControl/>
              <w:adjustRightInd/>
              <w:snapToGrid/>
              <w:spacing w:line="240" w:lineRule="auto"/>
              <w:ind w:firstLine="0" w:firstLineChars="0"/>
              <w:jc w:val="center"/>
              <w:rPr>
                <w:rFonts w:eastAsia="仿宋_GB2312"/>
                <w:sz w:val="21"/>
                <w:szCs w:val="21"/>
              </w:rPr>
            </w:pPr>
            <w:r>
              <w:rPr>
                <w:rFonts w:eastAsia="仿宋_GB2312"/>
                <w:sz w:val="21"/>
                <w:szCs w:val="21"/>
              </w:rPr>
              <w:t>项目选址（线）水土保持评价</w:t>
            </w:r>
          </w:p>
        </w:tc>
        <w:tc>
          <w:tcPr>
            <w:tcW w:w="3289" w:type="pct"/>
            <w:gridSpan w:val="7"/>
            <w:vAlign w:val="center"/>
          </w:tcPr>
          <w:p>
            <w:pPr>
              <w:widowControl/>
              <w:adjustRightInd/>
              <w:snapToGrid/>
              <w:spacing w:line="240" w:lineRule="auto"/>
              <w:ind w:firstLine="0" w:firstLineChars="0"/>
              <w:jc w:val="center"/>
              <w:rPr>
                <w:rFonts w:eastAsia="仿宋_GB2312"/>
                <w:sz w:val="21"/>
                <w:szCs w:val="21"/>
              </w:rPr>
            </w:pPr>
            <w:r>
              <w:rPr>
                <w:rFonts w:eastAsia="仿宋_GB2312"/>
                <w:sz w:val="21"/>
                <w:szCs w:val="21"/>
              </w:rPr>
              <w:t>　此项目选址不存在水土保持制约性因素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1711" w:type="pct"/>
            <w:gridSpan w:val="3"/>
            <w:vAlign w:val="center"/>
          </w:tcPr>
          <w:p>
            <w:pPr>
              <w:widowControl/>
              <w:adjustRightInd/>
              <w:snapToGrid/>
              <w:spacing w:line="240" w:lineRule="auto"/>
              <w:ind w:firstLine="0" w:firstLineChars="0"/>
              <w:jc w:val="center"/>
              <w:rPr>
                <w:rFonts w:eastAsia="仿宋_GB2312"/>
                <w:sz w:val="21"/>
                <w:szCs w:val="21"/>
              </w:rPr>
            </w:pPr>
            <w:r>
              <w:rPr>
                <w:rFonts w:eastAsia="仿宋_GB2312"/>
                <w:sz w:val="21"/>
                <w:szCs w:val="21"/>
              </w:rPr>
              <w:t>预测水土流失总量</w:t>
            </w:r>
          </w:p>
        </w:tc>
        <w:tc>
          <w:tcPr>
            <w:tcW w:w="3289" w:type="pct"/>
            <w:gridSpan w:val="7"/>
            <w:vAlign w:val="center"/>
          </w:tcPr>
          <w:p>
            <w:pPr>
              <w:widowControl/>
              <w:adjustRightInd/>
              <w:snapToGrid/>
              <w:spacing w:line="240" w:lineRule="auto"/>
              <w:ind w:firstLine="0" w:firstLineChars="0"/>
              <w:jc w:val="center"/>
              <w:rPr>
                <w:rFonts w:eastAsia="仿宋_GB2312"/>
                <w:sz w:val="21"/>
                <w:szCs w:val="21"/>
              </w:rPr>
            </w:pPr>
            <w:r>
              <w:rPr>
                <w:rFonts w:hint="eastAsia" w:eastAsia="仿宋_GB2312"/>
                <w:sz w:val="21"/>
                <w:szCs w:val="21"/>
              </w:rPr>
              <w:t>96</w:t>
            </w:r>
            <w:r>
              <w:rPr>
                <w:rFonts w:eastAsia="仿宋_GB2312"/>
                <w:sz w:val="21"/>
                <w:szCs w:val="21"/>
              </w:rPr>
              <w:t>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1711" w:type="pct"/>
            <w:gridSpan w:val="3"/>
            <w:vAlign w:val="center"/>
          </w:tcPr>
          <w:p>
            <w:pPr>
              <w:widowControl/>
              <w:adjustRightInd/>
              <w:snapToGrid/>
              <w:spacing w:line="240" w:lineRule="auto"/>
              <w:ind w:firstLine="0" w:firstLineChars="0"/>
              <w:jc w:val="center"/>
              <w:rPr>
                <w:rFonts w:eastAsia="仿宋_GB2312"/>
                <w:sz w:val="21"/>
                <w:szCs w:val="21"/>
              </w:rPr>
            </w:pPr>
            <w:r>
              <w:rPr>
                <w:rFonts w:eastAsia="仿宋_GB2312"/>
                <w:sz w:val="21"/>
                <w:szCs w:val="21"/>
              </w:rPr>
              <w:t>防治责任范围（</w:t>
            </w:r>
            <w:r>
              <w:rPr>
                <w:rFonts w:hint="eastAsia" w:eastAsia="仿宋_GB2312"/>
                <w:sz w:val="21"/>
                <w:szCs w:val="21"/>
              </w:rPr>
              <w:t>h</w:t>
            </w:r>
            <w:r>
              <w:rPr>
                <w:rFonts w:eastAsia="仿宋_GB2312"/>
                <w:sz w:val="21"/>
                <w:szCs w:val="21"/>
              </w:rPr>
              <w:t>m</w:t>
            </w:r>
            <w:r>
              <w:rPr>
                <w:rFonts w:eastAsia="仿宋_GB2312"/>
                <w:sz w:val="21"/>
                <w:szCs w:val="21"/>
                <w:vertAlign w:val="superscript"/>
              </w:rPr>
              <w:t>2</w:t>
            </w:r>
            <w:r>
              <w:rPr>
                <w:rFonts w:eastAsia="仿宋_GB2312"/>
                <w:sz w:val="21"/>
                <w:szCs w:val="21"/>
              </w:rPr>
              <w:t>）</w:t>
            </w:r>
          </w:p>
        </w:tc>
        <w:tc>
          <w:tcPr>
            <w:tcW w:w="3289" w:type="pct"/>
            <w:gridSpan w:val="7"/>
            <w:vAlign w:val="center"/>
          </w:tcPr>
          <w:p>
            <w:pPr>
              <w:widowControl/>
              <w:adjustRightInd/>
              <w:snapToGrid/>
              <w:spacing w:line="240" w:lineRule="auto"/>
              <w:ind w:firstLine="0" w:firstLineChars="0"/>
              <w:jc w:val="center"/>
              <w:rPr>
                <w:rFonts w:eastAsia="仿宋_GB2312"/>
                <w:sz w:val="21"/>
                <w:szCs w:val="21"/>
              </w:rPr>
            </w:pPr>
            <w:r>
              <w:rPr>
                <w:rFonts w:hint="eastAsia" w:eastAsia="仿宋_GB2312"/>
                <w:sz w:val="21"/>
                <w:szCs w:val="21"/>
              </w:rPr>
              <w:t>1.84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564" w:type="pct"/>
            <w:vMerge w:val="restart"/>
            <w:vAlign w:val="center"/>
          </w:tcPr>
          <w:p>
            <w:pPr>
              <w:widowControl/>
              <w:adjustRightInd/>
              <w:snapToGrid/>
              <w:spacing w:line="240" w:lineRule="auto"/>
              <w:ind w:firstLine="0" w:firstLineChars="0"/>
              <w:jc w:val="center"/>
              <w:rPr>
                <w:rFonts w:eastAsia="仿宋_GB2312"/>
                <w:sz w:val="21"/>
                <w:szCs w:val="21"/>
              </w:rPr>
            </w:pPr>
            <w:r>
              <w:rPr>
                <w:rFonts w:eastAsia="仿宋_GB2312"/>
                <w:sz w:val="21"/>
                <w:szCs w:val="21"/>
              </w:rPr>
              <w:t>防治标准</w:t>
            </w:r>
          </w:p>
          <w:p>
            <w:pPr>
              <w:widowControl/>
              <w:adjustRightInd/>
              <w:snapToGrid/>
              <w:spacing w:line="240" w:lineRule="auto"/>
              <w:ind w:firstLine="0" w:firstLineChars="0"/>
              <w:jc w:val="center"/>
              <w:rPr>
                <w:rFonts w:eastAsia="仿宋_GB2312"/>
                <w:sz w:val="21"/>
                <w:szCs w:val="21"/>
              </w:rPr>
            </w:pPr>
            <w:r>
              <w:rPr>
                <w:rFonts w:eastAsia="仿宋_GB2312"/>
                <w:sz w:val="21"/>
                <w:szCs w:val="21"/>
              </w:rPr>
              <w:t>等级及目标</w:t>
            </w:r>
          </w:p>
        </w:tc>
        <w:tc>
          <w:tcPr>
            <w:tcW w:w="1147" w:type="pct"/>
            <w:gridSpan w:val="2"/>
            <w:vAlign w:val="center"/>
          </w:tcPr>
          <w:p>
            <w:pPr>
              <w:widowControl/>
              <w:adjustRightInd/>
              <w:snapToGrid/>
              <w:spacing w:line="240" w:lineRule="auto"/>
              <w:ind w:firstLine="0" w:firstLineChars="0"/>
              <w:jc w:val="center"/>
              <w:rPr>
                <w:rFonts w:eastAsia="仿宋_GB2312"/>
                <w:sz w:val="21"/>
                <w:szCs w:val="21"/>
              </w:rPr>
            </w:pPr>
            <w:r>
              <w:rPr>
                <w:rFonts w:eastAsia="仿宋_GB2312"/>
                <w:sz w:val="21"/>
                <w:szCs w:val="21"/>
              </w:rPr>
              <w:t>防治标准等级</w:t>
            </w:r>
          </w:p>
        </w:tc>
        <w:tc>
          <w:tcPr>
            <w:tcW w:w="3289" w:type="pct"/>
            <w:gridSpan w:val="7"/>
            <w:vAlign w:val="center"/>
          </w:tcPr>
          <w:p>
            <w:pPr>
              <w:widowControl/>
              <w:adjustRightInd/>
              <w:snapToGrid/>
              <w:spacing w:line="240" w:lineRule="auto"/>
              <w:ind w:firstLine="0" w:firstLineChars="0"/>
              <w:jc w:val="center"/>
              <w:rPr>
                <w:rFonts w:eastAsia="仿宋_GB2312"/>
                <w:sz w:val="21"/>
                <w:szCs w:val="21"/>
              </w:rPr>
            </w:pPr>
            <w:r>
              <w:rPr>
                <w:rFonts w:hint="eastAsia" w:eastAsia="仿宋_GB2312"/>
                <w:sz w:val="21"/>
                <w:szCs w:val="21"/>
              </w:rPr>
              <w:t>北方风沙区</w:t>
            </w:r>
            <w:r>
              <w:rPr>
                <w:rFonts w:eastAsia="仿宋_GB2312"/>
                <w:sz w:val="21"/>
                <w:szCs w:val="21"/>
              </w:rPr>
              <w:t>建设类项目一级标准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564" w:type="pct"/>
            <w:vMerge w:val="continue"/>
            <w:vAlign w:val="center"/>
          </w:tcPr>
          <w:p>
            <w:pPr>
              <w:widowControl/>
              <w:adjustRightInd/>
              <w:snapToGrid/>
              <w:spacing w:line="240" w:lineRule="auto"/>
              <w:ind w:firstLine="0" w:firstLineChars="0"/>
              <w:jc w:val="left"/>
              <w:rPr>
                <w:rFonts w:eastAsia="仿宋_GB2312"/>
                <w:sz w:val="21"/>
                <w:szCs w:val="21"/>
              </w:rPr>
            </w:pPr>
          </w:p>
        </w:tc>
        <w:tc>
          <w:tcPr>
            <w:tcW w:w="1147" w:type="pct"/>
            <w:gridSpan w:val="2"/>
            <w:vAlign w:val="center"/>
          </w:tcPr>
          <w:p>
            <w:pPr>
              <w:widowControl/>
              <w:adjustRightInd/>
              <w:snapToGrid/>
              <w:spacing w:line="240" w:lineRule="auto"/>
              <w:ind w:firstLine="0" w:firstLineChars="0"/>
              <w:jc w:val="center"/>
              <w:rPr>
                <w:rFonts w:eastAsia="仿宋_GB2312"/>
                <w:sz w:val="21"/>
                <w:szCs w:val="21"/>
              </w:rPr>
            </w:pPr>
            <w:r>
              <w:rPr>
                <w:rFonts w:eastAsia="仿宋_GB2312"/>
                <w:sz w:val="21"/>
                <w:szCs w:val="21"/>
              </w:rPr>
              <w:t>水土流失治理度(%)</w:t>
            </w:r>
          </w:p>
        </w:tc>
        <w:tc>
          <w:tcPr>
            <w:tcW w:w="1191" w:type="pct"/>
            <w:gridSpan w:val="2"/>
            <w:vAlign w:val="center"/>
          </w:tcPr>
          <w:p>
            <w:pPr>
              <w:widowControl/>
              <w:adjustRightInd/>
              <w:snapToGrid/>
              <w:spacing w:line="240" w:lineRule="auto"/>
              <w:ind w:firstLine="0" w:firstLineChars="0"/>
              <w:jc w:val="center"/>
              <w:rPr>
                <w:rFonts w:eastAsia="仿宋_GB2312"/>
                <w:sz w:val="21"/>
                <w:szCs w:val="21"/>
              </w:rPr>
            </w:pPr>
            <w:r>
              <w:rPr>
                <w:rFonts w:hint="eastAsia" w:eastAsia="仿宋_GB2312"/>
                <w:sz w:val="21"/>
                <w:szCs w:val="21"/>
              </w:rPr>
              <w:t>85</w:t>
            </w:r>
          </w:p>
        </w:tc>
        <w:tc>
          <w:tcPr>
            <w:tcW w:w="900" w:type="pct"/>
            <w:gridSpan w:val="3"/>
            <w:vAlign w:val="center"/>
          </w:tcPr>
          <w:p>
            <w:pPr>
              <w:widowControl/>
              <w:adjustRightInd/>
              <w:snapToGrid/>
              <w:spacing w:line="240" w:lineRule="auto"/>
              <w:ind w:firstLine="0" w:firstLineChars="0"/>
              <w:jc w:val="center"/>
              <w:rPr>
                <w:rFonts w:eastAsia="仿宋_GB2312"/>
                <w:sz w:val="21"/>
                <w:szCs w:val="21"/>
              </w:rPr>
            </w:pPr>
            <w:r>
              <w:rPr>
                <w:rFonts w:eastAsia="仿宋_GB2312"/>
                <w:sz w:val="21"/>
                <w:szCs w:val="21"/>
              </w:rPr>
              <w:t>土壤流失控制比</w:t>
            </w:r>
          </w:p>
        </w:tc>
        <w:tc>
          <w:tcPr>
            <w:tcW w:w="1198" w:type="pct"/>
            <w:gridSpan w:val="2"/>
            <w:vAlign w:val="center"/>
          </w:tcPr>
          <w:p>
            <w:pPr>
              <w:widowControl/>
              <w:adjustRightInd/>
              <w:snapToGrid/>
              <w:spacing w:line="240" w:lineRule="auto"/>
              <w:ind w:firstLine="0" w:firstLineChars="0"/>
              <w:jc w:val="center"/>
              <w:rPr>
                <w:rFonts w:eastAsia="仿宋_GB2312"/>
                <w:sz w:val="21"/>
                <w:szCs w:val="21"/>
              </w:rPr>
            </w:pPr>
            <w:r>
              <w:rPr>
                <w:rFonts w:hint="eastAsia" w:eastAsia="仿宋_GB2312"/>
                <w:sz w:val="21"/>
                <w:szCs w:val="21"/>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564" w:type="pct"/>
            <w:vMerge w:val="continue"/>
            <w:vAlign w:val="center"/>
          </w:tcPr>
          <w:p>
            <w:pPr>
              <w:widowControl/>
              <w:adjustRightInd/>
              <w:snapToGrid/>
              <w:spacing w:line="240" w:lineRule="auto"/>
              <w:ind w:firstLine="0" w:firstLineChars="0"/>
              <w:jc w:val="left"/>
              <w:rPr>
                <w:rFonts w:eastAsia="仿宋_GB2312"/>
                <w:sz w:val="21"/>
                <w:szCs w:val="21"/>
              </w:rPr>
            </w:pPr>
          </w:p>
        </w:tc>
        <w:tc>
          <w:tcPr>
            <w:tcW w:w="1147" w:type="pct"/>
            <w:gridSpan w:val="2"/>
            <w:vAlign w:val="center"/>
          </w:tcPr>
          <w:p>
            <w:pPr>
              <w:widowControl/>
              <w:adjustRightInd/>
              <w:snapToGrid/>
              <w:spacing w:line="240" w:lineRule="auto"/>
              <w:ind w:firstLine="0" w:firstLineChars="0"/>
              <w:jc w:val="center"/>
              <w:rPr>
                <w:rFonts w:eastAsia="仿宋_GB2312"/>
                <w:sz w:val="21"/>
                <w:szCs w:val="21"/>
              </w:rPr>
            </w:pPr>
            <w:r>
              <w:rPr>
                <w:rFonts w:eastAsia="仿宋_GB2312"/>
                <w:sz w:val="21"/>
                <w:szCs w:val="21"/>
              </w:rPr>
              <w:t>渣土防护率（%）</w:t>
            </w:r>
          </w:p>
        </w:tc>
        <w:tc>
          <w:tcPr>
            <w:tcW w:w="1191" w:type="pct"/>
            <w:gridSpan w:val="2"/>
            <w:vAlign w:val="center"/>
          </w:tcPr>
          <w:p>
            <w:pPr>
              <w:widowControl/>
              <w:adjustRightInd/>
              <w:snapToGrid/>
              <w:spacing w:line="240" w:lineRule="auto"/>
              <w:ind w:firstLine="0" w:firstLineChars="0"/>
              <w:jc w:val="center"/>
              <w:rPr>
                <w:rFonts w:eastAsia="仿宋_GB2312"/>
                <w:sz w:val="21"/>
                <w:szCs w:val="21"/>
              </w:rPr>
            </w:pPr>
            <w:r>
              <w:rPr>
                <w:rFonts w:eastAsia="仿宋_GB2312"/>
                <w:sz w:val="21"/>
                <w:szCs w:val="21"/>
              </w:rPr>
              <w:t>8</w:t>
            </w:r>
            <w:r>
              <w:rPr>
                <w:rFonts w:hint="eastAsia" w:eastAsia="仿宋_GB2312"/>
                <w:sz w:val="21"/>
                <w:szCs w:val="21"/>
              </w:rPr>
              <w:t>7</w:t>
            </w:r>
          </w:p>
        </w:tc>
        <w:tc>
          <w:tcPr>
            <w:tcW w:w="900" w:type="pct"/>
            <w:gridSpan w:val="3"/>
            <w:vAlign w:val="center"/>
          </w:tcPr>
          <w:p>
            <w:pPr>
              <w:widowControl/>
              <w:adjustRightInd/>
              <w:snapToGrid/>
              <w:spacing w:line="240" w:lineRule="auto"/>
              <w:ind w:firstLine="0" w:firstLineChars="0"/>
              <w:jc w:val="center"/>
              <w:rPr>
                <w:rFonts w:eastAsia="仿宋_GB2312"/>
                <w:sz w:val="21"/>
                <w:szCs w:val="21"/>
              </w:rPr>
            </w:pPr>
            <w:r>
              <w:rPr>
                <w:rFonts w:eastAsia="仿宋_GB2312"/>
                <w:sz w:val="21"/>
                <w:szCs w:val="21"/>
              </w:rPr>
              <w:t>表土保护率（%）</w:t>
            </w:r>
          </w:p>
        </w:tc>
        <w:tc>
          <w:tcPr>
            <w:tcW w:w="1198" w:type="pct"/>
            <w:gridSpan w:val="2"/>
            <w:vAlign w:val="center"/>
          </w:tcPr>
          <w:p>
            <w:pPr>
              <w:widowControl/>
              <w:adjustRightInd/>
              <w:snapToGrid/>
              <w:spacing w:line="240" w:lineRule="auto"/>
              <w:ind w:firstLine="0" w:firstLineChars="0"/>
              <w:jc w:val="center"/>
              <w:rPr>
                <w:rFonts w:eastAsia="仿宋_GB2312"/>
                <w:sz w:val="21"/>
                <w:szCs w:val="21"/>
              </w:rPr>
            </w:pPr>
            <w:r>
              <w:rPr>
                <w:rFonts w:hint="eastAsia" w:eastAsia="仿宋_GB2312"/>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564" w:type="pct"/>
            <w:vMerge w:val="continue"/>
            <w:vAlign w:val="center"/>
          </w:tcPr>
          <w:p>
            <w:pPr>
              <w:widowControl/>
              <w:adjustRightInd/>
              <w:snapToGrid/>
              <w:spacing w:line="240" w:lineRule="auto"/>
              <w:ind w:firstLine="0" w:firstLineChars="0"/>
              <w:jc w:val="left"/>
              <w:rPr>
                <w:rFonts w:eastAsia="仿宋_GB2312"/>
                <w:sz w:val="21"/>
                <w:szCs w:val="21"/>
              </w:rPr>
            </w:pPr>
          </w:p>
        </w:tc>
        <w:tc>
          <w:tcPr>
            <w:tcW w:w="1147" w:type="pct"/>
            <w:gridSpan w:val="2"/>
            <w:vAlign w:val="center"/>
          </w:tcPr>
          <w:p>
            <w:pPr>
              <w:widowControl/>
              <w:adjustRightInd/>
              <w:snapToGrid/>
              <w:spacing w:line="240" w:lineRule="auto"/>
              <w:ind w:firstLine="0" w:firstLineChars="0"/>
              <w:jc w:val="center"/>
              <w:rPr>
                <w:rFonts w:eastAsia="仿宋_GB2312"/>
                <w:sz w:val="21"/>
                <w:szCs w:val="21"/>
              </w:rPr>
            </w:pPr>
            <w:r>
              <w:rPr>
                <w:rFonts w:eastAsia="仿宋_GB2312"/>
                <w:sz w:val="21"/>
                <w:szCs w:val="21"/>
              </w:rPr>
              <w:t>林草植被恢复率（%）</w:t>
            </w:r>
          </w:p>
        </w:tc>
        <w:tc>
          <w:tcPr>
            <w:tcW w:w="1191" w:type="pct"/>
            <w:gridSpan w:val="2"/>
            <w:vAlign w:val="center"/>
          </w:tcPr>
          <w:p>
            <w:pPr>
              <w:widowControl/>
              <w:adjustRightInd/>
              <w:snapToGrid/>
              <w:spacing w:line="240" w:lineRule="auto"/>
              <w:ind w:firstLine="0" w:firstLineChars="0"/>
              <w:jc w:val="center"/>
              <w:rPr>
                <w:rFonts w:eastAsia="仿宋_GB2312"/>
                <w:sz w:val="21"/>
                <w:szCs w:val="21"/>
              </w:rPr>
            </w:pPr>
            <w:r>
              <w:rPr>
                <w:rFonts w:hint="eastAsia" w:eastAsia="仿宋_GB2312"/>
                <w:sz w:val="21"/>
                <w:szCs w:val="21"/>
              </w:rPr>
              <w:t>--</w:t>
            </w:r>
          </w:p>
        </w:tc>
        <w:tc>
          <w:tcPr>
            <w:tcW w:w="900" w:type="pct"/>
            <w:gridSpan w:val="3"/>
            <w:vAlign w:val="center"/>
          </w:tcPr>
          <w:p>
            <w:pPr>
              <w:widowControl/>
              <w:adjustRightInd/>
              <w:snapToGrid/>
              <w:spacing w:line="240" w:lineRule="auto"/>
              <w:ind w:firstLine="0" w:firstLineChars="0"/>
              <w:jc w:val="center"/>
              <w:rPr>
                <w:rFonts w:eastAsia="仿宋_GB2312"/>
                <w:sz w:val="21"/>
                <w:szCs w:val="21"/>
              </w:rPr>
            </w:pPr>
            <w:r>
              <w:rPr>
                <w:rFonts w:eastAsia="仿宋_GB2312"/>
                <w:sz w:val="21"/>
                <w:szCs w:val="21"/>
              </w:rPr>
              <w:t>林草覆盖率（%）</w:t>
            </w:r>
          </w:p>
        </w:tc>
        <w:tc>
          <w:tcPr>
            <w:tcW w:w="1198" w:type="pct"/>
            <w:gridSpan w:val="2"/>
            <w:vAlign w:val="center"/>
          </w:tcPr>
          <w:p>
            <w:pPr>
              <w:widowControl/>
              <w:adjustRightInd/>
              <w:snapToGrid/>
              <w:spacing w:line="240" w:lineRule="auto"/>
              <w:ind w:firstLine="0" w:firstLineChars="0"/>
              <w:jc w:val="center"/>
              <w:rPr>
                <w:rFonts w:eastAsia="仿宋_GB2312"/>
                <w:sz w:val="21"/>
                <w:szCs w:val="21"/>
              </w:rPr>
            </w:pPr>
            <w:r>
              <w:rPr>
                <w:rFonts w:hint="eastAsia" w:eastAsia="仿宋_GB2312"/>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564" w:type="pct"/>
            <w:vAlign w:val="center"/>
          </w:tcPr>
          <w:p>
            <w:pPr>
              <w:widowControl/>
              <w:adjustRightInd/>
              <w:snapToGrid/>
              <w:spacing w:line="240" w:lineRule="auto"/>
              <w:ind w:firstLine="0" w:firstLineChars="0"/>
              <w:jc w:val="center"/>
              <w:rPr>
                <w:rFonts w:eastAsia="仿宋_GB2312"/>
                <w:sz w:val="21"/>
                <w:szCs w:val="21"/>
              </w:rPr>
            </w:pPr>
            <w:r>
              <w:rPr>
                <w:rFonts w:eastAsia="仿宋_GB2312"/>
                <w:sz w:val="21"/>
                <w:szCs w:val="21"/>
              </w:rPr>
              <w:t>水土保持</w:t>
            </w:r>
          </w:p>
          <w:p>
            <w:pPr>
              <w:widowControl/>
              <w:adjustRightInd/>
              <w:snapToGrid/>
              <w:spacing w:line="240" w:lineRule="auto"/>
              <w:ind w:firstLine="0" w:firstLineChars="0"/>
              <w:jc w:val="center"/>
              <w:rPr>
                <w:rFonts w:eastAsia="仿宋_GB2312"/>
                <w:sz w:val="21"/>
                <w:szCs w:val="21"/>
              </w:rPr>
            </w:pPr>
            <w:r>
              <w:rPr>
                <w:rFonts w:eastAsia="仿宋_GB2312"/>
                <w:sz w:val="21"/>
                <w:szCs w:val="21"/>
              </w:rPr>
              <w:t>措施</w:t>
            </w:r>
          </w:p>
        </w:tc>
        <w:tc>
          <w:tcPr>
            <w:tcW w:w="4436" w:type="pct"/>
            <w:gridSpan w:val="9"/>
            <w:vAlign w:val="center"/>
          </w:tcPr>
          <w:p>
            <w:pPr>
              <w:tabs>
                <w:tab w:val="left" w:pos="840"/>
                <w:tab w:val="left" w:pos="1485"/>
              </w:tabs>
              <w:spacing w:line="240" w:lineRule="auto"/>
              <w:ind w:firstLine="0" w:firstLineChars="0"/>
              <w:rPr>
                <w:rFonts w:eastAsia="仿宋_GB2312"/>
                <w:sz w:val="21"/>
                <w:szCs w:val="21"/>
              </w:rPr>
            </w:pPr>
            <w:r>
              <w:rPr>
                <w:rFonts w:hint="eastAsia" w:eastAsia="仿宋_GB2312"/>
                <w:sz w:val="21"/>
                <w:szCs w:val="21"/>
              </w:rPr>
              <w:t>工程措施：</w:t>
            </w:r>
            <w:r>
              <w:rPr>
                <w:rFonts w:eastAsia="仿宋_GB2312"/>
                <w:sz w:val="21"/>
                <w:szCs w:val="21"/>
              </w:rPr>
              <w:t>土地平整</w:t>
            </w:r>
            <w:r>
              <w:rPr>
                <w:rFonts w:hint="eastAsia" w:eastAsia="仿宋_GB2312"/>
                <w:sz w:val="21"/>
                <w:szCs w:val="21"/>
              </w:rPr>
              <w:t>0.62h</w:t>
            </w:r>
            <w:r>
              <w:rPr>
                <w:rFonts w:eastAsia="仿宋_GB2312"/>
                <w:sz w:val="21"/>
                <w:szCs w:val="21"/>
              </w:rPr>
              <w:t>m²</w:t>
            </w:r>
            <w:r>
              <w:rPr>
                <w:rFonts w:eastAsia="仿宋_GB2312"/>
                <w:snapToGrid w:val="0"/>
                <w:sz w:val="21"/>
                <w:szCs w:val="21"/>
              </w:rPr>
              <w:t>(主体已列)</w:t>
            </w:r>
            <w:r>
              <w:rPr>
                <w:rFonts w:hint="eastAsia" w:eastAsia="仿宋_GB2312"/>
                <w:sz w:val="21"/>
                <w:szCs w:val="21"/>
              </w:rPr>
              <w:t>。</w:t>
            </w:r>
          </w:p>
          <w:p>
            <w:pPr>
              <w:tabs>
                <w:tab w:val="left" w:pos="840"/>
                <w:tab w:val="left" w:pos="1485"/>
              </w:tabs>
              <w:spacing w:line="240" w:lineRule="auto"/>
              <w:ind w:firstLine="0" w:firstLineChars="0"/>
              <w:rPr>
                <w:rFonts w:eastAsia="仿宋_GB2312"/>
                <w:sz w:val="21"/>
                <w:szCs w:val="21"/>
              </w:rPr>
            </w:pPr>
            <w:r>
              <w:rPr>
                <w:rFonts w:hint="eastAsia" w:eastAsia="仿宋_GB2312"/>
                <w:sz w:val="21"/>
                <w:szCs w:val="21"/>
              </w:rPr>
              <w:t>临时措施：</w:t>
            </w:r>
            <w:r>
              <w:rPr>
                <w:rFonts w:eastAsia="仿宋_GB2312"/>
                <w:sz w:val="21"/>
                <w:szCs w:val="21"/>
              </w:rPr>
              <w:t>防尘网苫盖</w:t>
            </w:r>
            <w:r>
              <w:rPr>
                <w:rFonts w:hint="eastAsia" w:eastAsia="仿宋_GB2312"/>
                <w:sz w:val="21"/>
                <w:szCs w:val="21"/>
              </w:rPr>
              <w:t>3674</w:t>
            </w:r>
            <w:r>
              <w:rPr>
                <w:rFonts w:eastAsia="仿宋_GB2312"/>
                <w:sz w:val="21"/>
                <w:szCs w:val="21"/>
              </w:rPr>
              <w:t>m²</w:t>
            </w:r>
            <w:r>
              <w:rPr>
                <w:rFonts w:hint="eastAsia" w:eastAsia="仿宋_GB2312"/>
                <w:sz w:val="21"/>
                <w:szCs w:val="21"/>
              </w:rPr>
              <w:t>，</w:t>
            </w:r>
            <w:r>
              <w:rPr>
                <w:rFonts w:eastAsia="仿宋_GB2312"/>
                <w:sz w:val="21"/>
                <w:szCs w:val="21"/>
              </w:rPr>
              <w:t>洒水</w:t>
            </w:r>
            <w:r>
              <w:rPr>
                <w:rFonts w:hint="eastAsia" w:eastAsia="仿宋_GB2312"/>
                <w:sz w:val="21"/>
                <w:szCs w:val="21"/>
              </w:rPr>
              <w:t>104</w:t>
            </w:r>
            <w:r>
              <w:rPr>
                <w:rFonts w:eastAsia="仿宋_GB2312"/>
                <w:sz w:val="21"/>
                <w:szCs w:val="21"/>
              </w:rPr>
              <w:t>m³，</w:t>
            </w:r>
            <w:r>
              <w:rPr>
                <w:rFonts w:hint="eastAsia" w:eastAsia="仿宋_GB2312"/>
                <w:sz w:val="21"/>
                <w:szCs w:val="21"/>
              </w:rPr>
              <w:t>彩条旗限界6908m，宣传牌2块。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564" w:type="pct"/>
            <w:vMerge w:val="restart"/>
            <w:vAlign w:val="center"/>
          </w:tcPr>
          <w:p>
            <w:pPr>
              <w:widowControl/>
              <w:adjustRightInd/>
              <w:snapToGrid/>
              <w:spacing w:line="240" w:lineRule="auto"/>
              <w:ind w:firstLine="0" w:firstLineChars="0"/>
              <w:jc w:val="center"/>
              <w:rPr>
                <w:rFonts w:eastAsia="仿宋_GB2312"/>
                <w:sz w:val="21"/>
                <w:szCs w:val="21"/>
              </w:rPr>
            </w:pPr>
            <w:r>
              <w:rPr>
                <w:rFonts w:eastAsia="仿宋_GB2312"/>
                <w:sz w:val="21"/>
                <w:szCs w:val="21"/>
              </w:rPr>
              <w:t>水土保持</w:t>
            </w:r>
          </w:p>
          <w:p>
            <w:pPr>
              <w:widowControl/>
              <w:adjustRightInd/>
              <w:snapToGrid/>
              <w:spacing w:line="240" w:lineRule="auto"/>
              <w:ind w:firstLine="0" w:firstLineChars="0"/>
              <w:jc w:val="center"/>
              <w:rPr>
                <w:rFonts w:eastAsia="仿宋_GB2312"/>
                <w:sz w:val="21"/>
                <w:szCs w:val="21"/>
              </w:rPr>
            </w:pPr>
            <w:r>
              <w:rPr>
                <w:rFonts w:eastAsia="仿宋_GB2312"/>
                <w:sz w:val="21"/>
                <w:szCs w:val="21"/>
              </w:rPr>
              <w:t>投资估算</w:t>
            </w:r>
          </w:p>
          <w:p>
            <w:pPr>
              <w:widowControl/>
              <w:adjustRightInd/>
              <w:snapToGrid/>
              <w:spacing w:line="240" w:lineRule="auto"/>
              <w:ind w:firstLine="0" w:firstLineChars="0"/>
              <w:jc w:val="center"/>
              <w:rPr>
                <w:rFonts w:eastAsia="仿宋_GB2312"/>
                <w:sz w:val="21"/>
                <w:szCs w:val="21"/>
              </w:rPr>
            </w:pPr>
            <w:r>
              <w:rPr>
                <w:rFonts w:eastAsia="仿宋_GB2312"/>
                <w:sz w:val="21"/>
                <w:szCs w:val="21"/>
              </w:rPr>
              <w:t>（万元)</w:t>
            </w:r>
          </w:p>
        </w:tc>
        <w:tc>
          <w:tcPr>
            <w:tcW w:w="637" w:type="pct"/>
            <w:vAlign w:val="center"/>
          </w:tcPr>
          <w:p>
            <w:pPr>
              <w:widowControl/>
              <w:adjustRightInd/>
              <w:snapToGrid/>
              <w:spacing w:line="240" w:lineRule="auto"/>
              <w:ind w:firstLine="0" w:firstLineChars="0"/>
              <w:jc w:val="center"/>
              <w:rPr>
                <w:rFonts w:eastAsia="仿宋_GB2312"/>
                <w:sz w:val="21"/>
                <w:szCs w:val="21"/>
              </w:rPr>
            </w:pPr>
            <w:r>
              <w:rPr>
                <w:rFonts w:eastAsia="仿宋_GB2312"/>
                <w:sz w:val="21"/>
                <w:szCs w:val="21"/>
              </w:rPr>
              <w:t>工程措施</w:t>
            </w:r>
          </w:p>
        </w:tc>
        <w:tc>
          <w:tcPr>
            <w:tcW w:w="1701" w:type="pct"/>
            <w:gridSpan w:val="3"/>
            <w:vAlign w:val="center"/>
          </w:tcPr>
          <w:p>
            <w:pPr>
              <w:widowControl/>
              <w:adjustRightInd/>
              <w:snapToGrid/>
              <w:spacing w:line="240" w:lineRule="auto"/>
              <w:ind w:firstLine="0" w:firstLineChars="0"/>
              <w:jc w:val="center"/>
              <w:rPr>
                <w:rFonts w:eastAsia="仿宋_GB2312"/>
                <w:sz w:val="21"/>
                <w:szCs w:val="21"/>
              </w:rPr>
            </w:pPr>
            <w:r>
              <w:rPr>
                <w:rFonts w:hint="eastAsia" w:eastAsia="仿宋_GB2312"/>
                <w:sz w:val="21"/>
                <w:szCs w:val="21"/>
              </w:rPr>
              <w:t>0.75</w:t>
            </w:r>
          </w:p>
        </w:tc>
        <w:tc>
          <w:tcPr>
            <w:tcW w:w="900" w:type="pct"/>
            <w:gridSpan w:val="3"/>
            <w:vAlign w:val="center"/>
          </w:tcPr>
          <w:p>
            <w:pPr>
              <w:widowControl/>
              <w:adjustRightInd/>
              <w:snapToGrid/>
              <w:spacing w:line="240" w:lineRule="auto"/>
              <w:ind w:firstLine="0" w:firstLineChars="0"/>
              <w:jc w:val="center"/>
              <w:rPr>
                <w:rFonts w:eastAsia="仿宋_GB2312"/>
                <w:sz w:val="21"/>
                <w:szCs w:val="21"/>
              </w:rPr>
            </w:pPr>
            <w:r>
              <w:rPr>
                <w:rFonts w:eastAsia="仿宋_GB2312"/>
                <w:sz w:val="21"/>
                <w:szCs w:val="21"/>
              </w:rPr>
              <w:t>植物措施</w:t>
            </w:r>
          </w:p>
        </w:tc>
        <w:tc>
          <w:tcPr>
            <w:tcW w:w="1198" w:type="pct"/>
            <w:gridSpan w:val="2"/>
            <w:vAlign w:val="center"/>
          </w:tcPr>
          <w:p>
            <w:pPr>
              <w:widowControl/>
              <w:adjustRightInd/>
              <w:snapToGrid/>
              <w:spacing w:line="240" w:lineRule="auto"/>
              <w:ind w:firstLine="0" w:firstLineChars="0"/>
              <w:jc w:val="center"/>
              <w:rPr>
                <w:rFonts w:eastAsia="仿宋_GB2312"/>
                <w:sz w:val="21"/>
                <w:szCs w:val="21"/>
              </w:rPr>
            </w:pPr>
            <w:r>
              <w:rPr>
                <w:rFonts w:hint="eastAsia" w:eastAsia="仿宋_GB2312"/>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564" w:type="pct"/>
            <w:vMerge w:val="continue"/>
            <w:vAlign w:val="center"/>
          </w:tcPr>
          <w:p>
            <w:pPr>
              <w:widowControl/>
              <w:adjustRightInd/>
              <w:snapToGrid/>
              <w:spacing w:line="240" w:lineRule="auto"/>
              <w:ind w:firstLine="0" w:firstLineChars="0"/>
              <w:jc w:val="left"/>
              <w:rPr>
                <w:rFonts w:eastAsia="仿宋_GB2312"/>
                <w:sz w:val="21"/>
                <w:szCs w:val="21"/>
              </w:rPr>
            </w:pPr>
          </w:p>
        </w:tc>
        <w:tc>
          <w:tcPr>
            <w:tcW w:w="637" w:type="pct"/>
            <w:vAlign w:val="center"/>
          </w:tcPr>
          <w:p>
            <w:pPr>
              <w:widowControl/>
              <w:adjustRightInd/>
              <w:snapToGrid/>
              <w:spacing w:line="240" w:lineRule="auto"/>
              <w:ind w:firstLine="0" w:firstLineChars="0"/>
              <w:jc w:val="center"/>
              <w:rPr>
                <w:rFonts w:eastAsia="仿宋_GB2312"/>
                <w:sz w:val="21"/>
                <w:szCs w:val="21"/>
              </w:rPr>
            </w:pPr>
            <w:r>
              <w:rPr>
                <w:rFonts w:eastAsia="仿宋_GB2312"/>
                <w:sz w:val="21"/>
                <w:szCs w:val="21"/>
              </w:rPr>
              <w:t>临时措施</w:t>
            </w:r>
          </w:p>
        </w:tc>
        <w:tc>
          <w:tcPr>
            <w:tcW w:w="1701" w:type="pct"/>
            <w:gridSpan w:val="3"/>
            <w:vAlign w:val="center"/>
          </w:tcPr>
          <w:p>
            <w:pPr>
              <w:widowControl/>
              <w:adjustRightInd/>
              <w:snapToGrid/>
              <w:spacing w:line="240" w:lineRule="auto"/>
              <w:ind w:firstLine="0" w:firstLineChars="0"/>
              <w:jc w:val="center"/>
              <w:rPr>
                <w:rFonts w:eastAsia="仿宋_GB2312"/>
                <w:sz w:val="21"/>
                <w:szCs w:val="21"/>
              </w:rPr>
            </w:pPr>
            <w:r>
              <w:rPr>
                <w:rFonts w:hint="eastAsia" w:eastAsia="仿宋_GB2312"/>
                <w:sz w:val="21"/>
                <w:szCs w:val="21"/>
              </w:rPr>
              <w:t>3.42</w:t>
            </w:r>
          </w:p>
        </w:tc>
        <w:tc>
          <w:tcPr>
            <w:tcW w:w="900" w:type="pct"/>
            <w:gridSpan w:val="3"/>
            <w:vAlign w:val="center"/>
          </w:tcPr>
          <w:p>
            <w:pPr>
              <w:widowControl/>
              <w:adjustRightInd/>
              <w:snapToGrid/>
              <w:spacing w:line="240" w:lineRule="auto"/>
              <w:ind w:firstLine="0" w:firstLineChars="0"/>
              <w:jc w:val="center"/>
              <w:rPr>
                <w:rFonts w:eastAsia="仿宋_GB2312"/>
                <w:sz w:val="21"/>
                <w:szCs w:val="21"/>
              </w:rPr>
            </w:pPr>
            <w:r>
              <w:rPr>
                <w:rFonts w:eastAsia="仿宋_GB2312"/>
                <w:sz w:val="21"/>
                <w:szCs w:val="21"/>
              </w:rPr>
              <w:t>水土保持补偿费</w:t>
            </w:r>
          </w:p>
        </w:tc>
        <w:tc>
          <w:tcPr>
            <w:tcW w:w="1198" w:type="pct"/>
            <w:gridSpan w:val="2"/>
            <w:vAlign w:val="center"/>
          </w:tcPr>
          <w:p>
            <w:pPr>
              <w:widowControl/>
              <w:adjustRightInd/>
              <w:snapToGrid/>
              <w:spacing w:line="240" w:lineRule="auto"/>
              <w:ind w:firstLine="0" w:firstLineChars="0"/>
              <w:jc w:val="center"/>
              <w:rPr>
                <w:rFonts w:eastAsia="仿宋_GB2312"/>
                <w:sz w:val="21"/>
                <w:szCs w:val="21"/>
              </w:rPr>
            </w:pPr>
            <w:r>
              <w:rPr>
                <w:rFonts w:hint="eastAsia" w:eastAsia="仿宋_GB2312"/>
                <w:sz w:val="21"/>
                <w:szCs w:val="21"/>
              </w:rPr>
              <w:t>0.55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564" w:type="pct"/>
            <w:vMerge w:val="continue"/>
            <w:vAlign w:val="center"/>
          </w:tcPr>
          <w:p>
            <w:pPr>
              <w:widowControl/>
              <w:adjustRightInd/>
              <w:snapToGrid/>
              <w:spacing w:line="240" w:lineRule="auto"/>
              <w:ind w:firstLine="0" w:firstLineChars="0"/>
              <w:jc w:val="left"/>
              <w:rPr>
                <w:rFonts w:eastAsia="仿宋_GB2312"/>
                <w:sz w:val="21"/>
                <w:szCs w:val="21"/>
              </w:rPr>
            </w:pPr>
          </w:p>
        </w:tc>
        <w:tc>
          <w:tcPr>
            <w:tcW w:w="637" w:type="pct"/>
            <w:vMerge w:val="restart"/>
            <w:vAlign w:val="center"/>
          </w:tcPr>
          <w:p>
            <w:pPr>
              <w:widowControl/>
              <w:adjustRightInd/>
              <w:snapToGrid/>
              <w:spacing w:line="240" w:lineRule="auto"/>
              <w:ind w:firstLine="0" w:firstLineChars="0"/>
              <w:jc w:val="center"/>
              <w:rPr>
                <w:rFonts w:eastAsia="仿宋_GB2312"/>
                <w:sz w:val="21"/>
                <w:szCs w:val="21"/>
              </w:rPr>
            </w:pPr>
            <w:r>
              <w:rPr>
                <w:rFonts w:eastAsia="仿宋_GB2312"/>
                <w:sz w:val="21"/>
                <w:szCs w:val="21"/>
              </w:rPr>
              <w:t>独立费用</w:t>
            </w:r>
          </w:p>
        </w:tc>
        <w:tc>
          <w:tcPr>
            <w:tcW w:w="1701" w:type="pct"/>
            <w:gridSpan w:val="3"/>
            <w:vAlign w:val="center"/>
          </w:tcPr>
          <w:p>
            <w:pPr>
              <w:widowControl/>
              <w:adjustRightInd/>
              <w:snapToGrid/>
              <w:spacing w:line="240" w:lineRule="auto"/>
              <w:ind w:firstLine="0" w:firstLineChars="0"/>
              <w:jc w:val="center"/>
              <w:rPr>
                <w:rFonts w:eastAsia="仿宋_GB2312"/>
                <w:sz w:val="21"/>
                <w:szCs w:val="21"/>
              </w:rPr>
            </w:pPr>
            <w:r>
              <w:rPr>
                <w:rFonts w:eastAsia="仿宋_GB2312"/>
                <w:sz w:val="21"/>
                <w:szCs w:val="21"/>
              </w:rPr>
              <w:t>建设管理费</w:t>
            </w:r>
          </w:p>
        </w:tc>
        <w:tc>
          <w:tcPr>
            <w:tcW w:w="2098" w:type="pct"/>
            <w:gridSpan w:val="5"/>
            <w:vAlign w:val="center"/>
          </w:tcPr>
          <w:p>
            <w:pPr>
              <w:widowControl/>
              <w:adjustRightInd/>
              <w:snapToGrid/>
              <w:spacing w:line="240" w:lineRule="auto"/>
              <w:ind w:firstLine="0" w:firstLineChars="0"/>
              <w:jc w:val="center"/>
              <w:rPr>
                <w:rFonts w:eastAsia="仿宋_GB2312"/>
                <w:sz w:val="21"/>
                <w:szCs w:val="21"/>
              </w:rPr>
            </w:pPr>
            <w:r>
              <w:rPr>
                <w:rFonts w:hint="eastAsia" w:eastAsia="仿宋_GB2312"/>
                <w:sz w:val="21"/>
                <w:szCs w:val="21"/>
              </w:rPr>
              <w:t>0.08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564" w:type="pct"/>
            <w:vMerge w:val="continue"/>
            <w:vAlign w:val="center"/>
          </w:tcPr>
          <w:p>
            <w:pPr>
              <w:widowControl/>
              <w:adjustRightInd/>
              <w:snapToGrid/>
              <w:spacing w:line="240" w:lineRule="auto"/>
              <w:ind w:firstLine="0" w:firstLineChars="0"/>
              <w:jc w:val="left"/>
              <w:rPr>
                <w:rFonts w:eastAsia="仿宋_GB2312"/>
                <w:sz w:val="21"/>
                <w:szCs w:val="21"/>
              </w:rPr>
            </w:pPr>
          </w:p>
        </w:tc>
        <w:tc>
          <w:tcPr>
            <w:tcW w:w="637" w:type="pct"/>
            <w:vMerge w:val="continue"/>
            <w:vAlign w:val="center"/>
          </w:tcPr>
          <w:p>
            <w:pPr>
              <w:widowControl/>
              <w:adjustRightInd/>
              <w:snapToGrid/>
              <w:spacing w:line="240" w:lineRule="auto"/>
              <w:ind w:firstLine="0" w:firstLineChars="0"/>
              <w:jc w:val="left"/>
              <w:rPr>
                <w:rFonts w:eastAsia="仿宋_GB2312"/>
                <w:sz w:val="21"/>
                <w:szCs w:val="21"/>
              </w:rPr>
            </w:pPr>
          </w:p>
        </w:tc>
        <w:tc>
          <w:tcPr>
            <w:tcW w:w="1701" w:type="pct"/>
            <w:gridSpan w:val="3"/>
            <w:vAlign w:val="center"/>
          </w:tcPr>
          <w:p>
            <w:pPr>
              <w:widowControl/>
              <w:adjustRightInd/>
              <w:snapToGrid/>
              <w:spacing w:line="240" w:lineRule="auto"/>
              <w:ind w:firstLine="0" w:firstLineChars="0"/>
              <w:jc w:val="center"/>
              <w:rPr>
                <w:rFonts w:eastAsia="仿宋_GB2312"/>
                <w:sz w:val="21"/>
                <w:szCs w:val="21"/>
              </w:rPr>
            </w:pPr>
            <w:r>
              <w:rPr>
                <w:rFonts w:eastAsia="仿宋_GB2312"/>
                <w:sz w:val="21"/>
                <w:szCs w:val="21"/>
              </w:rPr>
              <w:t>水土保持监理费</w:t>
            </w:r>
          </w:p>
        </w:tc>
        <w:tc>
          <w:tcPr>
            <w:tcW w:w="2098" w:type="pct"/>
            <w:gridSpan w:val="5"/>
            <w:vAlign w:val="center"/>
          </w:tcPr>
          <w:p>
            <w:pPr>
              <w:widowControl/>
              <w:adjustRightInd/>
              <w:snapToGrid/>
              <w:spacing w:line="240" w:lineRule="auto"/>
              <w:ind w:firstLine="0" w:firstLineChars="0"/>
              <w:jc w:val="center"/>
              <w:rPr>
                <w:rFonts w:eastAsia="仿宋_GB2312"/>
                <w:sz w:val="21"/>
                <w:szCs w:val="21"/>
              </w:rPr>
            </w:pPr>
            <w:r>
              <w:rPr>
                <w:rFonts w:hint="eastAsia" w:eastAsia="仿宋_GB2312"/>
                <w:sz w:val="21"/>
                <w:szCs w:val="21"/>
              </w:rPr>
              <w:t>2.00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564" w:type="pct"/>
            <w:vMerge w:val="continue"/>
            <w:vAlign w:val="center"/>
          </w:tcPr>
          <w:p>
            <w:pPr>
              <w:widowControl/>
              <w:adjustRightInd/>
              <w:snapToGrid/>
              <w:spacing w:line="240" w:lineRule="auto"/>
              <w:ind w:firstLine="0" w:firstLineChars="0"/>
              <w:jc w:val="left"/>
              <w:rPr>
                <w:rFonts w:eastAsia="仿宋_GB2312"/>
                <w:sz w:val="21"/>
                <w:szCs w:val="21"/>
              </w:rPr>
            </w:pPr>
          </w:p>
        </w:tc>
        <w:tc>
          <w:tcPr>
            <w:tcW w:w="637" w:type="pct"/>
            <w:vMerge w:val="continue"/>
            <w:vAlign w:val="center"/>
          </w:tcPr>
          <w:p>
            <w:pPr>
              <w:widowControl/>
              <w:adjustRightInd/>
              <w:snapToGrid/>
              <w:spacing w:line="240" w:lineRule="auto"/>
              <w:ind w:firstLine="0" w:firstLineChars="0"/>
              <w:jc w:val="left"/>
              <w:rPr>
                <w:rFonts w:eastAsia="仿宋_GB2312"/>
                <w:sz w:val="21"/>
                <w:szCs w:val="21"/>
              </w:rPr>
            </w:pPr>
          </w:p>
        </w:tc>
        <w:tc>
          <w:tcPr>
            <w:tcW w:w="1701" w:type="pct"/>
            <w:gridSpan w:val="3"/>
            <w:vAlign w:val="center"/>
          </w:tcPr>
          <w:p>
            <w:pPr>
              <w:widowControl/>
              <w:adjustRightInd/>
              <w:snapToGrid/>
              <w:spacing w:line="240" w:lineRule="auto"/>
              <w:ind w:firstLine="0" w:firstLineChars="0"/>
              <w:jc w:val="center"/>
              <w:rPr>
                <w:rFonts w:eastAsia="仿宋_GB2312"/>
                <w:sz w:val="21"/>
                <w:szCs w:val="21"/>
              </w:rPr>
            </w:pPr>
            <w:r>
              <w:rPr>
                <w:rFonts w:eastAsia="仿宋_GB2312"/>
                <w:sz w:val="21"/>
                <w:szCs w:val="21"/>
              </w:rPr>
              <w:t>设计费</w:t>
            </w:r>
          </w:p>
        </w:tc>
        <w:tc>
          <w:tcPr>
            <w:tcW w:w="2098" w:type="pct"/>
            <w:gridSpan w:val="5"/>
            <w:vAlign w:val="center"/>
          </w:tcPr>
          <w:p>
            <w:pPr>
              <w:widowControl/>
              <w:adjustRightInd/>
              <w:snapToGrid/>
              <w:spacing w:line="240" w:lineRule="auto"/>
              <w:ind w:firstLine="0" w:firstLineChars="0"/>
              <w:jc w:val="center"/>
              <w:rPr>
                <w:rFonts w:eastAsia="仿宋_GB2312"/>
                <w:sz w:val="21"/>
                <w:szCs w:val="21"/>
              </w:rPr>
            </w:pPr>
            <w:r>
              <w:rPr>
                <w:rFonts w:hint="eastAsia" w:eastAsia="仿宋_GB2312"/>
                <w:sz w:val="21"/>
                <w:szCs w:val="21"/>
              </w:rPr>
              <w:t>6.00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564" w:type="pct"/>
            <w:vMerge w:val="continue"/>
            <w:vAlign w:val="center"/>
          </w:tcPr>
          <w:p>
            <w:pPr>
              <w:widowControl/>
              <w:adjustRightInd/>
              <w:snapToGrid/>
              <w:spacing w:line="240" w:lineRule="auto"/>
              <w:ind w:firstLine="0" w:firstLineChars="0"/>
              <w:jc w:val="left"/>
              <w:rPr>
                <w:rFonts w:eastAsia="仿宋_GB2312"/>
                <w:sz w:val="21"/>
                <w:szCs w:val="21"/>
              </w:rPr>
            </w:pPr>
          </w:p>
        </w:tc>
        <w:tc>
          <w:tcPr>
            <w:tcW w:w="637" w:type="pct"/>
            <w:vMerge w:val="continue"/>
            <w:vAlign w:val="center"/>
          </w:tcPr>
          <w:p>
            <w:pPr>
              <w:widowControl/>
              <w:adjustRightInd/>
              <w:snapToGrid/>
              <w:spacing w:line="240" w:lineRule="auto"/>
              <w:ind w:firstLine="0" w:firstLineChars="0"/>
              <w:jc w:val="left"/>
              <w:rPr>
                <w:rFonts w:eastAsia="仿宋_GB2312"/>
                <w:sz w:val="21"/>
                <w:szCs w:val="21"/>
              </w:rPr>
            </w:pPr>
          </w:p>
        </w:tc>
        <w:tc>
          <w:tcPr>
            <w:tcW w:w="1701" w:type="pct"/>
            <w:gridSpan w:val="3"/>
            <w:vAlign w:val="center"/>
          </w:tcPr>
          <w:p>
            <w:pPr>
              <w:widowControl/>
              <w:adjustRightInd/>
              <w:snapToGrid/>
              <w:spacing w:line="240" w:lineRule="auto"/>
              <w:ind w:firstLine="0" w:firstLineChars="0"/>
              <w:jc w:val="center"/>
              <w:rPr>
                <w:rFonts w:eastAsia="仿宋_GB2312"/>
                <w:sz w:val="21"/>
                <w:szCs w:val="21"/>
              </w:rPr>
            </w:pPr>
            <w:r>
              <w:rPr>
                <w:rFonts w:eastAsia="仿宋_GB2312"/>
                <w:sz w:val="21"/>
                <w:szCs w:val="21"/>
              </w:rPr>
              <w:t>水土保持验收报告编制费</w:t>
            </w:r>
          </w:p>
        </w:tc>
        <w:tc>
          <w:tcPr>
            <w:tcW w:w="2098" w:type="pct"/>
            <w:gridSpan w:val="5"/>
            <w:vAlign w:val="center"/>
          </w:tcPr>
          <w:p>
            <w:pPr>
              <w:widowControl/>
              <w:adjustRightInd/>
              <w:snapToGrid/>
              <w:spacing w:line="240" w:lineRule="auto"/>
              <w:ind w:firstLine="0" w:firstLineChars="0"/>
              <w:jc w:val="center"/>
              <w:rPr>
                <w:rFonts w:eastAsia="仿宋_GB2312"/>
                <w:sz w:val="21"/>
                <w:szCs w:val="21"/>
              </w:rPr>
            </w:pPr>
            <w:r>
              <w:rPr>
                <w:rFonts w:hint="eastAsia" w:eastAsia="仿宋_GB2312"/>
                <w:sz w:val="21"/>
                <w:szCs w:val="21"/>
              </w:rPr>
              <w:t>5.00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564" w:type="pct"/>
            <w:vMerge w:val="continue"/>
            <w:vAlign w:val="center"/>
          </w:tcPr>
          <w:p>
            <w:pPr>
              <w:widowControl/>
              <w:adjustRightInd/>
              <w:snapToGrid/>
              <w:spacing w:line="240" w:lineRule="auto"/>
              <w:ind w:firstLine="0" w:firstLineChars="0"/>
              <w:jc w:val="left"/>
              <w:rPr>
                <w:rFonts w:eastAsia="仿宋_GB2312"/>
                <w:sz w:val="21"/>
                <w:szCs w:val="21"/>
              </w:rPr>
            </w:pPr>
          </w:p>
        </w:tc>
        <w:tc>
          <w:tcPr>
            <w:tcW w:w="637" w:type="pct"/>
            <w:vAlign w:val="center"/>
          </w:tcPr>
          <w:p>
            <w:pPr>
              <w:widowControl/>
              <w:adjustRightInd/>
              <w:snapToGrid/>
              <w:spacing w:line="240" w:lineRule="auto"/>
              <w:ind w:firstLine="0" w:firstLineChars="0"/>
              <w:jc w:val="center"/>
              <w:rPr>
                <w:rFonts w:eastAsia="仿宋_GB2312"/>
                <w:sz w:val="21"/>
                <w:szCs w:val="21"/>
              </w:rPr>
            </w:pPr>
            <w:r>
              <w:rPr>
                <w:rFonts w:eastAsia="仿宋_GB2312"/>
                <w:sz w:val="21"/>
                <w:szCs w:val="21"/>
              </w:rPr>
              <w:t>总投资</w:t>
            </w:r>
          </w:p>
        </w:tc>
        <w:tc>
          <w:tcPr>
            <w:tcW w:w="3800" w:type="pct"/>
            <w:gridSpan w:val="8"/>
            <w:vAlign w:val="center"/>
          </w:tcPr>
          <w:p>
            <w:pPr>
              <w:widowControl/>
              <w:adjustRightInd/>
              <w:snapToGrid/>
              <w:spacing w:line="240" w:lineRule="auto"/>
              <w:ind w:firstLine="0" w:firstLineChars="0"/>
              <w:jc w:val="center"/>
              <w:rPr>
                <w:rFonts w:eastAsia="仿宋_GB2312"/>
                <w:sz w:val="21"/>
                <w:szCs w:val="21"/>
              </w:rPr>
            </w:pPr>
            <w:r>
              <w:rPr>
                <w:rFonts w:hint="eastAsia" w:eastAsia="仿宋_GB2312"/>
                <w:sz w:val="21"/>
                <w:szCs w:val="21"/>
              </w:rPr>
              <w:t>18.79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1200" w:type="pct"/>
            <w:gridSpan w:val="2"/>
            <w:vAlign w:val="center"/>
          </w:tcPr>
          <w:p>
            <w:pPr>
              <w:widowControl/>
              <w:adjustRightInd/>
              <w:snapToGrid/>
              <w:spacing w:line="240" w:lineRule="auto"/>
              <w:ind w:firstLine="0" w:firstLineChars="0"/>
              <w:jc w:val="center"/>
              <w:rPr>
                <w:rFonts w:eastAsia="仿宋_GB2312"/>
                <w:sz w:val="21"/>
                <w:szCs w:val="21"/>
              </w:rPr>
            </w:pPr>
            <w:r>
              <w:rPr>
                <w:rFonts w:eastAsia="仿宋_GB2312"/>
                <w:sz w:val="21"/>
                <w:szCs w:val="21"/>
              </w:rPr>
              <w:t>编制单位</w:t>
            </w:r>
          </w:p>
        </w:tc>
        <w:tc>
          <w:tcPr>
            <w:tcW w:w="1402" w:type="pct"/>
            <w:gridSpan w:val="2"/>
            <w:vAlign w:val="center"/>
          </w:tcPr>
          <w:p>
            <w:pPr>
              <w:pStyle w:val="73"/>
              <w:widowControl w:val="0"/>
              <w:topLinePunct/>
              <w:adjustRightInd w:val="0"/>
              <w:snapToGrid w:val="0"/>
              <w:spacing w:line="240" w:lineRule="auto"/>
              <w:jc w:val="center"/>
              <w:textAlignment w:val="center"/>
              <w:rPr>
                <w:rFonts w:cs="Times New Roman"/>
                <w:bCs/>
                <w:color w:val="auto"/>
              </w:rPr>
            </w:pPr>
            <w:r>
              <w:rPr>
                <w:rFonts w:hint="eastAsia" w:cs="Times New Roman"/>
                <w:bCs/>
                <w:color w:val="auto"/>
              </w:rPr>
              <w:t>新疆新农丽景环境工程咨询有限公司</w:t>
            </w:r>
          </w:p>
        </w:tc>
        <w:tc>
          <w:tcPr>
            <w:tcW w:w="974" w:type="pct"/>
            <w:gridSpan w:val="2"/>
            <w:vAlign w:val="center"/>
          </w:tcPr>
          <w:p>
            <w:pPr>
              <w:pStyle w:val="73"/>
              <w:widowControl w:val="0"/>
              <w:topLinePunct/>
              <w:adjustRightInd w:val="0"/>
              <w:snapToGrid w:val="0"/>
              <w:spacing w:line="240" w:lineRule="auto"/>
              <w:jc w:val="center"/>
              <w:textAlignment w:val="center"/>
              <w:rPr>
                <w:rFonts w:cs="Times New Roman"/>
              </w:rPr>
            </w:pPr>
            <w:r>
              <w:rPr>
                <w:rFonts w:cs="Times New Roman"/>
              </w:rPr>
              <w:t>建设单位</w:t>
            </w:r>
          </w:p>
        </w:tc>
        <w:tc>
          <w:tcPr>
            <w:tcW w:w="1423" w:type="pct"/>
            <w:gridSpan w:val="4"/>
            <w:vAlign w:val="center"/>
          </w:tcPr>
          <w:p>
            <w:pPr>
              <w:pStyle w:val="73"/>
              <w:widowControl w:val="0"/>
              <w:topLinePunct/>
              <w:adjustRightInd w:val="0"/>
              <w:snapToGrid w:val="0"/>
              <w:spacing w:line="240" w:lineRule="auto"/>
              <w:jc w:val="center"/>
              <w:textAlignment w:val="center"/>
              <w:rPr>
                <w:rFonts w:cs="Times New Roman"/>
                <w:color w:val="auto"/>
              </w:rPr>
            </w:pPr>
            <w:r>
              <w:rPr>
                <w:rFonts w:cs="Times New Roman"/>
                <w:color w:val="auto"/>
              </w:rPr>
              <w:t>第十四师水利工程管理服务中心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1200" w:type="pct"/>
            <w:gridSpan w:val="2"/>
            <w:vAlign w:val="center"/>
          </w:tcPr>
          <w:p>
            <w:pPr>
              <w:widowControl/>
              <w:adjustRightInd/>
              <w:snapToGrid/>
              <w:spacing w:line="240" w:lineRule="auto"/>
              <w:ind w:firstLine="0" w:firstLineChars="0"/>
              <w:jc w:val="center"/>
              <w:rPr>
                <w:rFonts w:eastAsia="仿宋_GB2312"/>
                <w:sz w:val="21"/>
                <w:szCs w:val="21"/>
              </w:rPr>
            </w:pPr>
            <w:r>
              <w:rPr>
                <w:rFonts w:hint="eastAsia" w:eastAsia="仿宋_GB2312"/>
                <w:sz w:val="21"/>
                <w:szCs w:val="21"/>
              </w:rPr>
              <w:t>负责人</w:t>
            </w:r>
          </w:p>
        </w:tc>
        <w:tc>
          <w:tcPr>
            <w:tcW w:w="1402" w:type="pct"/>
            <w:gridSpan w:val="2"/>
            <w:vAlign w:val="center"/>
          </w:tcPr>
          <w:p>
            <w:pPr>
              <w:pStyle w:val="73"/>
              <w:widowControl w:val="0"/>
              <w:topLinePunct/>
              <w:adjustRightInd w:val="0"/>
              <w:snapToGrid w:val="0"/>
              <w:spacing w:line="240" w:lineRule="auto"/>
              <w:jc w:val="center"/>
              <w:textAlignment w:val="center"/>
              <w:rPr>
                <w:bCs/>
                <w:color w:val="auto"/>
              </w:rPr>
            </w:pPr>
            <w:r>
              <w:rPr>
                <w:bCs/>
                <w:color w:val="auto"/>
              </w:rPr>
              <w:t>白慧敏</w:t>
            </w:r>
          </w:p>
        </w:tc>
        <w:tc>
          <w:tcPr>
            <w:tcW w:w="974" w:type="pct"/>
            <w:gridSpan w:val="2"/>
            <w:vAlign w:val="center"/>
          </w:tcPr>
          <w:p>
            <w:pPr>
              <w:pStyle w:val="73"/>
              <w:widowControl w:val="0"/>
              <w:topLinePunct/>
              <w:adjustRightInd w:val="0"/>
              <w:snapToGrid w:val="0"/>
              <w:spacing w:line="240" w:lineRule="auto"/>
              <w:jc w:val="center"/>
              <w:textAlignment w:val="center"/>
              <w:rPr>
                <w:rFonts w:cs="Times New Roman"/>
              </w:rPr>
            </w:pPr>
            <w:r>
              <w:rPr>
                <w:rFonts w:cs="Times New Roman"/>
              </w:rPr>
              <w:t>法定代表人</w:t>
            </w:r>
          </w:p>
        </w:tc>
        <w:tc>
          <w:tcPr>
            <w:tcW w:w="1423" w:type="pct"/>
            <w:gridSpan w:val="4"/>
            <w:vAlign w:val="center"/>
          </w:tcPr>
          <w:p>
            <w:pPr>
              <w:pStyle w:val="73"/>
              <w:widowControl w:val="0"/>
              <w:topLinePunct/>
              <w:adjustRightInd w:val="0"/>
              <w:snapToGrid w:val="0"/>
              <w:spacing w:line="240" w:lineRule="auto"/>
              <w:jc w:val="center"/>
              <w:textAlignment w:val="center"/>
              <w:rPr>
                <w:rFonts w:cs="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1200" w:type="pct"/>
            <w:gridSpan w:val="2"/>
            <w:vAlign w:val="center"/>
          </w:tcPr>
          <w:p>
            <w:pPr>
              <w:widowControl/>
              <w:adjustRightInd/>
              <w:snapToGrid/>
              <w:spacing w:line="240" w:lineRule="auto"/>
              <w:ind w:firstLine="0" w:firstLineChars="0"/>
              <w:jc w:val="center"/>
              <w:rPr>
                <w:rFonts w:eastAsia="仿宋_GB2312"/>
                <w:sz w:val="21"/>
                <w:szCs w:val="21"/>
              </w:rPr>
            </w:pPr>
            <w:r>
              <w:rPr>
                <w:rFonts w:eastAsia="仿宋_GB2312"/>
                <w:sz w:val="21"/>
                <w:szCs w:val="21"/>
              </w:rPr>
              <w:t>地址</w:t>
            </w:r>
          </w:p>
        </w:tc>
        <w:tc>
          <w:tcPr>
            <w:tcW w:w="1402" w:type="pct"/>
            <w:gridSpan w:val="2"/>
            <w:vAlign w:val="center"/>
          </w:tcPr>
          <w:p>
            <w:pPr>
              <w:pStyle w:val="73"/>
              <w:widowControl w:val="0"/>
              <w:topLinePunct/>
              <w:adjustRightInd w:val="0"/>
              <w:snapToGrid w:val="0"/>
              <w:spacing w:line="240" w:lineRule="auto"/>
              <w:jc w:val="center"/>
              <w:textAlignment w:val="center"/>
              <w:rPr>
                <w:bCs/>
                <w:color w:val="auto"/>
              </w:rPr>
            </w:pPr>
            <w:r>
              <w:rPr>
                <w:rFonts w:cs="Times New Roman"/>
              </w:rPr>
              <w:t>新疆乌鲁木齐沙依巴克区克拉玛依西路2577号恒昌恒业花园4栋1单元602室</w:t>
            </w:r>
          </w:p>
        </w:tc>
        <w:tc>
          <w:tcPr>
            <w:tcW w:w="974" w:type="pct"/>
            <w:gridSpan w:val="2"/>
            <w:vAlign w:val="center"/>
          </w:tcPr>
          <w:p>
            <w:pPr>
              <w:pStyle w:val="73"/>
              <w:widowControl w:val="0"/>
              <w:topLinePunct/>
              <w:adjustRightInd w:val="0"/>
              <w:snapToGrid w:val="0"/>
              <w:spacing w:line="240" w:lineRule="auto"/>
              <w:jc w:val="center"/>
              <w:textAlignment w:val="center"/>
              <w:rPr>
                <w:rFonts w:cs="Times New Roman"/>
              </w:rPr>
            </w:pPr>
            <w:r>
              <w:rPr>
                <w:rFonts w:cs="Times New Roman"/>
              </w:rPr>
              <w:t>地址</w:t>
            </w:r>
          </w:p>
        </w:tc>
        <w:tc>
          <w:tcPr>
            <w:tcW w:w="1423" w:type="pct"/>
            <w:gridSpan w:val="4"/>
            <w:vAlign w:val="center"/>
          </w:tcPr>
          <w:p>
            <w:pPr>
              <w:pStyle w:val="73"/>
              <w:widowControl w:val="0"/>
              <w:topLinePunct/>
              <w:adjustRightInd w:val="0"/>
              <w:snapToGrid w:val="0"/>
              <w:spacing w:line="240" w:lineRule="auto"/>
              <w:jc w:val="center"/>
              <w:textAlignment w:val="center"/>
              <w:rPr>
                <w:rFonts w:cs="Times New Roman"/>
                <w:color w:val="auto"/>
              </w:rPr>
            </w:pPr>
            <w:r>
              <w:fldChar w:fldCharType="begin"/>
            </w:r>
            <w:r>
              <w:instrText xml:space="preserve"> HYPERLINK "https://ditu.so.com/?pid=b16184175467d6da&amp;src=onebox" \t "_blank" </w:instrText>
            </w:r>
            <w:r>
              <w:fldChar w:fldCharType="separate"/>
            </w:r>
            <w:r>
              <w:rPr>
                <w:rFonts w:cs="Times New Roman"/>
                <w:color w:val="auto"/>
              </w:rPr>
              <w:t>和田市乌鲁木齐北路190号</w:t>
            </w:r>
            <w:r>
              <w:rPr>
                <w:rFonts w:cs="Times New Roman"/>
                <w:color w:val="auto"/>
              </w:rPr>
              <w:fldChar w:fldCharType="end"/>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1200" w:type="pct"/>
            <w:gridSpan w:val="2"/>
            <w:vAlign w:val="center"/>
          </w:tcPr>
          <w:p>
            <w:pPr>
              <w:widowControl/>
              <w:adjustRightInd/>
              <w:snapToGrid/>
              <w:spacing w:line="240" w:lineRule="auto"/>
              <w:ind w:firstLine="0" w:firstLineChars="0"/>
              <w:jc w:val="center"/>
              <w:rPr>
                <w:rFonts w:eastAsia="仿宋_GB2312"/>
                <w:sz w:val="21"/>
                <w:szCs w:val="21"/>
              </w:rPr>
            </w:pPr>
            <w:r>
              <w:rPr>
                <w:rFonts w:eastAsia="仿宋_GB2312"/>
                <w:sz w:val="21"/>
                <w:szCs w:val="21"/>
              </w:rPr>
              <w:t>邮编</w:t>
            </w:r>
          </w:p>
        </w:tc>
        <w:tc>
          <w:tcPr>
            <w:tcW w:w="1402" w:type="pct"/>
            <w:gridSpan w:val="2"/>
            <w:vAlign w:val="center"/>
          </w:tcPr>
          <w:p>
            <w:pPr>
              <w:pStyle w:val="73"/>
              <w:widowControl w:val="0"/>
              <w:topLinePunct/>
              <w:adjustRightInd w:val="0"/>
              <w:snapToGrid w:val="0"/>
              <w:spacing w:line="240" w:lineRule="auto"/>
              <w:jc w:val="center"/>
              <w:textAlignment w:val="center"/>
              <w:rPr>
                <w:bCs/>
                <w:color w:val="auto"/>
              </w:rPr>
            </w:pPr>
            <w:r>
              <w:rPr>
                <w:rFonts w:hint="eastAsia"/>
                <w:bCs/>
                <w:color w:val="auto"/>
              </w:rPr>
              <w:t>830000</w:t>
            </w:r>
          </w:p>
        </w:tc>
        <w:tc>
          <w:tcPr>
            <w:tcW w:w="974" w:type="pct"/>
            <w:gridSpan w:val="2"/>
            <w:vAlign w:val="center"/>
          </w:tcPr>
          <w:p>
            <w:pPr>
              <w:pStyle w:val="73"/>
              <w:widowControl w:val="0"/>
              <w:topLinePunct/>
              <w:adjustRightInd w:val="0"/>
              <w:snapToGrid w:val="0"/>
              <w:spacing w:line="240" w:lineRule="auto"/>
              <w:jc w:val="center"/>
              <w:textAlignment w:val="center"/>
              <w:rPr>
                <w:rFonts w:cs="Times New Roman"/>
              </w:rPr>
            </w:pPr>
            <w:r>
              <w:rPr>
                <w:rFonts w:cs="Times New Roman"/>
              </w:rPr>
              <w:t>邮编</w:t>
            </w:r>
          </w:p>
        </w:tc>
        <w:tc>
          <w:tcPr>
            <w:tcW w:w="1423" w:type="pct"/>
            <w:gridSpan w:val="4"/>
            <w:vAlign w:val="center"/>
          </w:tcPr>
          <w:p>
            <w:pPr>
              <w:pStyle w:val="73"/>
              <w:widowControl w:val="0"/>
              <w:topLinePunct/>
              <w:adjustRightInd w:val="0"/>
              <w:snapToGrid w:val="0"/>
              <w:spacing w:line="240" w:lineRule="auto"/>
              <w:jc w:val="center"/>
              <w:textAlignment w:val="center"/>
              <w:rPr>
                <w:rFonts w:cs="Times New Roman"/>
                <w:color w:val="auto"/>
              </w:rPr>
            </w:pPr>
            <w:r>
              <w:rPr>
                <w:rFonts w:cs="Times New Roman"/>
                <w:color w:val="auto"/>
              </w:rPr>
              <w:t>848100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1200" w:type="pct"/>
            <w:gridSpan w:val="2"/>
            <w:vAlign w:val="center"/>
          </w:tcPr>
          <w:p>
            <w:pPr>
              <w:widowControl/>
              <w:adjustRightInd/>
              <w:snapToGrid/>
              <w:spacing w:line="240" w:lineRule="auto"/>
              <w:ind w:firstLine="0" w:firstLineChars="0"/>
              <w:jc w:val="center"/>
              <w:rPr>
                <w:rFonts w:eastAsia="仿宋_GB2312"/>
                <w:sz w:val="21"/>
                <w:szCs w:val="21"/>
              </w:rPr>
            </w:pPr>
            <w:r>
              <w:rPr>
                <w:rFonts w:eastAsia="仿宋_GB2312"/>
                <w:sz w:val="21"/>
                <w:szCs w:val="21"/>
              </w:rPr>
              <w:t>联系人及电话</w:t>
            </w:r>
          </w:p>
        </w:tc>
        <w:tc>
          <w:tcPr>
            <w:tcW w:w="1402" w:type="pct"/>
            <w:gridSpan w:val="2"/>
            <w:vAlign w:val="center"/>
          </w:tcPr>
          <w:p>
            <w:pPr>
              <w:pStyle w:val="73"/>
              <w:widowControl w:val="0"/>
              <w:topLinePunct/>
              <w:adjustRightInd w:val="0"/>
              <w:snapToGrid w:val="0"/>
              <w:spacing w:line="240" w:lineRule="auto"/>
              <w:jc w:val="center"/>
              <w:textAlignment w:val="center"/>
              <w:rPr>
                <w:bCs/>
                <w:color w:val="auto"/>
              </w:rPr>
            </w:pPr>
            <w:r>
              <w:rPr>
                <w:color w:val="auto"/>
              </w:rPr>
              <w:t>周建勤 19990627353</w:t>
            </w:r>
          </w:p>
        </w:tc>
        <w:tc>
          <w:tcPr>
            <w:tcW w:w="974" w:type="pct"/>
            <w:gridSpan w:val="2"/>
            <w:vAlign w:val="center"/>
          </w:tcPr>
          <w:p>
            <w:pPr>
              <w:pStyle w:val="73"/>
              <w:widowControl w:val="0"/>
              <w:topLinePunct/>
              <w:adjustRightInd w:val="0"/>
              <w:snapToGrid w:val="0"/>
              <w:spacing w:line="240" w:lineRule="auto"/>
              <w:jc w:val="center"/>
              <w:textAlignment w:val="center"/>
              <w:rPr>
                <w:rFonts w:cs="Times New Roman"/>
              </w:rPr>
            </w:pPr>
            <w:r>
              <w:rPr>
                <w:rFonts w:cs="Times New Roman"/>
              </w:rPr>
              <w:t>联系人及电话</w:t>
            </w:r>
          </w:p>
        </w:tc>
        <w:tc>
          <w:tcPr>
            <w:tcW w:w="1423" w:type="pct"/>
            <w:gridSpan w:val="4"/>
            <w:vAlign w:val="center"/>
          </w:tcPr>
          <w:p>
            <w:pPr>
              <w:pStyle w:val="73"/>
              <w:widowControl w:val="0"/>
              <w:topLinePunct/>
              <w:adjustRightInd w:val="0"/>
              <w:snapToGrid w:val="0"/>
              <w:spacing w:line="240" w:lineRule="auto"/>
              <w:jc w:val="center"/>
              <w:textAlignment w:val="center"/>
              <w:rPr>
                <w:rFonts w:cs="Times New Roman"/>
                <w:color w:val="auto"/>
              </w:rPr>
            </w:pPr>
            <w:r>
              <w:rPr>
                <w:rFonts w:hint="eastAsia" w:cs="Times New Roman"/>
                <w:color w:val="auto"/>
              </w:rPr>
              <w:t>刘多宏18999430988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1200" w:type="pct"/>
            <w:gridSpan w:val="2"/>
            <w:vAlign w:val="center"/>
          </w:tcPr>
          <w:p>
            <w:pPr>
              <w:widowControl/>
              <w:adjustRightInd/>
              <w:snapToGrid/>
              <w:spacing w:line="240" w:lineRule="auto"/>
              <w:ind w:firstLine="0" w:firstLineChars="0"/>
              <w:jc w:val="center"/>
              <w:rPr>
                <w:rFonts w:eastAsia="仿宋_GB2312"/>
                <w:sz w:val="21"/>
                <w:szCs w:val="21"/>
              </w:rPr>
            </w:pPr>
            <w:r>
              <w:rPr>
                <w:rFonts w:eastAsia="仿宋_GB2312"/>
                <w:sz w:val="21"/>
                <w:szCs w:val="21"/>
              </w:rPr>
              <w:t>电子信箱</w:t>
            </w:r>
          </w:p>
        </w:tc>
        <w:tc>
          <w:tcPr>
            <w:tcW w:w="1402" w:type="pct"/>
            <w:gridSpan w:val="2"/>
            <w:vAlign w:val="center"/>
          </w:tcPr>
          <w:p>
            <w:pPr>
              <w:widowControl/>
              <w:adjustRightInd/>
              <w:snapToGrid/>
              <w:spacing w:line="240" w:lineRule="auto"/>
              <w:ind w:firstLine="0" w:firstLineChars="0"/>
              <w:jc w:val="center"/>
              <w:rPr>
                <w:rFonts w:eastAsia="仿宋_GB2312"/>
                <w:sz w:val="21"/>
                <w:szCs w:val="21"/>
              </w:rPr>
            </w:pPr>
            <w:r>
              <w:rPr>
                <w:rFonts w:hint="eastAsia" w:eastAsia="仿宋_GB2312"/>
                <w:sz w:val="21"/>
                <w:szCs w:val="21"/>
              </w:rPr>
              <w:t>/</w:t>
            </w:r>
          </w:p>
        </w:tc>
        <w:tc>
          <w:tcPr>
            <w:tcW w:w="974" w:type="pct"/>
            <w:gridSpan w:val="2"/>
            <w:vAlign w:val="center"/>
          </w:tcPr>
          <w:p>
            <w:pPr>
              <w:widowControl/>
              <w:adjustRightInd/>
              <w:snapToGrid/>
              <w:spacing w:line="240" w:lineRule="auto"/>
              <w:ind w:firstLine="0" w:firstLineChars="0"/>
              <w:jc w:val="center"/>
              <w:rPr>
                <w:rFonts w:eastAsia="仿宋_GB2312"/>
                <w:sz w:val="21"/>
                <w:szCs w:val="21"/>
              </w:rPr>
            </w:pPr>
            <w:r>
              <w:rPr>
                <w:rFonts w:eastAsia="仿宋_GB2312"/>
                <w:sz w:val="21"/>
                <w:szCs w:val="21"/>
              </w:rPr>
              <w:t>电子信箱</w:t>
            </w:r>
          </w:p>
        </w:tc>
        <w:tc>
          <w:tcPr>
            <w:tcW w:w="1423" w:type="pct"/>
            <w:gridSpan w:val="4"/>
            <w:vAlign w:val="center"/>
          </w:tcPr>
          <w:p>
            <w:pPr>
              <w:widowControl/>
              <w:adjustRightInd/>
              <w:snapToGrid/>
              <w:spacing w:line="240" w:lineRule="auto"/>
              <w:ind w:firstLine="0" w:firstLineChars="0"/>
              <w:jc w:val="center"/>
              <w:rPr>
                <w:rFonts w:eastAsia="仿宋_GB2312"/>
                <w:sz w:val="21"/>
                <w:szCs w:val="21"/>
              </w:rPr>
            </w:pPr>
            <w:r>
              <w:rPr>
                <w:rFonts w:hint="eastAsia" w:eastAsia="仿宋_GB2312"/>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1200" w:type="pct"/>
            <w:gridSpan w:val="2"/>
            <w:vAlign w:val="center"/>
          </w:tcPr>
          <w:p>
            <w:pPr>
              <w:widowControl/>
              <w:adjustRightInd/>
              <w:snapToGrid/>
              <w:spacing w:line="240" w:lineRule="auto"/>
              <w:ind w:firstLine="0" w:firstLineChars="0"/>
              <w:jc w:val="center"/>
              <w:rPr>
                <w:rFonts w:eastAsia="仿宋_GB2312"/>
                <w:sz w:val="21"/>
                <w:szCs w:val="21"/>
              </w:rPr>
            </w:pPr>
            <w:r>
              <w:rPr>
                <w:rFonts w:eastAsia="仿宋_GB2312"/>
                <w:sz w:val="21"/>
                <w:szCs w:val="21"/>
              </w:rPr>
              <w:t>传真</w:t>
            </w:r>
          </w:p>
        </w:tc>
        <w:tc>
          <w:tcPr>
            <w:tcW w:w="1402" w:type="pct"/>
            <w:gridSpan w:val="2"/>
            <w:vAlign w:val="center"/>
          </w:tcPr>
          <w:p>
            <w:pPr>
              <w:widowControl/>
              <w:spacing w:line="240" w:lineRule="auto"/>
              <w:ind w:firstLine="0" w:firstLineChars="0"/>
              <w:jc w:val="center"/>
              <w:rPr>
                <w:rFonts w:eastAsia="仿宋_GB2312"/>
                <w:sz w:val="21"/>
                <w:szCs w:val="21"/>
              </w:rPr>
            </w:pPr>
            <w:r>
              <w:rPr>
                <w:rFonts w:hint="eastAsia" w:eastAsia="仿宋_GB2312"/>
                <w:sz w:val="21"/>
                <w:szCs w:val="21"/>
              </w:rPr>
              <w:t>/</w:t>
            </w:r>
          </w:p>
        </w:tc>
        <w:tc>
          <w:tcPr>
            <w:tcW w:w="974" w:type="pct"/>
            <w:gridSpan w:val="2"/>
            <w:vAlign w:val="center"/>
          </w:tcPr>
          <w:p>
            <w:pPr>
              <w:widowControl/>
              <w:adjustRightInd/>
              <w:snapToGrid/>
              <w:spacing w:line="240" w:lineRule="auto"/>
              <w:ind w:firstLine="0" w:firstLineChars="0"/>
              <w:jc w:val="center"/>
              <w:rPr>
                <w:rFonts w:eastAsia="仿宋_GB2312"/>
                <w:sz w:val="21"/>
                <w:szCs w:val="21"/>
              </w:rPr>
            </w:pPr>
            <w:r>
              <w:rPr>
                <w:rFonts w:eastAsia="仿宋_GB2312"/>
                <w:sz w:val="21"/>
                <w:szCs w:val="21"/>
              </w:rPr>
              <w:t>传真</w:t>
            </w:r>
          </w:p>
        </w:tc>
        <w:tc>
          <w:tcPr>
            <w:tcW w:w="1423" w:type="pct"/>
            <w:gridSpan w:val="4"/>
            <w:vAlign w:val="center"/>
          </w:tcPr>
          <w:p>
            <w:pPr>
              <w:widowControl/>
              <w:adjustRightInd/>
              <w:snapToGrid/>
              <w:spacing w:line="240" w:lineRule="auto"/>
              <w:ind w:firstLine="0" w:firstLineChars="0"/>
              <w:jc w:val="center"/>
              <w:rPr>
                <w:rFonts w:eastAsia="仿宋_GB2312"/>
                <w:sz w:val="21"/>
                <w:szCs w:val="21"/>
              </w:rPr>
            </w:pPr>
            <w:r>
              <w:rPr>
                <w:rFonts w:hint="eastAsia" w:eastAsia="仿宋_GB2312"/>
                <w:sz w:val="21"/>
                <w:szCs w:val="21"/>
              </w:rPr>
              <w:t>/</w:t>
            </w:r>
          </w:p>
        </w:tc>
      </w:tr>
    </w:tbl>
    <w:p>
      <w:pPr>
        <w:ind w:firstLine="199" w:firstLineChars="83"/>
        <w:sectPr>
          <w:pgSz w:w="11906" w:h="16838"/>
          <w:pgMar w:top="1440" w:right="1803" w:bottom="1440" w:left="1803" w:header="851" w:footer="992" w:gutter="0"/>
          <w:pgNumType w:fmt="lowerRoman" w:start="1"/>
          <w:cols w:space="720" w:num="1"/>
          <w:docGrid w:linePitch="326" w:charSpace="0"/>
        </w:sectPr>
      </w:pPr>
    </w:p>
    <w:p>
      <w:pPr>
        <w:ind w:left="0" w:leftChars="0" w:firstLine="0" w:firstLineChars="0"/>
        <w:sectPr>
          <w:pgSz w:w="11906" w:h="16838"/>
          <w:pgMar w:top="1440" w:right="1803" w:bottom="1440" w:left="1803" w:header="851" w:footer="992" w:gutter="0"/>
          <w:pgNumType w:fmt="lowerRoman" w:start="1"/>
          <w:cols w:space="720" w:num="1"/>
          <w:docGrid w:linePitch="326" w:charSpace="0"/>
        </w:sectPr>
      </w:pPr>
    </w:p>
    <w:p>
      <w:pPr>
        <w:pStyle w:val="28"/>
        <w:tabs>
          <w:tab w:val="left" w:pos="422"/>
          <w:tab w:val="right" w:leader="dot" w:pos="9016"/>
        </w:tabs>
        <w:jc w:val="center"/>
        <w:rPr>
          <w:rFonts w:ascii="Times New Roman" w:hAnsi="Times New Roman" w:cs="Times New Roman"/>
          <w:sz w:val="32"/>
          <w:szCs w:val="32"/>
        </w:rPr>
      </w:pPr>
      <w:bookmarkStart w:id="7" w:name="_Toc521562310"/>
      <w:bookmarkStart w:id="8" w:name="_Toc394323542"/>
      <w:bookmarkStart w:id="9" w:name="_Toc439711087"/>
      <w:bookmarkStart w:id="10" w:name="_Toc414105463"/>
      <w:bookmarkStart w:id="11" w:name="_Toc7720529"/>
      <w:bookmarkStart w:id="12" w:name="_Toc370324888"/>
      <w:bookmarkStart w:id="13" w:name="_Toc421027881"/>
      <w:bookmarkStart w:id="14" w:name="_Toc370050982"/>
      <w:bookmarkStart w:id="15" w:name="_Toc446495973"/>
      <w:bookmarkStart w:id="16" w:name="_Toc7720461"/>
      <w:bookmarkStart w:id="17" w:name="_Toc397347312"/>
      <w:bookmarkStart w:id="18" w:name="_Toc392181688"/>
      <w:bookmarkStart w:id="19" w:name="_Toc458611434"/>
      <w:bookmarkStart w:id="20" w:name="_Toc389470361"/>
      <w:bookmarkStart w:id="21" w:name="_Toc5308823"/>
      <w:bookmarkStart w:id="22" w:name="_Toc379804299"/>
      <w:bookmarkStart w:id="23" w:name="_Toc446595385"/>
      <w:bookmarkStart w:id="24" w:name="_Toc398733630"/>
      <w:bookmarkStart w:id="25" w:name="_Toc517497997"/>
      <w:r>
        <w:rPr>
          <w:rFonts w:ascii="Times New Roman" w:hAnsi="Times New Roman" w:cs="Times New Roman"/>
          <w:sz w:val="32"/>
          <w:szCs w:val="32"/>
        </w:rPr>
        <w:t>目录</w:t>
      </w:r>
    </w:p>
    <w:p>
      <w:pPr>
        <w:pStyle w:val="28"/>
        <w:tabs>
          <w:tab w:val="left" w:pos="422"/>
          <w:tab w:val="right" w:leader="dot" w:pos="8290"/>
        </w:tabs>
        <w:rPr>
          <w:rFonts w:ascii="Times New Roman" w:hAnsi="Times New Roman" w:cs="Times New Roman"/>
          <w:b w:val="0"/>
          <w:bCs w:val="0"/>
          <w:caps w:val="0"/>
          <w:kern w:val="2"/>
          <w:sz w:val="21"/>
        </w:rPr>
      </w:pPr>
      <w:r>
        <w:rPr>
          <w:rFonts w:ascii="Times New Roman" w:hAnsi="Times New Roman" w:cs="Times New Roman"/>
          <w:b w:val="0"/>
        </w:rPr>
        <w:fldChar w:fldCharType="begin"/>
      </w:r>
      <w:r>
        <w:rPr>
          <w:rFonts w:ascii="Times New Roman" w:hAnsi="Times New Roman" w:cs="Times New Roman"/>
          <w:b w:val="0"/>
        </w:rPr>
        <w:instrText xml:space="preserve"> TOC \o "1-2" \h \z \u </w:instrText>
      </w:r>
      <w:r>
        <w:rPr>
          <w:rFonts w:ascii="Times New Roman" w:hAnsi="Times New Roman" w:cs="Times New Roman"/>
          <w:b w:val="0"/>
        </w:rPr>
        <w:fldChar w:fldCharType="separate"/>
      </w:r>
      <w:r>
        <w:fldChar w:fldCharType="begin"/>
      </w:r>
      <w:r>
        <w:instrText xml:space="preserve"> HYPERLINK \l "_Toc47381514" </w:instrText>
      </w:r>
      <w:r>
        <w:fldChar w:fldCharType="separate"/>
      </w:r>
      <w:r>
        <w:rPr>
          <w:rStyle w:val="46"/>
          <w:rFonts w:ascii="Times New Roman" w:hAnsi="Times New Roman"/>
        </w:rPr>
        <w:t>1</w:t>
      </w:r>
      <w:r>
        <w:rPr>
          <w:rFonts w:ascii="Times New Roman" w:hAnsi="Times New Roman" w:cs="Times New Roman"/>
          <w:b w:val="0"/>
          <w:bCs w:val="0"/>
          <w:caps w:val="0"/>
          <w:kern w:val="2"/>
          <w:sz w:val="21"/>
        </w:rPr>
        <w:tab/>
      </w:r>
      <w:r>
        <w:rPr>
          <w:rStyle w:val="46"/>
          <w:rFonts w:ascii="Times New Roman" w:hAnsi="Times New Roman"/>
        </w:rPr>
        <w:t>综合说明</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_Toc47381514 \h </w:instrText>
      </w:r>
      <w:r>
        <w:rPr>
          <w:rFonts w:ascii="Times New Roman" w:hAnsi="Times New Roman" w:cs="Times New Roman"/>
        </w:rPr>
        <w:fldChar w:fldCharType="separate"/>
      </w:r>
      <w:r>
        <w:rPr>
          <w:rFonts w:ascii="Times New Roman" w:hAnsi="Times New Roman" w:cs="Times New Roman"/>
        </w:rPr>
        <w:t>5</w:t>
      </w:r>
      <w:r>
        <w:rPr>
          <w:rFonts w:ascii="Times New Roman" w:hAnsi="Times New Roman" w:cs="Times New Roman"/>
        </w:rPr>
        <w:fldChar w:fldCharType="end"/>
      </w:r>
      <w:r>
        <w:rPr>
          <w:rFonts w:ascii="Times New Roman" w:hAnsi="Times New Roman" w:cs="Times New Roman"/>
        </w:rPr>
        <w:fldChar w:fldCharType="end"/>
      </w:r>
    </w:p>
    <w:p>
      <w:pPr>
        <w:pStyle w:val="35"/>
        <w:tabs>
          <w:tab w:val="left" w:pos="845"/>
          <w:tab w:val="right" w:leader="dot" w:pos="8290"/>
        </w:tabs>
        <w:ind w:left="240"/>
        <w:rPr>
          <w:rFonts w:ascii="Times New Roman" w:hAnsi="Times New Roman" w:cs="Times New Roman"/>
          <w:bCs w:val="0"/>
          <w:smallCaps w:val="0"/>
          <w:kern w:val="2"/>
          <w:sz w:val="21"/>
        </w:rPr>
      </w:pPr>
      <w:r>
        <w:fldChar w:fldCharType="begin"/>
      </w:r>
      <w:r>
        <w:instrText xml:space="preserve"> HYPERLINK \l "_Toc47381515" </w:instrText>
      </w:r>
      <w:r>
        <w:fldChar w:fldCharType="separate"/>
      </w:r>
      <w:r>
        <w:rPr>
          <w:rStyle w:val="46"/>
          <w:rFonts w:ascii="Times New Roman" w:hAnsi="Times New Roman"/>
        </w:rPr>
        <w:t>1.1</w:t>
      </w:r>
      <w:r>
        <w:rPr>
          <w:rFonts w:ascii="Times New Roman" w:hAnsi="Times New Roman" w:cs="Times New Roman"/>
          <w:bCs w:val="0"/>
          <w:smallCaps w:val="0"/>
          <w:kern w:val="2"/>
          <w:sz w:val="21"/>
        </w:rPr>
        <w:tab/>
      </w:r>
      <w:r>
        <w:rPr>
          <w:rStyle w:val="46"/>
          <w:rFonts w:ascii="Times New Roman" w:hAnsi="Times New Roman"/>
        </w:rPr>
        <w:t>项目简况</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_Toc47381515 \h </w:instrText>
      </w:r>
      <w:r>
        <w:rPr>
          <w:rFonts w:ascii="Times New Roman" w:hAnsi="Times New Roman" w:cs="Times New Roman"/>
        </w:rPr>
        <w:fldChar w:fldCharType="separate"/>
      </w:r>
      <w:r>
        <w:rPr>
          <w:rFonts w:ascii="Times New Roman" w:hAnsi="Times New Roman" w:cs="Times New Roman"/>
        </w:rPr>
        <w:t>5</w:t>
      </w:r>
      <w:r>
        <w:rPr>
          <w:rFonts w:ascii="Times New Roman" w:hAnsi="Times New Roman" w:cs="Times New Roman"/>
        </w:rPr>
        <w:fldChar w:fldCharType="end"/>
      </w:r>
      <w:r>
        <w:rPr>
          <w:rFonts w:ascii="Times New Roman" w:hAnsi="Times New Roman" w:cs="Times New Roman"/>
        </w:rPr>
        <w:fldChar w:fldCharType="end"/>
      </w:r>
    </w:p>
    <w:p>
      <w:pPr>
        <w:pStyle w:val="35"/>
        <w:tabs>
          <w:tab w:val="left" w:pos="845"/>
          <w:tab w:val="right" w:leader="dot" w:pos="8290"/>
        </w:tabs>
        <w:ind w:left="240"/>
        <w:rPr>
          <w:rFonts w:ascii="Times New Roman" w:hAnsi="Times New Roman" w:cs="Times New Roman"/>
          <w:bCs w:val="0"/>
          <w:smallCaps w:val="0"/>
          <w:kern w:val="2"/>
          <w:sz w:val="21"/>
        </w:rPr>
      </w:pPr>
      <w:r>
        <w:fldChar w:fldCharType="begin"/>
      </w:r>
      <w:r>
        <w:instrText xml:space="preserve"> HYPERLINK \l "_Toc47381516" </w:instrText>
      </w:r>
      <w:r>
        <w:fldChar w:fldCharType="separate"/>
      </w:r>
      <w:r>
        <w:rPr>
          <w:rStyle w:val="46"/>
          <w:rFonts w:ascii="Times New Roman" w:hAnsi="Times New Roman"/>
        </w:rPr>
        <w:t>1.2</w:t>
      </w:r>
      <w:r>
        <w:rPr>
          <w:rFonts w:ascii="Times New Roman" w:hAnsi="Times New Roman" w:cs="Times New Roman"/>
          <w:bCs w:val="0"/>
          <w:smallCaps w:val="0"/>
          <w:kern w:val="2"/>
          <w:sz w:val="21"/>
        </w:rPr>
        <w:tab/>
      </w:r>
      <w:r>
        <w:rPr>
          <w:rStyle w:val="46"/>
          <w:rFonts w:ascii="Times New Roman" w:hAnsi="Times New Roman"/>
        </w:rPr>
        <w:t>编制依据</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_Toc47381516 \h </w:instrText>
      </w:r>
      <w:r>
        <w:rPr>
          <w:rFonts w:ascii="Times New Roman" w:hAnsi="Times New Roman" w:cs="Times New Roman"/>
        </w:rPr>
        <w:fldChar w:fldCharType="separate"/>
      </w:r>
      <w:r>
        <w:rPr>
          <w:rFonts w:ascii="Times New Roman" w:hAnsi="Times New Roman" w:cs="Times New Roman"/>
        </w:rPr>
        <w:t>7</w:t>
      </w:r>
      <w:r>
        <w:rPr>
          <w:rFonts w:ascii="Times New Roman" w:hAnsi="Times New Roman" w:cs="Times New Roman"/>
        </w:rPr>
        <w:fldChar w:fldCharType="end"/>
      </w:r>
      <w:r>
        <w:rPr>
          <w:rFonts w:ascii="Times New Roman" w:hAnsi="Times New Roman" w:cs="Times New Roman"/>
        </w:rPr>
        <w:fldChar w:fldCharType="end"/>
      </w:r>
    </w:p>
    <w:p>
      <w:pPr>
        <w:pStyle w:val="35"/>
        <w:tabs>
          <w:tab w:val="left" w:pos="845"/>
          <w:tab w:val="right" w:leader="dot" w:pos="8290"/>
        </w:tabs>
        <w:ind w:left="240"/>
        <w:rPr>
          <w:rFonts w:ascii="Times New Roman" w:hAnsi="Times New Roman" w:cs="Times New Roman"/>
          <w:bCs w:val="0"/>
          <w:smallCaps w:val="0"/>
          <w:kern w:val="2"/>
          <w:sz w:val="21"/>
        </w:rPr>
      </w:pPr>
      <w:r>
        <w:fldChar w:fldCharType="begin"/>
      </w:r>
      <w:r>
        <w:instrText xml:space="preserve"> HYPERLINK \l "_Toc47381517" </w:instrText>
      </w:r>
      <w:r>
        <w:fldChar w:fldCharType="separate"/>
      </w:r>
      <w:r>
        <w:rPr>
          <w:rStyle w:val="46"/>
          <w:rFonts w:ascii="Times New Roman" w:hAnsi="Times New Roman"/>
        </w:rPr>
        <w:t>1.3</w:t>
      </w:r>
      <w:r>
        <w:rPr>
          <w:rFonts w:ascii="Times New Roman" w:hAnsi="Times New Roman" w:cs="Times New Roman"/>
          <w:bCs w:val="0"/>
          <w:smallCaps w:val="0"/>
          <w:kern w:val="2"/>
          <w:sz w:val="21"/>
        </w:rPr>
        <w:tab/>
      </w:r>
      <w:r>
        <w:rPr>
          <w:rStyle w:val="46"/>
          <w:rFonts w:ascii="Times New Roman" w:hAnsi="Times New Roman"/>
        </w:rPr>
        <w:t>设计水平年</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_Toc47381517 \h </w:instrText>
      </w:r>
      <w:r>
        <w:rPr>
          <w:rFonts w:ascii="Times New Roman" w:hAnsi="Times New Roman" w:cs="Times New Roman"/>
        </w:rPr>
        <w:fldChar w:fldCharType="separate"/>
      </w:r>
      <w:r>
        <w:rPr>
          <w:rFonts w:ascii="Times New Roman" w:hAnsi="Times New Roman" w:cs="Times New Roman"/>
        </w:rPr>
        <w:t>11</w:t>
      </w:r>
      <w:r>
        <w:rPr>
          <w:rFonts w:ascii="Times New Roman" w:hAnsi="Times New Roman" w:cs="Times New Roman"/>
        </w:rPr>
        <w:fldChar w:fldCharType="end"/>
      </w:r>
      <w:r>
        <w:rPr>
          <w:rFonts w:ascii="Times New Roman" w:hAnsi="Times New Roman" w:cs="Times New Roman"/>
        </w:rPr>
        <w:fldChar w:fldCharType="end"/>
      </w:r>
    </w:p>
    <w:p>
      <w:pPr>
        <w:pStyle w:val="35"/>
        <w:tabs>
          <w:tab w:val="left" w:pos="845"/>
          <w:tab w:val="right" w:leader="dot" w:pos="8290"/>
        </w:tabs>
        <w:ind w:left="240"/>
        <w:rPr>
          <w:rFonts w:ascii="Times New Roman" w:hAnsi="Times New Roman" w:cs="Times New Roman"/>
          <w:bCs w:val="0"/>
          <w:smallCaps w:val="0"/>
          <w:kern w:val="2"/>
          <w:sz w:val="21"/>
        </w:rPr>
      </w:pPr>
      <w:r>
        <w:fldChar w:fldCharType="begin"/>
      </w:r>
      <w:r>
        <w:instrText xml:space="preserve"> HYPERLINK \l "_Toc47381518" </w:instrText>
      </w:r>
      <w:r>
        <w:fldChar w:fldCharType="separate"/>
      </w:r>
      <w:r>
        <w:rPr>
          <w:rStyle w:val="46"/>
          <w:rFonts w:ascii="Times New Roman" w:hAnsi="Times New Roman"/>
        </w:rPr>
        <w:t>1.4</w:t>
      </w:r>
      <w:r>
        <w:rPr>
          <w:rFonts w:ascii="Times New Roman" w:hAnsi="Times New Roman" w:cs="Times New Roman"/>
          <w:bCs w:val="0"/>
          <w:smallCaps w:val="0"/>
          <w:kern w:val="2"/>
          <w:sz w:val="21"/>
        </w:rPr>
        <w:tab/>
      </w:r>
      <w:r>
        <w:rPr>
          <w:rStyle w:val="46"/>
          <w:rFonts w:ascii="Times New Roman" w:hAnsi="Times New Roman"/>
        </w:rPr>
        <w:t>水土流失防治责任范围</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_Toc47381518 \h </w:instrText>
      </w:r>
      <w:r>
        <w:rPr>
          <w:rFonts w:ascii="Times New Roman" w:hAnsi="Times New Roman" w:cs="Times New Roman"/>
        </w:rPr>
        <w:fldChar w:fldCharType="separate"/>
      </w:r>
      <w:r>
        <w:rPr>
          <w:rFonts w:ascii="Times New Roman" w:hAnsi="Times New Roman" w:cs="Times New Roman"/>
        </w:rPr>
        <w:t>11</w:t>
      </w:r>
      <w:r>
        <w:rPr>
          <w:rFonts w:ascii="Times New Roman" w:hAnsi="Times New Roman" w:cs="Times New Roman"/>
        </w:rPr>
        <w:fldChar w:fldCharType="end"/>
      </w:r>
      <w:r>
        <w:rPr>
          <w:rFonts w:ascii="Times New Roman" w:hAnsi="Times New Roman" w:cs="Times New Roman"/>
        </w:rPr>
        <w:fldChar w:fldCharType="end"/>
      </w:r>
    </w:p>
    <w:p>
      <w:pPr>
        <w:pStyle w:val="35"/>
        <w:tabs>
          <w:tab w:val="left" w:pos="845"/>
          <w:tab w:val="right" w:leader="dot" w:pos="8290"/>
        </w:tabs>
        <w:ind w:left="240"/>
        <w:rPr>
          <w:rFonts w:ascii="Times New Roman" w:hAnsi="Times New Roman" w:cs="Times New Roman"/>
          <w:bCs w:val="0"/>
          <w:smallCaps w:val="0"/>
          <w:kern w:val="2"/>
          <w:sz w:val="21"/>
        </w:rPr>
      </w:pPr>
      <w:r>
        <w:fldChar w:fldCharType="begin"/>
      </w:r>
      <w:r>
        <w:instrText xml:space="preserve"> HYPERLINK \l "_Toc47381519" </w:instrText>
      </w:r>
      <w:r>
        <w:fldChar w:fldCharType="separate"/>
      </w:r>
      <w:r>
        <w:rPr>
          <w:rStyle w:val="46"/>
          <w:rFonts w:ascii="Times New Roman" w:hAnsi="Times New Roman"/>
        </w:rPr>
        <w:t>1.5</w:t>
      </w:r>
      <w:r>
        <w:rPr>
          <w:rFonts w:ascii="Times New Roman" w:hAnsi="Times New Roman" w:cs="Times New Roman"/>
          <w:bCs w:val="0"/>
          <w:smallCaps w:val="0"/>
          <w:kern w:val="2"/>
          <w:sz w:val="21"/>
        </w:rPr>
        <w:tab/>
      </w:r>
      <w:r>
        <w:rPr>
          <w:rStyle w:val="46"/>
          <w:rFonts w:ascii="Times New Roman" w:hAnsi="Times New Roman"/>
        </w:rPr>
        <w:t>水土流失防治目标</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_Toc47381519 \h </w:instrText>
      </w:r>
      <w:r>
        <w:rPr>
          <w:rFonts w:ascii="Times New Roman" w:hAnsi="Times New Roman" w:cs="Times New Roman"/>
        </w:rPr>
        <w:fldChar w:fldCharType="separate"/>
      </w:r>
      <w:r>
        <w:rPr>
          <w:rFonts w:ascii="Times New Roman" w:hAnsi="Times New Roman" w:cs="Times New Roman"/>
        </w:rPr>
        <w:t>11</w:t>
      </w:r>
      <w:r>
        <w:rPr>
          <w:rFonts w:ascii="Times New Roman" w:hAnsi="Times New Roman" w:cs="Times New Roman"/>
        </w:rPr>
        <w:fldChar w:fldCharType="end"/>
      </w:r>
      <w:r>
        <w:rPr>
          <w:rFonts w:ascii="Times New Roman" w:hAnsi="Times New Roman" w:cs="Times New Roman"/>
        </w:rPr>
        <w:fldChar w:fldCharType="end"/>
      </w:r>
    </w:p>
    <w:p>
      <w:pPr>
        <w:pStyle w:val="35"/>
        <w:tabs>
          <w:tab w:val="left" w:pos="845"/>
          <w:tab w:val="right" w:leader="dot" w:pos="8290"/>
        </w:tabs>
        <w:ind w:left="240"/>
        <w:rPr>
          <w:rFonts w:ascii="Times New Roman" w:hAnsi="Times New Roman" w:cs="Times New Roman"/>
          <w:bCs w:val="0"/>
          <w:smallCaps w:val="0"/>
          <w:kern w:val="2"/>
          <w:sz w:val="21"/>
        </w:rPr>
      </w:pPr>
      <w:r>
        <w:fldChar w:fldCharType="begin"/>
      </w:r>
      <w:r>
        <w:instrText xml:space="preserve"> HYPERLINK \l "_Toc47381520" </w:instrText>
      </w:r>
      <w:r>
        <w:fldChar w:fldCharType="separate"/>
      </w:r>
      <w:r>
        <w:rPr>
          <w:rStyle w:val="46"/>
          <w:rFonts w:ascii="Times New Roman" w:hAnsi="Times New Roman"/>
        </w:rPr>
        <w:t>1.6</w:t>
      </w:r>
      <w:r>
        <w:rPr>
          <w:rFonts w:ascii="Times New Roman" w:hAnsi="Times New Roman" w:cs="Times New Roman"/>
          <w:bCs w:val="0"/>
          <w:smallCaps w:val="0"/>
          <w:kern w:val="2"/>
          <w:sz w:val="21"/>
        </w:rPr>
        <w:tab/>
      </w:r>
      <w:r>
        <w:rPr>
          <w:rStyle w:val="46"/>
          <w:rFonts w:ascii="Times New Roman" w:hAnsi="Times New Roman"/>
        </w:rPr>
        <w:t>项目水土保持评价结论</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_Toc47381520 \h </w:instrText>
      </w:r>
      <w:r>
        <w:rPr>
          <w:rFonts w:ascii="Times New Roman" w:hAnsi="Times New Roman" w:cs="Times New Roman"/>
        </w:rPr>
        <w:fldChar w:fldCharType="separate"/>
      </w:r>
      <w:r>
        <w:rPr>
          <w:rFonts w:ascii="Times New Roman" w:hAnsi="Times New Roman" w:cs="Times New Roman"/>
        </w:rPr>
        <w:t>12</w:t>
      </w:r>
      <w:r>
        <w:rPr>
          <w:rFonts w:ascii="Times New Roman" w:hAnsi="Times New Roman" w:cs="Times New Roman"/>
        </w:rPr>
        <w:fldChar w:fldCharType="end"/>
      </w:r>
      <w:r>
        <w:rPr>
          <w:rFonts w:ascii="Times New Roman" w:hAnsi="Times New Roman" w:cs="Times New Roman"/>
        </w:rPr>
        <w:fldChar w:fldCharType="end"/>
      </w:r>
    </w:p>
    <w:p>
      <w:pPr>
        <w:pStyle w:val="35"/>
        <w:tabs>
          <w:tab w:val="left" w:pos="845"/>
          <w:tab w:val="right" w:leader="dot" w:pos="8290"/>
        </w:tabs>
        <w:ind w:left="240"/>
        <w:rPr>
          <w:rFonts w:ascii="Times New Roman" w:hAnsi="Times New Roman" w:cs="Times New Roman"/>
          <w:bCs w:val="0"/>
          <w:smallCaps w:val="0"/>
          <w:kern w:val="2"/>
          <w:sz w:val="21"/>
        </w:rPr>
      </w:pPr>
      <w:r>
        <w:fldChar w:fldCharType="begin"/>
      </w:r>
      <w:r>
        <w:instrText xml:space="preserve"> HYPERLINK \l "_Toc47381521" </w:instrText>
      </w:r>
      <w:r>
        <w:fldChar w:fldCharType="separate"/>
      </w:r>
      <w:r>
        <w:rPr>
          <w:rStyle w:val="46"/>
          <w:rFonts w:ascii="Times New Roman" w:hAnsi="Times New Roman"/>
        </w:rPr>
        <w:t>1.7</w:t>
      </w:r>
      <w:r>
        <w:rPr>
          <w:rFonts w:ascii="Times New Roman" w:hAnsi="Times New Roman" w:cs="Times New Roman"/>
          <w:bCs w:val="0"/>
          <w:smallCaps w:val="0"/>
          <w:kern w:val="2"/>
          <w:sz w:val="21"/>
        </w:rPr>
        <w:tab/>
      </w:r>
      <w:r>
        <w:rPr>
          <w:rStyle w:val="46"/>
          <w:rFonts w:ascii="Times New Roman" w:hAnsi="Times New Roman"/>
        </w:rPr>
        <w:t>水土流失预测结果</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_Toc47381521 \h </w:instrText>
      </w:r>
      <w:r>
        <w:rPr>
          <w:rFonts w:ascii="Times New Roman" w:hAnsi="Times New Roman" w:cs="Times New Roman"/>
        </w:rPr>
        <w:fldChar w:fldCharType="separate"/>
      </w:r>
      <w:r>
        <w:rPr>
          <w:rFonts w:ascii="Times New Roman" w:hAnsi="Times New Roman" w:cs="Times New Roman"/>
        </w:rPr>
        <w:t>14</w:t>
      </w:r>
      <w:r>
        <w:rPr>
          <w:rFonts w:ascii="Times New Roman" w:hAnsi="Times New Roman" w:cs="Times New Roman"/>
        </w:rPr>
        <w:fldChar w:fldCharType="end"/>
      </w:r>
      <w:r>
        <w:rPr>
          <w:rFonts w:ascii="Times New Roman" w:hAnsi="Times New Roman" w:cs="Times New Roman"/>
        </w:rPr>
        <w:fldChar w:fldCharType="end"/>
      </w:r>
    </w:p>
    <w:p>
      <w:pPr>
        <w:pStyle w:val="35"/>
        <w:tabs>
          <w:tab w:val="left" w:pos="845"/>
          <w:tab w:val="right" w:leader="dot" w:pos="8290"/>
        </w:tabs>
        <w:ind w:left="240"/>
        <w:rPr>
          <w:rFonts w:ascii="Times New Roman" w:hAnsi="Times New Roman" w:cs="Times New Roman"/>
          <w:bCs w:val="0"/>
          <w:smallCaps w:val="0"/>
          <w:kern w:val="2"/>
          <w:sz w:val="21"/>
        </w:rPr>
      </w:pPr>
      <w:r>
        <w:fldChar w:fldCharType="begin"/>
      </w:r>
      <w:r>
        <w:instrText xml:space="preserve"> HYPERLINK \l "_Toc47381522" </w:instrText>
      </w:r>
      <w:r>
        <w:fldChar w:fldCharType="separate"/>
      </w:r>
      <w:r>
        <w:rPr>
          <w:rStyle w:val="46"/>
          <w:rFonts w:ascii="Times New Roman" w:hAnsi="Times New Roman"/>
        </w:rPr>
        <w:t>1.8</w:t>
      </w:r>
      <w:r>
        <w:rPr>
          <w:rFonts w:ascii="Times New Roman" w:hAnsi="Times New Roman" w:cs="Times New Roman"/>
          <w:bCs w:val="0"/>
          <w:smallCaps w:val="0"/>
          <w:kern w:val="2"/>
          <w:sz w:val="21"/>
        </w:rPr>
        <w:tab/>
      </w:r>
      <w:r>
        <w:rPr>
          <w:rStyle w:val="46"/>
          <w:rFonts w:ascii="Times New Roman" w:hAnsi="Times New Roman"/>
        </w:rPr>
        <w:t>水土保持措施布设成果</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_Toc47381522 \h </w:instrText>
      </w:r>
      <w:r>
        <w:rPr>
          <w:rFonts w:ascii="Times New Roman" w:hAnsi="Times New Roman" w:cs="Times New Roman"/>
        </w:rPr>
        <w:fldChar w:fldCharType="separate"/>
      </w:r>
      <w:r>
        <w:rPr>
          <w:rFonts w:ascii="Times New Roman" w:hAnsi="Times New Roman" w:cs="Times New Roman"/>
        </w:rPr>
        <w:t>14</w:t>
      </w:r>
      <w:r>
        <w:rPr>
          <w:rFonts w:ascii="Times New Roman" w:hAnsi="Times New Roman" w:cs="Times New Roman"/>
        </w:rPr>
        <w:fldChar w:fldCharType="end"/>
      </w:r>
      <w:r>
        <w:rPr>
          <w:rFonts w:ascii="Times New Roman" w:hAnsi="Times New Roman" w:cs="Times New Roman"/>
        </w:rPr>
        <w:fldChar w:fldCharType="end"/>
      </w:r>
    </w:p>
    <w:p>
      <w:pPr>
        <w:pStyle w:val="35"/>
        <w:tabs>
          <w:tab w:val="left" w:pos="845"/>
          <w:tab w:val="right" w:leader="dot" w:pos="8290"/>
        </w:tabs>
        <w:ind w:left="240"/>
        <w:rPr>
          <w:rFonts w:ascii="Times New Roman" w:hAnsi="Times New Roman" w:cs="Times New Roman"/>
          <w:bCs w:val="0"/>
          <w:smallCaps w:val="0"/>
          <w:kern w:val="2"/>
          <w:sz w:val="21"/>
        </w:rPr>
      </w:pPr>
      <w:r>
        <w:fldChar w:fldCharType="begin"/>
      </w:r>
      <w:r>
        <w:instrText xml:space="preserve"> HYPERLINK \l "_Toc47381523" </w:instrText>
      </w:r>
      <w:r>
        <w:fldChar w:fldCharType="separate"/>
      </w:r>
      <w:r>
        <w:rPr>
          <w:rStyle w:val="46"/>
          <w:rFonts w:ascii="Times New Roman" w:hAnsi="Times New Roman"/>
        </w:rPr>
        <w:t>1.9</w:t>
      </w:r>
      <w:r>
        <w:rPr>
          <w:rFonts w:ascii="Times New Roman" w:hAnsi="Times New Roman" w:cs="Times New Roman"/>
          <w:bCs w:val="0"/>
          <w:smallCaps w:val="0"/>
          <w:kern w:val="2"/>
          <w:sz w:val="21"/>
        </w:rPr>
        <w:tab/>
      </w:r>
      <w:r>
        <w:rPr>
          <w:rStyle w:val="46"/>
          <w:rFonts w:ascii="Times New Roman" w:hAnsi="Times New Roman"/>
        </w:rPr>
        <w:t>水土保持监测方案</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_Toc47381523 \h </w:instrText>
      </w:r>
      <w:r>
        <w:rPr>
          <w:rFonts w:ascii="Times New Roman" w:hAnsi="Times New Roman" w:cs="Times New Roman"/>
        </w:rPr>
        <w:fldChar w:fldCharType="separate"/>
      </w:r>
      <w:r>
        <w:rPr>
          <w:rFonts w:ascii="Times New Roman" w:hAnsi="Times New Roman" w:cs="Times New Roman"/>
        </w:rPr>
        <w:t>15</w:t>
      </w:r>
      <w:r>
        <w:rPr>
          <w:rFonts w:ascii="Times New Roman" w:hAnsi="Times New Roman" w:cs="Times New Roman"/>
        </w:rPr>
        <w:fldChar w:fldCharType="end"/>
      </w:r>
      <w:r>
        <w:rPr>
          <w:rFonts w:ascii="Times New Roman" w:hAnsi="Times New Roman" w:cs="Times New Roman"/>
        </w:rPr>
        <w:fldChar w:fldCharType="end"/>
      </w:r>
    </w:p>
    <w:p>
      <w:pPr>
        <w:pStyle w:val="35"/>
        <w:tabs>
          <w:tab w:val="left" w:pos="986"/>
          <w:tab w:val="right" w:leader="dot" w:pos="8290"/>
        </w:tabs>
        <w:ind w:left="240"/>
        <w:rPr>
          <w:rFonts w:ascii="Times New Roman" w:hAnsi="Times New Roman" w:cs="Times New Roman"/>
          <w:bCs w:val="0"/>
          <w:smallCaps w:val="0"/>
          <w:kern w:val="2"/>
          <w:sz w:val="21"/>
        </w:rPr>
      </w:pPr>
      <w:r>
        <w:fldChar w:fldCharType="begin"/>
      </w:r>
      <w:r>
        <w:instrText xml:space="preserve"> HYPERLINK \l "_Toc47381524" </w:instrText>
      </w:r>
      <w:r>
        <w:fldChar w:fldCharType="separate"/>
      </w:r>
      <w:r>
        <w:rPr>
          <w:rStyle w:val="46"/>
          <w:rFonts w:ascii="Times New Roman" w:hAnsi="Times New Roman"/>
        </w:rPr>
        <w:t>1.10</w:t>
      </w:r>
      <w:r>
        <w:rPr>
          <w:rFonts w:ascii="Times New Roman" w:hAnsi="Times New Roman" w:cs="Times New Roman"/>
          <w:bCs w:val="0"/>
          <w:smallCaps w:val="0"/>
          <w:kern w:val="2"/>
          <w:sz w:val="21"/>
        </w:rPr>
        <w:tab/>
      </w:r>
      <w:r>
        <w:rPr>
          <w:rStyle w:val="46"/>
          <w:rFonts w:ascii="Times New Roman" w:hAnsi="Times New Roman"/>
        </w:rPr>
        <w:t>水土保持投资及效益分析成果</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_Toc47381524 \h </w:instrText>
      </w:r>
      <w:r>
        <w:rPr>
          <w:rFonts w:ascii="Times New Roman" w:hAnsi="Times New Roman" w:cs="Times New Roman"/>
        </w:rPr>
        <w:fldChar w:fldCharType="separate"/>
      </w:r>
      <w:r>
        <w:rPr>
          <w:rFonts w:ascii="Times New Roman" w:hAnsi="Times New Roman" w:cs="Times New Roman"/>
        </w:rPr>
        <w:t>15</w:t>
      </w:r>
      <w:r>
        <w:rPr>
          <w:rFonts w:ascii="Times New Roman" w:hAnsi="Times New Roman" w:cs="Times New Roman"/>
        </w:rPr>
        <w:fldChar w:fldCharType="end"/>
      </w:r>
      <w:r>
        <w:rPr>
          <w:rFonts w:ascii="Times New Roman" w:hAnsi="Times New Roman" w:cs="Times New Roman"/>
        </w:rPr>
        <w:fldChar w:fldCharType="end"/>
      </w:r>
    </w:p>
    <w:p>
      <w:pPr>
        <w:pStyle w:val="35"/>
        <w:tabs>
          <w:tab w:val="left" w:pos="986"/>
          <w:tab w:val="right" w:leader="dot" w:pos="8290"/>
        </w:tabs>
        <w:ind w:left="240"/>
        <w:rPr>
          <w:rFonts w:ascii="Times New Roman" w:hAnsi="Times New Roman" w:cs="Times New Roman"/>
          <w:bCs w:val="0"/>
          <w:smallCaps w:val="0"/>
          <w:kern w:val="2"/>
          <w:sz w:val="21"/>
        </w:rPr>
      </w:pPr>
      <w:r>
        <w:fldChar w:fldCharType="begin"/>
      </w:r>
      <w:r>
        <w:instrText xml:space="preserve"> HYPERLINK \l "_Toc47381525" </w:instrText>
      </w:r>
      <w:r>
        <w:fldChar w:fldCharType="separate"/>
      </w:r>
      <w:r>
        <w:rPr>
          <w:rStyle w:val="46"/>
          <w:rFonts w:ascii="Times New Roman" w:hAnsi="Times New Roman"/>
        </w:rPr>
        <w:t>1.11</w:t>
      </w:r>
      <w:r>
        <w:rPr>
          <w:rFonts w:ascii="Times New Roman" w:hAnsi="Times New Roman" w:cs="Times New Roman"/>
          <w:bCs w:val="0"/>
          <w:smallCaps w:val="0"/>
          <w:kern w:val="2"/>
          <w:sz w:val="21"/>
        </w:rPr>
        <w:tab/>
      </w:r>
      <w:r>
        <w:rPr>
          <w:rStyle w:val="46"/>
          <w:rFonts w:ascii="Times New Roman" w:hAnsi="Times New Roman"/>
        </w:rPr>
        <w:t>结论</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_Toc47381525 \h </w:instrText>
      </w:r>
      <w:r>
        <w:rPr>
          <w:rFonts w:ascii="Times New Roman" w:hAnsi="Times New Roman" w:cs="Times New Roman"/>
        </w:rPr>
        <w:fldChar w:fldCharType="separate"/>
      </w:r>
      <w:r>
        <w:rPr>
          <w:rFonts w:ascii="Times New Roman" w:hAnsi="Times New Roman" w:cs="Times New Roman"/>
        </w:rPr>
        <w:t>15</w:t>
      </w:r>
      <w:r>
        <w:rPr>
          <w:rFonts w:ascii="Times New Roman" w:hAnsi="Times New Roman" w:cs="Times New Roman"/>
        </w:rPr>
        <w:fldChar w:fldCharType="end"/>
      </w:r>
      <w:r>
        <w:rPr>
          <w:rFonts w:ascii="Times New Roman" w:hAnsi="Times New Roman" w:cs="Times New Roman"/>
        </w:rPr>
        <w:fldChar w:fldCharType="end"/>
      </w:r>
    </w:p>
    <w:p>
      <w:pPr>
        <w:pStyle w:val="28"/>
        <w:tabs>
          <w:tab w:val="left" w:pos="422"/>
          <w:tab w:val="right" w:leader="dot" w:pos="8290"/>
        </w:tabs>
        <w:rPr>
          <w:rFonts w:ascii="Times New Roman" w:hAnsi="Times New Roman" w:cs="Times New Roman"/>
          <w:b w:val="0"/>
          <w:bCs w:val="0"/>
          <w:caps w:val="0"/>
          <w:kern w:val="2"/>
          <w:sz w:val="21"/>
        </w:rPr>
      </w:pPr>
      <w:r>
        <w:fldChar w:fldCharType="begin"/>
      </w:r>
      <w:r>
        <w:instrText xml:space="preserve"> HYPERLINK \l "_Toc47381526" </w:instrText>
      </w:r>
      <w:r>
        <w:fldChar w:fldCharType="separate"/>
      </w:r>
      <w:r>
        <w:rPr>
          <w:rStyle w:val="46"/>
          <w:rFonts w:ascii="Times New Roman" w:hAnsi="Times New Roman"/>
        </w:rPr>
        <w:t>2</w:t>
      </w:r>
      <w:r>
        <w:rPr>
          <w:rFonts w:ascii="Times New Roman" w:hAnsi="Times New Roman" w:cs="Times New Roman"/>
          <w:b w:val="0"/>
          <w:bCs w:val="0"/>
          <w:caps w:val="0"/>
          <w:kern w:val="2"/>
          <w:sz w:val="21"/>
        </w:rPr>
        <w:tab/>
      </w:r>
      <w:r>
        <w:rPr>
          <w:rStyle w:val="46"/>
          <w:rFonts w:ascii="Times New Roman" w:hAnsi="Times New Roman"/>
        </w:rPr>
        <w:t>项目概况</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_Toc47381526 \h </w:instrText>
      </w:r>
      <w:r>
        <w:rPr>
          <w:rFonts w:ascii="Times New Roman" w:hAnsi="Times New Roman" w:cs="Times New Roman"/>
        </w:rPr>
        <w:fldChar w:fldCharType="separate"/>
      </w:r>
      <w:r>
        <w:rPr>
          <w:rFonts w:ascii="Times New Roman" w:hAnsi="Times New Roman" w:cs="Times New Roman"/>
        </w:rPr>
        <w:t>18</w:t>
      </w:r>
      <w:r>
        <w:rPr>
          <w:rFonts w:ascii="Times New Roman" w:hAnsi="Times New Roman" w:cs="Times New Roman"/>
        </w:rPr>
        <w:fldChar w:fldCharType="end"/>
      </w:r>
      <w:r>
        <w:rPr>
          <w:rFonts w:ascii="Times New Roman" w:hAnsi="Times New Roman" w:cs="Times New Roman"/>
        </w:rPr>
        <w:fldChar w:fldCharType="end"/>
      </w:r>
    </w:p>
    <w:p>
      <w:pPr>
        <w:pStyle w:val="35"/>
        <w:tabs>
          <w:tab w:val="left" w:pos="845"/>
          <w:tab w:val="right" w:leader="dot" w:pos="8290"/>
        </w:tabs>
        <w:ind w:left="240"/>
        <w:rPr>
          <w:rFonts w:ascii="Times New Roman" w:hAnsi="Times New Roman" w:cs="Times New Roman"/>
          <w:bCs w:val="0"/>
          <w:smallCaps w:val="0"/>
          <w:kern w:val="2"/>
          <w:sz w:val="21"/>
        </w:rPr>
      </w:pPr>
      <w:r>
        <w:fldChar w:fldCharType="begin"/>
      </w:r>
      <w:r>
        <w:instrText xml:space="preserve"> HYPERLINK \l "_Toc47381527" </w:instrText>
      </w:r>
      <w:r>
        <w:fldChar w:fldCharType="separate"/>
      </w:r>
      <w:r>
        <w:rPr>
          <w:rStyle w:val="46"/>
          <w:rFonts w:ascii="Times New Roman" w:hAnsi="Times New Roman"/>
        </w:rPr>
        <w:t>2.1</w:t>
      </w:r>
      <w:r>
        <w:rPr>
          <w:rFonts w:ascii="Times New Roman" w:hAnsi="Times New Roman" w:cs="Times New Roman"/>
          <w:bCs w:val="0"/>
          <w:smallCaps w:val="0"/>
          <w:kern w:val="2"/>
          <w:sz w:val="21"/>
        </w:rPr>
        <w:tab/>
      </w:r>
      <w:r>
        <w:rPr>
          <w:rStyle w:val="46"/>
          <w:rFonts w:ascii="Times New Roman" w:hAnsi="Times New Roman"/>
        </w:rPr>
        <w:t>项目组成及工程布置</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_Toc47381527 \h </w:instrText>
      </w:r>
      <w:r>
        <w:rPr>
          <w:rFonts w:ascii="Times New Roman" w:hAnsi="Times New Roman" w:cs="Times New Roman"/>
        </w:rPr>
        <w:fldChar w:fldCharType="separate"/>
      </w:r>
      <w:r>
        <w:rPr>
          <w:rFonts w:ascii="Times New Roman" w:hAnsi="Times New Roman" w:cs="Times New Roman"/>
        </w:rPr>
        <w:t>18</w:t>
      </w:r>
      <w:r>
        <w:rPr>
          <w:rFonts w:ascii="Times New Roman" w:hAnsi="Times New Roman" w:cs="Times New Roman"/>
        </w:rPr>
        <w:fldChar w:fldCharType="end"/>
      </w:r>
      <w:r>
        <w:rPr>
          <w:rFonts w:ascii="Times New Roman" w:hAnsi="Times New Roman" w:cs="Times New Roman"/>
        </w:rPr>
        <w:fldChar w:fldCharType="end"/>
      </w:r>
    </w:p>
    <w:p>
      <w:pPr>
        <w:pStyle w:val="35"/>
        <w:tabs>
          <w:tab w:val="left" w:pos="845"/>
          <w:tab w:val="right" w:leader="dot" w:pos="8290"/>
        </w:tabs>
        <w:ind w:left="240"/>
        <w:rPr>
          <w:rFonts w:ascii="Times New Roman" w:hAnsi="Times New Roman" w:cs="Times New Roman"/>
          <w:bCs w:val="0"/>
          <w:smallCaps w:val="0"/>
          <w:kern w:val="2"/>
          <w:sz w:val="21"/>
        </w:rPr>
      </w:pPr>
      <w:r>
        <w:fldChar w:fldCharType="begin"/>
      </w:r>
      <w:r>
        <w:instrText xml:space="preserve"> HYPERLINK \l "_Toc47381528" </w:instrText>
      </w:r>
      <w:r>
        <w:fldChar w:fldCharType="separate"/>
      </w:r>
      <w:r>
        <w:rPr>
          <w:rStyle w:val="46"/>
          <w:rFonts w:ascii="Times New Roman" w:hAnsi="Times New Roman"/>
        </w:rPr>
        <w:t>2.2</w:t>
      </w:r>
      <w:r>
        <w:rPr>
          <w:rFonts w:ascii="Times New Roman" w:hAnsi="Times New Roman" w:cs="Times New Roman"/>
          <w:bCs w:val="0"/>
          <w:smallCaps w:val="0"/>
          <w:kern w:val="2"/>
          <w:sz w:val="21"/>
        </w:rPr>
        <w:tab/>
      </w:r>
      <w:r>
        <w:rPr>
          <w:rStyle w:val="46"/>
          <w:rFonts w:ascii="Times New Roman" w:hAnsi="Times New Roman"/>
        </w:rPr>
        <w:t>施工组织</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_Toc47381528 \h </w:instrText>
      </w:r>
      <w:r>
        <w:rPr>
          <w:rFonts w:ascii="Times New Roman" w:hAnsi="Times New Roman" w:cs="Times New Roman"/>
        </w:rPr>
        <w:fldChar w:fldCharType="separate"/>
      </w:r>
      <w:r>
        <w:rPr>
          <w:rFonts w:ascii="Times New Roman" w:hAnsi="Times New Roman" w:cs="Times New Roman"/>
        </w:rPr>
        <w:t>23</w:t>
      </w:r>
      <w:r>
        <w:rPr>
          <w:rFonts w:ascii="Times New Roman" w:hAnsi="Times New Roman" w:cs="Times New Roman"/>
        </w:rPr>
        <w:fldChar w:fldCharType="end"/>
      </w:r>
      <w:r>
        <w:rPr>
          <w:rFonts w:ascii="Times New Roman" w:hAnsi="Times New Roman" w:cs="Times New Roman"/>
        </w:rPr>
        <w:fldChar w:fldCharType="end"/>
      </w:r>
    </w:p>
    <w:p>
      <w:pPr>
        <w:pStyle w:val="35"/>
        <w:tabs>
          <w:tab w:val="left" w:pos="845"/>
          <w:tab w:val="right" w:leader="dot" w:pos="8290"/>
        </w:tabs>
        <w:ind w:left="240"/>
        <w:rPr>
          <w:rFonts w:ascii="Times New Roman" w:hAnsi="Times New Roman" w:cs="Times New Roman"/>
          <w:bCs w:val="0"/>
          <w:smallCaps w:val="0"/>
          <w:kern w:val="2"/>
          <w:sz w:val="21"/>
        </w:rPr>
      </w:pPr>
      <w:r>
        <w:fldChar w:fldCharType="begin"/>
      </w:r>
      <w:r>
        <w:instrText xml:space="preserve"> HYPERLINK \l "_Toc47381529" </w:instrText>
      </w:r>
      <w:r>
        <w:fldChar w:fldCharType="separate"/>
      </w:r>
      <w:r>
        <w:rPr>
          <w:rStyle w:val="46"/>
          <w:rFonts w:ascii="Times New Roman" w:hAnsi="Times New Roman"/>
        </w:rPr>
        <w:t>2.3</w:t>
      </w:r>
      <w:r>
        <w:rPr>
          <w:rFonts w:ascii="Times New Roman" w:hAnsi="Times New Roman" w:cs="Times New Roman"/>
          <w:bCs w:val="0"/>
          <w:smallCaps w:val="0"/>
          <w:kern w:val="2"/>
          <w:sz w:val="21"/>
        </w:rPr>
        <w:tab/>
      </w:r>
      <w:r>
        <w:rPr>
          <w:rStyle w:val="46"/>
          <w:rFonts w:ascii="Times New Roman" w:hAnsi="Times New Roman"/>
        </w:rPr>
        <w:t>工程占地</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_Toc47381529 \h </w:instrText>
      </w:r>
      <w:r>
        <w:rPr>
          <w:rFonts w:ascii="Times New Roman" w:hAnsi="Times New Roman" w:cs="Times New Roman"/>
        </w:rPr>
        <w:fldChar w:fldCharType="separate"/>
      </w:r>
      <w:r>
        <w:rPr>
          <w:rFonts w:ascii="Times New Roman" w:hAnsi="Times New Roman" w:cs="Times New Roman"/>
        </w:rPr>
        <w:t>25</w:t>
      </w:r>
      <w:r>
        <w:rPr>
          <w:rFonts w:ascii="Times New Roman" w:hAnsi="Times New Roman" w:cs="Times New Roman"/>
        </w:rPr>
        <w:fldChar w:fldCharType="end"/>
      </w:r>
      <w:r>
        <w:rPr>
          <w:rFonts w:ascii="Times New Roman" w:hAnsi="Times New Roman" w:cs="Times New Roman"/>
        </w:rPr>
        <w:fldChar w:fldCharType="end"/>
      </w:r>
    </w:p>
    <w:p>
      <w:pPr>
        <w:pStyle w:val="35"/>
        <w:tabs>
          <w:tab w:val="left" w:pos="845"/>
          <w:tab w:val="right" w:leader="dot" w:pos="8290"/>
        </w:tabs>
        <w:ind w:left="240"/>
        <w:rPr>
          <w:rFonts w:ascii="Times New Roman" w:hAnsi="Times New Roman" w:cs="Times New Roman"/>
          <w:bCs w:val="0"/>
          <w:smallCaps w:val="0"/>
          <w:kern w:val="2"/>
          <w:sz w:val="21"/>
        </w:rPr>
      </w:pPr>
      <w:r>
        <w:fldChar w:fldCharType="begin"/>
      </w:r>
      <w:r>
        <w:instrText xml:space="preserve"> HYPERLINK \l "_Toc47381530" </w:instrText>
      </w:r>
      <w:r>
        <w:fldChar w:fldCharType="separate"/>
      </w:r>
      <w:r>
        <w:rPr>
          <w:rStyle w:val="46"/>
          <w:rFonts w:ascii="Times New Roman" w:hAnsi="Times New Roman"/>
        </w:rPr>
        <w:t>2.4</w:t>
      </w:r>
      <w:r>
        <w:rPr>
          <w:rFonts w:ascii="Times New Roman" w:hAnsi="Times New Roman" w:cs="Times New Roman"/>
          <w:bCs w:val="0"/>
          <w:smallCaps w:val="0"/>
          <w:kern w:val="2"/>
          <w:sz w:val="21"/>
        </w:rPr>
        <w:tab/>
      </w:r>
      <w:r>
        <w:rPr>
          <w:rStyle w:val="46"/>
          <w:rFonts w:ascii="Times New Roman" w:hAnsi="Times New Roman"/>
        </w:rPr>
        <w:t>土石方平衡</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_Toc47381530 \h </w:instrText>
      </w:r>
      <w:r>
        <w:rPr>
          <w:rFonts w:ascii="Times New Roman" w:hAnsi="Times New Roman" w:cs="Times New Roman"/>
        </w:rPr>
        <w:fldChar w:fldCharType="separate"/>
      </w:r>
      <w:r>
        <w:rPr>
          <w:rFonts w:ascii="Times New Roman" w:hAnsi="Times New Roman" w:cs="Times New Roman"/>
        </w:rPr>
        <w:t>25</w:t>
      </w:r>
      <w:r>
        <w:rPr>
          <w:rFonts w:ascii="Times New Roman" w:hAnsi="Times New Roman" w:cs="Times New Roman"/>
        </w:rPr>
        <w:fldChar w:fldCharType="end"/>
      </w:r>
      <w:r>
        <w:rPr>
          <w:rFonts w:ascii="Times New Roman" w:hAnsi="Times New Roman" w:cs="Times New Roman"/>
        </w:rPr>
        <w:fldChar w:fldCharType="end"/>
      </w:r>
    </w:p>
    <w:p>
      <w:pPr>
        <w:pStyle w:val="35"/>
        <w:tabs>
          <w:tab w:val="left" w:pos="845"/>
          <w:tab w:val="right" w:leader="dot" w:pos="8290"/>
        </w:tabs>
        <w:ind w:left="240"/>
        <w:rPr>
          <w:rFonts w:ascii="Times New Roman" w:hAnsi="Times New Roman" w:cs="Times New Roman"/>
          <w:bCs w:val="0"/>
          <w:smallCaps w:val="0"/>
          <w:kern w:val="2"/>
          <w:sz w:val="21"/>
        </w:rPr>
      </w:pPr>
      <w:r>
        <w:fldChar w:fldCharType="begin"/>
      </w:r>
      <w:r>
        <w:instrText xml:space="preserve"> HYPERLINK \l "_Toc47381531" </w:instrText>
      </w:r>
      <w:r>
        <w:fldChar w:fldCharType="separate"/>
      </w:r>
      <w:r>
        <w:rPr>
          <w:rStyle w:val="46"/>
          <w:rFonts w:ascii="Times New Roman" w:hAnsi="Times New Roman"/>
        </w:rPr>
        <w:t>2.5</w:t>
      </w:r>
      <w:r>
        <w:rPr>
          <w:rFonts w:ascii="Times New Roman" w:hAnsi="Times New Roman" w:cs="Times New Roman"/>
          <w:bCs w:val="0"/>
          <w:smallCaps w:val="0"/>
          <w:kern w:val="2"/>
          <w:sz w:val="21"/>
        </w:rPr>
        <w:tab/>
      </w:r>
      <w:r>
        <w:rPr>
          <w:rStyle w:val="46"/>
          <w:rFonts w:ascii="Times New Roman" w:hAnsi="Times New Roman"/>
        </w:rPr>
        <w:t>拆迁（移民）安置与专项设施改(迁)建</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_Toc47381531 \h </w:instrText>
      </w:r>
      <w:r>
        <w:rPr>
          <w:rFonts w:ascii="Times New Roman" w:hAnsi="Times New Roman" w:cs="Times New Roman"/>
        </w:rPr>
        <w:fldChar w:fldCharType="separate"/>
      </w:r>
      <w:r>
        <w:rPr>
          <w:rFonts w:ascii="Times New Roman" w:hAnsi="Times New Roman" w:cs="Times New Roman"/>
        </w:rPr>
        <w:t>26</w:t>
      </w:r>
      <w:r>
        <w:rPr>
          <w:rFonts w:ascii="Times New Roman" w:hAnsi="Times New Roman" w:cs="Times New Roman"/>
        </w:rPr>
        <w:fldChar w:fldCharType="end"/>
      </w:r>
      <w:r>
        <w:rPr>
          <w:rFonts w:ascii="Times New Roman" w:hAnsi="Times New Roman" w:cs="Times New Roman"/>
        </w:rPr>
        <w:fldChar w:fldCharType="end"/>
      </w:r>
    </w:p>
    <w:p>
      <w:pPr>
        <w:pStyle w:val="35"/>
        <w:tabs>
          <w:tab w:val="left" w:pos="845"/>
          <w:tab w:val="right" w:leader="dot" w:pos="8290"/>
        </w:tabs>
        <w:ind w:left="240"/>
        <w:rPr>
          <w:rFonts w:ascii="Times New Roman" w:hAnsi="Times New Roman" w:cs="Times New Roman"/>
          <w:bCs w:val="0"/>
          <w:smallCaps w:val="0"/>
          <w:kern w:val="2"/>
          <w:sz w:val="21"/>
        </w:rPr>
      </w:pPr>
      <w:r>
        <w:fldChar w:fldCharType="begin"/>
      </w:r>
      <w:r>
        <w:instrText xml:space="preserve"> HYPERLINK \l "_Toc47381532" </w:instrText>
      </w:r>
      <w:r>
        <w:fldChar w:fldCharType="separate"/>
      </w:r>
      <w:r>
        <w:rPr>
          <w:rStyle w:val="46"/>
          <w:rFonts w:ascii="Times New Roman" w:hAnsi="Times New Roman"/>
        </w:rPr>
        <w:t>2.6</w:t>
      </w:r>
      <w:r>
        <w:rPr>
          <w:rFonts w:ascii="Times New Roman" w:hAnsi="Times New Roman" w:cs="Times New Roman"/>
          <w:bCs w:val="0"/>
          <w:smallCaps w:val="0"/>
          <w:kern w:val="2"/>
          <w:sz w:val="21"/>
        </w:rPr>
        <w:tab/>
      </w:r>
      <w:r>
        <w:rPr>
          <w:rStyle w:val="46"/>
          <w:rFonts w:ascii="Times New Roman" w:hAnsi="Times New Roman"/>
        </w:rPr>
        <w:t>施工进度</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_Toc47381532 \h </w:instrText>
      </w:r>
      <w:r>
        <w:rPr>
          <w:rFonts w:ascii="Times New Roman" w:hAnsi="Times New Roman" w:cs="Times New Roman"/>
        </w:rPr>
        <w:fldChar w:fldCharType="separate"/>
      </w:r>
      <w:r>
        <w:rPr>
          <w:rFonts w:ascii="Times New Roman" w:hAnsi="Times New Roman" w:cs="Times New Roman"/>
        </w:rPr>
        <w:t>26</w:t>
      </w:r>
      <w:r>
        <w:rPr>
          <w:rFonts w:ascii="Times New Roman" w:hAnsi="Times New Roman" w:cs="Times New Roman"/>
        </w:rPr>
        <w:fldChar w:fldCharType="end"/>
      </w:r>
      <w:r>
        <w:rPr>
          <w:rFonts w:ascii="Times New Roman" w:hAnsi="Times New Roman" w:cs="Times New Roman"/>
        </w:rPr>
        <w:fldChar w:fldCharType="end"/>
      </w:r>
    </w:p>
    <w:p>
      <w:pPr>
        <w:pStyle w:val="35"/>
        <w:tabs>
          <w:tab w:val="left" w:pos="845"/>
          <w:tab w:val="right" w:leader="dot" w:pos="8290"/>
        </w:tabs>
        <w:ind w:left="240"/>
        <w:rPr>
          <w:rFonts w:ascii="Times New Roman" w:hAnsi="Times New Roman" w:cs="Times New Roman"/>
          <w:bCs w:val="0"/>
          <w:smallCaps w:val="0"/>
          <w:kern w:val="2"/>
          <w:sz w:val="21"/>
        </w:rPr>
      </w:pPr>
      <w:r>
        <w:fldChar w:fldCharType="begin"/>
      </w:r>
      <w:r>
        <w:instrText xml:space="preserve"> HYPERLINK \l "_Toc47381533" </w:instrText>
      </w:r>
      <w:r>
        <w:fldChar w:fldCharType="separate"/>
      </w:r>
      <w:r>
        <w:rPr>
          <w:rStyle w:val="46"/>
          <w:rFonts w:ascii="Times New Roman" w:hAnsi="Times New Roman"/>
        </w:rPr>
        <w:t>2.7</w:t>
      </w:r>
      <w:r>
        <w:rPr>
          <w:rFonts w:ascii="Times New Roman" w:hAnsi="Times New Roman" w:cs="Times New Roman"/>
          <w:bCs w:val="0"/>
          <w:smallCaps w:val="0"/>
          <w:kern w:val="2"/>
          <w:sz w:val="21"/>
        </w:rPr>
        <w:tab/>
      </w:r>
      <w:r>
        <w:rPr>
          <w:rStyle w:val="46"/>
          <w:rFonts w:ascii="Times New Roman" w:hAnsi="Times New Roman"/>
        </w:rPr>
        <w:t>自然概况</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_Toc47381533 \h </w:instrText>
      </w:r>
      <w:r>
        <w:rPr>
          <w:rFonts w:ascii="Times New Roman" w:hAnsi="Times New Roman" w:cs="Times New Roman"/>
        </w:rPr>
        <w:fldChar w:fldCharType="separate"/>
      </w:r>
      <w:r>
        <w:rPr>
          <w:rFonts w:ascii="Times New Roman" w:hAnsi="Times New Roman" w:cs="Times New Roman"/>
        </w:rPr>
        <w:t>26</w:t>
      </w:r>
      <w:r>
        <w:rPr>
          <w:rFonts w:ascii="Times New Roman" w:hAnsi="Times New Roman" w:cs="Times New Roman"/>
        </w:rPr>
        <w:fldChar w:fldCharType="end"/>
      </w:r>
      <w:r>
        <w:rPr>
          <w:rFonts w:ascii="Times New Roman" w:hAnsi="Times New Roman" w:cs="Times New Roman"/>
        </w:rPr>
        <w:fldChar w:fldCharType="end"/>
      </w:r>
    </w:p>
    <w:p>
      <w:pPr>
        <w:pStyle w:val="28"/>
        <w:tabs>
          <w:tab w:val="left" w:pos="422"/>
          <w:tab w:val="right" w:leader="dot" w:pos="8290"/>
        </w:tabs>
        <w:rPr>
          <w:rFonts w:ascii="Times New Roman" w:hAnsi="Times New Roman" w:cs="Times New Roman"/>
          <w:b w:val="0"/>
          <w:bCs w:val="0"/>
          <w:caps w:val="0"/>
          <w:kern w:val="2"/>
          <w:sz w:val="21"/>
        </w:rPr>
      </w:pPr>
      <w:r>
        <w:fldChar w:fldCharType="begin"/>
      </w:r>
      <w:r>
        <w:instrText xml:space="preserve"> HYPERLINK \l "_Toc47381534" </w:instrText>
      </w:r>
      <w:r>
        <w:fldChar w:fldCharType="separate"/>
      </w:r>
      <w:r>
        <w:rPr>
          <w:rStyle w:val="46"/>
          <w:rFonts w:ascii="Times New Roman" w:hAnsi="Times New Roman"/>
        </w:rPr>
        <w:t>3</w:t>
      </w:r>
      <w:r>
        <w:rPr>
          <w:rFonts w:ascii="Times New Roman" w:hAnsi="Times New Roman" w:cs="Times New Roman"/>
          <w:b w:val="0"/>
          <w:bCs w:val="0"/>
          <w:caps w:val="0"/>
          <w:kern w:val="2"/>
          <w:sz w:val="21"/>
        </w:rPr>
        <w:tab/>
      </w:r>
      <w:r>
        <w:rPr>
          <w:rStyle w:val="46"/>
          <w:rFonts w:ascii="Times New Roman" w:hAnsi="Times New Roman"/>
        </w:rPr>
        <w:t>项目水土保持评价</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_Toc47381534 \h </w:instrText>
      </w:r>
      <w:r>
        <w:rPr>
          <w:rFonts w:ascii="Times New Roman" w:hAnsi="Times New Roman" w:cs="Times New Roman"/>
        </w:rPr>
        <w:fldChar w:fldCharType="separate"/>
      </w:r>
      <w:r>
        <w:rPr>
          <w:rFonts w:ascii="Times New Roman" w:hAnsi="Times New Roman" w:cs="Times New Roman"/>
        </w:rPr>
        <w:t>31</w:t>
      </w:r>
      <w:r>
        <w:rPr>
          <w:rFonts w:ascii="Times New Roman" w:hAnsi="Times New Roman" w:cs="Times New Roman"/>
        </w:rPr>
        <w:fldChar w:fldCharType="end"/>
      </w:r>
      <w:r>
        <w:rPr>
          <w:rFonts w:ascii="Times New Roman" w:hAnsi="Times New Roman" w:cs="Times New Roman"/>
        </w:rPr>
        <w:fldChar w:fldCharType="end"/>
      </w:r>
    </w:p>
    <w:p>
      <w:pPr>
        <w:pStyle w:val="35"/>
        <w:tabs>
          <w:tab w:val="left" w:pos="845"/>
          <w:tab w:val="right" w:leader="dot" w:pos="8290"/>
        </w:tabs>
        <w:ind w:left="240"/>
        <w:rPr>
          <w:rFonts w:ascii="Times New Roman" w:hAnsi="Times New Roman" w:cs="Times New Roman"/>
          <w:bCs w:val="0"/>
          <w:smallCaps w:val="0"/>
          <w:kern w:val="2"/>
          <w:sz w:val="21"/>
        </w:rPr>
      </w:pPr>
      <w:r>
        <w:fldChar w:fldCharType="begin"/>
      </w:r>
      <w:r>
        <w:instrText xml:space="preserve"> HYPERLINK \l "_Toc47381535" </w:instrText>
      </w:r>
      <w:r>
        <w:fldChar w:fldCharType="separate"/>
      </w:r>
      <w:r>
        <w:rPr>
          <w:rStyle w:val="46"/>
          <w:rFonts w:ascii="Times New Roman" w:hAnsi="Times New Roman"/>
        </w:rPr>
        <w:t>3.1</w:t>
      </w:r>
      <w:r>
        <w:rPr>
          <w:rFonts w:ascii="Times New Roman" w:hAnsi="Times New Roman" w:cs="Times New Roman"/>
          <w:bCs w:val="0"/>
          <w:smallCaps w:val="0"/>
          <w:kern w:val="2"/>
          <w:sz w:val="21"/>
        </w:rPr>
        <w:tab/>
      </w:r>
      <w:r>
        <w:rPr>
          <w:rStyle w:val="46"/>
          <w:rFonts w:ascii="Times New Roman" w:hAnsi="Times New Roman"/>
        </w:rPr>
        <w:t>主体工程选址（线）水土保持评价</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_Toc47381535 \h </w:instrText>
      </w:r>
      <w:r>
        <w:rPr>
          <w:rFonts w:ascii="Times New Roman" w:hAnsi="Times New Roman" w:cs="Times New Roman"/>
        </w:rPr>
        <w:fldChar w:fldCharType="separate"/>
      </w:r>
      <w:r>
        <w:rPr>
          <w:rFonts w:ascii="Times New Roman" w:hAnsi="Times New Roman" w:cs="Times New Roman"/>
        </w:rPr>
        <w:t>31</w:t>
      </w:r>
      <w:r>
        <w:rPr>
          <w:rFonts w:ascii="Times New Roman" w:hAnsi="Times New Roman" w:cs="Times New Roman"/>
        </w:rPr>
        <w:fldChar w:fldCharType="end"/>
      </w:r>
      <w:r>
        <w:rPr>
          <w:rFonts w:ascii="Times New Roman" w:hAnsi="Times New Roman" w:cs="Times New Roman"/>
        </w:rPr>
        <w:fldChar w:fldCharType="end"/>
      </w:r>
    </w:p>
    <w:p>
      <w:pPr>
        <w:pStyle w:val="35"/>
        <w:tabs>
          <w:tab w:val="left" w:pos="845"/>
          <w:tab w:val="right" w:leader="dot" w:pos="8290"/>
        </w:tabs>
        <w:ind w:left="240"/>
        <w:rPr>
          <w:rFonts w:ascii="Times New Roman" w:hAnsi="Times New Roman" w:cs="Times New Roman"/>
          <w:bCs w:val="0"/>
          <w:smallCaps w:val="0"/>
          <w:kern w:val="2"/>
          <w:sz w:val="21"/>
        </w:rPr>
      </w:pPr>
      <w:r>
        <w:fldChar w:fldCharType="begin"/>
      </w:r>
      <w:r>
        <w:instrText xml:space="preserve"> HYPERLINK \l "_Toc47381536" </w:instrText>
      </w:r>
      <w:r>
        <w:fldChar w:fldCharType="separate"/>
      </w:r>
      <w:r>
        <w:rPr>
          <w:rStyle w:val="46"/>
          <w:rFonts w:ascii="Times New Roman" w:hAnsi="Times New Roman"/>
        </w:rPr>
        <w:t>3.2</w:t>
      </w:r>
      <w:r>
        <w:rPr>
          <w:rFonts w:ascii="Times New Roman" w:hAnsi="Times New Roman" w:cs="Times New Roman"/>
          <w:bCs w:val="0"/>
          <w:smallCaps w:val="0"/>
          <w:kern w:val="2"/>
          <w:sz w:val="21"/>
        </w:rPr>
        <w:tab/>
      </w:r>
      <w:r>
        <w:rPr>
          <w:rStyle w:val="46"/>
          <w:rFonts w:ascii="Times New Roman" w:hAnsi="Times New Roman"/>
        </w:rPr>
        <w:t>建设方案与布局水土保持评价</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_Toc47381536 \h </w:instrText>
      </w:r>
      <w:r>
        <w:rPr>
          <w:rFonts w:ascii="Times New Roman" w:hAnsi="Times New Roman" w:cs="Times New Roman"/>
        </w:rPr>
        <w:fldChar w:fldCharType="separate"/>
      </w:r>
      <w:r>
        <w:rPr>
          <w:rFonts w:ascii="Times New Roman" w:hAnsi="Times New Roman" w:cs="Times New Roman"/>
        </w:rPr>
        <w:t>34</w:t>
      </w:r>
      <w:r>
        <w:rPr>
          <w:rFonts w:ascii="Times New Roman" w:hAnsi="Times New Roman" w:cs="Times New Roman"/>
        </w:rPr>
        <w:fldChar w:fldCharType="end"/>
      </w:r>
      <w:r>
        <w:rPr>
          <w:rFonts w:ascii="Times New Roman" w:hAnsi="Times New Roman" w:cs="Times New Roman"/>
        </w:rPr>
        <w:fldChar w:fldCharType="end"/>
      </w:r>
    </w:p>
    <w:p>
      <w:pPr>
        <w:pStyle w:val="35"/>
        <w:tabs>
          <w:tab w:val="left" w:pos="845"/>
          <w:tab w:val="right" w:leader="dot" w:pos="8290"/>
        </w:tabs>
        <w:ind w:left="240"/>
        <w:rPr>
          <w:rFonts w:ascii="Times New Roman" w:hAnsi="Times New Roman" w:cs="Times New Roman"/>
          <w:bCs w:val="0"/>
          <w:smallCaps w:val="0"/>
          <w:kern w:val="2"/>
          <w:sz w:val="21"/>
        </w:rPr>
      </w:pPr>
      <w:r>
        <w:fldChar w:fldCharType="begin"/>
      </w:r>
      <w:r>
        <w:instrText xml:space="preserve"> HYPERLINK \l "_Toc47381537" </w:instrText>
      </w:r>
      <w:r>
        <w:fldChar w:fldCharType="separate"/>
      </w:r>
      <w:r>
        <w:rPr>
          <w:rStyle w:val="46"/>
          <w:rFonts w:ascii="Times New Roman" w:hAnsi="Times New Roman"/>
        </w:rPr>
        <w:t>3.3</w:t>
      </w:r>
      <w:r>
        <w:rPr>
          <w:rFonts w:ascii="Times New Roman" w:hAnsi="Times New Roman" w:cs="Times New Roman"/>
          <w:bCs w:val="0"/>
          <w:smallCaps w:val="0"/>
          <w:kern w:val="2"/>
          <w:sz w:val="21"/>
        </w:rPr>
        <w:tab/>
      </w:r>
      <w:r>
        <w:rPr>
          <w:rStyle w:val="46"/>
          <w:rFonts w:ascii="Times New Roman" w:hAnsi="Times New Roman"/>
        </w:rPr>
        <w:t>主体工程设计中水土保持措施界定</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_Toc47381537 \h </w:instrText>
      </w:r>
      <w:r>
        <w:rPr>
          <w:rFonts w:ascii="Times New Roman" w:hAnsi="Times New Roman" w:cs="Times New Roman"/>
        </w:rPr>
        <w:fldChar w:fldCharType="separate"/>
      </w:r>
      <w:r>
        <w:rPr>
          <w:rFonts w:ascii="Times New Roman" w:hAnsi="Times New Roman" w:cs="Times New Roman"/>
        </w:rPr>
        <w:t>38</w:t>
      </w:r>
      <w:r>
        <w:rPr>
          <w:rFonts w:ascii="Times New Roman" w:hAnsi="Times New Roman" w:cs="Times New Roman"/>
        </w:rPr>
        <w:fldChar w:fldCharType="end"/>
      </w:r>
      <w:r>
        <w:rPr>
          <w:rFonts w:ascii="Times New Roman" w:hAnsi="Times New Roman" w:cs="Times New Roman"/>
        </w:rPr>
        <w:fldChar w:fldCharType="end"/>
      </w:r>
    </w:p>
    <w:p>
      <w:pPr>
        <w:pStyle w:val="28"/>
        <w:tabs>
          <w:tab w:val="left" w:pos="422"/>
          <w:tab w:val="right" w:leader="dot" w:pos="8290"/>
        </w:tabs>
        <w:rPr>
          <w:rFonts w:ascii="Times New Roman" w:hAnsi="Times New Roman" w:cs="Times New Roman"/>
          <w:b w:val="0"/>
          <w:bCs w:val="0"/>
          <w:caps w:val="0"/>
          <w:kern w:val="2"/>
          <w:sz w:val="21"/>
        </w:rPr>
      </w:pPr>
      <w:r>
        <w:fldChar w:fldCharType="begin"/>
      </w:r>
      <w:r>
        <w:instrText xml:space="preserve"> HYPERLINK \l "_Toc47381538" </w:instrText>
      </w:r>
      <w:r>
        <w:fldChar w:fldCharType="separate"/>
      </w:r>
      <w:r>
        <w:rPr>
          <w:rStyle w:val="46"/>
          <w:rFonts w:ascii="Times New Roman" w:hAnsi="Times New Roman"/>
        </w:rPr>
        <w:t>4</w:t>
      </w:r>
      <w:r>
        <w:rPr>
          <w:rFonts w:ascii="Times New Roman" w:hAnsi="Times New Roman" w:cs="Times New Roman"/>
          <w:b w:val="0"/>
          <w:bCs w:val="0"/>
          <w:caps w:val="0"/>
          <w:kern w:val="2"/>
          <w:sz w:val="21"/>
        </w:rPr>
        <w:tab/>
      </w:r>
      <w:r>
        <w:rPr>
          <w:rStyle w:val="46"/>
          <w:rFonts w:ascii="Times New Roman" w:hAnsi="Times New Roman"/>
        </w:rPr>
        <w:t>水土流失分析与预测</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_Toc47381538 \h </w:instrText>
      </w:r>
      <w:r>
        <w:rPr>
          <w:rFonts w:ascii="Times New Roman" w:hAnsi="Times New Roman" w:cs="Times New Roman"/>
        </w:rPr>
        <w:fldChar w:fldCharType="separate"/>
      </w:r>
      <w:r>
        <w:rPr>
          <w:rFonts w:ascii="Times New Roman" w:hAnsi="Times New Roman" w:cs="Times New Roman"/>
        </w:rPr>
        <w:t>40</w:t>
      </w:r>
      <w:r>
        <w:rPr>
          <w:rFonts w:ascii="Times New Roman" w:hAnsi="Times New Roman" w:cs="Times New Roman"/>
        </w:rPr>
        <w:fldChar w:fldCharType="end"/>
      </w:r>
      <w:r>
        <w:rPr>
          <w:rFonts w:ascii="Times New Roman" w:hAnsi="Times New Roman" w:cs="Times New Roman"/>
        </w:rPr>
        <w:fldChar w:fldCharType="end"/>
      </w:r>
    </w:p>
    <w:p>
      <w:pPr>
        <w:pStyle w:val="35"/>
        <w:tabs>
          <w:tab w:val="left" w:pos="845"/>
          <w:tab w:val="right" w:leader="dot" w:pos="8290"/>
        </w:tabs>
        <w:ind w:left="240"/>
        <w:rPr>
          <w:rFonts w:ascii="Times New Roman" w:hAnsi="Times New Roman" w:cs="Times New Roman"/>
          <w:bCs w:val="0"/>
          <w:smallCaps w:val="0"/>
          <w:kern w:val="2"/>
          <w:sz w:val="21"/>
        </w:rPr>
      </w:pPr>
      <w:r>
        <w:fldChar w:fldCharType="begin"/>
      </w:r>
      <w:r>
        <w:instrText xml:space="preserve"> HYPERLINK \l "_Toc47381539" </w:instrText>
      </w:r>
      <w:r>
        <w:fldChar w:fldCharType="separate"/>
      </w:r>
      <w:r>
        <w:rPr>
          <w:rStyle w:val="46"/>
          <w:rFonts w:ascii="Times New Roman" w:hAnsi="Times New Roman"/>
        </w:rPr>
        <w:t>4.1</w:t>
      </w:r>
      <w:r>
        <w:rPr>
          <w:rFonts w:ascii="Times New Roman" w:hAnsi="Times New Roman" w:cs="Times New Roman"/>
          <w:bCs w:val="0"/>
          <w:smallCaps w:val="0"/>
          <w:kern w:val="2"/>
          <w:sz w:val="21"/>
        </w:rPr>
        <w:tab/>
      </w:r>
      <w:r>
        <w:rPr>
          <w:rStyle w:val="46"/>
          <w:rFonts w:ascii="Times New Roman" w:hAnsi="Times New Roman"/>
        </w:rPr>
        <w:t>水土流失现状</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_Toc47381539 \h </w:instrText>
      </w:r>
      <w:r>
        <w:rPr>
          <w:rFonts w:ascii="Times New Roman" w:hAnsi="Times New Roman" w:cs="Times New Roman"/>
        </w:rPr>
        <w:fldChar w:fldCharType="separate"/>
      </w:r>
      <w:r>
        <w:rPr>
          <w:rFonts w:ascii="Times New Roman" w:hAnsi="Times New Roman" w:cs="Times New Roman"/>
        </w:rPr>
        <w:t>40</w:t>
      </w:r>
      <w:r>
        <w:rPr>
          <w:rFonts w:ascii="Times New Roman" w:hAnsi="Times New Roman" w:cs="Times New Roman"/>
        </w:rPr>
        <w:fldChar w:fldCharType="end"/>
      </w:r>
      <w:r>
        <w:rPr>
          <w:rFonts w:ascii="Times New Roman" w:hAnsi="Times New Roman" w:cs="Times New Roman"/>
        </w:rPr>
        <w:fldChar w:fldCharType="end"/>
      </w:r>
    </w:p>
    <w:p>
      <w:pPr>
        <w:pStyle w:val="35"/>
        <w:tabs>
          <w:tab w:val="left" w:pos="845"/>
          <w:tab w:val="right" w:leader="dot" w:pos="8290"/>
        </w:tabs>
        <w:ind w:left="240"/>
        <w:rPr>
          <w:rFonts w:ascii="Times New Roman" w:hAnsi="Times New Roman" w:cs="Times New Roman"/>
          <w:bCs w:val="0"/>
          <w:smallCaps w:val="0"/>
          <w:kern w:val="2"/>
          <w:sz w:val="21"/>
        </w:rPr>
      </w:pPr>
      <w:r>
        <w:fldChar w:fldCharType="begin"/>
      </w:r>
      <w:r>
        <w:instrText xml:space="preserve"> HYPERLINK \l "_Toc47381540" </w:instrText>
      </w:r>
      <w:r>
        <w:fldChar w:fldCharType="separate"/>
      </w:r>
      <w:r>
        <w:rPr>
          <w:rStyle w:val="46"/>
          <w:rFonts w:ascii="Times New Roman" w:hAnsi="Times New Roman"/>
        </w:rPr>
        <w:t>4.2</w:t>
      </w:r>
      <w:r>
        <w:rPr>
          <w:rFonts w:ascii="Times New Roman" w:hAnsi="Times New Roman" w:cs="Times New Roman"/>
          <w:bCs w:val="0"/>
          <w:smallCaps w:val="0"/>
          <w:kern w:val="2"/>
          <w:sz w:val="21"/>
        </w:rPr>
        <w:tab/>
      </w:r>
      <w:r>
        <w:rPr>
          <w:rStyle w:val="46"/>
          <w:rFonts w:ascii="Times New Roman" w:hAnsi="Times New Roman"/>
        </w:rPr>
        <w:t>水土流失影响因素分析</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_Toc47381540 \h </w:instrText>
      </w:r>
      <w:r>
        <w:rPr>
          <w:rFonts w:ascii="Times New Roman" w:hAnsi="Times New Roman" w:cs="Times New Roman"/>
        </w:rPr>
        <w:fldChar w:fldCharType="separate"/>
      </w:r>
      <w:r>
        <w:rPr>
          <w:rFonts w:ascii="Times New Roman" w:hAnsi="Times New Roman" w:cs="Times New Roman"/>
        </w:rPr>
        <w:t>41</w:t>
      </w:r>
      <w:r>
        <w:rPr>
          <w:rFonts w:ascii="Times New Roman" w:hAnsi="Times New Roman" w:cs="Times New Roman"/>
        </w:rPr>
        <w:fldChar w:fldCharType="end"/>
      </w:r>
      <w:r>
        <w:rPr>
          <w:rFonts w:ascii="Times New Roman" w:hAnsi="Times New Roman" w:cs="Times New Roman"/>
        </w:rPr>
        <w:fldChar w:fldCharType="end"/>
      </w:r>
    </w:p>
    <w:p>
      <w:pPr>
        <w:pStyle w:val="35"/>
        <w:tabs>
          <w:tab w:val="left" w:pos="845"/>
          <w:tab w:val="right" w:leader="dot" w:pos="8290"/>
        </w:tabs>
        <w:ind w:left="240"/>
        <w:rPr>
          <w:rFonts w:ascii="Times New Roman" w:hAnsi="Times New Roman" w:cs="Times New Roman"/>
          <w:bCs w:val="0"/>
          <w:smallCaps w:val="0"/>
          <w:kern w:val="2"/>
          <w:sz w:val="21"/>
        </w:rPr>
      </w:pPr>
      <w:r>
        <w:fldChar w:fldCharType="begin"/>
      </w:r>
      <w:r>
        <w:instrText xml:space="preserve"> HYPERLINK \l "_Toc47381541" </w:instrText>
      </w:r>
      <w:r>
        <w:fldChar w:fldCharType="separate"/>
      </w:r>
      <w:r>
        <w:rPr>
          <w:rStyle w:val="46"/>
          <w:rFonts w:ascii="Times New Roman" w:hAnsi="Times New Roman"/>
        </w:rPr>
        <w:t>4.3</w:t>
      </w:r>
      <w:r>
        <w:rPr>
          <w:rFonts w:ascii="Times New Roman" w:hAnsi="Times New Roman" w:cs="Times New Roman"/>
          <w:bCs w:val="0"/>
          <w:smallCaps w:val="0"/>
          <w:kern w:val="2"/>
          <w:sz w:val="21"/>
        </w:rPr>
        <w:tab/>
      </w:r>
      <w:r>
        <w:rPr>
          <w:rStyle w:val="46"/>
          <w:rFonts w:ascii="Times New Roman" w:hAnsi="Times New Roman"/>
        </w:rPr>
        <w:t>土壤流失量预测</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_Toc47381541 \h </w:instrText>
      </w:r>
      <w:r>
        <w:rPr>
          <w:rFonts w:ascii="Times New Roman" w:hAnsi="Times New Roman" w:cs="Times New Roman"/>
        </w:rPr>
        <w:fldChar w:fldCharType="separate"/>
      </w:r>
      <w:r>
        <w:rPr>
          <w:rFonts w:ascii="Times New Roman" w:hAnsi="Times New Roman" w:cs="Times New Roman"/>
        </w:rPr>
        <w:t>42</w:t>
      </w:r>
      <w:r>
        <w:rPr>
          <w:rFonts w:ascii="Times New Roman" w:hAnsi="Times New Roman" w:cs="Times New Roman"/>
        </w:rPr>
        <w:fldChar w:fldCharType="end"/>
      </w:r>
      <w:r>
        <w:rPr>
          <w:rFonts w:ascii="Times New Roman" w:hAnsi="Times New Roman" w:cs="Times New Roman"/>
        </w:rPr>
        <w:fldChar w:fldCharType="end"/>
      </w:r>
    </w:p>
    <w:p>
      <w:pPr>
        <w:pStyle w:val="35"/>
        <w:tabs>
          <w:tab w:val="left" w:pos="845"/>
          <w:tab w:val="right" w:leader="dot" w:pos="8290"/>
        </w:tabs>
        <w:ind w:left="240"/>
        <w:rPr>
          <w:rFonts w:ascii="Times New Roman" w:hAnsi="Times New Roman" w:cs="Times New Roman"/>
          <w:bCs w:val="0"/>
          <w:smallCaps w:val="0"/>
          <w:kern w:val="2"/>
          <w:sz w:val="21"/>
        </w:rPr>
      </w:pPr>
      <w:r>
        <w:fldChar w:fldCharType="begin"/>
      </w:r>
      <w:r>
        <w:instrText xml:space="preserve"> HYPERLINK \l "_Toc47381542" </w:instrText>
      </w:r>
      <w:r>
        <w:fldChar w:fldCharType="separate"/>
      </w:r>
      <w:r>
        <w:rPr>
          <w:rStyle w:val="46"/>
          <w:rFonts w:ascii="Times New Roman" w:hAnsi="Times New Roman"/>
        </w:rPr>
        <w:t>4.4</w:t>
      </w:r>
      <w:r>
        <w:rPr>
          <w:rFonts w:ascii="Times New Roman" w:hAnsi="Times New Roman" w:cs="Times New Roman"/>
          <w:bCs w:val="0"/>
          <w:smallCaps w:val="0"/>
          <w:kern w:val="2"/>
          <w:sz w:val="21"/>
        </w:rPr>
        <w:tab/>
      </w:r>
      <w:r>
        <w:rPr>
          <w:rStyle w:val="46"/>
          <w:rFonts w:ascii="Times New Roman" w:hAnsi="Times New Roman"/>
        </w:rPr>
        <w:t>水土流失危害分析</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_Toc47381542 \h </w:instrText>
      </w:r>
      <w:r>
        <w:rPr>
          <w:rFonts w:ascii="Times New Roman" w:hAnsi="Times New Roman" w:cs="Times New Roman"/>
        </w:rPr>
        <w:fldChar w:fldCharType="separate"/>
      </w:r>
      <w:r>
        <w:rPr>
          <w:rFonts w:ascii="Times New Roman" w:hAnsi="Times New Roman" w:cs="Times New Roman"/>
        </w:rPr>
        <w:t>47</w:t>
      </w:r>
      <w:r>
        <w:rPr>
          <w:rFonts w:ascii="Times New Roman" w:hAnsi="Times New Roman" w:cs="Times New Roman"/>
        </w:rPr>
        <w:fldChar w:fldCharType="end"/>
      </w:r>
      <w:r>
        <w:rPr>
          <w:rFonts w:ascii="Times New Roman" w:hAnsi="Times New Roman" w:cs="Times New Roman"/>
        </w:rPr>
        <w:fldChar w:fldCharType="end"/>
      </w:r>
    </w:p>
    <w:p>
      <w:pPr>
        <w:pStyle w:val="35"/>
        <w:tabs>
          <w:tab w:val="left" w:pos="845"/>
          <w:tab w:val="right" w:leader="dot" w:pos="8290"/>
        </w:tabs>
        <w:ind w:left="240"/>
        <w:rPr>
          <w:rFonts w:ascii="Times New Roman" w:hAnsi="Times New Roman" w:cs="Times New Roman"/>
          <w:bCs w:val="0"/>
          <w:smallCaps w:val="0"/>
          <w:kern w:val="2"/>
          <w:sz w:val="21"/>
        </w:rPr>
      </w:pPr>
      <w:r>
        <w:fldChar w:fldCharType="begin"/>
      </w:r>
      <w:r>
        <w:instrText xml:space="preserve"> HYPERLINK \l "_Toc47381543" </w:instrText>
      </w:r>
      <w:r>
        <w:fldChar w:fldCharType="separate"/>
      </w:r>
      <w:r>
        <w:rPr>
          <w:rStyle w:val="46"/>
          <w:rFonts w:ascii="Times New Roman" w:hAnsi="Times New Roman"/>
        </w:rPr>
        <w:t>4.5</w:t>
      </w:r>
      <w:r>
        <w:rPr>
          <w:rFonts w:ascii="Times New Roman" w:hAnsi="Times New Roman" w:cs="Times New Roman"/>
          <w:bCs w:val="0"/>
          <w:smallCaps w:val="0"/>
          <w:kern w:val="2"/>
          <w:sz w:val="21"/>
        </w:rPr>
        <w:tab/>
      </w:r>
      <w:r>
        <w:rPr>
          <w:rStyle w:val="46"/>
          <w:rFonts w:ascii="Times New Roman" w:hAnsi="Times New Roman"/>
        </w:rPr>
        <w:t>指导性意见</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_Toc47381543 \h </w:instrText>
      </w:r>
      <w:r>
        <w:rPr>
          <w:rFonts w:ascii="Times New Roman" w:hAnsi="Times New Roman" w:cs="Times New Roman"/>
        </w:rPr>
        <w:fldChar w:fldCharType="separate"/>
      </w:r>
      <w:r>
        <w:rPr>
          <w:rFonts w:ascii="Times New Roman" w:hAnsi="Times New Roman" w:cs="Times New Roman"/>
        </w:rPr>
        <w:t>48</w:t>
      </w:r>
      <w:r>
        <w:rPr>
          <w:rFonts w:ascii="Times New Roman" w:hAnsi="Times New Roman" w:cs="Times New Roman"/>
        </w:rPr>
        <w:fldChar w:fldCharType="end"/>
      </w:r>
      <w:r>
        <w:rPr>
          <w:rFonts w:ascii="Times New Roman" w:hAnsi="Times New Roman" w:cs="Times New Roman"/>
        </w:rPr>
        <w:fldChar w:fldCharType="end"/>
      </w:r>
    </w:p>
    <w:p>
      <w:pPr>
        <w:pStyle w:val="28"/>
        <w:tabs>
          <w:tab w:val="left" w:pos="422"/>
          <w:tab w:val="right" w:leader="dot" w:pos="8290"/>
        </w:tabs>
        <w:rPr>
          <w:rFonts w:ascii="Times New Roman" w:hAnsi="Times New Roman" w:cs="Times New Roman"/>
          <w:b w:val="0"/>
          <w:bCs w:val="0"/>
          <w:caps w:val="0"/>
          <w:kern w:val="2"/>
          <w:sz w:val="21"/>
        </w:rPr>
      </w:pPr>
      <w:r>
        <w:fldChar w:fldCharType="begin"/>
      </w:r>
      <w:r>
        <w:instrText xml:space="preserve"> HYPERLINK \l "_Toc47381544" </w:instrText>
      </w:r>
      <w:r>
        <w:fldChar w:fldCharType="separate"/>
      </w:r>
      <w:r>
        <w:rPr>
          <w:rStyle w:val="46"/>
          <w:rFonts w:ascii="Times New Roman" w:hAnsi="Times New Roman"/>
        </w:rPr>
        <w:t>5</w:t>
      </w:r>
      <w:r>
        <w:rPr>
          <w:rFonts w:ascii="Times New Roman" w:hAnsi="Times New Roman" w:cs="Times New Roman"/>
          <w:b w:val="0"/>
          <w:bCs w:val="0"/>
          <w:caps w:val="0"/>
          <w:kern w:val="2"/>
          <w:sz w:val="21"/>
        </w:rPr>
        <w:tab/>
      </w:r>
      <w:r>
        <w:rPr>
          <w:rStyle w:val="46"/>
          <w:rFonts w:ascii="Times New Roman" w:hAnsi="Times New Roman"/>
        </w:rPr>
        <w:t>水土保持措施</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_Toc47381544 \h </w:instrText>
      </w:r>
      <w:r>
        <w:rPr>
          <w:rFonts w:ascii="Times New Roman" w:hAnsi="Times New Roman" w:cs="Times New Roman"/>
        </w:rPr>
        <w:fldChar w:fldCharType="separate"/>
      </w:r>
      <w:r>
        <w:rPr>
          <w:rFonts w:ascii="Times New Roman" w:hAnsi="Times New Roman" w:cs="Times New Roman"/>
        </w:rPr>
        <w:t>50</w:t>
      </w:r>
      <w:r>
        <w:rPr>
          <w:rFonts w:ascii="Times New Roman" w:hAnsi="Times New Roman" w:cs="Times New Roman"/>
        </w:rPr>
        <w:fldChar w:fldCharType="end"/>
      </w:r>
      <w:r>
        <w:rPr>
          <w:rFonts w:ascii="Times New Roman" w:hAnsi="Times New Roman" w:cs="Times New Roman"/>
        </w:rPr>
        <w:fldChar w:fldCharType="end"/>
      </w:r>
    </w:p>
    <w:p>
      <w:pPr>
        <w:pStyle w:val="35"/>
        <w:tabs>
          <w:tab w:val="left" w:pos="845"/>
          <w:tab w:val="right" w:leader="dot" w:pos="8290"/>
        </w:tabs>
        <w:ind w:left="240"/>
        <w:rPr>
          <w:rFonts w:ascii="Times New Roman" w:hAnsi="Times New Roman" w:cs="Times New Roman"/>
          <w:bCs w:val="0"/>
          <w:smallCaps w:val="0"/>
          <w:kern w:val="2"/>
          <w:sz w:val="21"/>
        </w:rPr>
      </w:pPr>
      <w:r>
        <w:fldChar w:fldCharType="begin"/>
      </w:r>
      <w:r>
        <w:instrText xml:space="preserve"> HYPERLINK \l "_Toc47381545" </w:instrText>
      </w:r>
      <w:r>
        <w:fldChar w:fldCharType="separate"/>
      </w:r>
      <w:r>
        <w:rPr>
          <w:rStyle w:val="46"/>
          <w:rFonts w:ascii="Times New Roman" w:hAnsi="Times New Roman"/>
        </w:rPr>
        <w:t>5.1</w:t>
      </w:r>
      <w:r>
        <w:rPr>
          <w:rFonts w:ascii="Times New Roman" w:hAnsi="Times New Roman" w:cs="Times New Roman"/>
          <w:bCs w:val="0"/>
          <w:smallCaps w:val="0"/>
          <w:kern w:val="2"/>
          <w:sz w:val="21"/>
        </w:rPr>
        <w:tab/>
      </w:r>
      <w:r>
        <w:rPr>
          <w:rStyle w:val="46"/>
          <w:rFonts w:ascii="Times New Roman" w:hAnsi="Times New Roman"/>
        </w:rPr>
        <w:t>防治区划分</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_Toc47381545 \h </w:instrText>
      </w:r>
      <w:r>
        <w:rPr>
          <w:rFonts w:ascii="Times New Roman" w:hAnsi="Times New Roman" w:cs="Times New Roman"/>
        </w:rPr>
        <w:fldChar w:fldCharType="separate"/>
      </w:r>
      <w:r>
        <w:rPr>
          <w:rFonts w:ascii="Times New Roman" w:hAnsi="Times New Roman" w:cs="Times New Roman"/>
        </w:rPr>
        <w:t>50</w:t>
      </w:r>
      <w:r>
        <w:rPr>
          <w:rFonts w:ascii="Times New Roman" w:hAnsi="Times New Roman" w:cs="Times New Roman"/>
        </w:rPr>
        <w:fldChar w:fldCharType="end"/>
      </w:r>
      <w:r>
        <w:rPr>
          <w:rFonts w:ascii="Times New Roman" w:hAnsi="Times New Roman" w:cs="Times New Roman"/>
        </w:rPr>
        <w:fldChar w:fldCharType="end"/>
      </w:r>
    </w:p>
    <w:p>
      <w:pPr>
        <w:pStyle w:val="35"/>
        <w:tabs>
          <w:tab w:val="left" w:pos="845"/>
          <w:tab w:val="right" w:leader="dot" w:pos="8290"/>
        </w:tabs>
        <w:ind w:left="240"/>
        <w:rPr>
          <w:rFonts w:ascii="Times New Roman" w:hAnsi="Times New Roman" w:cs="Times New Roman"/>
          <w:bCs w:val="0"/>
          <w:smallCaps w:val="0"/>
          <w:kern w:val="2"/>
          <w:sz w:val="21"/>
        </w:rPr>
      </w:pPr>
      <w:r>
        <w:fldChar w:fldCharType="begin"/>
      </w:r>
      <w:r>
        <w:instrText xml:space="preserve"> HYPERLINK \l "_Toc47381546" </w:instrText>
      </w:r>
      <w:r>
        <w:fldChar w:fldCharType="separate"/>
      </w:r>
      <w:r>
        <w:rPr>
          <w:rStyle w:val="46"/>
          <w:rFonts w:ascii="Times New Roman" w:hAnsi="Times New Roman"/>
        </w:rPr>
        <w:t>5.2</w:t>
      </w:r>
      <w:r>
        <w:rPr>
          <w:rFonts w:ascii="Times New Roman" w:hAnsi="Times New Roman" w:cs="Times New Roman"/>
          <w:bCs w:val="0"/>
          <w:smallCaps w:val="0"/>
          <w:kern w:val="2"/>
          <w:sz w:val="21"/>
        </w:rPr>
        <w:tab/>
      </w:r>
      <w:r>
        <w:rPr>
          <w:rStyle w:val="46"/>
          <w:rFonts w:ascii="Times New Roman" w:hAnsi="Times New Roman"/>
        </w:rPr>
        <w:t>措施总体布局</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_Toc47381546 \h </w:instrText>
      </w:r>
      <w:r>
        <w:rPr>
          <w:rFonts w:ascii="Times New Roman" w:hAnsi="Times New Roman" w:cs="Times New Roman"/>
        </w:rPr>
        <w:fldChar w:fldCharType="separate"/>
      </w:r>
      <w:r>
        <w:rPr>
          <w:rFonts w:ascii="Times New Roman" w:hAnsi="Times New Roman" w:cs="Times New Roman"/>
        </w:rPr>
        <w:t>51</w:t>
      </w:r>
      <w:r>
        <w:rPr>
          <w:rFonts w:ascii="Times New Roman" w:hAnsi="Times New Roman" w:cs="Times New Roman"/>
        </w:rPr>
        <w:fldChar w:fldCharType="end"/>
      </w:r>
      <w:r>
        <w:rPr>
          <w:rFonts w:ascii="Times New Roman" w:hAnsi="Times New Roman" w:cs="Times New Roman"/>
        </w:rPr>
        <w:fldChar w:fldCharType="end"/>
      </w:r>
    </w:p>
    <w:p>
      <w:pPr>
        <w:pStyle w:val="35"/>
        <w:tabs>
          <w:tab w:val="left" w:pos="845"/>
          <w:tab w:val="right" w:leader="dot" w:pos="8290"/>
        </w:tabs>
        <w:ind w:left="240"/>
        <w:rPr>
          <w:rFonts w:ascii="Times New Roman" w:hAnsi="Times New Roman" w:cs="Times New Roman"/>
          <w:bCs w:val="0"/>
          <w:smallCaps w:val="0"/>
          <w:kern w:val="2"/>
          <w:sz w:val="21"/>
        </w:rPr>
      </w:pPr>
      <w:r>
        <w:fldChar w:fldCharType="begin"/>
      </w:r>
      <w:r>
        <w:instrText xml:space="preserve"> HYPERLINK \l "_Toc47381547" </w:instrText>
      </w:r>
      <w:r>
        <w:fldChar w:fldCharType="separate"/>
      </w:r>
      <w:r>
        <w:rPr>
          <w:rStyle w:val="46"/>
          <w:rFonts w:ascii="Times New Roman" w:hAnsi="Times New Roman"/>
        </w:rPr>
        <w:t>5.3</w:t>
      </w:r>
      <w:r>
        <w:rPr>
          <w:rFonts w:ascii="Times New Roman" w:hAnsi="Times New Roman" w:cs="Times New Roman"/>
          <w:bCs w:val="0"/>
          <w:smallCaps w:val="0"/>
          <w:kern w:val="2"/>
          <w:sz w:val="21"/>
        </w:rPr>
        <w:tab/>
      </w:r>
      <w:r>
        <w:rPr>
          <w:rStyle w:val="46"/>
          <w:rFonts w:ascii="Times New Roman" w:hAnsi="Times New Roman"/>
        </w:rPr>
        <w:t>分区措施布设</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_Toc47381547 \h </w:instrText>
      </w:r>
      <w:r>
        <w:rPr>
          <w:rFonts w:ascii="Times New Roman" w:hAnsi="Times New Roman" w:cs="Times New Roman"/>
        </w:rPr>
        <w:fldChar w:fldCharType="separate"/>
      </w:r>
      <w:r>
        <w:rPr>
          <w:rFonts w:ascii="Times New Roman" w:hAnsi="Times New Roman" w:cs="Times New Roman"/>
        </w:rPr>
        <w:t>53</w:t>
      </w:r>
      <w:r>
        <w:rPr>
          <w:rFonts w:ascii="Times New Roman" w:hAnsi="Times New Roman" w:cs="Times New Roman"/>
        </w:rPr>
        <w:fldChar w:fldCharType="end"/>
      </w:r>
      <w:r>
        <w:rPr>
          <w:rFonts w:ascii="Times New Roman" w:hAnsi="Times New Roman" w:cs="Times New Roman"/>
        </w:rPr>
        <w:fldChar w:fldCharType="end"/>
      </w:r>
    </w:p>
    <w:p>
      <w:pPr>
        <w:pStyle w:val="35"/>
        <w:tabs>
          <w:tab w:val="left" w:pos="845"/>
          <w:tab w:val="right" w:leader="dot" w:pos="8290"/>
        </w:tabs>
        <w:ind w:left="240"/>
        <w:rPr>
          <w:rFonts w:ascii="Times New Roman" w:hAnsi="Times New Roman" w:cs="Times New Roman"/>
          <w:bCs w:val="0"/>
          <w:smallCaps w:val="0"/>
          <w:kern w:val="2"/>
          <w:sz w:val="21"/>
        </w:rPr>
      </w:pPr>
      <w:r>
        <w:fldChar w:fldCharType="begin"/>
      </w:r>
      <w:r>
        <w:instrText xml:space="preserve"> HYPERLINK \l "_Toc47381548" </w:instrText>
      </w:r>
      <w:r>
        <w:fldChar w:fldCharType="separate"/>
      </w:r>
      <w:r>
        <w:rPr>
          <w:rStyle w:val="46"/>
          <w:rFonts w:ascii="Times New Roman" w:hAnsi="Times New Roman"/>
        </w:rPr>
        <w:t>5.4</w:t>
      </w:r>
      <w:r>
        <w:rPr>
          <w:rFonts w:ascii="Times New Roman" w:hAnsi="Times New Roman" w:cs="Times New Roman"/>
          <w:bCs w:val="0"/>
          <w:smallCaps w:val="0"/>
          <w:kern w:val="2"/>
          <w:sz w:val="21"/>
        </w:rPr>
        <w:tab/>
      </w:r>
      <w:r>
        <w:rPr>
          <w:rStyle w:val="46"/>
          <w:rFonts w:ascii="Times New Roman" w:hAnsi="Times New Roman"/>
        </w:rPr>
        <w:t>施工要求</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_Toc47381548 \h </w:instrText>
      </w:r>
      <w:r>
        <w:rPr>
          <w:rFonts w:ascii="Times New Roman" w:hAnsi="Times New Roman" w:cs="Times New Roman"/>
        </w:rPr>
        <w:fldChar w:fldCharType="separate"/>
      </w:r>
      <w:r>
        <w:rPr>
          <w:rFonts w:ascii="Times New Roman" w:hAnsi="Times New Roman" w:cs="Times New Roman"/>
        </w:rPr>
        <w:t>55</w:t>
      </w:r>
      <w:r>
        <w:rPr>
          <w:rFonts w:ascii="Times New Roman" w:hAnsi="Times New Roman" w:cs="Times New Roman"/>
        </w:rPr>
        <w:fldChar w:fldCharType="end"/>
      </w:r>
      <w:r>
        <w:rPr>
          <w:rFonts w:ascii="Times New Roman" w:hAnsi="Times New Roman" w:cs="Times New Roman"/>
        </w:rPr>
        <w:fldChar w:fldCharType="end"/>
      </w:r>
    </w:p>
    <w:p>
      <w:pPr>
        <w:pStyle w:val="28"/>
        <w:tabs>
          <w:tab w:val="left" w:pos="422"/>
          <w:tab w:val="right" w:leader="dot" w:pos="8290"/>
        </w:tabs>
        <w:rPr>
          <w:rFonts w:ascii="Times New Roman" w:hAnsi="Times New Roman" w:cs="Times New Roman"/>
          <w:b w:val="0"/>
          <w:bCs w:val="0"/>
          <w:caps w:val="0"/>
          <w:kern w:val="2"/>
          <w:sz w:val="21"/>
        </w:rPr>
      </w:pPr>
      <w:r>
        <w:fldChar w:fldCharType="begin"/>
      </w:r>
      <w:r>
        <w:instrText xml:space="preserve"> HYPERLINK \l "_Toc47381549" </w:instrText>
      </w:r>
      <w:r>
        <w:fldChar w:fldCharType="separate"/>
      </w:r>
      <w:r>
        <w:rPr>
          <w:rStyle w:val="46"/>
          <w:rFonts w:ascii="Times New Roman" w:hAnsi="Times New Roman"/>
        </w:rPr>
        <w:t>6</w:t>
      </w:r>
      <w:r>
        <w:rPr>
          <w:rFonts w:ascii="Times New Roman" w:hAnsi="Times New Roman" w:cs="Times New Roman"/>
          <w:b w:val="0"/>
          <w:bCs w:val="0"/>
          <w:caps w:val="0"/>
          <w:kern w:val="2"/>
          <w:sz w:val="21"/>
        </w:rPr>
        <w:tab/>
      </w:r>
      <w:r>
        <w:rPr>
          <w:rStyle w:val="46"/>
          <w:rFonts w:ascii="Times New Roman" w:hAnsi="Times New Roman"/>
        </w:rPr>
        <w:t>水土保持监测</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_Toc47381549 \h </w:instrText>
      </w:r>
      <w:r>
        <w:rPr>
          <w:rFonts w:ascii="Times New Roman" w:hAnsi="Times New Roman" w:cs="Times New Roman"/>
        </w:rPr>
        <w:fldChar w:fldCharType="separate"/>
      </w:r>
      <w:r>
        <w:rPr>
          <w:rFonts w:ascii="Times New Roman" w:hAnsi="Times New Roman" w:cs="Times New Roman"/>
        </w:rPr>
        <w:t>59</w:t>
      </w:r>
      <w:r>
        <w:rPr>
          <w:rFonts w:ascii="Times New Roman" w:hAnsi="Times New Roman" w:cs="Times New Roman"/>
        </w:rPr>
        <w:fldChar w:fldCharType="end"/>
      </w:r>
      <w:r>
        <w:rPr>
          <w:rFonts w:ascii="Times New Roman" w:hAnsi="Times New Roman" w:cs="Times New Roman"/>
        </w:rPr>
        <w:fldChar w:fldCharType="end"/>
      </w:r>
    </w:p>
    <w:p>
      <w:pPr>
        <w:pStyle w:val="28"/>
        <w:tabs>
          <w:tab w:val="left" w:pos="422"/>
          <w:tab w:val="right" w:leader="dot" w:pos="8290"/>
        </w:tabs>
        <w:rPr>
          <w:rFonts w:ascii="Times New Roman" w:hAnsi="Times New Roman" w:cs="Times New Roman"/>
          <w:b w:val="0"/>
          <w:bCs w:val="0"/>
          <w:caps w:val="0"/>
          <w:kern w:val="2"/>
          <w:sz w:val="21"/>
        </w:rPr>
      </w:pPr>
      <w:r>
        <w:fldChar w:fldCharType="begin"/>
      </w:r>
      <w:r>
        <w:instrText xml:space="preserve"> HYPERLINK \l "_Toc47381550" </w:instrText>
      </w:r>
      <w:r>
        <w:fldChar w:fldCharType="separate"/>
      </w:r>
      <w:r>
        <w:rPr>
          <w:rStyle w:val="46"/>
          <w:rFonts w:ascii="Times New Roman" w:hAnsi="Times New Roman"/>
        </w:rPr>
        <w:t>7</w:t>
      </w:r>
      <w:r>
        <w:rPr>
          <w:rFonts w:ascii="Times New Roman" w:hAnsi="Times New Roman" w:cs="Times New Roman"/>
          <w:b w:val="0"/>
          <w:bCs w:val="0"/>
          <w:caps w:val="0"/>
          <w:kern w:val="2"/>
          <w:sz w:val="21"/>
        </w:rPr>
        <w:tab/>
      </w:r>
      <w:r>
        <w:rPr>
          <w:rStyle w:val="46"/>
          <w:rFonts w:ascii="Times New Roman" w:hAnsi="Times New Roman"/>
        </w:rPr>
        <w:t>水土保持投资估算及效益分析</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_Toc47381550 \h </w:instrText>
      </w:r>
      <w:r>
        <w:rPr>
          <w:rFonts w:ascii="Times New Roman" w:hAnsi="Times New Roman" w:cs="Times New Roman"/>
        </w:rPr>
        <w:fldChar w:fldCharType="separate"/>
      </w:r>
      <w:r>
        <w:rPr>
          <w:rFonts w:ascii="Times New Roman" w:hAnsi="Times New Roman" w:cs="Times New Roman"/>
        </w:rPr>
        <w:t>60</w:t>
      </w:r>
      <w:r>
        <w:rPr>
          <w:rFonts w:ascii="Times New Roman" w:hAnsi="Times New Roman" w:cs="Times New Roman"/>
        </w:rPr>
        <w:fldChar w:fldCharType="end"/>
      </w:r>
      <w:r>
        <w:rPr>
          <w:rFonts w:ascii="Times New Roman" w:hAnsi="Times New Roman" w:cs="Times New Roman"/>
        </w:rPr>
        <w:fldChar w:fldCharType="end"/>
      </w:r>
    </w:p>
    <w:p>
      <w:pPr>
        <w:pStyle w:val="35"/>
        <w:tabs>
          <w:tab w:val="left" w:pos="845"/>
          <w:tab w:val="right" w:leader="dot" w:pos="8290"/>
        </w:tabs>
        <w:ind w:left="240"/>
        <w:rPr>
          <w:rFonts w:ascii="Times New Roman" w:hAnsi="Times New Roman" w:cs="Times New Roman"/>
          <w:bCs w:val="0"/>
          <w:smallCaps w:val="0"/>
          <w:kern w:val="2"/>
          <w:sz w:val="21"/>
        </w:rPr>
      </w:pPr>
      <w:r>
        <w:fldChar w:fldCharType="begin"/>
      </w:r>
      <w:r>
        <w:instrText xml:space="preserve"> HYPERLINK \l "_Toc47381551" </w:instrText>
      </w:r>
      <w:r>
        <w:fldChar w:fldCharType="separate"/>
      </w:r>
      <w:r>
        <w:rPr>
          <w:rStyle w:val="46"/>
          <w:rFonts w:ascii="Times New Roman" w:hAnsi="Times New Roman"/>
        </w:rPr>
        <w:t>7.1</w:t>
      </w:r>
      <w:r>
        <w:rPr>
          <w:rFonts w:ascii="Times New Roman" w:hAnsi="Times New Roman" w:cs="Times New Roman"/>
          <w:bCs w:val="0"/>
          <w:smallCaps w:val="0"/>
          <w:kern w:val="2"/>
          <w:sz w:val="21"/>
        </w:rPr>
        <w:tab/>
      </w:r>
      <w:r>
        <w:rPr>
          <w:rStyle w:val="46"/>
          <w:rFonts w:ascii="Times New Roman" w:hAnsi="Times New Roman"/>
        </w:rPr>
        <w:t>投资估算</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_Toc47381551 \h </w:instrText>
      </w:r>
      <w:r>
        <w:rPr>
          <w:rFonts w:ascii="Times New Roman" w:hAnsi="Times New Roman" w:cs="Times New Roman"/>
        </w:rPr>
        <w:fldChar w:fldCharType="separate"/>
      </w:r>
      <w:r>
        <w:rPr>
          <w:rFonts w:ascii="Times New Roman" w:hAnsi="Times New Roman" w:cs="Times New Roman"/>
        </w:rPr>
        <w:t>60</w:t>
      </w:r>
      <w:r>
        <w:rPr>
          <w:rFonts w:ascii="Times New Roman" w:hAnsi="Times New Roman" w:cs="Times New Roman"/>
        </w:rPr>
        <w:fldChar w:fldCharType="end"/>
      </w:r>
      <w:r>
        <w:rPr>
          <w:rFonts w:ascii="Times New Roman" w:hAnsi="Times New Roman" w:cs="Times New Roman"/>
        </w:rPr>
        <w:fldChar w:fldCharType="end"/>
      </w:r>
    </w:p>
    <w:p>
      <w:pPr>
        <w:pStyle w:val="35"/>
        <w:tabs>
          <w:tab w:val="left" w:pos="845"/>
          <w:tab w:val="right" w:leader="dot" w:pos="8290"/>
        </w:tabs>
        <w:ind w:left="240"/>
        <w:rPr>
          <w:rFonts w:ascii="Times New Roman" w:hAnsi="Times New Roman" w:cs="Times New Roman"/>
          <w:bCs w:val="0"/>
          <w:smallCaps w:val="0"/>
          <w:kern w:val="2"/>
          <w:sz w:val="21"/>
        </w:rPr>
      </w:pPr>
      <w:r>
        <w:fldChar w:fldCharType="begin"/>
      </w:r>
      <w:r>
        <w:instrText xml:space="preserve"> HYPERLINK \l "_Toc47381552" </w:instrText>
      </w:r>
      <w:r>
        <w:fldChar w:fldCharType="separate"/>
      </w:r>
      <w:r>
        <w:rPr>
          <w:rStyle w:val="46"/>
          <w:rFonts w:ascii="Times New Roman" w:hAnsi="Times New Roman"/>
        </w:rPr>
        <w:t>7.2</w:t>
      </w:r>
      <w:r>
        <w:rPr>
          <w:rFonts w:ascii="Times New Roman" w:hAnsi="Times New Roman" w:cs="Times New Roman"/>
          <w:bCs w:val="0"/>
          <w:smallCaps w:val="0"/>
          <w:kern w:val="2"/>
          <w:sz w:val="21"/>
        </w:rPr>
        <w:tab/>
      </w:r>
      <w:r>
        <w:rPr>
          <w:rStyle w:val="46"/>
          <w:rFonts w:ascii="Times New Roman" w:hAnsi="Times New Roman"/>
        </w:rPr>
        <w:t>效益分析</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_Toc47381552 \h </w:instrText>
      </w:r>
      <w:r>
        <w:rPr>
          <w:rFonts w:ascii="Times New Roman" w:hAnsi="Times New Roman" w:cs="Times New Roman"/>
        </w:rPr>
        <w:fldChar w:fldCharType="separate"/>
      </w:r>
      <w:r>
        <w:rPr>
          <w:rFonts w:ascii="Times New Roman" w:hAnsi="Times New Roman" w:cs="Times New Roman"/>
        </w:rPr>
        <w:t>68</w:t>
      </w:r>
      <w:r>
        <w:rPr>
          <w:rFonts w:ascii="Times New Roman" w:hAnsi="Times New Roman" w:cs="Times New Roman"/>
        </w:rPr>
        <w:fldChar w:fldCharType="end"/>
      </w:r>
      <w:r>
        <w:rPr>
          <w:rFonts w:ascii="Times New Roman" w:hAnsi="Times New Roman" w:cs="Times New Roman"/>
        </w:rPr>
        <w:fldChar w:fldCharType="end"/>
      </w:r>
    </w:p>
    <w:p>
      <w:pPr>
        <w:pStyle w:val="28"/>
        <w:tabs>
          <w:tab w:val="left" w:pos="422"/>
          <w:tab w:val="right" w:leader="dot" w:pos="8290"/>
        </w:tabs>
        <w:rPr>
          <w:rFonts w:ascii="Times New Roman" w:hAnsi="Times New Roman" w:cs="Times New Roman"/>
          <w:b w:val="0"/>
          <w:bCs w:val="0"/>
          <w:caps w:val="0"/>
          <w:kern w:val="2"/>
          <w:sz w:val="21"/>
        </w:rPr>
      </w:pPr>
      <w:r>
        <w:fldChar w:fldCharType="begin"/>
      </w:r>
      <w:r>
        <w:instrText xml:space="preserve"> HYPERLINK \l "_Toc47381553" </w:instrText>
      </w:r>
      <w:r>
        <w:fldChar w:fldCharType="separate"/>
      </w:r>
      <w:r>
        <w:rPr>
          <w:rStyle w:val="46"/>
          <w:rFonts w:ascii="Times New Roman" w:hAnsi="Times New Roman"/>
        </w:rPr>
        <w:t>8</w:t>
      </w:r>
      <w:r>
        <w:rPr>
          <w:rFonts w:ascii="Times New Roman" w:hAnsi="Times New Roman" w:cs="Times New Roman"/>
          <w:b w:val="0"/>
          <w:bCs w:val="0"/>
          <w:caps w:val="0"/>
          <w:kern w:val="2"/>
          <w:sz w:val="21"/>
        </w:rPr>
        <w:tab/>
      </w:r>
      <w:r>
        <w:rPr>
          <w:rStyle w:val="46"/>
          <w:rFonts w:ascii="Times New Roman" w:hAnsi="Times New Roman"/>
        </w:rPr>
        <w:t>水土保持管理</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_Toc47381553 \h </w:instrText>
      </w:r>
      <w:r>
        <w:rPr>
          <w:rFonts w:ascii="Times New Roman" w:hAnsi="Times New Roman" w:cs="Times New Roman"/>
        </w:rPr>
        <w:fldChar w:fldCharType="separate"/>
      </w:r>
      <w:r>
        <w:rPr>
          <w:rFonts w:ascii="Times New Roman" w:hAnsi="Times New Roman" w:cs="Times New Roman"/>
        </w:rPr>
        <w:t>71</w:t>
      </w:r>
      <w:r>
        <w:rPr>
          <w:rFonts w:ascii="Times New Roman" w:hAnsi="Times New Roman" w:cs="Times New Roman"/>
        </w:rPr>
        <w:fldChar w:fldCharType="end"/>
      </w:r>
      <w:r>
        <w:rPr>
          <w:rFonts w:ascii="Times New Roman" w:hAnsi="Times New Roman" w:cs="Times New Roman"/>
        </w:rPr>
        <w:fldChar w:fldCharType="end"/>
      </w:r>
    </w:p>
    <w:p>
      <w:pPr>
        <w:pStyle w:val="35"/>
        <w:tabs>
          <w:tab w:val="left" w:pos="845"/>
          <w:tab w:val="right" w:leader="dot" w:pos="8290"/>
        </w:tabs>
        <w:ind w:left="240"/>
        <w:rPr>
          <w:rFonts w:ascii="Times New Roman" w:hAnsi="Times New Roman" w:cs="Times New Roman"/>
          <w:bCs w:val="0"/>
          <w:smallCaps w:val="0"/>
          <w:kern w:val="2"/>
          <w:sz w:val="21"/>
        </w:rPr>
      </w:pPr>
      <w:r>
        <w:fldChar w:fldCharType="begin"/>
      </w:r>
      <w:r>
        <w:instrText xml:space="preserve"> HYPERLINK \l "_Toc47381554" </w:instrText>
      </w:r>
      <w:r>
        <w:fldChar w:fldCharType="separate"/>
      </w:r>
      <w:r>
        <w:rPr>
          <w:rStyle w:val="46"/>
          <w:rFonts w:ascii="Times New Roman" w:hAnsi="Times New Roman"/>
        </w:rPr>
        <w:t>8.1</w:t>
      </w:r>
      <w:r>
        <w:rPr>
          <w:rFonts w:ascii="Times New Roman" w:hAnsi="Times New Roman" w:cs="Times New Roman"/>
          <w:bCs w:val="0"/>
          <w:smallCaps w:val="0"/>
          <w:kern w:val="2"/>
          <w:sz w:val="21"/>
        </w:rPr>
        <w:tab/>
      </w:r>
      <w:r>
        <w:rPr>
          <w:rStyle w:val="46"/>
          <w:rFonts w:ascii="Times New Roman" w:hAnsi="Times New Roman"/>
        </w:rPr>
        <w:t>组织管理</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_Toc47381554 \h </w:instrText>
      </w:r>
      <w:r>
        <w:rPr>
          <w:rFonts w:ascii="Times New Roman" w:hAnsi="Times New Roman" w:cs="Times New Roman"/>
        </w:rPr>
        <w:fldChar w:fldCharType="separate"/>
      </w:r>
      <w:r>
        <w:rPr>
          <w:rFonts w:ascii="Times New Roman" w:hAnsi="Times New Roman" w:cs="Times New Roman"/>
        </w:rPr>
        <w:t>71</w:t>
      </w:r>
      <w:r>
        <w:rPr>
          <w:rFonts w:ascii="Times New Roman" w:hAnsi="Times New Roman" w:cs="Times New Roman"/>
        </w:rPr>
        <w:fldChar w:fldCharType="end"/>
      </w:r>
      <w:r>
        <w:rPr>
          <w:rFonts w:ascii="Times New Roman" w:hAnsi="Times New Roman" w:cs="Times New Roman"/>
        </w:rPr>
        <w:fldChar w:fldCharType="end"/>
      </w:r>
    </w:p>
    <w:p>
      <w:pPr>
        <w:pStyle w:val="35"/>
        <w:tabs>
          <w:tab w:val="left" w:pos="845"/>
          <w:tab w:val="right" w:leader="dot" w:pos="8290"/>
        </w:tabs>
        <w:ind w:left="240"/>
        <w:rPr>
          <w:rFonts w:ascii="Times New Roman" w:hAnsi="Times New Roman" w:cs="Times New Roman"/>
          <w:bCs w:val="0"/>
          <w:smallCaps w:val="0"/>
          <w:kern w:val="2"/>
          <w:sz w:val="21"/>
        </w:rPr>
      </w:pPr>
      <w:r>
        <w:fldChar w:fldCharType="begin"/>
      </w:r>
      <w:r>
        <w:instrText xml:space="preserve"> HYPERLINK \l "_Toc47381555" </w:instrText>
      </w:r>
      <w:r>
        <w:fldChar w:fldCharType="separate"/>
      </w:r>
      <w:r>
        <w:rPr>
          <w:rStyle w:val="46"/>
          <w:rFonts w:ascii="Times New Roman" w:hAnsi="Times New Roman"/>
        </w:rPr>
        <w:t>8.2</w:t>
      </w:r>
      <w:r>
        <w:rPr>
          <w:rFonts w:ascii="Times New Roman" w:hAnsi="Times New Roman" w:cs="Times New Roman"/>
          <w:bCs w:val="0"/>
          <w:smallCaps w:val="0"/>
          <w:kern w:val="2"/>
          <w:sz w:val="21"/>
        </w:rPr>
        <w:tab/>
      </w:r>
      <w:r>
        <w:rPr>
          <w:rStyle w:val="46"/>
          <w:rFonts w:ascii="Times New Roman" w:hAnsi="Times New Roman"/>
        </w:rPr>
        <w:t>后续设计</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_Toc47381555 \h </w:instrText>
      </w:r>
      <w:r>
        <w:rPr>
          <w:rFonts w:ascii="Times New Roman" w:hAnsi="Times New Roman" w:cs="Times New Roman"/>
        </w:rPr>
        <w:fldChar w:fldCharType="separate"/>
      </w:r>
      <w:r>
        <w:rPr>
          <w:rFonts w:ascii="Times New Roman" w:hAnsi="Times New Roman" w:cs="Times New Roman"/>
        </w:rPr>
        <w:t>72</w:t>
      </w:r>
      <w:r>
        <w:rPr>
          <w:rFonts w:ascii="Times New Roman" w:hAnsi="Times New Roman" w:cs="Times New Roman"/>
        </w:rPr>
        <w:fldChar w:fldCharType="end"/>
      </w:r>
      <w:r>
        <w:rPr>
          <w:rFonts w:ascii="Times New Roman" w:hAnsi="Times New Roman" w:cs="Times New Roman"/>
        </w:rPr>
        <w:fldChar w:fldCharType="end"/>
      </w:r>
    </w:p>
    <w:p>
      <w:pPr>
        <w:pStyle w:val="35"/>
        <w:tabs>
          <w:tab w:val="left" w:pos="845"/>
          <w:tab w:val="right" w:leader="dot" w:pos="8290"/>
        </w:tabs>
        <w:ind w:left="240"/>
        <w:rPr>
          <w:rFonts w:ascii="Times New Roman" w:hAnsi="Times New Roman" w:cs="Times New Roman"/>
          <w:bCs w:val="0"/>
          <w:smallCaps w:val="0"/>
          <w:kern w:val="2"/>
          <w:sz w:val="21"/>
        </w:rPr>
      </w:pPr>
      <w:r>
        <w:fldChar w:fldCharType="begin"/>
      </w:r>
      <w:r>
        <w:instrText xml:space="preserve"> HYPERLINK \l "_Toc47381556" </w:instrText>
      </w:r>
      <w:r>
        <w:fldChar w:fldCharType="separate"/>
      </w:r>
      <w:r>
        <w:rPr>
          <w:rStyle w:val="46"/>
          <w:rFonts w:ascii="Times New Roman" w:hAnsi="Times New Roman"/>
        </w:rPr>
        <w:t>8.3</w:t>
      </w:r>
      <w:r>
        <w:rPr>
          <w:rFonts w:ascii="Times New Roman" w:hAnsi="Times New Roman" w:cs="Times New Roman"/>
          <w:bCs w:val="0"/>
          <w:smallCaps w:val="0"/>
          <w:kern w:val="2"/>
          <w:sz w:val="21"/>
        </w:rPr>
        <w:tab/>
      </w:r>
      <w:r>
        <w:rPr>
          <w:rStyle w:val="46"/>
          <w:rFonts w:ascii="Times New Roman" w:hAnsi="Times New Roman"/>
        </w:rPr>
        <w:t>水土保持监测</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_Toc47381556 \h </w:instrText>
      </w:r>
      <w:r>
        <w:rPr>
          <w:rFonts w:ascii="Times New Roman" w:hAnsi="Times New Roman" w:cs="Times New Roman"/>
        </w:rPr>
        <w:fldChar w:fldCharType="separate"/>
      </w:r>
      <w:r>
        <w:rPr>
          <w:rFonts w:ascii="Times New Roman" w:hAnsi="Times New Roman" w:cs="Times New Roman"/>
        </w:rPr>
        <w:t>72</w:t>
      </w:r>
      <w:r>
        <w:rPr>
          <w:rFonts w:ascii="Times New Roman" w:hAnsi="Times New Roman" w:cs="Times New Roman"/>
        </w:rPr>
        <w:fldChar w:fldCharType="end"/>
      </w:r>
      <w:r>
        <w:rPr>
          <w:rFonts w:ascii="Times New Roman" w:hAnsi="Times New Roman" w:cs="Times New Roman"/>
        </w:rPr>
        <w:fldChar w:fldCharType="end"/>
      </w:r>
    </w:p>
    <w:p>
      <w:pPr>
        <w:pStyle w:val="35"/>
        <w:tabs>
          <w:tab w:val="left" w:pos="845"/>
          <w:tab w:val="right" w:leader="dot" w:pos="8290"/>
        </w:tabs>
        <w:ind w:left="240"/>
        <w:rPr>
          <w:rFonts w:ascii="Times New Roman" w:hAnsi="Times New Roman" w:cs="Times New Roman"/>
          <w:bCs w:val="0"/>
          <w:smallCaps w:val="0"/>
          <w:kern w:val="2"/>
          <w:sz w:val="21"/>
        </w:rPr>
      </w:pPr>
      <w:r>
        <w:fldChar w:fldCharType="begin"/>
      </w:r>
      <w:r>
        <w:instrText xml:space="preserve"> HYPERLINK \l "_Toc47381557" </w:instrText>
      </w:r>
      <w:r>
        <w:fldChar w:fldCharType="separate"/>
      </w:r>
      <w:r>
        <w:rPr>
          <w:rStyle w:val="46"/>
          <w:rFonts w:ascii="Times New Roman" w:hAnsi="Times New Roman"/>
        </w:rPr>
        <w:t>8.4</w:t>
      </w:r>
      <w:r>
        <w:rPr>
          <w:rFonts w:ascii="Times New Roman" w:hAnsi="Times New Roman" w:cs="Times New Roman"/>
          <w:bCs w:val="0"/>
          <w:smallCaps w:val="0"/>
          <w:kern w:val="2"/>
          <w:sz w:val="21"/>
        </w:rPr>
        <w:tab/>
      </w:r>
      <w:r>
        <w:rPr>
          <w:rStyle w:val="46"/>
          <w:rFonts w:ascii="Times New Roman" w:hAnsi="Times New Roman"/>
        </w:rPr>
        <w:t>水土保持监理</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_Toc47381557 \h </w:instrText>
      </w:r>
      <w:r>
        <w:rPr>
          <w:rFonts w:ascii="Times New Roman" w:hAnsi="Times New Roman" w:cs="Times New Roman"/>
        </w:rPr>
        <w:fldChar w:fldCharType="separate"/>
      </w:r>
      <w:r>
        <w:rPr>
          <w:rFonts w:ascii="Times New Roman" w:hAnsi="Times New Roman" w:cs="Times New Roman"/>
        </w:rPr>
        <w:t>72</w:t>
      </w:r>
      <w:r>
        <w:rPr>
          <w:rFonts w:ascii="Times New Roman" w:hAnsi="Times New Roman" w:cs="Times New Roman"/>
        </w:rPr>
        <w:fldChar w:fldCharType="end"/>
      </w:r>
      <w:r>
        <w:rPr>
          <w:rFonts w:ascii="Times New Roman" w:hAnsi="Times New Roman" w:cs="Times New Roman"/>
        </w:rPr>
        <w:fldChar w:fldCharType="end"/>
      </w:r>
    </w:p>
    <w:p>
      <w:pPr>
        <w:pStyle w:val="35"/>
        <w:tabs>
          <w:tab w:val="left" w:pos="845"/>
          <w:tab w:val="right" w:leader="dot" w:pos="8290"/>
        </w:tabs>
        <w:ind w:left="240"/>
        <w:rPr>
          <w:rFonts w:ascii="Times New Roman" w:hAnsi="Times New Roman" w:cs="Times New Roman"/>
          <w:bCs w:val="0"/>
          <w:smallCaps w:val="0"/>
          <w:kern w:val="2"/>
          <w:sz w:val="21"/>
        </w:rPr>
      </w:pPr>
      <w:r>
        <w:fldChar w:fldCharType="begin"/>
      </w:r>
      <w:r>
        <w:instrText xml:space="preserve"> HYPERLINK \l "_Toc47381558" </w:instrText>
      </w:r>
      <w:r>
        <w:fldChar w:fldCharType="separate"/>
      </w:r>
      <w:r>
        <w:rPr>
          <w:rStyle w:val="46"/>
          <w:rFonts w:ascii="Times New Roman" w:hAnsi="Times New Roman"/>
        </w:rPr>
        <w:t>8.5</w:t>
      </w:r>
      <w:r>
        <w:rPr>
          <w:rFonts w:ascii="Times New Roman" w:hAnsi="Times New Roman" w:cs="Times New Roman"/>
          <w:bCs w:val="0"/>
          <w:smallCaps w:val="0"/>
          <w:kern w:val="2"/>
          <w:sz w:val="21"/>
        </w:rPr>
        <w:tab/>
      </w:r>
      <w:r>
        <w:rPr>
          <w:rStyle w:val="46"/>
          <w:rFonts w:ascii="Times New Roman" w:hAnsi="Times New Roman"/>
        </w:rPr>
        <w:t>水土保持施工</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_Toc47381558 \h </w:instrText>
      </w:r>
      <w:r>
        <w:rPr>
          <w:rFonts w:ascii="Times New Roman" w:hAnsi="Times New Roman" w:cs="Times New Roman"/>
        </w:rPr>
        <w:fldChar w:fldCharType="separate"/>
      </w:r>
      <w:r>
        <w:rPr>
          <w:rFonts w:ascii="Times New Roman" w:hAnsi="Times New Roman" w:cs="Times New Roman"/>
        </w:rPr>
        <w:t>73</w:t>
      </w:r>
      <w:r>
        <w:rPr>
          <w:rFonts w:ascii="Times New Roman" w:hAnsi="Times New Roman" w:cs="Times New Roman"/>
        </w:rPr>
        <w:fldChar w:fldCharType="end"/>
      </w:r>
      <w:r>
        <w:rPr>
          <w:rFonts w:ascii="Times New Roman" w:hAnsi="Times New Roman" w:cs="Times New Roman"/>
        </w:rPr>
        <w:fldChar w:fldCharType="end"/>
      </w:r>
    </w:p>
    <w:p>
      <w:pPr>
        <w:pStyle w:val="35"/>
        <w:tabs>
          <w:tab w:val="left" w:pos="845"/>
          <w:tab w:val="right" w:leader="dot" w:pos="8290"/>
        </w:tabs>
        <w:ind w:left="240"/>
        <w:rPr>
          <w:rFonts w:eastAsiaTheme="minorEastAsia" w:cstheme="minorBidi"/>
          <w:bCs w:val="0"/>
          <w:smallCaps w:val="0"/>
          <w:kern w:val="2"/>
          <w:sz w:val="21"/>
        </w:rPr>
      </w:pPr>
      <w:r>
        <w:fldChar w:fldCharType="begin"/>
      </w:r>
      <w:r>
        <w:instrText xml:space="preserve"> HYPERLINK \l "_Toc47381559" </w:instrText>
      </w:r>
      <w:r>
        <w:fldChar w:fldCharType="separate"/>
      </w:r>
      <w:r>
        <w:rPr>
          <w:rStyle w:val="46"/>
          <w:rFonts w:ascii="Times New Roman" w:hAnsi="Times New Roman"/>
        </w:rPr>
        <w:t>8.6</w:t>
      </w:r>
      <w:r>
        <w:rPr>
          <w:rFonts w:ascii="Times New Roman" w:hAnsi="Times New Roman" w:cs="Times New Roman"/>
          <w:bCs w:val="0"/>
          <w:smallCaps w:val="0"/>
          <w:kern w:val="2"/>
          <w:sz w:val="21"/>
        </w:rPr>
        <w:tab/>
      </w:r>
      <w:r>
        <w:rPr>
          <w:rStyle w:val="46"/>
          <w:rFonts w:ascii="Times New Roman" w:hAnsi="Times New Roman"/>
        </w:rPr>
        <w:t>水土保持设施验收</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_Toc47381559 \h </w:instrText>
      </w:r>
      <w:r>
        <w:rPr>
          <w:rFonts w:ascii="Times New Roman" w:hAnsi="Times New Roman" w:cs="Times New Roman"/>
        </w:rPr>
        <w:fldChar w:fldCharType="separate"/>
      </w:r>
      <w:r>
        <w:rPr>
          <w:rFonts w:ascii="Times New Roman" w:hAnsi="Times New Roman" w:cs="Times New Roman"/>
        </w:rPr>
        <w:t>73</w:t>
      </w:r>
      <w:r>
        <w:rPr>
          <w:rFonts w:ascii="Times New Roman" w:hAnsi="Times New Roman" w:cs="Times New Roman"/>
        </w:rPr>
        <w:fldChar w:fldCharType="end"/>
      </w:r>
      <w:r>
        <w:rPr>
          <w:rFonts w:ascii="Times New Roman" w:hAnsi="Times New Roman" w:cs="Times New Roman"/>
        </w:rPr>
        <w:fldChar w:fldCharType="end"/>
      </w:r>
    </w:p>
    <w:p>
      <w:pPr>
        <w:ind w:firstLine="0" w:firstLineChars="0"/>
        <w:rPr>
          <w:rFonts w:eastAsia="仿宋_GB2312"/>
          <w:b/>
          <w:sz w:val="28"/>
        </w:rPr>
        <w:sectPr>
          <w:headerReference r:id="rId7" w:type="default"/>
          <w:footerReference r:id="rId8" w:type="default"/>
          <w:footerReference r:id="rId9" w:type="even"/>
          <w:pgSz w:w="11906" w:h="16838"/>
          <w:pgMar w:top="1440" w:right="1803" w:bottom="1440" w:left="1803" w:header="851" w:footer="1077" w:gutter="0"/>
          <w:pgNumType w:fmt="lowerRoman" w:start="1"/>
          <w:cols w:space="720" w:num="1"/>
          <w:docGrid w:linePitch="326" w:charSpace="0"/>
        </w:sectPr>
      </w:pPr>
      <w:r>
        <w:rPr>
          <w:rFonts w:eastAsia="仿宋_GB2312"/>
          <w:b/>
          <w:sz w:val="28"/>
        </w:rPr>
        <w:fldChar w:fldCharType="end"/>
      </w:r>
    </w:p>
    <w:p>
      <w:pPr>
        <w:ind w:firstLine="0" w:firstLineChars="0"/>
        <w:rPr>
          <w:rFonts w:eastAsia="仿宋_GB2312"/>
          <w:b/>
          <w:sz w:val="28"/>
          <w:szCs w:val="28"/>
        </w:rPr>
      </w:pPr>
      <w:r>
        <w:rPr>
          <w:rFonts w:eastAsia="仿宋_GB2312"/>
          <w:b/>
          <w:sz w:val="28"/>
          <w:szCs w:val="28"/>
        </w:rPr>
        <w:t>附</w:t>
      </w:r>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r>
        <w:rPr>
          <w:rFonts w:eastAsia="仿宋_GB2312"/>
          <w:b/>
          <w:sz w:val="28"/>
          <w:szCs w:val="28"/>
        </w:rPr>
        <w:t>表：</w:t>
      </w:r>
    </w:p>
    <w:p>
      <w:pPr>
        <w:pStyle w:val="148"/>
        <w:ind w:left="480" w:firstLine="0" w:firstLineChars="0"/>
        <w:rPr>
          <w:rFonts w:eastAsia="仿宋_GB2312"/>
          <w:szCs w:val="28"/>
        </w:rPr>
      </w:pPr>
      <w:r>
        <w:rPr>
          <w:rFonts w:hint="eastAsia" w:eastAsia="仿宋_GB2312"/>
          <w:szCs w:val="28"/>
        </w:rPr>
        <w:t>单价分析</w:t>
      </w:r>
      <w:r>
        <w:rPr>
          <w:rFonts w:eastAsia="仿宋_GB2312"/>
          <w:szCs w:val="28"/>
        </w:rPr>
        <w:t>表</w:t>
      </w:r>
    </w:p>
    <w:p>
      <w:pPr>
        <w:pStyle w:val="148"/>
        <w:ind w:left="480" w:firstLine="0" w:firstLineChars="0"/>
        <w:rPr>
          <w:rFonts w:eastAsia="仿宋_GB2312"/>
          <w:szCs w:val="28"/>
        </w:rPr>
      </w:pPr>
    </w:p>
    <w:p>
      <w:pPr>
        <w:ind w:firstLine="0" w:firstLineChars="0"/>
        <w:rPr>
          <w:rFonts w:eastAsia="仿宋_GB2312"/>
          <w:b/>
          <w:sz w:val="28"/>
          <w:szCs w:val="28"/>
        </w:rPr>
      </w:pPr>
      <w:r>
        <w:rPr>
          <w:rFonts w:eastAsia="仿宋_GB2312"/>
          <w:b/>
          <w:sz w:val="28"/>
          <w:szCs w:val="28"/>
        </w:rPr>
        <w:t>附件：</w:t>
      </w:r>
    </w:p>
    <w:p>
      <w:pPr>
        <w:pStyle w:val="148"/>
        <w:ind w:left="480" w:firstLine="0" w:firstLineChars="0"/>
        <w:rPr>
          <w:rFonts w:eastAsia="仿宋_GB2312"/>
          <w:szCs w:val="28"/>
        </w:rPr>
      </w:pPr>
      <w:r>
        <w:rPr>
          <w:rFonts w:eastAsia="仿宋_GB2312"/>
          <w:szCs w:val="28"/>
        </w:rPr>
        <w:t>附件1 水土保持方案编制委托书</w:t>
      </w:r>
      <w:r>
        <w:rPr>
          <w:rFonts w:hint="eastAsia" w:eastAsia="仿宋_GB2312"/>
          <w:szCs w:val="28"/>
        </w:rPr>
        <w:t>；</w:t>
      </w:r>
    </w:p>
    <w:p>
      <w:pPr>
        <w:pStyle w:val="148"/>
        <w:ind w:left="1320" w:leftChars="200" w:hanging="840" w:hangingChars="300"/>
        <w:rPr>
          <w:rFonts w:eastAsia="仿宋_GB2312"/>
          <w:szCs w:val="28"/>
        </w:rPr>
      </w:pPr>
      <w:r>
        <w:rPr>
          <w:rFonts w:hint="eastAsia" w:eastAsia="仿宋_GB2312"/>
          <w:szCs w:val="28"/>
        </w:rPr>
        <w:t>附件2 关于第十四师224团小区给水管网改造项目可行性研究报告的批复。</w:t>
      </w:r>
    </w:p>
    <w:p>
      <w:pPr>
        <w:pStyle w:val="176"/>
        <w:ind w:firstLine="0" w:firstLineChars="0"/>
        <w:rPr>
          <w:rFonts w:cs="Times New Roman"/>
          <w:sz w:val="28"/>
        </w:rPr>
      </w:pPr>
    </w:p>
    <w:p>
      <w:pPr>
        <w:ind w:firstLine="0" w:firstLineChars="0"/>
        <w:rPr>
          <w:rFonts w:eastAsia="仿宋_GB2312"/>
          <w:b/>
          <w:sz w:val="28"/>
          <w:szCs w:val="28"/>
        </w:rPr>
      </w:pPr>
      <w:r>
        <w:rPr>
          <w:rFonts w:eastAsia="仿宋_GB2312"/>
          <w:b/>
          <w:sz w:val="28"/>
          <w:szCs w:val="28"/>
        </w:rPr>
        <w:t>附图：</w:t>
      </w:r>
    </w:p>
    <w:p>
      <w:pPr>
        <w:pStyle w:val="148"/>
        <w:ind w:left="480" w:firstLine="0" w:firstLineChars="0"/>
        <w:rPr>
          <w:rFonts w:eastAsia="仿宋_GB2312"/>
          <w:szCs w:val="28"/>
        </w:rPr>
      </w:pPr>
      <w:r>
        <w:rPr>
          <w:rFonts w:eastAsia="仿宋_GB2312"/>
          <w:szCs w:val="28"/>
        </w:rPr>
        <w:t>附图1 项目区地理位置图</w:t>
      </w:r>
    </w:p>
    <w:p>
      <w:pPr>
        <w:pStyle w:val="148"/>
        <w:ind w:left="480" w:firstLine="0" w:firstLineChars="0"/>
        <w:rPr>
          <w:rFonts w:eastAsia="仿宋_GB2312"/>
          <w:szCs w:val="28"/>
        </w:rPr>
      </w:pPr>
      <w:r>
        <w:rPr>
          <w:rFonts w:eastAsia="仿宋_GB2312"/>
          <w:szCs w:val="28"/>
        </w:rPr>
        <w:t>附图2 项目区水系图</w:t>
      </w:r>
    </w:p>
    <w:p>
      <w:pPr>
        <w:pStyle w:val="148"/>
        <w:ind w:left="480" w:firstLine="0" w:firstLineChars="0"/>
        <w:rPr>
          <w:rFonts w:eastAsia="仿宋_GB2312"/>
          <w:szCs w:val="28"/>
        </w:rPr>
      </w:pPr>
      <w:r>
        <w:rPr>
          <w:rFonts w:eastAsia="仿宋_GB2312"/>
          <w:szCs w:val="28"/>
        </w:rPr>
        <w:t>附图3 项目区土壤侵蚀强度分布图</w:t>
      </w:r>
    </w:p>
    <w:p>
      <w:pPr>
        <w:pStyle w:val="148"/>
        <w:ind w:left="480" w:firstLine="0" w:firstLineChars="0"/>
        <w:rPr>
          <w:rFonts w:eastAsia="仿宋_GB2312"/>
          <w:szCs w:val="28"/>
        </w:rPr>
      </w:pPr>
      <w:r>
        <w:rPr>
          <w:rFonts w:eastAsia="仿宋_GB2312"/>
          <w:szCs w:val="28"/>
        </w:rPr>
        <w:t>附图4 项目总体布置图</w:t>
      </w:r>
    </w:p>
    <w:p>
      <w:pPr>
        <w:pStyle w:val="148"/>
        <w:ind w:left="480" w:firstLine="0" w:firstLineChars="0"/>
        <w:rPr>
          <w:rFonts w:eastAsia="仿宋_GB2312"/>
          <w:szCs w:val="28"/>
        </w:rPr>
      </w:pPr>
      <w:r>
        <w:rPr>
          <w:rFonts w:eastAsia="仿宋_GB2312"/>
          <w:szCs w:val="28"/>
        </w:rPr>
        <w:t>附图5 分区防治措施总体布局图</w:t>
      </w:r>
    </w:p>
    <w:p>
      <w:pPr>
        <w:pStyle w:val="148"/>
        <w:ind w:left="480" w:firstLine="0" w:firstLineChars="0"/>
        <w:rPr>
          <w:rFonts w:eastAsia="仿宋_GB2312"/>
          <w:szCs w:val="28"/>
        </w:rPr>
      </w:pPr>
      <w:r>
        <w:rPr>
          <w:rFonts w:eastAsia="仿宋_GB2312"/>
          <w:szCs w:val="28"/>
        </w:rPr>
        <w:t>附图6防尘网苫盖典型设计图</w:t>
      </w:r>
    </w:p>
    <w:p>
      <w:pPr>
        <w:pStyle w:val="148"/>
        <w:ind w:left="480" w:firstLine="0" w:firstLineChars="0"/>
        <w:rPr>
          <w:rFonts w:eastAsia="仿宋_GB2312"/>
          <w:szCs w:val="28"/>
        </w:rPr>
      </w:pPr>
      <w:r>
        <w:rPr>
          <w:rFonts w:hint="eastAsia" w:eastAsia="仿宋_GB2312"/>
          <w:szCs w:val="28"/>
        </w:rPr>
        <w:t>附图7 彩条旗限界典型设计图</w:t>
      </w:r>
    </w:p>
    <w:p>
      <w:pPr>
        <w:pStyle w:val="148"/>
        <w:ind w:left="480" w:firstLine="0" w:firstLineChars="0"/>
        <w:rPr>
          <w:rFonts w:eastAsia="仿宋_GB2312"/>
          <w:szCs w:val="28"/>
        </w:rPr>
      </w:pPr>
      <w:r>
        <w:rPr>
          <w:rFonts w:hint="eastAsia" w:eastAsia="仿宋_GB2312"/>
          <w:szCs w:val="28"/>
        </w:rPr>
        <w:t>附图8宣传牌典型设计图</w:t>
      </w:r>
    </w:p>
    <w:p>
      <w:pPr>
        <w:ind w:firstLine="480" w:firstLineChars="0"/>
        <w:rPr>
          <w:highlight w:val="yellow"/>
        </w:rPr>
      </w:pPr>
    </w:p>
    <w:p>
      <w:pPr>
        <w:ind w:firstLine="480" w:firstLineChars="0"/>
        <w:rPr>
          <w:highlight w:val="yellow"/>
        </w:rPr>
      </w:pPr>
    </w:p>
    <w:p>
      <w:pPr>
        <w:ind w:firstLine="480"/>
        <w:sectPr>
          <w:pgSz w:w="11906" w:h="16838"/>
          <w:pgMar w:top="1440" w:right="1800" w:bottom="1440" w:left="1800" w:header="851" w:footer="992" w:gutter="0"/>
          <w:pgNumType w:fmt="lowerRoman"/>
          <w:cols w:space="720" w:num="1"/>
          <w:docGrid w:linePitch="326" w:charSpace="0"/>
        </w:sectPr>
      </w:pPr>
      <w:bookmarkStart w:id="371" w:name="_GoBack"/>
      <w:bookmarkEnd w:id="371"/>
    </w:p>
    <w:p>
      <w:pPr>
        <w:ind w:left="0" w:leftChars="0" w:firstLine="0" w:firstLineChars="0"/>
        <w:sectPr>
          <w:pgSz w:w="11906" w:h="16838"/>
          <w:pgMar w:top="1440" w:right="1800" w:bottom="1440" w:left="1800" w:header="851" w:footer="992" w:gutter="0"/>
          <w:pgNumType w:fmt="lowerRoman"/>
          <w:cols w:space="720" w:num="1"/>
          <w:docGrid w:linePitch="326" w:charSpace="0"/>
        </w:sectPr>
      </w:pPr>
    </w:p>
    <w:p>
      <w:pPr>
        <w:pStyle w:val="50"/>
        <w:widowControl/>
        <w:numPr>
          <w:ilvl w:val="0"/>
          <w:numId w:val="1"/>
        </w:numPr>
        <w:tabs>
          <w:tab w:val="clear" w:pos="432"/>
        </w:tabs>
        <w:spacing w:beforeLines="100" w:afterLines="100"/>
        <w:rPr>
          <w:rFonts w:eastAsia="仿宋_GB2312"/>
          <w:sz w:val="32"/>
          <w:szCs w:val="32"/>
        </w:rPr>
      </w:pPr>
      <w:bookmarkStart w:id="26" w:name="_Toc7801535"/>
      <w:bookmarkStart w:id="27" w:name="_Toc255304477"/>
      <w:bookmarkStart w:id="28" w:name="_Toc211401477"/>
      <w:bookmarkStart w:id="29" w:name="_Toc47381514"/>
      <w:bookmarkStart w:id="30" w:name="_Toc7801442"/>
      <w:bookmarkStart w:id="31" w:name="_Toc7801375"/>
      <w:r>
        <w:rPr>
          <w:rFonts w:eastAsia="仿宋_GB2312"/>
          <w:sz w:val="32"/>
          <w:szCs w:val="32"/>
        </w:rPr>
        <w:t>综合说明</w:t>
      </w:r>
      <w:bookmarkEnd w:id="26"/>
      <w:bookmarkEnd w:id="27"/>
      <w:bookmarkEnd w:id="28"/>
      <w:bookmarkEnd w:id="29"/>
      <w:bookmarkEnd w:id="30"/>
      <w:bookmarkEnd w:id="31"/>
    </w:p>
    <w:p>
      <w:pPr>
        <w:pStyle w:val="3"/>
        <w:widowControl/>
        <w:numPr>
          <w:ilvl w:val="1"/>
          <w:numId w:val="1"/>
        </w:numPr>
        <w:tabs>
          <w:tab w:val="clear" w:pos="1002"/>
        </w:tabs>
        <w:topLinePunct w:val="0"/>
        <w:adjustRightInd/>
        <w:snapToGrid/>
        <w:ind w:left="0" w:firstLine="0"/>
        <w:jc w:val="both"/>
        <w:rPr>
          <w:rFonts w:eastAsia="仿宋_GB2312"/>
        </w:rPr>
      </w:pPr>
      <w:bookmarkStart w:id="32" w:name="_Toc394051111"/>
      <w:bookmarkStart w:id="33" w:name="_Toc7801536"/>
      <w:bookmarkStart w:id="34" w:name="_Toc47381515"/>
      <w:bookmarkStart w:id="35" w:name="_Toc7801443"/>
      <w:bookmarkStart w:id="36" w:name="_Toc7801376"/>
      <w:r>
        <w:rPr>
          <w:rFonts w:eastAsia="仿宋_GB2312"/>
        </w:rPr>
        <w:t>项目简况</w:t>
      </w:r>
      <w:bookmarkEnd w:id="32"/>
      <w:bookmarkEnd w:id="33"/>
      <w:bookmarkEnd w:id="34"/>
      <w:bookmarkEnd w:id="35"/>
      <w:bookmarkEnd w:id="36"/>
    </w:p>
    <w:p>
      <w:pPr>
        <w:pStyle w:val="4"/>
        <w:keepLines/>
        <w:widowControl/>
        <w:numPr>
          <w:ilvl w:val="2"/>
          <w:numId w:val="1"/>
        </w:numPr>
        <w:tabs>
          <w:tab w:val="clear" w:pos="432"/>
          <w:tab w:val="clear" w:pos="960"/>
        </w:tabs>
        <w:kinsoku/>
        <w:overflowPunct/>
        <w:topLinePunct w:val="0"/>
        <w:autoSpaceDE/>
        <w:autoSpaceDN/>
        <w:adjustRightInd/>
        <w:snapToGrid/>
        <w:ind w:left="0" w:firstLine="0"/>
        <w:jc w:val="both"/>
        <w:rPr>
          <w:rFonts w:eastAsia="仿宋_GB2312"/>
        </w:rPr>
      </w:pPr>
      <w:bookmarkStart w:id="37" w:name="_Toc184022973"/>
      <w:bookmarkStart w:id="38" w:name="_Toc182194758"/>
      <w:bookmarkStart w:id="39" w:name="_Toc255304480"/>
      <w:bookmarkStart w:id="40" w:name="_Toc181680709"/>
      <w:bookmarkStart w:id="41" w:name="_Toc188242305"/>
      <w:bookmarkStart w:id="42" w:name="_Toc237169817"/>
      <w:bookmarkStart w:id="43" w:name="_Toc184443623"/>
      <w:bookmarkStart w:id="44" w:name="_Toc187631275"/>
      <w:r>
        <w:rPr>
          <w:rFonts w:eastAsia="仿宋_GB2312"/>
        </w:rPr>
        <w:t>项目基本情况</w:t>
      </w:r>
    </w:p>
    <w:p>
      <w:pPr>
        <w:ind w:firstLine="480"/>
        <w:rPr>
          <w:rFonts w:eastAsia="仿宋_GB2312"/>
        </w:rPr>
      </w:pPr>
      <w:r>
        <w:rPr>
          <w:rFonts w:eastAsia="仿宋_GB2312"/>
        </w:rPr>
        <w:t>（1）项目建设必要性</w:t>
      </w:r>
    </w:p>
    <w:p>
      <w:pPr>
        <w:ind w:firstLine="480"/>
        <w:rPr>
          <w:rFonts w:eastAsia="仿宋_GB2312"/>
        </w:rPr>
      </w:pPr>
      <w:r>
        <w:rPr>
          <w:rFonts w:eastAsia="仿宋_GB2312"/>
        </w:rPr>
        <w:t>224</w:t>
      </w:r>
      <w:r>
        <w:rPr>
          <w:rFonts w:hint="eastAsia" w:eastAsia="仿宋_GB2312"/>
        </w:rPr>
        <w:t>团地处沙漠边缘，自然环境很差，再加上团场基础设施建设的配套资金主要靠项目单位的利润和职工投劳来承担，资金来源有限，团场的生活基础设施建设较为滞后，部分小区给水管网存在供水能力不足等问题。此外，部分老旧小区因兴建时受资金限制，设施简陋，经常年运行，已不同程度的受到损坏，供水量已严重不足，难以满足群众正常的用水需要，这些都困扰着小区居民的生产生活，危害着群众的身心健康。近年来，第十四师224团经济快速发展，城乡容貌发生了巨大变化，但是仍然存在人居环境事业发展不平衡等现实问题。</w:t>
      </w:r>
    </w:p>
    <w:p>
      <w:pPr>
        <w:ind w:firstLine="480"/>
        <w:rPr>
          <w:rFonts w:eastAsia="仿宋_GB2312"/>
        </w:rPr>
      </w:pPr>
      <w:r>
        <w:rPr>
          <w:rFonts w:hint="eastAsia" w:eastAsia="仿宋_GB2312"/>
        </w:rPr>
        <w:t>为了</w:t>
      </w:r>
      <w:r>
        <w:rPr>
          <w:rFonts w:eastAsia="仿宋_GB2312"/>
        </w:rPr>
        <w:t>224</w:t>
      </w:r>
      <w:r>
        <w:rPr>
          <w:rFonts w:hint="eastAsia" w:eastAsia="仿宋_GB2312"/>
        </w:rPr>
        <w:t>团这面旗帜持续、充分地发挥稳定边疆的作用，必须进一步提高其基础设施水平，为团场职工提供基础生活饮用水的保障。本工程是实施224团人居环境整治内容的一部分，是改善城乡人居环境的迫切要求，也是为实现第十四师224团群众对美好生活向往作出的重大举措。可以从根本上改善团场职工的生活水平、实现饮水安全目标。所以本项目的建设是十分紧迫和必要的。</w:t>
      </w:r>
    </w:p>
    <w:p>
      <w:pPr>
        <w:ind w:firstLine="480"/>
        <w:rPr>
          <w:rFonts w:eastAsia="仿宋_GB2312"/>
          <w:color w:val="FF0000"/>
        </w:rPr>
      </w:pPr>
      <w:r>
        <w:rPr>
          <w:rFonts w:hint="eastAsia" w:eastAsia="仿宋_GB2312"/>
        </w:rPr>
        <w:t>2</w:t>
      </w:r>
      <w:r>
        <w:rPr>
          <w:rFonts w:eastAsia="仿宋_GB2312"/>
        </w:rPr>
        <w:t>）项目</w:t>
      </w:r>
      <w:r>
        <w:rPr>
          <w:rFonts w:hint="eastAsia" w:eastAsia="仿宋_GB2312"/>
        </w:rPr>
        <w:t>基本情况</w:t>
      </w:r>
    </w:p>
    <w:p>
      <w:pPr>
        <w:ind w:firstLine="480"/>
        <w:rPr>
          <w:rFonts w:eastAsia="仿宋_GB2312"/>
        </w:rPr>
      </w:pPr>
      <w:r>
        <w:rPr>
          <w:rFonts w:hint="eastAsia" w:eastAsia="仿宋_GB2312"/>
        </w:rPr>
        <w:t>第十四师224团小区给水管网改造项目</w:t>
      </w:r>
      <w:r>
        <w:rPr>
          <w:rFonts w:eastAsia="仿宋_GB2312"/>
        </w:rPr>
        <w:t>位于</w:t>
      </w:r>
      <w:r>
        <w:rPr>
          <w:rFonts w:eastAsia="仿宋_GB2312"/>
          <w:color w:val="000000"/>
        </w:rPr>
        <w:t>新疆</w:t>
      </w:r>
      <w:r>
        <w:rPr>
          <w:rFonts w:hint="eastAsia" w:eastAsia="仿宋_GB2312"/>
          <w:color w:val="000000"/>
        </w:rPr>
        <w:t>生产建设兵团第十四师224团境内，224团距离东侧和田市约60km，</w:t>
      </w:r>
      <w:r>
        <w:rPr>
          <w:rFonts w:hint="eastAsia" w:eastAsia="仿宋_GB2312"/>
        </w:rPr>
        <w:t>224团南侧为G315国道，本项目所在的</w:t>
      </w:r>
      <w:r>
        <w:rPr>
          <w:rFonts w:hint="eastAsia" w:eastAsia="仿宋_GB2312"/>
          <w:color w:val="000000"/>
        </w:rPr>
        <w:t>天翔、明珠小区位于224团中心城区</w:t>
      </w:r>
      <w:r>
        <w:rPr>
          <w:rFonts w:hint="eastAsia" w:eastAsia="仿宋_GB2312"/>
        </w:rPr>
        <w:t>，市政道路较为完善，与周边县市的交通来往非常便利</w:t>
      </w:r>
      <w:r>
        <w:rPr>
          <w:rFonts w:eastAsia="仿宋_GB2312"/>
        </w:rPr>
        <w:t>。</w:t>
      </w:r>
    </w:p>
    <w:p>
      <w:pPr>
        <w:ind w:firstLine="480"/>
        <w:rPr>
          <w:rFonts w:eastAsia="仿宋_GB2312"/>
          <w:color w:val="FF0000"/>
        </w:rPr>
      </w:pPr>
      <w:r>
        <w:rPr>
          <w:rFonts w:hint="eastAsia" w:eastAsia="仿宋_GB2312"/>
        </w:rPr>
        <w:t>本项目</w:t>
      </w:r>
      <w:r>
        <w:rPr>
          <w:rFonts w:eastAsia="仿宋_GB2312"/>
        </w:rPr>
        <w:t>主要</w:t>
      </w:r>
      <w:r>
        <w:rPr>
          <w:rFonts w:hint="eastAsia" w:eastAsia="仿宋_GB2312"/>
        </w:rPr>
        <w:t>对</w:t>
      </w:r>
      <w:r>
        <w:rPr>
          <w:rFonts w:hint="eastAsia" w:eastAsia="仿宋_GB2312"/>
          <w:color w:val="000000"/>
        </w:rPr>
        <w:t>224团</w:t>
      </w:r>
      <w:r>
        <w:rPr>
          <w:rFonts w:hint="eastAsia" w:eastAsia="仿宋_GB2312"/>
        </w:rPr>
        <w:t>老旧小区（天翔、明珠小区）给水管网进行改造，</w:t>
      </w:r>
      <w:r>
        <w:rPr>
          <w:rFonts w:eastAsia="仿宋_GB2312"/>
        </w:rPr>
        <w:t>改</w:t>
      </w:r>
      <w:r>
        <w:rPr>
          <w:rFonts w:hint="eastAsia" w:eastAsia="仿宋_GB2312"/>
        </w:rPr>
        <w:t>造给水</w:t>
      </w:r>
      <w:r>
        <w:rPr>
          <w:rFonts w:eastAsia="仿宋_GB2312"/>
        </w:rPr>
        <w:t>管道</w:t>
      </w:r>
      <w:r>
        <w:rPr>
          <w:rFonts w:hint="eastAsia" w:eastAsia="仿宋_GB2312"/>
        </w:rPr>
        <w:t>5064m，配套室外消火栓28座，给水阀门井82座</w:t>
      </w:r>
      <w:r>
        <w:rPr>
          <w:rFonts w:eastAsia="仿宋_GB2312"/>
        </w:rPr>
        <w:t>。</w:t>
      </w:r>
    </w:p>
    <w:p>
      <w:pPr>
        <w:ind w:firstLine="480"/>
        <w:rPr>
          <w:rFonts w:eastAsia="仿宋_GB2312"/>
          <w:color w:val="000000"/>
        </w:rPr>
      </w:pPr>
      <w:r>
        <w:rPr>
          <w:rFonts w:eastAsia="仿宋_GB2312"/>
          <w:color w:val="000000"/>
        </w:rPr>
        <w:t>本项目</w:t>
      </w:r>
      <w:r>
        <w:rPr>
          <w:rFonts w:hint="eastAsia" w:eastAsia="仿宋_GB2312"/>
          <w:color w:val="000000"/>
        </w:rPr>
        <w:t>总占地</w:t>
      </w:r>
      <w:r>
        <w:rPr>
          <w:rFonts w:eastAsia="仿宋_GB2312"/>
          <w:color w:val="000000"/>
        </w:rPr>
        <w:t>面积为</w:t>
      </w:r>
      <w:r>
        <w:rPr>
          <w:rFonts w:hint="eastAsia" w:eastAsia="仿宋_GB2312"/>
          <w:color w:val="000000"/>
        </w:rPr>
        <w:t>1.84h</w:t>
      </w:r>
      <w:r>
        <w:rPr>
          <w:rFonts w:eastAsia="仿宋_GB2312"/>
          <w:color w:val="000000"/>
        </w:rPr>
        <w:t>m²，</w:t>
      </w:r>
      <w:r>
        <w:rPr>
          <w:rFonts w:hint="eastAsia" w:eastAsia="仿宋_GB2312"/>
          <w:color w:val="000000"/>
        </w:rPr>
        <w:t>其中</w:t>
      </w:r>
      <w:r>
        <w:rPr>
          <w:rFonts w:eastAsia="仿宋_GB2312"/>
          <w:color w:val="000000"/>
        </w:rPr>
        <w:t>永久占地</w:t>
      </w:r>
      <w:r>
        <w:rPr>
          <w:rFonts w:hint="eastAsia" w:eastAsia="仿宋_GB2312"/>
          <w:color w:val="000000"/>
        </w:rPr>
        <w:t>0.11h</w:t>
      </w:r>
      <w:r>
        <w:rPr>
          <w:rFonts w:eastAsia="仿宋_GB2312"/>
          <w:color w:val="000000"/>
        </w:rPr>
        <w:t>m²</w:t>
      </w:r>
      <w:r>
        <w:rPr>
          <w:rFonts w:hint="eastAsia" w:eastAsia="仿宋_GB2312"/>
          <w:color w:val="000000"/>
        </w:rPr>
        <w:t>，临时占地1.73h</w:t>
      </w:r>
      <w:r>
        <w:rPr>
          <w:rFonts w:eastAsia="仿宋_GB2312"/>
          <w:color w:val="000000"/>
        </w:rPr>
        <w:t>m²</w:t>
      </w:r>
      <w:r>
        <w:rPr>
          <w:rFonts w:hint="eastAsia" w:eastAsia="仿宋_GB2312"/>
          <w:color w:val="000000"/>
        </w:rPr>
        <w:t>，占用土地类型均为建设用地。本工程总挖方共计0.68万</w:t>
      </w:r>
      <w:r>
        <w:rPr>
          <w:rFonts w:eastAsia="仿宋_GB2312"/>
          <w:color w:val="000000"/>
        </w:rPr>
        <w:t>m</w:t>
      </w:r>
      <w:r>
        <w:rPr>
          <w:rFonts w:eastAsia="仿宋_GB2312"/>
          <w:color w:val="000000"/>
          <w:vertAlign w:val="superscript"/>
        </w:rPr>
        <w:t>3</w:t>
      </w:r>
      <w:r>
        <w:rPr>
          <w:rFonts w:hint="eastAsia" w:eastAsia="仿宋_GB2312"/>
          <w:color w:val="000000"/>
        </w:rPr>
        <w:t>，总填方共计0.68万</w:t>
      </w:r>
      <w:r>
        <w:rPr>
          <w:rFonts w:eastAsia="仿宋_GB2312"/>
          <w:color w:val="000000"/>
        </w:rPr>
        <w:t>m</w:t>
      </w:r>
      <w:r>
        <w:rPr>
          <w:rFonts w:eastAsia="仿宋_GB2312"/>
          <w:color w:val="000000"/>
          <w:vertAlign w:val="superscript"/>
        </w:rPr>
        <w:t>3</w:t>
      </w:r>
      <w:r>
        <w:rPr>
          <w:rFonts w:hint="eastAsia" w:eastAsia="仿宋_GB2312"/>
          <w:color w:val="000000"/>
        </w:rPr>
        <w:t>，</w:t>
      </w:r>
      <w:r>
        <w:rPr>
          <w:rFonts w:hint="eastAsia" w:eastAsia="仿宋_GB2312"/>
        </w:rPr>
        <w:t>通过内部调运大部分土方回填利用，剩余土方平摊至施工范围内，全部按填方考虑，挖填基本平衡</w:t>
      </w:r>
      <w:r>
        <w:rPr>
          <w:rFonts w:hint="eastAsia" w:eastAsia="仿宋_GB2312"/>
          <w:color w:val="000000"/>
        </w:rPr>
        <w:t>，本项目仅有少量路面拆除垃圾运至垃圾场处理。本工程不存在移民安置问题。</w:t>
      </w:r>
    </w:p>
    <w:p>
      <w:pPr>
        <w:tabs>
          <w:tab w:val="left" w:pos="851"/>
          <w:tab w:val="left" w:pos="1485"/>
        </w:tabs>
        <w:ind w:firstLine="480"/>
        <w:rPr>
          <w:rFonts w:eastAsia="仿宋_GB2312"/>
        </w:rPr>
      </w:pPr>
      <w:r>
        <w:rPr>
          <w:rFonts w:eastAsia="仿宋_GB2312"/>
        </w:rPr>
        <w:t>主体工程计划于20</w:t>
      </w:r>
      <w:r>
        <w:rPr>
          <w:rFonts w:hint="eastAsia" w:eastAsia="仿宋_GB2312"/>
        </w:rPr>
        <w:t>21</w:t>
      </w:r>
      <w:r>
        <w:rPr>
          <w:rFonts w:eastAsia="仿宋_GB2312"/>
        </w:rPr>
        <w:t>年</w:t>
      </w:r>
      <w:r>
        <w:rPr>
          <w:rFonts w:hint="eastAsia" w:eastAsia="仿宋_GB2312"/>
        </w:rPr>
        <w:t>9</w:t>
      </w:r>
      <w:r>
        <w:rPr>
          <w:rFonts w:eastAsia="仿宋_GB2312"/>
        </w:rPr>
        <w:t>月开工建设，20</w:t>
      </w:r>
      <w:r>
        <w:rPr>
          <w:rFonts w:hint="eastAsia" w:eastAsia="仿宋_GB2312"/>
        </w:rPr>
        <w:t>21</w:t>
      </w:r>
      <w:r>
        <w:rPr>
          <w:rFonts w:eastAsia="仿宋_GB2312"/>
        </w:rPr>
        <w:t>年</w:t>
      </w:r>
      <w:r>
        <w:rPr>
          <w:rFonts w:hint="eastAsia" w:eastAsia="仿宋_GB2312"/>
        </w:rPr>
        <w:t>12</w:t>
      </w:r>
      <w:r>
        <w:rPr>
          <w:rFonts w:eastAsia="仿宋_GB2312"/>
        </w:rPr>
        <w:t>月完工</w:t>
      </w:r>
      <w:r>
        <w:rPr>
          <w:rFonts w:hint="eastAsia" w:eastAsia="仿宋_GB2312"/>
        </w:rPr>
        <w:t>，建设总工期4个月。</w:t>
      </w:r>
      <w:r>
        <w:rPr>
          <w:rFonts w:eastAsia="仿宋_GB2312"/>
        </w:rPr>
        <w:t>本工程总投资</w:t>
      </w:r>
      <w:r>
        <w:rPr>
          <w:rFonts w:hint="eastAsia" w:eastAsia="仿宋_GB2312"/>
        </w:rPr>
        <w:t>430</w:t>
      </w:r>
      <w:r>
        <w:rPr>
          <w:rFonts w:eastAsia="仿宋_GB2312"/>
        </w:rPr>
        <w:t>万元，</w:t>
      </w:r>
      <w:r>
        <w:rPr>
          <w:rFonts w:hint="eastAsia" w:eastAsia="仿宋_GB2312"/>
        </w:rPr>
        <w:t>土建投资366.97万元</w:t>
      </w:r>
      <w:r>
        <w:rPr>
          <w:rFonts w:eastAsia="仿宋_GB2312"/>
        </w:rPr>
        <w:t>，</w:t>
      </w:r>
      <w:r>
        <w:rPr>
          <w:rFonts w:hint="eastAsia" w:eastAsia="仿宋_GB2312"/>
          <w:color w:val="000000"/>
        </w:rPr>
        <w:t>资金来源为申请抗疫特别国债资金400万元，师市本级财政性资金30万元。</w:t>
      </w:r>
    </w:p>
    <w:p>
      <w:pPr>
        <w:pStyle w:val="4"/>
        <w:keepLines/>
        <w:widowControl/>
        <w:numPr>
          <w:ilvl w:val="2"/>
          <w:numId w:val="1"/>
        </w:numPr>
        <w:tabs>
          <w:tab w:val="clear" w:pos="432"/>
          <w:tab w:val="clear" w:pos="960"/>
        </w:tabs>
        <w:kinsoku/>
        <w:overflowPunct/>
        <w:topLinePunct w:val="0"/>
        <w:autoSpaceDE/>
        <w:autoSpaceDN/>
        <w:adjustRightInd/>
        <w:snapToGrid/>
        <w:ind w:left="0" w:firstLine="0"/>
        <w:jc w:val="both"/>
        <w:rPr>
          <w:rFonts w:eastAsia="仿宋_GB2312"/>
        </w:rPr>
      </w:pPr>
      <w:r>
        <w:rPr>
          <w:rFonts w:eastAsia="仿宋_GB2312"/>
        </w:rPr>
        <w:t>项目前期工作进展情况</w:t>
      </w:r>
    </w:p>
    <w:p>
      <w:pPr>
        <w:tabs>
          <w:tab w:val="left" w:pos="851"/>
          <w:tab w:val="left" w:pos="1485"/>
        </w:tabs>
        <w:ind w:firstLine="480"/>
        <w:rPr>
          <w:rFonts w:eastAsia="仿宋_GB2312"/>
        </w:rPr>
      </w:pPr>
      <w:r>
        <w:rPr>
          <w:rFonts w:eastAsia="仿宋_GB2312"/>
        </w:rPr>
        <w:t>（1）项目前期工作情况</w:t>
      </w:r>
    </w:p>
    <w:p>
      <w:pPr>
        <w:tabs>
          <w:tab w:val="left" w:pos="851"/>
          <w:tab w:val="left" w:pos="1485"/>
        </w:tabs>
        <w:ind w:firstLine="480"/>
        <w:rPr>
          <w:rFonts w:eastAsia="仿宋_GB2312"/>
          <w:color w:val="000000"/>
        </w:rPr>
      </w:pPr>
      <w:r>
        <w:rPr>
          <w:rFonts w:hint="eastAsia" w:eastAsia="仿宋_GB2312"/>
          <w:color w:val="000000"/>
        </w:rPr>
        <w:t>2020年7月23日第十四师224团发改委印发了</w:t>
      </w:r>
      <w:r>
        <w:rPr>
          <w:rFonts w:eastAsia="仿宋_GB2312"/>
        </w:rPr>
        <w:t>《</w:t>
      </w:r>
      <w:r>
        <w:rPr>
          <w:rFonts w:hint="eastAsia" w:eastAsia="仿宋_GB2312"/>
          <w:color w:val="000000"/>
        </w:rPr>
        <w:t>关于第十四师224团小区给水管网改造项目可行性研究报告的批复</w:t>
      </w:r>
      <w:r>
        <w:rPr>
          <w:rFonts w:eastAsia="仿宋_GB2312"/>
        </w:rPr>
        <w:t>》</w:t>
      </w:r>
      <w:r>
        <w:rPr>
          <w:rFonts w:hint="eastAsia" w:eastAsia="仿宋_GB2312"/>
          <w:color w:val="000000"/>
        </w:rPr>
        <w:t>。</w:t>
      </w:r>
    </w:p>
    <w:p>
      <w:pPr>
        <w:tabs>
          <w:tab w:val="left" w:pos="851"/>
          <w:tab w:val="left" w:pos="1485"/>
        </w:tabs>
        <w:ind w:firstLine="480"/>
        <w:rPr>
          <w:rFonts w:eastAsia="仿宋_GB2312"/>
        </w:rPr>
      </w:pPr>
      <w:r>
        <w:rPr>
          <w:rFonts w:eastAsia="仿宋_GB2312"/>
        </w:rPr>
        <w:t>（2）方案编制情况</w:t>
      </w:r>
    </w:p>
    <w:p>
      <w:pPr>
        <w:tabs>
          <w:tab w:val="left" w:pos="851"/>
          <w:tab w:val="left" w:pos="1485"/>
        </w:tabs>
        <w:ind w:firstLine="480"/>
        <w:rPr>
          <w:rFonts w:eastAsia="仿宋_GB2312"/>
          <w:color w:val="000000"/>
        </w:rPr>
      </w:pPr>
      <w:r>
        <w:rPr>
          <w:rFonts w:hint="eastAsia" w:eastAsia="仿宋_GB2312"/>
          <w:color w:val="000000"/>
        </w:rPr>
        <w:t>新疆新农丽景环境工程咨询有限公司</w:t>
      </w:r>
      <w:r>
        <w:rPr>
          <w:rFonts w:eastAsia="仿宋_GB2312"/>
          <w:color w:val="000000"/>
        </w:rPr>
        <w:t>于20</w:t>
      </w:r>
      <w:r>
        <w:rPr>
          <w:rFonts w:hint="eastAsia" w:eastAsia="仿宋_GB2312"/>
          <w:color w:val="000000"/>
        </w:rPr>
        <w:t>20</w:t>
      </w:r>
      <w:r>
        <w:rPr>
          <w:rFonts w:eastAsia="仿宋_GB2312"/>
          <w:color w:val="000000"/>
        </w:rPr>
        <w:t>年</w:t>
      </w:r>
      <w:r>
        <w:rPr>
          <w:rFonts w:hint="eastAsia" w:eastAsia="仿宋_GB2312"/>
          <w:color w:val="000000"/>
        </w:rPr>
        <w:t>7</w:t>
      </w:r>
      <w:r>
        <w:rPr>
          <w:rFonts w:eastAsia="仿宋_GB2312"/>
          <w:color w:val="000000"/>
        </w:rPr>
        <w:t>月承担了《</w:t>
      </w:r>
      <w:r>
        <w:rPr>
          <w:rFonts w:hint="eastAsia" w:eastAsia="仿宋_GB2312"/>
          <w:color w:val="000000"/>
        </w:rPr>
        <w:t>第十四师224团小区给水管网改造项目</w:t>
      </w:r>
      <w:r>
        <w:rPr>
          <w:rFonts w:eastAsia="仿宋_GB2312"/>
          <w:color w:val="000000"/>
        </w:rPr>
        <w:t>水土保持方案报告</w:t>
      </w:r>
      <w:r>
        <w:rPr>
          <w:rFonts w:hint="eastAsia" w:eastAsia="仿宋_GB2312"/>
          <w:color w:val="000000"/>
        </w:rPr>
        <w:t>表</w:t>
      </w:r>
      <w:r>
        <w:rPr>
          <w:rFonts w:eastAsia="仿宋_GB2312"/>
          <w:color w:val="000000"/>
        </w:rPr>
        <w:t>》的编制任务，自接受委托即及时组织项目编制人员，对委托方所提供的</w:t>
      </w:r>
      <w:r>
        <w:rPr>
          <w:rFonts w:hint="eastAsia" w:eastAsia="仿宋_GB2312"/>
          <w:color w:val="000000"/>
        </w:rPr>
        <w:t>初设报告</w:t>
      </w:r>
      <w:r>
        <w:rPr>
          <w:rFonts w:eastAsia="仿宋_GB2312"/>
          <w:color w:val="000000"/>
        </w:rPr>
        <w:t>等设计文件进行了深入研究，特别对主体工程的建设内容、征占地情况、工程总体布局、生产工艺、施工工艺等情况进行充分了解，同时查阅了大量相关资料，进行了现状调查，掌握了项目区的地貌条件、水土流失分布、面积、成因、流失程度、危害等，收集并整理了区域内的降水、气温、风力、蒸发及洪水、现有水土保持设施的建设效果和水土流失防治经验等资料。在此基础上依据</w:t>
      </w:r>
      <w:r>
        <w:rPr>
          <w:rFonts w:hint="eastAsia" w:eastAsia="仿宋_GB2312"/>
          <w:color w:val="000000"/>
        </w:rPr>
        <w:t>《生产建设项目水土保持技术标准》（GB50433-2018）</w:t>
      </w:r>
      <w:r>
        <w:rPr>
          <w:rFonts w:eastAsia="仿宋_GB2312"/>
          <w:color w:val="000000"/>
        </w:rPr>
        <w:t>要求，以项目</w:t>
      </w:r>
      <w:r>
        <w:rPr>
          <w:rFonts w:hint="eastAsia" w:eastAsia="仿宋_GB2312"/>
          <w:color w:val="000000"/>
        </w:rPr>
        <w:t>初设报告</w:t>
      </w:r>
      <w:r>
        <w:rPr>
          <w:rFonts w:eastAsia="仿宋_GB2312"/>
          <w:color w:val="000000"/>
        </w:rPr>
        <w:t>为主要基本资料，于20</w:t>
      </w:r>
      <w:r>
        <w:rPr>
          <w:rFonts w:hint="eastAsia" w:eastAsia="仿宋_GB2312"/>
          <w:color w:val="000000"/>
        </w:rPr>
        <w:t>20</w:t>
      </w:r>
      <w:r>
        <w:rPr>
          <w:rFonts w:eastAsia="仿宋_GB2312"/>
          <w:color w:val="000000"/>
        </w:rPr>
        <w:t>年</w:t>
      </w:r>
      <w:r>
        <w:rPr>
          <w:rFonts w:hint="eastAsia" w:eastAsia="仿宋_GB2312"/>
          <w:color w:val="000000"/>
        </w:rPr>
        <w:t>10</w:t>
      </w:r>
      <w:r>
        <w:rPr>
          <w:rFonts w:eastAsia="仿宋_GB2312"/>
          <w:color w:val="000000"/>
        </w:rPr>
        <w:t>月编制完成了《</w:t>
      </w:r>
      <w:r>
        <w:rPr>
          <w:rFonts w:hint="eastAsia" w:eastAsia="仿宋_GB2312"/>
          <w:color w:val="000000"/>
        </w:rPr>
        <w:t>第十四师224团小区给水管网改造项目</w:t>
      </w:r>
      <w:r>
        <w:rPr>
          <w:rFonts w:eastAsia="仿宋_GB2312"/>
          <w:color w:val="000000"/>
        </w:rPr>
        <w:t>水土保持方案报告</w:t>
      </w:r>
      <w:r>
        <w:rPr>
          <w:rFonts w:hint="eastAsia" w:eastAsia="仿宋_GB2312"/>
          <w:color w:val="000000"/>
        </w:rPr>
        <w:t>表（报批稿）</w:t>
      </w:r>
      <w:r>
        <w:rPr>
          <w:rFonts w:eastAsia="仿宋_GB2312"/>
          <w:color w:val="000000"/>
        </w:rPr>
        <w:t>》</w:t>
      </w:r>
      <w:r>
        <w:rPr>
          <w:rFonts w:hint="eastAsia" w:eastAsia="仿宋_GB2312"/>
          <w:color w:val="000000"/>
        </w:rPr>
        <w:t>。</w:t>
      </w:r>
    </w:p>
    <w:p>
      <w:pPr>
        <w:pStyle w:val="4"/>
        <w:keepLines/>
        <w:widowControl/>
        <w:numPr>
          <w:ilvl w:val="2"/>
          <w:numId w:val="1"/>
        </w:numPr>
        <w:tabs>
          <w:tab w:val="clear" w:pos="432"/>
          <w:tab w:val="clear" w:pos="960"/>
        </w:tabs>
        <w:kinsoku/>
        <w:overflowPunct/>
        <w:topLinePunct w:val="0"/>
        <w:autoSpaceDE/>
        <w:autoSpaceDN/>
        <w:adjustRightInd/>
        <w:snapToGrid/>
        <w:ind w:left="0" w:firstLine="0"/>
        <w:jc w:val="both"/>
        <w:rPr>
          <w:rFonts w:eastAsia="仿宋_GB2312"/>
        </w:rPr>
      </w:pPr>
      <w:r>
        <w:rPr>
          <w:rFonts w:eastAsia="仿宋_GB2312"/>
        </w:rPr>
        <w:t>自然简况</w:t>
      </w:r>
    </w:p>
    <w:p>
      <w:pPr>
        <w:ind w:firstLine="480"/>
        <w:rPr>
          <w:rFonts w:eastAsia="仿宋_GB2312"/>
        </w:rPr>
      </w:pPr>
      <w:r>
        <w:rPr>
          <w:rFonts w:hint="eastAsia" w:eastAsia="仿宋_GB2312"/>
        </w:rPr>
        <w:t>本项目所在天翔、明珠小区位于224团，项目整体地势南高北低，</w:t>
      </w:r>
      <w:r>
        <w:rPr>
          <w:rFonts w:eastAsia="仿宋_GB2312"/>
        </w:rPr>
        <w:t>主要</w:t>
      </w:r>
      <w:r>
        <w:rPr>
          <w:rFonts w:hint="eastAsia" w:eastAsia="仿宋_GB2312"/>
        </w:rPr>
        <w:t>为</w:t>
      </w:r>
      <w:r>
        <w:rPr>
          <w:rFonts w:eastAsia="仿宋_GB2312"/>
        </w:rPr>
        <w:t>冲洪积平原</w:t>
      </w:r>
      <w:r>
        <w:rPr>
          <w:rFonts w:hint="eastAsia" w:eastAsia="仿宋_GB2312"/>
        </w:rPr>
        <w:t>地貌</w:t>
      </w:r>
      <w:r>
        <w:rPr>
          <w:rFonts w:eastAsia="仿宋_GB2312"/>
        </w:rPr>
        <w:t>，</w:t>
      </w:r>
      <w:r>
        <w:rPr>
          <w:rFonts w:hint="eastAsia" w:eastAsia="仿宋_GB2312"/>
        </w:rPr>
        <w:t>项目区</w:t>
      </w:r>
      <w:r>
        <w:rPr>
          <w:rFonts w:eastAsia="仿宋_GB2312"/>
        </w:rPr>
        <w:t>海拔</w:t>
      </w:r>
      <w:r>
        <w:rPr>
          <w:rFonts w:hint="eastAsia" w:eastAsia="仿宋_GB2312"/>
        </w:rPr>
        <w:t>在1315</w:t>
      </w:r>
      <w:r>
        <w:rPr>
          <w:rFonts w:eastAsia="仿宋_GB2312"/>
        </w:rPr>
        <w:t>m</w:t>
      </w:r>
      <w:r>
        <w:rPr>
          <w:rFonts w:hint="eastAsia" w:eastAsia="仿宋_GB2312"/>
        </w:rPr>
        <w:t>左右</w:t>
      </w:r>
      <w:r>
        <w:rPr>
          <w:rFonts w:eastAsia="仿宋_GB2312"/>
        </w:rPr>
        <w:t>，整体地形较平坦。</w:t>
      </w:r>
    </w:p>
    <w:p>
      <w:pPr>
        <w:ind w:firstLine="480"/>
        <w:rPr>
          <w:rFonts w:eastAsia="仿宋_GB2312"/>
          <w:color w:val="000000"/>
        </w:rPr>
      </w:pPr>
      <w:r>
        <w:rPr>
          <w:rFonts w:hint="eastAsia" w:eastAsia="仿宋_GB2312"/>
          <w:color w:val="000000"/>
        </w:rPr>
        <w:t>拟建场地地层主要为第四系松散堆积物，场地地基土主要由杂填土、粉土及圆砾构成，自然地面以下地层结构自上而下可分为三层。第</w:t>
      </w:r>
      <w:r>
        <w:rPr>
          <w:rFonts w:eastAsia="仿宋_GB2312"/>
          <w:color w:val="000000"/>
        </w:rPr>
        <w:t>1</w:t>
      </w:r>
      <w:r>
        <w:rPr>
          <w:rFonts w:hint="eastAsia" w:eastAsia="仿宋_GB2312"/>
          <w:color w:val="000000"/>
        </w:rPr>
        <w:t>层杂填土，呈松散状态，含大量建筑垃圾；第</w:t>
      </w:r>
      <w:r>
        <w:rPr>
          <w:rFonts w:eastAsia="仿宋_GB2312"/>
          <w:color w:val="000000"/>
        </w:rPr>
        <w:t>2</w:t>
      </w:r>
      <w:r>
        <w:rPr>
          <w:rFonts w:hint="eastAsia" w:eastAsia="仿宋_GB2312"/>
          <w:color w:val="000000"/>
        </w:rPr>
        <w:t>层粉土，灰黄色，呈稍密～中密，稍湿～湿状态；第</w:t>
      </w:r>
      <w:r>
        <w:rPr>
          <w:rFonts w:eastAsia="仿宋_GB2312"/>
          <w:color w:val="000000"/>
        </w:rPr>
        <w:t>3</w:t>
      </w:r>
      <w:r>
        <w:rPr>
          <w:rFonts w:hint="eastAsia" w:eastAsia="仿宋_GB2312"/>
          <w:color w:val="000000"/>
        </w:rPr>
        <w:t>层圆砾，杂色，呈稍密～中密～密实状态。</w:t>
      </w:r>
    </w:p>
    <w:p>
      <w:pPr>
        <w:ind w:firstLine="480"/>
        <w:rPr>
          <w:rFonts w:eastAsia="仿宋_GB2312"/>
        </w:rPr>
      </w:pPr>
      <w:r>
        <w:rPr>
          <w:rFonts w:hint="eastAsia" w:eastAsia="仿宋_GB2312"/>
        </w:rPr>
        <w:t>新疆生产建设兵团第十四师224团（</w:t>
      </w:r>
      <w:r>
        <w:rPr>
          <w:rFonts w:eastAsia="仿宋_GB2312"/>
        </w:rPr>
        <w:t>224</w:t>
      </w:r>
      <w:r>
        <w:rPr>
          <w:rFonts w:hint="eastAsia" w:eastAsia="仿宋_GB2312"/>
        </w:rPr>
        <w:t>团）地处欧亚大陆腹地，属极度干旱的暖温带大陆气候，降水稀少、蒸发强烈、干燥多风、光热资源充足是本流域最主要的气候特征。224团</w:t>
      </w:r>
      <w:r>
        <w:rPr>
          <w:rFonts w:eastAsia="仿宋_GB2312"/>
        </w:rPr>
        <w:t>多年平均气温</w:t>
      </w:r>
      <w:r>
        <w:rPr>
          <w:rFonts w:hint="eastAsia" w:eastAsia="仿宋_GB2312"/>
        </w:rPr>
        <w:t>12.2℃</w:t>
      </w:r>
      <w:r>
        <w:rPr>
          <w:rFonts w:eastAsia="仿宋_GB2312"/>
        </w:rPr>
        <w:t>，</w:t>
      </w:r>
      <w:r>
        <w:rPr>
          <w:rFonts w:hint="eastAsia" w:eastAsia="仿宋_GB2312"/>
        </w:rPr>
        <w:t>极端</w:t>
      </w:r>
      <w:r>
        <w:rPr>
          <w:rFonts w:eastAsia="仿宋_GB2312"/>
        </w:rPr>
        <w:t>最高气温</w:t>
      </w:r>
      <w:r>
        <w:rPr>
          <w:rFonts w:hint="eastAsia" w:eastAsia="仿宋_GB2312"/>
        </w:rPr>
        <w:t>40.6℃</w:t>
      </w:r>
      <w:r>
        <w:rPr>
          <w:rFonts w:eastAsia="仿宋_GB2312"/>
        </w:rPr>
        <w:t>，</w:t>
      </w:r>
      <w:r>
        <w:rPr>
          <w:rFonts w:hint="eastAsia" w:eastAsia="仿宋_GB2312"/>
        </w:rPr>
        <w:t>极端</w:t>
      </w:r>
      <w:r>
        <w:rPr>
          <w:rFonts w:eastAsia="仿宋_GB2312"/>
        </w:rPr>
        <w:t>最低气温-</w:t>
      </w:r>
      <w:r>
        <w:rPr>
          <w:rFonts w:hint="eastAsia" w:eastAsia="仿宋_GB2312"/>
        </w:rPr>
        <w:t>21.6℃，</w:t>
      </w:r>
      <w:r>
        <w:rPr>
          <w:rFonts w:eastAsia="仿宋_GB2312"/>
        </w:rPr>
        <w:t>多年平均降水量</w:t>
      </w:r>
      <w:r>
        <w:rPr>
          <w:rFonts w:hint="eastAsia" w:eastAsia="仿宋_GB2312"/>
        </w:rPr>
        <w:t>33.4</w:t>
      </w:r>
      <w:r>
        <w:rPr>
          <w:rFonts w:eastAsia="仿宋_GB2312"/>
        </w:rPr>
        <w:t>mm，多年平均蒸发量</w:t>
      </w:r>
      <w:r>
        <w:rPr>
          <w:rFonts w:hint="eastAsia" w:eastAsia="仿宋_GB2312"/>
        </w:rPr>
        <w:t>2602</w:t>
      </w:r>
      <w:r>
        <w:rPr>
          <w:rFonts w:eastAsia="仿宋_GB2312"/>
        </w:rPr>
        <w:t>mm</w:t>
      </w:r>
      <w:r>
        <w:rPr>
          <w:rFonts w:hint="eastAsia" w:eastAsia="仿宋_GB2312"/>
        </w:rPr>
        <w:t>，</w:t>
      </w:r>
      <w:r>
        <w:rPr>
          <w:rFonts w:eastAsia="仿宋_GB2312"/>
        </w:rPr>
        <w:t>年平均风速</w:t>
      </w:r>
      <w:r>
        <w:rPr>
          <w:rFonts w:hint="eastAsia" w:eastAsia="仿宋_GB2312"/>
        </w:rPr>
        <w:t>2.1</w:t>
      </w:r>
      <w:r>
        <w:rPr>
          <w:rFonts w:eastAsia="仿宋_GB2312"/>
        </w:rPr>
        <w:t>m/s</w:t>
      </w:r>
      <w:r>
        <w:rPr>
          <w:rFonts w:hint="eastAsia" w:eastAsia="仿宋_GB2312"/>
        </w:rPr>
        <w:t>，</w:t>
      </w:r>
      <w:r>
        <w:rPr>
          <w:rFonts w:eastAsia="仿宋_GB2312"/>
        </w:rPr>
        <w:t>最大风速19m/s，最大冻土深度</w:t>
      </w:r>
      <w:r>
        <w:rPr>
          <w:rFonts w:hint="eastAsia" w:eastAsia="仿宋_GB2312"/>
        </w:rPr>
        <w:t>67</w:t>
      </w:r>
      <w:r>
        <w:rPr>
          <w:rFonts w:eastAsia="仿宋_GB2312"/>
        </w:rPr>
        <w:t>cm</w:t>
      </w:r>
      <w:r>
        <w:rPr>
          <w:rFonts w:hint="eastAsia" w:eastAsia="仿宋_GB2312"/>
        </w:rPr>
        <w:t>，最大积雪深度14cm，</w:t>
      </w:r>
      <w:r>
        <w:rPr>
          <w:rFonts w:eastAsia="仿宋_GB2312"/>
        </w:rPr>
        <w:t>年无霜期约</w:t>
      </w:r>
      <w:r>
        <w:rPr>
          <w:rFonts w:hint="eastAsia" w:eastAsia="仿宋_GB2312"/>
        </w:rPr>
        <w:t>244天。</w:t>
      </w:r>
    </w:p>
    <w:p>
      <w:pPr>
        <w:ind w:firstLine="480"/>
        <w:rPr>
          <w:rFonts w:eastAsia="仿宋_GB2312"/>
        </w:rPr>
      </w:pPr>
      <w:r>
        <w:rPr>
          <w:rFonts w:eastAsia="仿宋_GB2312"/>
        </w:rPr>
        <w:t>224团属于和田河流域，该流域位于塔里木盆地南缘，东邻克里雅河流域、南以昆仑山和喀喇昆仑山为界与西藏和克什米尔相邻、西与叶尔羌河流域接壤、北接塔克拉玛干沙漠，流域总面积4.887万km</w:t>
      </w:r>
      <w:r>
        <w:rPr>
          <w:rFonts w:eastAsia="仿宋_GB2312"/>
          <w:vertAlign w:val="superscript"/>
        </w:rPr>
        <w:t>2</w:t>
      </w:r>
      <w:r>
        <w:rPr>
          <w:rFonts w:eastAsia="仿宋_GB2312"/>
        </w:rPr>
        <w:t>。和田河有玉龙喀什河和喀拉喀什河两大支流。另外，距224团以西35km的杜瓦河为一独立水系，是皮亚勒玛乡的主要灌溉水源，该河尾端从224团6次干道至7次干道之间进入224团灌区，夏季洪水对灌区有一定影响。</w:t>
      </w:r>
    </w:p>
    <w:p>
      <w:pPr>
        <w:ind w:firstLine="480"/>
        <w:rPr>
          <w:rFonts w:eastAsia="仿宋_GB2312"/>
        </w:rPr>
      </w:pPr>
      <w:r>
        <w:rPr>
          <w:rFonts w:eastAsia="仿宋_GB2312"/>
        </w:rPr>
        <w:t>本工程及周边土壤类型主要为棕漠土。项目区位于平原区，植被类型为</w:t>
      </w:r>
      <w:r>
        <w:rPr>
          <w:rFonts w:hint="eastAsia" w:eastAsia="仿宋_GB2312"/>
        </w:rPr>
        <w:t>人工植被</w:t>
      </w:r>
      <w:r>
        <w:rPr>
          <w:rFonts w:eastAsia="仿宋_GB2312"/>
        </w:rPr>
        <w:t>，</w:t>
      </w:r>
      <w:r>
        <w:rPr>
          <w:rFonts w:hint="eastAsia" w:eastAsia="仿宋_GB2312"/>
        </w:rPr>
        <w:t>植被分布有榆树、榆叶梅、黑麦草等</w:t>
      </w:r>
      <w:r>
        <w:rPr>
          <w:rFonts w:eastAsia="仿宋_GB2312"/>
        </w:rPr>
        <w:t>，植被覆盖度</w:t>
      </w:r>
      <w:r>
        <w:rPr>
          <w:rFonts w:hint="eastAsia" w:eastAsia="仿宋_GB2312"/>
        </w:rPr>
        <w:t>约10</w:t>
      </w:r>
      <w:r>
        <w:rPr>
          <w:rFonts w:eastAsia="仿宋_GB2312"/>
        </w:rPr>
        <w:t>%。</w:t>
      </w:r>
    </w:p>
    <w:p>
      <w:pPr>
        <w:tabs>
          <w:tab w:val="left" w:pos="851"/>
          <w:tab w:val="left" w:pos="1485"/>
        </w:tabs>
        <w:ind w:firstLine="480"/>
        <w:rPr>
          <w:rFonts w:eastAsia="仿宋_GB2312"/>
        </w:rPr>
      </w:pPr>
      <w:r>
        <w:rPr>
          <w:rFonts w:eastAsia="仿宋_GB2312"/>
        </w:rPr>
        <w:t>根据现场踏勘情况，项目区土壤侵蚀类型主要为轻度风力侵蚀、微度水力侵蚀。根据项目区自然环境概况，结合全疆第二次水土流失普查结果，在参考《土壤侵蚀分类分级标准》（SL190-2007）的基础上，结合对项目区水土流失现状调查情况，初步判定原生土壤侵蚀模数为</w:t>
      </w:r>
      <w:r>
        <w:rPr>
          <w:rFonts w:hint="eastAsia" w:eastAsia="仿宋_GB2312"/>
        </w:rPr>
        <w:t>15</w:t>
      </w:r>
      <w:r>
        <w:rPr>
          <w:rFonts w:eastAsia="仿宋_GB2312"/>
        </w:rPr>
        <w:t>00t/km</w:t>
      </w:r>
      <w:r>
        <w:rPr>
          <w:rFonts w:eastAsia="仿宋_GB2312"/>
          <w:vertAlign w:val="superscript"/>
        </w:rPr>
        <w:t>2</w:t>
      </w:r>
      <w:r>
        <w:rPr>
          <w:rFonts w:eastAsia="仿宋_GB2312"/>
        </w:rPr>
        <w:t>·a</w:t>
      </w:r>
      <w:r>
        <w:rPr>
          <w:rFonts w:hint="eastAsia" w:eastAsia="仿宋_GB2312"/>
        </w:rPr>
        <w:t>，</w:t>
      </w:r>
      <w:r>
        <w:rPr>
          <w:rFonts w:eastAsia="仿宋_GB2312"/>
        </w:rPr>
        <w:t>容许土壤流失量</w:t>
      </w:r>
      <w:r>
        <w:rPr>
          <w:rFonts w:hint="eastAsia" w:eastAsia="仿宋_GB2312"/>
        </w:rPr>
        <w:t>为15</w:t>
      </w:r>
      <w:r>
        <w:rPr>
          <w:rFonts w:eastAsia="仿宋_GB2312"/>
        </w:rPr>
        <w:t>00t/km</w:t>
      </w:r>
      <w:r>
        <w:rPr>
          <w:rFonts w:eastAsia="仿宋_GB2312"/>
          <w:vertAlign w:val="superscript"/>
        </w:rPr>
        <w:t>2</w:t>
      </w:r>
      <w:r>
        <w:rPr>
          <w:rFonts w:eastAsia="仿宋_GB2312"/>
        </w:rPr>
        <w:t>·a。</w:t>
      </w:r>
    </w:p>
    <w:p>
      <w:pPr>
        <w:ind w:firstLine="480"/>
        <w:rPr>
          <w:rFonts w:eastAsia="仿宋_GB2312"/>
        </w:rPr>
      </w:pPr>
      <w:r>
        <w:rPr>
          <w:rFonts w:eastAsia="仿宋_GB2312"/>
        </w:rPr>
        <w:t>本项目建设区不涉及饮用水水源保护区、水功能一级保护区，工程建设区内无自然保护区、风景旅游点和国家及地方文物古迹保护单位。</w:t>
      </w:r>
    </w:p>
    <w:p>
      <w:pPr>
        <w:tabs>
          <w:tab w:val="left" w:pos="851"/>
          <w:tab w:val="left" w:pos="1485"/>
        </w:tabs>
        <w:ind w:firstLine="480"/>
        <w:rPr>
          <w:rFonts w:eastAsia="仿宋_GB2312"/>
        </w:rPr>
      </w:pPr>
      <w:r>
        <w:rPr>
          <w:rFonts w:eastAsia="仿宋_GB2312"/>
        </w:rPr>
        <w:t>项目区范围内无自然保护区、国家森林公园、国家地质公园、地质遗迹、重要湿地及生态敏感区等限制项目建设的因素</w:t>
      </w:r>
      <w:r>
        <w:rPr>
          <w:rFonts w:hint="eastAsia" w:eastAsia="仿宋_GB2312"/>
        </w:rPr>
        <w:t>。</w:t>
      </w:r>
    </w:p>
    <w:p>
      <w:pPr>
        <w:pStyle w:val="3"/>
        <w:widowControl/>
        <w:numPr>
          <w:ilvl w:val="1"/>
          <w:numId w:val="1"/>
        </w:numPr>
        <w:tabs>
          <w:tab w:val="clear" w:pos="1002"/>
        </w:tabs>
        <w:topLinePunct w:val="0"/>
        <w:adjustRightInd/>
        <w:snapToGrid/>
        <w:ind w:left="0" w:firstLine="0"/>
        <w:jc w:val="both"/>
        <w:rPr>
          <w:rFonts w:eastAsia="仿宋_GB2312"/>
        </w:rPr>
      </w:pPr>
      <w:bookmarkStart w:id="45" w:name="_Toc7801537"/>
      <w:bookmarkStart w:id="46" w:name="_Toc7801377"/>
      <w:bookmarkStart w:id="47" w:name="_Toc255304500"/>
      <w:bookmarkStart w:id="48" w:name="_Toc7801444"/>
      <w:bookmarkStart w:id="49" w:name="_Toc47381516"/>
      <w:r>
        <w:rPr>
          <w:rFonts w:eastAsia="仿宋_GB2312"/>
        </w:rPr>
        <w:t>编制依据</w:t>
      </w:r>
      <w:bookmarkEnd w:id="45"/>
      <w:bookmarkEnd w:id="46"/>
      <w:bookmarkEnd w:id="47"/>
      <w:bookmarkEnd w:id="48"/>
      <w:bookmarkEnd w:id="49"/>
    </w:p>
    <w:p>
      <w:pPr>
        <w:pStyle w:val="4"/>
        <w:keepLines/>
        <w:widowControl/>
        <w:numPr>
          <w:ilvl w:val="2"/>
          <w:numId w:val="1"/>
        </w:numPr>
        <w:tabs>
          <w:tab w:val="clear" w:pos="432"/>
          <w:tab w:val="clear" w:pos="960"/>
        </w:tabs>
        <w:kinsoku/>
        <w:overflowPunct/>
        <w:topLinePunct w:val="0"/>
        <w:autoSpaceDE/>
        <w:autoSpaceDN/>
        <w:adjustRightInd/>
        <w:snapToGrid/>
        <w:ind w:left="0" w:firstLine="0"/>
        <w:jc w:val="both"/>
        <w:rPr>
          <w:rFonts w:eastAsia="仿宋_GB2312"/>
        </w:rPr>
      </w:pPr>
      <w:bookmarkStart w:id="50" w:name="_Toc182948433"/>
      <w:bookmarkStart w:id="51" w:name="_Toc211401481"/>
      <w:bookmarkStart w:id="52" w:name="_Toc185586757"/>
      <w:bookmarkStart w:id="53" w:name="_Toc255304501"/>
      <w:bookmarkStart w:id="54" w:name="_Toc185424349"/>
      <w:r>
        <w:rPr>
          <w:rFonts w:eastAsia="仿宋_GB2312"/>
        </w:rPr>
        <w:t>法律法规</w:t>
      </w:r>
      <w:bookmarkEnd w:id="50"/>
      <w:bookmarkEnd w:id="51"/>
      <w:bookmarkEnd w:id="52"/>
      <w:bookmarkEnd w:id="53"/>
      <w:bookmarkEnd w:id="54"/>
    </w:p>
    <w:p>
      <w:pPr>
        <w:tabs>
          <w:tab w:val="left" w:pos="851"/>
          <w:tab w:val="left" w:pos="1485"/>
        </w:tabs>
        <w:ind w:firstLine="480"/>
        <w:rPr>
          <w:rFonts w:eastAsia="仿宋_GB2312"/>
        </w:rPr>
      </w:pPr>
      <w:r>
        <w:rPr>
          <w:rFonts w:eastAsia="仿宋_GB2312"/>
        </w:rPr>
        <w:t>（1）《中华人民共和国水土保持法》(1991.6颁布，2010.12修订，2011.03.01实施)；</w:t>
      </w:r>
    </w:p>
    <w:p>
      <w:pPr>
        <w:tabs>
          <w:tab w:val="left" w:pos="851"/>
          <w:tab w:val="left" w:pos="1485"/>
        </w:tabs>
        <w:ind w:firstLine="480"/>
        <w:rPr>
          <w:rFonts w:eastAsia="仿宋_GB2312"/>
        </w:rPr>
      </w:pPr>
      <w:r>
        <w:rPr>
          <w:rFonts w:eastAsia="仿宋_GB2312"/>
        </w:rPr>
        <w:t>（</w:t>
      </w:r>
      <w:r>
        <w:rPr>
          <w:rFonts w:hint="eastAsia" w:eastAsia="仿宋_GB2312"/>
        </w:rPr>
        <w:t>2</w:t>
      </w:r>
      <w:r>
        <w:rPr>
          <w:rFonts w:eastAsia="仿宋_GB2312"/>
        </w:rPr>
        <w:t>）《中华人民共和国环境保护法》(2002.10颁布，2014.04修订，2015.01.01实施)；</w:t>
      </w:r>
    </w:p>
    <w:p>
      <w:pPr>
        <w:tabs>
          <w:tab w:val="left" w:pos="851"/>
          <w:tab w:val="left" w:pos="1485"/>
        </w:tabs>
        <w:ind w:firstLine="480"/>
        <w:rPr>
          <w:rFonts w:eastAsia="仿宋_GB2312"/>
        </w:rPr>
      </w:pPr>
      <w:r>
        <w:rPr>
          <w:rFonts w:eastAsia="仿宋_GB2312"/>
        </w:rPr>
        <w:t>（</w:t>
      </w:r>
      <w:r>
        <w:rPr>
          <w:rFonts w:hint="eastAsia" w:eastAsia="仿宋_GB2312"/>
        </w:rPr>
        <w:t>3</w:t>
      </w:r>
      <w:r>
        <w:rPr>
          <w:rFonts w:eastAsia="仿宋_GB2312"/>
        </w:rPr>
        <w:t>）《中华人民共和国土地管理法》（1986年6月25日第六届全国人大常委会第十六次会议通过，20</w:t>
      </w:r>
      <w:r>
        <w:rPr>
          <w:rFonts w:hint="eastAsia" w:eastAsia="仿宋_GB2312"/>
        </w:rPr>
        <w:t>19</w:t>
      </w:r>
      <w:r>
        <w:rPr>
          <w:rFonts w:eastAsia="仿宋_GB2312"/>
        </w:rPr>
        <w:t>年8月2</w:t>
      </w:r>
      <w:r>
        <w:rPr>
          <w:rFonts w:hint="eastAsia" w:eastAsia="仿宋_GB2312"/>
        </w:rPr>
        <w:t>6</w:t>
      </w:r>
      <w:r>
        <w:rPr>
          <w:rFonts w:eastAsia="仿宋_GB2312"/>
        </w:rPr>
        <w:t>日第</w:t>
      </w:r>
      <w:r>
        <w:rPr>
          <w:rFonts w:hint="eastAsia" w:eastAsia="仿宋_GB2312"/>
        </w:rPr>
        <w:t>十三</w:t>
      </w:r>
      <w:r>
        <w:rPr>
          <w:rFonts w:eastAsia="仿宋_GB2312"/>
        </w:rPr>
        <w:t>届全国人民代表大会常务委员会第十</w:t>
      </w:r>
      <w:r>
        <w:rPr>
          <w:rFonts w:hint="eastAsia" w:eastAsia="仿宋_GB2312"/>
        </w:rPr>
        <w:t>二</w:t>
      </w:r>
      <w:r>
        <w:rPr>
          <w:rFonts w:eastAsia="仿宋_GB2312"/>
        </w:rPr>
        <w:t>次会议修订通过，自20</w:t>
      </w:r>
      <w:r>
        <w:rPr>
          <w:rFonts w:hint="eastAsia" w:eastAsia="仿宋_GB2312"/>
        </w:rPr>
        <w:t>20</w:t>
      </w:r>
      <w:r>
        <w:rPr>
          <w:rFonts w:eastAsia="仿宋_GB2312"/>
        </w:rPr>
        <w:t>年1月1日实施）；</w:t>
      </w:r>
    </w:p>
    <w:p>
      <w:pPr>
        <w:tabs>
          <w:tab w:val="left" w:pos="851"/>
          <w:tab w:val="left" w:pos="1485"/>
        </w:tabs>
        <w:ind w:firstLine="480"/>
        <w:rPr>
          <w:rFonts w:eastAsia="仿宋_GB2312"/>
        </w:rPr>
      </w:pPr>
      <w:r>
        <w:rPr>
          <w:rFonts w:hint="eastAsia" w:eastAsia="仿宋_GB2312"/>
        </w:rPr>
        <w:t>（4）</w:t>
      </w:r>
      <w:r>
        <w:rPr>
          <w:rFonts w:eastAsia="仿宋_GB2312"/>
        </w:rPr>
        <w:t>《建设项目环境保护管理条例》(1998年11月29号发布，1988年11月29号实施，2017年7月16号修订)；</w:t>
      </w:r>
    </w:p>
    <w:p>
      <w:pPr>
        <w:tabs>
          <w:tab w:val="left" w:pos="851"/>
          <w:tab w:val="left" w:pos="1485"/>
        </w:tabs>
        <w:ind w:firstLine="480"/>
        <w:rPr>
          <w:rFonts w:eastAsia="仿宋_GB2312"/>
        </w:rPr>
      </w:pPr>
      <w:r>
        <w:rPr>
          <w:rFonts w:eastAsia="仿宋_GB2312"/>
        </w:rPr>
        <w:t>（</w:t>
      </w:r>
      <w:r>
        <w:rPr>
          <w:rFonts w:hint="eastAsia" w:eastAsia="仿宋_GB2312"/>
        </w:rPr>
        <w:t>5</w:t>
      </w:r>
      <w:r>
        <w:rPr>
          <w:rFonts w:eastAsia="仿宋_GB2312"/>
        </w:rPr>
        <w:t>）</w:t>
      </w:r>
      <w:r>
        <w:rPr>
          <w:rFonts w:hint="eastAsia" w:eastAsia="仿宋_GB2312"/>
        </w:rPr>
        <w:t>《中华人民共和国环境影响评价法》</w:t>
      </w:r>
      <w:r>
        <w:rPr>
          <w:rFonts w:eastAsia="仿宋_GB2312"/>
        </w:rPr>
        <w:t xml:space="preserve">(2003.9.1 </w:t>
      </w:r>
      <w:r>
        <w:rPr>
          <w:rFonts w:hint="eastAsia" w:eastAsia="仿宋_GB2312"/>
        </w:rPr>
        <w:t>颁布，</w:t>
      </w:r>
      <w:r>
        <w:rPr>
          <w:rFonts w:eastAsia="仿宋_GB2312"/>
        </w:rPr>
        <w:t xml:space="preserve">2018.12.29 </w:t>
      </w:r>
      <w:r>
        <w:rPr>
          <w:rFonts w:hint="eastAsia" w:eastAsia="仿宋_GB2312"/>
        </w:rPr>
        <w:t>修订</w:t>
      </w:r>
      <w:r>
        <w:rPr>
          <w:rFonts w:eastAsia="仿宋_GB2312"/>
        </w:rPr>
        <w:t>)</w:t>
      </w:r>
      <w:r>
        <w:rPr>
          <w:rFonts w:hint="eastAsia" w:eastAsia="仿宋_GB2312"/>
        </w:rPr>
        <w:t>；</w:t>
      </w:r>
    </w:p>
    <w:p>
      <w:pPr>
        <w:tabs>
          <w:tab w:val="left" w:pos="851"/>
          <w:tab w:val="left" w:pos="1485"/>
        </w:tabs>
        <w:ind w:firstLine="480"/>
        <w:rPr>
          <w:rFonts w:eastAsia="仿宋_GB2312"/>
        </w:rPr>
      </w:pPr>
      <w:r>
        <w:rPr>
          <w:rFonts w:eastAsia="仿宋_GB2312"/>
        </w:rPr>
        <w:t>（</w:t>
      </w:r>
      <w:r>
        <w:rPr>
          <w:rFonts w:hint="eastAsia" w:eastAsia="仿宋_GB2312"/>
        </w:rPr>
        <w:t>6</w:t>
      </w:r>
      <w:r>
        <w:rPr>
          <w:rFonts w:eastAsia="仿宋_GB2312"/>
        </w:rPr>
        <w:t>）《中华人民共和国水法》（2002年8月29日第九届全国人民代表大会常务委员会第二十九次会议修订通过，自2002年10月1日起施行；根据2016年7月2日第十二届全国人民代表大会常务委员会第二十一次会议修订通过，自2016年9月1日起施行）；</w:t>
      </w:r>
    </w:p>
    <w:p>
      <w:pPr>
        <w:tabs>
          <w:tab w:val="left" w:pos="851"/>
          <w:tab w:val="left" w:pos="1485"/>
        </w:tabs>
        <w:ind w:firstLine="480"/>
        <w:rPr>
          <w:rFonts w:eastAsia="仿宋_GB2312"/>
        </w:rPr>
      </w:pPr>
      <w:r>
        <w:rPr>
          <w:rFonts w:eastAsia="仿宋_GB2312"/>
        </w:rPr>
        <w:t>（</w:t>
      </w:r>
      <w:r>
        <w:rPr>
          <w:rFonts w:hint="eastAsia" w:eastAsia="仿宋_GB2312"/>
        </w:rPr>
        <w:t>7</w:t>
      </w:r>
      <w:r>
        <w:rPr>
          <w:rFonts w:eastAsia="仿宋_GB2312"/>
        </w:rPr>
        <w:t>）《新疆维吾尔自治区实施〈中华人民共和国水土保持法〉办法》（2013.10.01实施）</w:t>
      </w:r>
      <w:r>
        <w:rPr>
          <w:rFonts w:hint="eastAsia" w:eastAsia="仿宋_GB2312"/>
        </w:rPr>
        <w:t>。</w:t>
      </w:r>
    </w:p>
    <w:p>
      <w:pPr>
        <w:pStyle w:val="4"/>
        <w:keepLines/>
        <w:widowControl/>
        <w:numPr>
          <w:ilvl w:val="2"/>
          <w:numId w:val="1"/>
        </w:numPr>
        <w:tabs>
          <w:tab w:val="clear" w:pos="432"/>
          <w:tab w:val="clear" w:pos="960"/>
        </w:tabs>
        <w:kinsoku/>
        <w:overflowPunct/>
        <w:topLinePunct w:val="0"/>
        <w:autoSpaceDE/>
        <w:autoSpaceDN/>
        <w:adjustRightInd/>
        <w:snapToGrid/>
        <w:ind w:left="0" w:firstLine="0"/>
        <w:jc w:val="both"/>
        <w:rPr>
          <w:rFonts w:eastAsia="仿宋_GB2312"/>
        </w:rPr>
      </w:pPr>
      <w:bookmarkStart w:id="55" w:name="_Toc255304502"/>
      <w:bookmarkStart w:id="56" w:name="_Toc211401482"/>
      <w:r>
        <w:rPr>
          <w:rFonts w:eastAsia="仿宋_GB2312"/>
        </w:rPr>
        <w:t>部委规章</w:t>
      </w:r>
      <w:bookmarkEnd w:id="55"/>
      <w:bookmarkEnd w:id="56"/>
    </w:p>
    <w:p>
      <w:pPr>
        <w:tabs>
          <w:tab w:val="left" w:pos="851"/>
          <w:tab w:val="left" w:pos="1485"/>
        </w:tabs>
        <w:ind w:firstLine="480"/>
        <w:rPr>
          <w:rFonts w:eastAsia="仿宋_GB2312"/>
        </w:rPr>
      </w:pPr>
      <w:bookmarkStart w:id="57" w:name="_Toc255304503"/>
      <w:bookmarkStart w:id="58" w:name="_Toc211401483"/>
      <w:r>
        <w:rPr>
          <w:rFonts w:eastAsia="仿宋_GB2312"/>
        </w:rPr>
        <w:t>（</w:t>
      </w:r>
      <w:r>
        <w:rPr>
          <w:rFonts w:hint="eastAsia" w:eastAsia="仿宋_GB2312"/>
        </w:rPr>
        <w:t>1</w:t>
      </w:r>
      <w:r>
        <w:rPr>
          <w:rFonts w:eastAsia="仿宋_GB2312"/>
        </w:rPr>
        <w:t>）水利部办公厅关于印发生产建设项目水土保持设施自主验收规程（试行）的通知》（办水保〔2018〕133号）；</w:t>
      </w:r>
    </w:p>
    <w:p>
      <w:pPr>
        <w:tabs>
          <w:tab w:val="left" w:pos="851"/>
          <w:tab w:val="left" w:pos="1485"/>
        </w:tabs>
        <w:ind w:firstLine="480"/>
        <w:rPr>
          <w:rFonts w:eastAsia="仿宋_GB2312"/>
        </w:rPr>
      </w:pPr>
      <w:r>
        <w:rPr>
          <w:rFonts w:eastAsia="仿宋_GB2312"/>
        </w:rPr>
        <w:t>（</w:t>
      </w:r>
      <w:r>
        <w:rPr>
          <w:rFonts w:hint="eastAsia" w:eastAsia="仿宋_GB2312"/>
        </w:rPr>
        <w:t>2</w:t>
      </w:r>
      <w:r>
        <w:rPr>
          <w:rFonts w:eastAsia="仿宋_GB2312"/>
        </w:rPr>
        <w:t>）《政府核准的投资项目目录（2016年本）》（2016年12月12日，国发〔2016〕72号）；</w:t>
      </w:r>
    </w:p>
    <w:p>
      <w:pPr>
        <w:ind w:firstLine="480"/>
        <w:rPr>
          <w:rFonts w:eastAsia="仿宋_GB2312"/>
          <w:spacing w:val="-4"/>
        </w:rPr>
      </w:pPr>
      <w:r>
        <w:rPr>
          <w:rFonts w:eastAsia="仿宋_GB2312"/>
        </w:rPr>
        <w:t>（</w:t>
      </w:r>
      <w:r>
        <w:rPr>
          <w:rFonts w:hint="eastAsia" w:eastAsia="仿宋_GB2312"/>
        </w:rPr>
        <w:t>3</w:t>
      </w:r>
      <w:r>
        <w:rPr>
          <w:rFonts w:eastAsia="仿宋_GB2312"/>
        </w:rPr>
        <w:t>）</w:t>
      </w:r>
      <w:r>
        <w:rPr>
          <w:rFonts w:eastAsia="仿宋_GB2312"/>
          <w:spacing w:val="-4"/>
        </w:rPr>
        <w:t>《开发建设项目水土保持方案编报审批管理规定》</w:t>
      </w:r>
      <w:r>
        <w:rPr>
          <w:rFonts w:eastAsia="仿宋_GB2312"/>
        </w:rPr>
        <w:t>（</w:t>
      </w:r>
      <w:r>
        <w:rPr>
          <w:rFonts w:eastAsia="仿宋_GB2312"/>
          <w:spacing w:val="-4"/>
        </w:rPr>
        <w:t>1995年5月30日水利部令第5号发布，2017年12月22日水利部令第49号修订</w:t>
      </w:r>
      <w:r>
        <w:rPr>
          <w:rFonts w:eastAsia="仿宋_GB2312"/>
        </w:rPr>
        <w:t>）</w:t>
      </w:r>
      <w:r>
        <w:rPr>
          <w:rFonts w:eastAsia="仿宋_GB2312"/>
          <w:spacing w:val="-4"/>
        </w:rPr>
        <w:t>；</w:t>
      </w:r>
    </w:p>
    <w:p>
      <w:pPr>
        <w:ind w:firstLine="480"/>
        <w:rPr>
          <w:rFonts w:eastAsia="仿宋_GB2312"/>
          <w:spacing w:val="-4"/>
        </w:rPr>
      </w:pPr>
      <w:r>
        <w:rPr>
          <w:rFonts w:eastAsia="仿宋_GB2312"/>
        </w:rPr>
        <w:t>（</w:t>
      </w:r>
      <w:r>
        <w:rPr>
          <w:rFonts w:hint="eastAsia" w:eastAsia="仿宋_GB2312"/>
        </w:rPr>
        <w:t>4</w:t>
      </w:r>
      <w:r>
        <w:rPr>
          <w:rFonts w:eastAsia="仿宋_GB2312"/>
        </w:rPr>
        <w:t>）</w:t>
      </w:r>
      <w:r>
        <w:rPr>
          <w:rFonts w:eastAsia="仿宋_GB2312"/>
          <w:spacing w:val="-4"/>
        </w:rPr>
        <w:t>《水土保持生态环境监测网络管理办法》</w:t>
      </w:r>
      <w:r>
        <w:rPr>
          <w:rFonts w:eastAsia="仿宋_GB2312"/>
        </w:rPr>
        <w:t>（</w:t>
      </w:r>
      <w:r>
        <w:rPr>
          <w:rFonts w:eastAsia="仿宋_GB2312"/>
          <w:spacing w:val="-4"/>
        </w:rPr>
        <w:t>2000年1月31日水利部第12号令发布，2014年8月19日修订</w:t>
      </w:r>
      <w:r>
        <w:rPr>
          <w:rFonts w:eastAsia="仿宋_GB2312"/>
        </w:rPr>
        <w:t>）</w:t>
      </w:r>
      <w:r>
        <w:rPr>
          <w:rFonts w:eastAsia="仿宋_GB2312"/>
          <w:spacing w:val="-4"/>
        </w:rPr>
        <w:t>；</w:t>
      </w:r>
    </w:p>
    <w:p>
      <w:pPr>
        <w:tabs>
          <w:tab w:val="left" w:pos="851"/>
          <w:tab w:val="left" w:pos="1485"/>
        </w:tabs>
        <w:ind w:firstLine="480"/>
        <w:rPr>
          <w:rFonts w:eastAsia="仿宋_GB2312"/>
          <w:spacing w:val="-4"/>
        </w:rPr>
      </w:pPr>
      <w:r>
        <w:rPr>
          <w:rFonts w:eastAsia="仿宋_GB2312"/>
        </w:rPr>
        <w:t>（</w:t>
      </w:r>
      <w:r>
        <w:rPr>
          <w:rFonts w:hint="eastAsia" w:eastAsia="仿宋_GB2312"/>
        </w:rPr>
        <w:t>5</w:t>
      </w:r>
      <w:r>
        <w:rPr>
          <w:rFonts w:eastAsia="仿宋_GB2312"/>
        </w:rPr>
        <w:t>）《水利部关于废止和修改部分规章的决定》（</w:t>
      </w:r>
      <w:r>
        <w:rPr>
          <w:rFonts w:hint="eastAsia" w:eastAsia="仿宋_GB2312"/>
        </w:rPr>
        <w:t>水利部</w:t>
      </w:r>
      <w:r>
        <w:rPr>
          <w:rFonts w:eastAsia="仿宋_GB2312"/>
        </w:rPr>
        <w:t>[2017] 49</w:t>
      </w:r>
      <w:r>
        <w:rPr>
          <w:rFonts w:hint="eastAsia" w:eastAsia="仿宋_GB2312"/>
        </w:rPr>
        <w:t>号令</w:t>
      </w:r>
      <w:r>
        <w:rPr>
          <w:rFonts w:eastAsia="仿宋_GB2312"/>
        </w:rPr>
        <w:t>）</w:t>
      </w:r>
      <w:r>
        <w:rPr>
          <w:rFonts w:eastAsia="仿宋_GB2312"/>
          <w:spacing w:val="-4"/>
        </w:rPr>
        <w:t>；</w:t>
      </w:r>
    </w:p>
    <w:p>
      <w:pPr>
        <w:tabs>
          <w:tab w:val="left" w:pos="851"/>
          <w:tab w:val="left" w:pos="1485"/>
        </w:tabs>
        <w:ind w:firstLine="480"/>
        <w:rPr>
          <w:rFonts w:eastAsia="仿宋_GB2312"/>
        </w:rPr>
      </w:pPr>
      <w:r>
        <w:rPr>
          <w:rFonts w:eastAsia="仿宋_GB2312"/>
          <w:color w:val="FF0000"/>
        </w:rPr>
        <w:t>（</w:t>
      </w:r>
      <w:r>
        <w:rPr>
          <w:rFonts w:hint="eastAsia" w:eastAsia="仿宋_GB2312"/>
          <w:color w:val="FF0000"/>
        </w:rPr>
        <w:t>6</w:t>
      </w:r>
      <w:r>
        <w:rPr>
          <w:rFonts w:eastAsia="仿宋_GB2312"/>
          <w:color w:val="FF0000"/>
        </w:rPr>
        <w:t>）水利部办公厅关于印发生产建设项目水土保持问题分类和责任追究标准的通知（办水保函〔2020〕564号</w:t>
      </w:r>
      <w:r>
        <w:rPr>
          <w:rFonts w:hint="eastAsia" w:eastAsia="仿宋_GB2312"/>
          <w:color w:val="FF0000"/>
        </w:rPr>
        <w:t>，2020年7月24日</w:t>
      </w:r>
      <w:r>
        <w:rPr>
          <w:rFonts w:eastAsia="仿宋_GB2312"/>
          <w:color w:val="FF0000"/>
        </w:rPr>
        <w:t>）</w:t>
      </w:r>
      <w:r>
        <w:rPr>
          <w:rFonts w:eastAsia="仿宋_GB2312"/>
          <w:color w:val="FF0000"/>
          <w:spacing w:val="-4"/>
        </w:rPr>
        <w:t>；</w:t>
      </w:r>
      <w:r>
        <w:rPr>
          <w:rFonts w:eastAsia="仿宋_GB2312"/>
          <w:color w:val="FF0000"/>
        </w:rPr>
        <w:br w:type="textWrapping"/>
      </w:r>
      <w:r>
        <w:rPr>
          <w:rFonts w:eastAsia="仿宋_GB2312"/>
          <w:color w:val="FF0000"/>
        </w:rPr>
        <w:t>（</w:t>
      </w:r>
      <w:r>
        <w:rPr>
          <w:rFonts w:hint="eastAsia" w:eastAsia="仿宋_GB2312"/>
          <w:color w:val="FF0000"/>
        </w:rPr>
        <w:t>7</w:t>
      </w:r>
      <w:r>
        <w:rPr>
          <w:rFonts w:eastAsia="仿宋_GB2312"/>
          <w:color w:val="FF0000"/>
        </w:rPr>
        <w:t>）水利部办公厅关于实施生产建设项目水土保持信用监管“两单”制度的通知（办水保〔2020〕157号</w:t>
      </w:r>
      <w:r>
        <w:rPr>
          <w:rFonts w:hint="eastAsia" w:eastAsia="仿宋_GB2312"/>
          <w:color w:val="FF0000"/>
        </w:rPr>
        <w:t>，2020年7月24日</w:t>
      </w:r>
      <w:r>
        <w:rPr>
          <w:rFonts w:eastAsia="仿宋_GB2312"/>
          <w:color w:val="FF0000"/>
        </w:rPr>
        <w:t>）</w:t>
      </w:r>
      <w:r>
        <w:rPr>
          <w:rFonts w:eastAsia="仿宋_GB2312"/>
          <w:color w:val="FF0000"/>
          <w:spacing w:val="-4"/>
        </w:rPr>
        <w:t>；</w:t>
      </w:r>
      <w:r>
        <w:rPr>
          <w:rFonts w:eastAsia="仿宋_GB2312"/>
          <w:color w:val="FF0000"/>
        </w:rPr>
        <w:br w:type="textWrapping"/>
      </w:r>
      <w:r>
        <w:rPr>
          <w:rFonts w:eastAsia="仿宋_GB2312"/>
          <w:color w:val="FF0000"/>
        </w:rPr>
        <w:t>（</w:t>
      </w:r>
      <w:r>
        <w:rPr>
          <w:rFonts w:hint="eastAsia" w:eastAsia="仿宋_GB2312"/>
          <w:color w:val="FF0000"/>
        </w:rPr>
        <w:t>8</w:t>
      </w:r>
      <w:r>
        <w:rPr>
          <w:rFonts w:eastAsia="仿宋_GB2312"/>
          <w:color w:val="FF0000"/>
        </w:rPr>
        <w:t>）水利部办公厅关于做好生产建设项目水土保持承诺制管理的通知（办水保〔2020〕160号</w:t>
      </w:r>
      <w:r>
        <w:rPr>
          <w:rFonts w:hint="eastAsia" w:eastAsia="仿宋_GB2312"/>
          <w:color w:val="FF0000"/>
        </w:rPr>
        <w:t>，2020年7月28日</w:t>
      </w:r>
      <w:r>
        <w:rPr>
          <w:rFonts w:eastAsia="仿宋_GB2312"/>
          <w:color w:val="FF0000"/>
        </w:rPr>
        <w:t>）</w:t>
      </w:r>
      <w:r>
        <w:rPr>
          <w:rFonts w:eastAsia="仿宋_GB2312"/>
          <w:color w:val="FF0000"/>
          <w:spacing w:val="-4"/>
        </w:rPr>
        <w:t>；</w:t>
      </w:r>
      <w:r>
        <w:rPr>
          <w:rFonts w:eastAsia="仿宋_GB2312"/>
          <w:color w:val="FF0000"/>
        </w:rPr>
        <w:br w:type="textWrapping"/>
      </w:r>
      <w:r>
        <w:rPr>
          <w:rFonts w:eastAsia="仿宋_GB2312"/>
          <w:color w:val="FF0000"/>
        </w:rPr>
        <w:t>（</w:t>
      </w:r>
      <w:r>
        <w:rPr>
          <w:rFonts w:hint="eastAsia" w:eastAsia="仿宋_GB2312"/>
          <w:color w:val="FF0000"/>
        </w:rPr>
        <w:t>9</w:t>
      </w:r>
      <w:r>
        <w:rPr>
          <w:rFonts w:eastAsia="仿宋_GB2312"/>
          <w:color w:val="FF0000"/>
        </w:rPr>
        <w:t>）水利部办公厅关于进一步加强生产建设项目水土保持监测工作的通知（办水保〔2020〕161号</w:t>
      </w:r>
      <w:r>
        <w:rPr>
          <w:rFonts w:hint="eastAsia" w:eastAsia="仿宋_GB2312"/>
          <w:color w:val="FF0000"/>
        </w:rPr>
        <w:t>，2020年7月28日</w:t>
      </w:r>
      <w:r>
        <w:rPr>
          <w:rFonts w:eastAsia="仿宋_GB2312"/>
          <w:color w:val="FF0000"/>
        </w:rPr>
        <w:t>）</w:t>
      </w:r>
      <w:r>
        <w:rPr>
          <w:rFonts w:hint="eastAsia" w:eastAsia="仿宋_GB2312"/>
          <w:color w:val="FF0000"/>
        </w:rPr>
        <w:t>。</w:t>
      </w:r>
    </w:p>
    <w:p>
      <w:pPr>
        <w:pStyle w:val="4"/>
        <w:keepLines/>
        <w:widowControl/>
        <w:numPr>
          <w:ilvl w:val="2"/>
          <w:numId w:val="1"/>
        </w:numPr>
        <w:tabs>
          <w:tab w:val="clear" w:pos="432"/>
          <w:tab w:val="clear" w:pos="960"/>
        </w:tabs>
        <w:kinsoku/>
        <w:overflowPunct/>
        <w:topLinePunct w:val="0"/>
        <w:autoSpaceDE/>
        <w:autoSpaceDN/>
        <w:adjustRightInd/>
        <w:snapToGrid/>
        <w:ind w:left="0" w:firstLine="0"/>
        <w:jc w:val="both"/>
        <w:rPr>
          <w:rFonts w:eastAsia="仿宋_GB2312"/>
        </w:rPr>
      </w:pPr>
      <w:r>
        <w:rPr>
          <w:rFonts w:eastAsia="仿宋_GB2312"/>
        </w:rPr>
        <w:t>规范性文件</w:t>
      </w:r>
      <w:bookmarkEnd w:id="57"/>
      <w:bookmarkEnd w:id="58"/>
    </w:p>
    <w:p>
      <w:pPr>
        <w:ind w:firstLine="480"/>
        <w:rPr>
          <w:rFonts w:eastAsia="仿宋_GB2312"/>
        </w:rPr>
      </w:pPr>
      <w:bookmarkStart w:id="59" w:name="_Toc211401484"/>
      <w:bookmarkStart w:id="60" w:name="_Toc255304504"/>
      <w:r>
        <w:rPr>
          <w:rFonts w:eastAsia="仿宋_GB2312"/>
        </w:rPr>
        <w:t>（1）“关于颁发《水土保持工程概(估)算编制规定和定额》的通知”(水利部水总[2003]67号，2003年1月25日)；</w:t>
      </w:r>
    </w:p>
    <w:p>
      <w:pPr>
        <w:ind w:firstLine="480"/>
        <w:rPr>
          <w:rFonts w:eastAsia="仿宋_GB2312"/>
        </w:rPr>
      </w:pPr>
      <w:r>
        <w:rPr>
          <w:rFonts w:hint="eastAsia" w:eastAsia="仿宋_GB2312"/>
        </w:rPr>
        <w:t>（2</w:t>
      </w:r>
      <w:r>
        <w:rPr>
          <w:rFonts w:eastAsia="仿宋_GB2312"/>
        </w:rPr>
        <w:t>）</w:t>
      </w:r>
      <w:r>
        <w:rPr>
          <w:rFonts w:hint="eastAsia" w:eastAsia="仿宋_GB2312"/>
        </w:rPr>
        <w:t>《关于加强大中型开发建设项目水土保持监理工作的通知》</w:t>
      </w:r>
      <w:r>
        <w:rPr>
          <w:rFonts w:eastAsia="仿宋_GB2312"/>
        </w:rPr>
        <w:t>(</w:t>
      </w:r>
      <w:r>
        <w:rPr>
          <w:rFonts w:hint="eastAsia" w:eastAsia="仿宋_GB2312"/>
        </w:rPr>
        <w:t>水利部水保</w:t>
      </w:r>
      <w:r>
        <w:rPr>
          <w:rFonts w:eastAsia="仿宋_GB2312"/>
        </w:rPr>
        <w:t>[2003]89</w:t>
      </w:r>
      <w:r>
        <w:rPr>
          <w:rFonts w:hint="eastAsia" w:eastAsia="仿宋_GB2312"/>
        </w:rPr>
        <w:t>号，</w:t>
      </w:r>
      <w:r>
        <w:rPr>
          <w:rFonts w:eastAsia="仿宋_GB2312"/>
        </w:rPr>
        <w:t>2010</w:t>
      </w:r>
      <w:r>
        <w:rPr>
          <w:rFonts w:hint="eastAsia" w:eastAsia="仿宋_GB2312"/>
        </w:rPr>
        <w:t>年</w:t>
      </w:r>
      <w:r>
        <w:rPr>
          <w:rFonts w:eastAsia="仿宋_GB2312"/>
        </w:rPr>
        <w:t>12</w:t>
      </w:r>
      <w:r>
        <w:rPr>
          <w:rFonts w:hint="eastAsia" w:eastAsia="仿宋_GB2312"/>
        </w:rPr>
        <w:t>月</w:t>
      </w:r>
      <w:r>
        <w:rPr>
          <w:rFonts w:eastAsia="仿宋_GB2312"/>
        </w:rPr>
        <w:t>30</w:t>
      </w:r>
      <w:r>
        <w:rPr>
          <w:rFonts w:hint="eastAsia" w:eastAsia="仿宋_GB2312"/>
        </w:rPr>
        <w:t>日修订</w:t>
      </w:r>
      <w:r>
        <w:rPr>
          <w:rFonts w:eastAsia="仿宋_GB2312"/>
        </w:rPr>
        <w:t>)；</w:t>
      </w:r>
    </w:p>
    <w:p>
      <w:pPr>
        <w:ind w:firstLine="480"/>
        <w:rPr>
          <w:rFonts w:eastAsia="仿宋_GB2312"/>
        </w:rPr>
      </w:pPr>
      <w:r>
        <w:rPr>
          <w:rFonts w:eastAsia="仿宋_GB2312"/>
        </w:rPr>
        <w:t>（</w:t>
      </w:r>
      <w:r>
        <w:rPr>
          <w:rFonts w:hint="eastAsia" w:eastAsia="仿宋_GB2312"/>
        </w:rPr>
        <w:t>3</w:t>
      </w:r>
      <w:r>
        <w:rPr>
          <w:rFonts w:eastAsia="仿宋_GB2312"/>
        </w:rPr>
        <w:t>）《关于严格开发建设项目水土保持审查审批工作的通知》(水利部水保[2007]184号文，2007年5月21日)；</w:t>
      </w:r>
    </w:p>
    <w:p>
      <w:pPr>
        <w:ind w:firstLine="480"/>
        <w:jc w:val="left"/>
        <w:rPr>
          <w:rFonts w:eastAsia="仿宋_GB2312"/>
        </w:rPr>
      </w:pPr>
      <w:r>
        <w:rPr>
          <w:rFonts w:eastAsia="仿宋_GB2312"/>
        </w:rPr>
        <w:t>（</w:t>
      </w:r>
      <w:r>
        <w:rPr>
          <w:rFonts w:hint="eastAsia" w:eastAsia="仿宋_GB2312"/>
        </w:rPr>
        <w:t>4</w:t>
      </w:r>
      <w:r>
        <w:rPr>
          <w:rFonts w:eastAsia="仿宋_GB2312"/>
        </w:rPr>
        <w:t>）“关于规范《开发建设项目水土保持监测工作》的意见”(水利部水保[2009]187号，2009年3月25日)；</w:t>
      </w:r>
    </w:p>
    <w:p>
      <w:pPr>
        <w:ind w:firstLine="480"/>
        <w:jc w:val="left"/>
        <w:rPr>
          <w:rFonts w:eastAsia="仿宋_GB2312"/>
        </w:rPr>
      </w:pPr>
      <w:r>
        <w:rPr>
          <w:rFonts w:eastAsia="仿宋_GB2312"/>
        </w:rPr>
        <w:t>（</w:t>
      </w:r>
      <w:r>
        <w:rPr>
          <w:rFonts w:hint="eastAsia" w:eastAsia="仿宋_GB2312"/>
        </w:rPr>
        <w:t>5</w:t>
      </w:r>
      <w:r>
        <w:rPr>
          <w:rFonts w:eastAsia="仿宋_GB2312"/>
        </w:rPr>
        <w:t>）“关于印发《新疆维吾尔自治区水土保持设施补偿费、水土流失防治费收缴使用管理暂行规定》的通知”(新政发[2000]45号，2000年6月12日)；</w:t>
      </w:r>
    </w:p>
    <w:p>
      <w:pPr>
        <w:ind w:firstLine="480"/>
        <w:jc w:val="left"/>
        <w:rPr>
          <w:rFonts w:eastAsia="仿宋_GB2312"/>
        </w:rPr>
      </w:pPr>
      <w:r>
        <w:rPr>
          <w:rFonts w:eastAsia="仿宋_GB2312"/>
        </w:rPr>
        <w:t>（</w:t>
      </w:r>
      <w:r>
        <w:rPr>
          <w:rFonts w:hint="eastAsia" w:eastAsia="仿宋_GB2312"/>
        </w:rPr>
        <w:t>6</w:t>
      </w:r>
      <w:r>
        <w:rPr>
          <w:rFonts w:eastAsia="仿宋_GB2312"/>
        </w:rPr>
        <w:t>）</w:t>
      </w:r>
      <w:r>
        <w:rPr>
          <w:rFonts w:hint="eastAsia" w:eastAsia="仿宋_GB2312"/>
        </w:rPr>
        <w:t>新疆维吾尔自治区水利厅</w:t>
      </w:r>
      <w:r>
        <w:rPr>
          <w:rFonts w:eastAsia="仿宋_GB2312"/>
        </w:rPr>
        <w:t>《</w:t>
      </w:r>
      <w:r>
        <w:rPr>
          <w:rFonts w:hint="eastAsia" w:eastAsia="仿宋_GB2312"/>
        </w:rPr>
        <w:t>关于严格执行国家发展改革委财政部降低部分行政事业性收费标准的通知</w:t>
      </w:r>
      <w:r>
        <w:rPr>
          <w:rFonts w:eastAsia="仿宋_GB2312"/>
        </w:rPr>
        <w:t>》</w:t>
      </w:r>
      <w:r>
        <w:rPr>
          <w:rFonts w:hint="eastAsia" w:eastAsia="仿宋_GB2312"/>
        </w:rPr>
        <w:t>(新水办</w:t>
      </w:r>
      <w:r>
        <w:rPr>
          <w:rFonts w:eastAsia="仿宋_GB2312"/>
        </w:rPr>
        <w:t>[20</w:t>
      </w:r>
      <w:r>
        <w:rPr>
          <w:rFonts w:hint="eastAsia" w:eastAsia="仿宋_GB2312"/>
        </w:rPr>
        <w:t>20</w:t>
      </w:r>
      <w:r>
        <w:rPr>
          <w:rFonts w:eastAsia="仿宋_GB2312"/>
        </w:rPr>
        <w:t>]</w:t>
      </w:r>
      <w:r>
        <w:rPr>
          <w:rFonts w:hint="eastAsia" w:eastAsia="仿宋_GB2312"/>
        </w:rPr>
        <w:t>168号)；</w:t>
      </w:r>
    </w:p>
    <w:p>
      <w:pPr>
        <w:ind w:firstLine="480"/>
        <w:jc w:val="left"/>
        <w:rPr>
          <w:rFonts w:eastAsia="仿宋_GB2312"/>
        </w:rPr>
      </w:pPr>
      <w:r>
        <w:rPr>
          <w:rFonts w:eastAsia="仿宋_GB2312"/>
        </w:rPr>
        <w:t>（</w:t>
      </w:r>
      <w:r>
        <w:rPr>
          <w:rFonts w:hint="eastAsia" w:eastAsia="仿宋_GB2312"/>
        </w:rPr>
        <w:t>7</w:t>
      </w:r>
      <w:r>
        <w:rPr>
          <w:rFonts w:eastAsia="仿宋_GB2312"/>
        </w:rPr>
        <w:t>）“关于印发《</w:t>
      </w:r>
      <w:bookmarkStart w:id="61" w:name="OLE_LINK22"/>
      <w:r>
        <w:rPr>
          <w:rFonts w:eastAsia="仿宋_GB2312"/>
        </w:rPr>
        <w:t>全国水土保持规划国家级水土流失重点预防区和重点治理区复核划分成果</w:t>
      </w:r>
      <w:bookmarkEnd w:id="61"/>
      <w:r>
        <w:rPr>
          <w:rFonts w:eastAsia="仿宋_GB2312"/>
        </w:rPr>
        <w:t>》的通知(水利部办公厅办水保[2013]188号，2013年8月12日)；</w:t>
      </w:r>
    </w:p>
    <w:p>
      <w:pPr>
        <w:ind w:firstLine="480"/>
        <w:rPr>
          <w:rFonts w:eastAsia="仿宋_GB2312"/>
        </w:rPr>
      </w:pPr>
      <w:r>
        <w:rPr>
          <w:rFonts w:eastAsia="仿宋_GB2312"/>
        </w:rPr>
        <w:t>（</w:t>
      </w:r>
      <w:r>
        <w:rPr>
          <w:rFonts w:hint="eastAsia" w:eastAsia="仿宋_GB2312"/>
        </w:rPr>
        <w:t>8</w:t>
      </w:r>
      <w:r>
        <w:rPr>
          <w:rFonts w:eastAsia="仿宋_GB2312"/>
        </w:rPr>
        <w:t>）“国家发展改革委建设部关于印发《建设工程监理与相关服务收费管理规定》的通知”(国家发展改革委员会、建设部发改价格[2007]670号，2007年3月30日)；</w:t>
      </w:r>
    </w:p>
    <w:p>
      <w:pPr>
        <w:ind w:firstLine="480"/>
        <w:rPr>
          <w:rFonts w:eastAsia="仿宋_GB2312"/>
        </w:rPr>
      </w:pPr>
      <w:r>
        <w:rPr>
          <w:rFonts w:eastAsia="仿宋_GB2312"/>
        </w:rPr>
        <w:t>（</w:t>
      </w:r>
      <w:r>
        <w:rPr>
          <w:rFonts w:hint="eastAsia" w:eastAsia="仿宋_GB2312"/>
        </w:rPr>
        <w:t>9</w:t>
      </w:r>
      <w:r>
        <w:rPr>
          <w:rFonts w:eastAsia="仿宋_GB2312"/>
        </w:rPr>
        <w:t>）《水利部关于加强水土保持监测工作的通知》（水保[2017]36号）；</w:t>
      </w:r>
    </w:p>
    <w:p>
      <w:pPr>
        <w:ind w:firstLine="480"/>
        <w:jc w:val="left"/>
        <w:rPr>
          <w:rFonts w:eastAsia="仿宋_GB2312"/>
          <w:sz w:val="23"/>
          <w:szCs w:val="23"/>
        </w:rPr>
      </w:pPr>
      <w:r>
        <w:rPr>
          <w:rFonts w:eastAsia="仿宋_GB2312"/>
        </w:rPr>
        <w:t>（</w:t>
      </w:r>
      <w:r>
        <w:rPr>
          <w:rFonts w:hint="eastAsia" w:eastAsia="仿宋_GB2312"/>
        </w:rPr>
        <w:t>10</w:t>
      </w:r>
      <w:r>
        <w:rPr>
          <w:rFonts w:eastAsia="仿宋_GB2312"/>
        </w:rPr>
        <w:t>）“财政部国家发展改革委水利部中国人民银行关于印发《水土保持补偿费征收使用管理办法》的通知”(财综[2014]8号，2014年5月1日)；</w:t>
      </w:r>
    </w:p>
    <w:p>
      <w:pPr>
        <w:ind w:firstLine="480"/>
        <w:rPr>
          <w:rFonts w:eastAsia="仿宋_GB2312"/>
        </w:rPr>
      </w:pPr>
      <w:r>
        <w:rPr>
          <w:rFonts w:eastAsia="仿宋_GB2312"/>
        </w:rPr>
        <w:t>（</w:t>
      </w:r>
      <w:r>
        <w:rPr>
          <w:rFonts w:hint="eastAsia" w:eastAsia="仿宋_GB2312"/>
        </w:rPr>
        <w:t>11</w:t>
      </w:r>
      <w:r>
        <w:rPr>
          <w:rFonts w:eastAsia="仿宋_GB2312"/>
        </w:rPr>
        <w:t>）“国家发改委财政部水利部《关于水土保持补偿费收费标准(试行)的通知》”(发改价格[2014]886号 2014年5月7日)；</w:t>
      </w:r>
    </w:p>
    <w:p>
      <w:pPr>
        <w:ind w:firstLine="480"/>
        <w:rPr>
          <w:rFonts w:eastAsia="仿宋_GB2312"/>
        </w:rPr>
      </w:pPr>
      <w:r>
        <w:rPr>
          <w:rFonts w:eastAsia="仿宋_GB2312"/>
        </w:rPr>
        <w:t>（</w:t>
      </w:r>
      <w:r>
        <w:rPr>
          <w:rFonts w:hint="eastAsia" w:eastAsia="仿宋_GB2312"/>
        </w:rPr>
        <w:t>12</w:t>
      </w:r>
      <w:r>
        <w:rPr>
          <w:rFonts w:eastAsia="仿宋_GB2312"/>
        </w:rPr>
        <w:t>）“新疆维吾尔自治区水土保持补偿费征收使用管理办法” (新疆维吾尔自治区财政厅、新疆维吾尔自治区发展和改革委员会、新疆维吾尔自治区水利厅，新财非税[2015]10号)；</w:t>
      </w:r>
    </w:p>
    <w:p>
      <w:pPr>
        <w:ind w:firstLine="480"/>
        <w:jc w:val="left"/>
        <w:rPr>
          <w:rFonts w:eastAsia="仿宋_GB2312"/>
        </w:rPr>
      </w:pPr>
      <w:r>
        <w:rPr>
          <w:rFonts w:eastAsia="仿宋_GB2312"/>
        </w:rPr>
        <w:t>（</w:t>
      </w:r>
      <w:r>
        <w:rPr>
          <w:rFonts w:hint="eastAsia" w:eastAsia="仿宋_GB2312"/>
        </w:rPr>
        <w:t>13</w:t>
      </w:r>
      <w:r>
        <w:rPr>
          <w:rFonts w:eastAsia="仿宋_GB2312"/>
        </w:rPr>
        <w:t>）关于印发《新疆维吾尔自治区生产建设项目水土保持方案管理办法》(修订稿)的通知(新水厅[2016]112号，2016年11月17日修订)；</w:t>
      </w:r>
    </w:p>
    <w:p>
      <w:pPr>
        <w:ind w:firstLine="480"/>
        <w:rPr>
          <w:rFonts w:eastAsia="仿宋_GB2312"/>
        </w:rPr>
      </w:pPr>
      <w:r>
        <w:rPr>
          <w:rFonts w:eastAsia="仿宋_GB2312"/>
        </w:rPr>
        <w:t>（</w:t>
      </w:r>
      <w:r>
        <w:rPr>
          <w:rFonts w:hint="eastAsia" w:eastAsia="仿宋_GB2312"/>
        </w:rPr>
        <w:t>14</w:t>
      </w:r>
      <w:r>
        <w:rPr>
          <w:rFonts w:eastAsia="仿宋_GB2312"/>
        </w:rPr>
        <w:t>）《水利部关于加强事中事后监管规范生产建设项目水土保持设施自主验收的通知》(水保[2017]365号，2017.11.13)；</w:t>
      </w:r>
    </w:p>
    <w:p>
      <w:pPr>
        <w:ind w:firstLine="480"/>
        <w:rPr>
          <w:rFonts w:eastAsia="仿宋_GB2312"/>
        </w:rPr>
      </w:pPr>
      <w:r>
        <w:rPr>
          <w:rFonts w:eastAsia="仿宋_GB2312"/>
        </w:rPr>
        <w:t>（</w:t>
      </w:r>
      <w:r>
        <w:rPr>
          <w:rFonts w:hint="eastAsia" w:eastAsia="仿宋_GB2312"/>
        </w:rPr>
        <w:t>15</w:t>
      </w:r>
      <w:r>
        <w:rPr>
          <w:rFonts w:eastAsia="仿宋_GB2312"/>
        </w:rPr>
        <w:t>）《新疆维吾尔自治区水利厅关于加强事中事后监管规范生产建设项目水土保持设施自主验收实施意见的通知》(新水办水保[2017]121号，2017.12.8)；</w:t>
      </w:r>
    </w:p>
    <w:p>
      <w:pPr>
        <w:ind w:firstLine="480"/>
        <w:rPr>
          <w:rFonts w:eastAsia="仿宋_GB2312"/>
        </w:rPr>
      </w:pPr>
      <w:r>
        <w:rPr>
          <w:rFonts w:eastAsia="仿宋_GB2312"/>
        </w:rPr>
        <w:t>（</w:t>
      </w:r>
      <w:r>
        <w:rPr>
          <w:rFonts w:hint="eastAsia" w:eastAsia="仿宋_GB2312"/>
        </w:rPr>
        <w:t>16</w:t>
      </w:r>
      <w:r>
        <w:rPr>
          <w:rFonts w:eastAsia="仿宋_GB2312"/>
        </w:rPr>
        <w:t>）《水利部办公厅关于印发生产建设项目水土保持技术文件编写和印制格式规定(试行)的通知》(办水保[2018]135号，2018.7.12)；</w:t>
      </w:r>
    </w:p>
    <w:p>
      <w:pPr>
        <w:ind w:firstLine="480"/>
        <w:rPr>
          <w:rFonts w:eastAsia="仿宋_GB2312"/>
        </w:rPr>
      </w:pPr>
      <w:r>
        <w:rPr>
          <w:rFonts w:eastAsia="仿宋_GB2312"/>
        </w:rPr>
        <w:t>（</w:t>
      </w:r>
      <w:r>
        <w:rPr>
          <w:rFonts w:hint="eastAsia" w:eastAsia="仿宋_GB2312"/>
        </w:rPr>
        <w:t>17</w:t>
      </w:r>
      <w:r>
        <w:rPr>
          <w:rFonts w:eastAsia="仿宋_GB2312"/>
        </w:rPr>
        <w:t>）《关于印发新疆自治区级水土流失重点预防区和重点治理区复核划分成果的通知》(新水水保[2019]4号，2019.1.21)；</w:t>
      </w:r>
    </w:p>
    <w:p>
      <w:pPr>
        <w:ind w:firstLine="480"/>
        <w:rPr>
          <w:rFonts w:eastAsia="仿宋_GB2312"/>
        </w:rPr>
      </w:pPr>
      <w:r>
        <w:rPr>
          <w:rFonts w:eastAsia="仿宋_GB2312"/>
        </w:rPr>
        <w:t>（</w:t>
      </w:r>
      <w:r>
        <w:rPr>
          <w:rFonts w:hint="eastAsia" w:eastAsia="仿宋_GB2312"/>
        </w:rPr>
        <w:t>18</w:t>
      </w:r>
      <w:r>
        <w:rPr>
          <w:rFonts w:eastAsia="仿宋_GB2312"/>
        </w:rPr>
        <w:t>）《住房和城乡建设部办公厅关于重新调整建设工程计价依据增值税税率的通知》(建办标函[2019]193号文)；</w:t>
      </w:r>
    </w:p>
    <w:p>
      <w:pPr>
        <w:autoSpaceDE w:val="0"/>
        <w:autoSpaceDN w:val="0"/>
        <w:snapToGrid/>
        <w:ind w:firstLine="480"/>
        <w:rPr>
          <w:rFonts w:eastAsia="仿宋_GB2312"/>
        </w:rPr>
      </w:pPr>
      <w:r>
        <w:rPr>
          <w:rFonts w:eastAsia="仿宋_GB2312"/>
        </w:rPr>
        <w:t>（</w:t>
      </w:r>
      <w:r>
        <w:rPr>
          <w:rFonts w:hint="eastAsia" w:eastAsia="仿宋_GB2312"/>
        </w:rPr>
        <w:t>19</w:t>
      </w:r>
      <w:r>
        <w:rPr>
          <w:rFonts w:eastAsia="仿宋_GB2312"/>
        </w:rPr>
        <w:t>）《水利部关于进一步深化“放管服”改革全面加强水土保持监管的意见》(水保[2019]160号，2019.5.31)</w:t>
      </w:r>
      <w:r>
        <w:rPr>
          <w:rFonts w:hint="eastAsia" w:eastAsia="仿宋_GB2312"/>
        </w:rPr>
        <w:t>；</w:t>
      </w:r>
    </w:p>
    <w:p>
      <w:pPr>
        <w:autoSpaceDE w:val="0"/>
        <w:autoSpaceDN w:val="0"/>
        <w:snapToGrid/>
        <w:ind w:firstLine="480"/>
        <w:rPr>
          <w:rFonts w:eastAsia="仿宋_GB2312"/>
        </w:rPr>
      </w:pPr>
      <w:r>
        <w:rPr>
          <w:rFonts w:eastAsia="仿宋_GB2312"/>
        </w:rPr>
        <w:t>（</w:t>
      </w:r>
      <w:r>
        <w:rPr>
          <w:rFonts w:hint="eastAsia" w:eastAsia="仿宋_GB2312"/>
        </w:rPr>
        <w:t>20</w:t>
      </w:r>
      <w:r>
        <w:rPr>
          <w:rFonts w:eastAsia="仿宋_GB2312"/>
        </w:rPr>
        <w:t>）</w:t>
      </w:r>
      <w:r>
        <w:rPr>
          <w:rFonts w:hint="eastAsia" w:eastAsia="仿宋_GB2312"/>
        </w:rPr>
        <w:t>《水利部办公厅关于印发生产建设项目水土保持监督管理办法的通知》（办水保</w:t>
      </w:r>
      <w:r>
        <w:rPr>
          <w:rFonts w:eastAsia="仿宋_GB2312"/>
        </w:rPr>
        <w:t>[201</w:t>
      </w:r>
      <w:r>
        <w:rPr>
          <w:rFonts w:hint="eastAsia" w:eastAsia="仿宋_GB2312"/>
        </w:rPr>
        <w:t>9</w:t>
      </w:r>
      <w:r>
        <w:rPr>
          <w:rFonts w:eastAsia="仿宋_GB2312"/>
        </w:rPr>
        <w:t xml:space="preserve">] </w:t>
      </w:r>
      <w:r>
        <w:rPr>
          <w:rFonts w:hint="eastAsia" w:eastAsia="仿宋_GB2312"/>
        </w:rPr>
        <w:t>172号文）；</w:t>
      </w:r>
    </w:p>
    <w:p>
      <w:pPr>
        <w:ind w:firstLine="480"/>
        <w:rPr>
          <w:rFonts w:eastAsia="仿宋_GB2312"/>
        </w:rPr>
      </w:pPr>
      <w:r>
        <w:rPr>
          <w:rFonts w:eastAsia="仿宋_GB2312"/>
        </w:rPr>
        <w:t>（</w:t>
      </w:r>
      <w:r>
        <w:rPr>
          <w:rFonts w:hint="eastAsia" w:eastAsia="仿宋_GB2312"/>
        </w:rPr>
        <w:t>21</w:t>
      </w:r>
      <w:r>
        <w:rPr>
          <w:rFonts w:eastAsia="仿宋_GB2312"/>
        </w:rPr>
        <w:t>）</w:t>
      </w:r>
      <w:r>
        <w:rPr>
          <w:rFonts w:hint="eastAsia" w:eastAsia="仿宋_GB2312"/>
        </w:rPr>
        <w:t>水利部办公厅关于印发《水利部生产建设项目水土保持方案技术评审细则（试行）的通知》（办水保</w:t>
      </w:r>
      <w:r>
        <w:rPr>
          <w:rFonts w:eastAsia="仿宋_GB2312"/>
        </w:rPr>
        <w:t>[201</w:t>
      </w:r>
      <w:r>
        <w:rPr>
          <w:rFonts w:hint="eastAsia" w:eastAsia="仿宋_GB2312"/>
        </w:rPr>
        <w:t>8</w:t>
      </w:r>
      <w:r>
        <w:rPr>
          <w:rFonts w:eastAsia="仿宋_GB2312"/>
        </w:rPr>
        <w:t xml:space="preserve">] </w:t>
      </w:r>
      <w:r>
        <w:rPr>
          <w:rFonts w:hint="eastAsia" w:eastAsia="仿宋_GB2312"/>
        </w:rPr>
        <w:t>47号文）。</w:t>
      </w:r>
    </w:p>
    <w:p>
      <w:pPr>
        <w:pStyle w:val="4"/>
        <w:keepLines/>
        <w:widowControl/>
        <w:numPr>
          <w:ilvl w:val="2"/>
          <w:numId w:val="1"/>
        </w:numPr>
        <w:tabs>
          <w:tab w:val="clear" w:pos="432"/>
          <w:tab w:val="clear" w:pos="960"/>
        </w:tabs>
        <w:kinsoku/>
        <w:overflowPunct/>
        <w:topLinePunct w:val="0"/>
        <w:autoSpaceDE/>
        <w:autoSpaceDN/>
        <w:adjustRightInd/>
        <w:snapToGrid/>
        <w:ind w:left="0" w:firstLine="0"/>
        <w:jc w:val="both"/>
        <w:rPr>
          <w:rFonts w:eastAsia="仿宋_GB2312"/>
        </w:rPr>
      </w:pPr>
      <w:r>
        <w:rPr>
          <w:rFonts w:eastAsia="仿宋_GB2312"/>
        </w:rPr>
        <w:t>规范标准</w:t>
      </w:r>
      <w:bookmarkEnd w:id="59"/>
      <w:bookmarkEnd w:id="60"/>
    </w:p>
    <w:p>
      <w:pPr>
        <w:tabs>
          <w:tab w:val="left" w:pos="851"/>
          <w:tab w:val="left" w:pos="1485"/>
        </w:tabs>
        <w:ind w:firstLine="480"/>
        <w:rPr>
          <w:rFonts w:eastAsia="仿宋_GB2312"/>
        </w:rPr>
      </w:pPr>
      <w:r>
        <w:rPr>
          <w:rFonts w:hint="eastAsia" w:eastAsia="仿宋_GB2312"/>
        </w:rPr>
        <w:t>（1）</w:t>
      </w:r>
      <w:bookmarkStart w:id="62" w:name="_Toc211401485"/>
      <w:bookmarkStart w:id="63" w:name="_Toc255304505"/>
      <w:r>
        <w:rPr>
          <w:rFonts w:hint="eastAsia" w:eastAsia="仿宋_GB2312"/>
        </w:rPr>
        <w:t>《</w:t>
      </w:r>
      <w:r>
        <w:rPr>
          <w:rFonts w:hint="eastAsia" w:eastAsia="仿宋_GB2312"/>
          <w:lang w:val="zh-CN"/>
        </w:rPr>
        <w:t>生产</w:t>
      </w:r>
      <w:r>
        <w:rPr>
          <w:rFonts w:eastAsia="仿宋_GB2312"/>
          <w:lang w:val="zh-CN"/>
        </w:rPr>
        <w:t>建设项目水土保持技术</w:t>
      </w:r>
      <w:r>
        <w:rPr>
          <w:rFonts w:hint="eastAsia" w:eastAsia="仿宋_GB2312"/>
          <w:lang w:val="zh-CN"/>
        </w:rPr>
        <w:t>标准</w:t>
      </w:r>
      <w:r>
        <w:rPr>
          <w:rFonts w:hint="eastAsia" w:eastAsia="仿宋_GB2312"/>
        </w:rPr>
        <w:t>》（GB50433-2018）；</w:t>
      </w:r>
    </w:p>
    <w:p>
      <w:pPr>
        <w:tabs>
          <w:tab w:val="left" w:pos="851"/>
          <w:tab w:val="left" w:pos="1485"/>
        </w:tabs>
        <w:ind w:firstLine="480"/>
        <w:rPr>
          <w:rFonts w:eastAsia="仿宋_GB2312"/>
        </w:rPr>
      </w:pPr>
      <w:r>
        <w:rPr>
          <w:rFonts w:hint="eastAsia" w:eastAsia="仿宋_GB2312"/>
        </w:rPr>
        <w:t>（2）《生产建设项目水土流失防治标准》（GB/T50434-2018）；</w:t>
      </w:r>
    </w:p>
    <w:p>
      <w:pPr>
        <w:tabs>
          <w:tab w:val="left" w:pos="851"/>
          <w:tab w:val="left" w:pos="1485"/>
        </w:tabs>
        <w:ind w:firstLine="480"/>
        <w:rPr>
          <w:rFonts w:eastAsia="仿宋_GB2312"/>
        </w:rPr>
      </w:pPr>
      <w:r>
        <w:rPr>
          <w:rFonts w:hint="eastAsia" w:eastAsia="仿宋_GB2312"/>
        </w:rPr>
        <w:t>（3）《土壤侵蚀分类分级标准》（SL190-2007）；</w:t>
      </w:r>
    </w:p>
    <w:p>
      <w:pPr>
        <w:tabs>
          <w:tab w:val="left" w:pos="851"/>
          <w:tab w:val="left" w:pos="1485"/>
        </w:tabs>
        <w:ind w:firstLine="480"/>
        <w:rPr>
          <w:rFonts w:eastAsia="仿宋_GB2312"/>
        </w:rPr>
      </w:pPr>
      <w:r>
        <w:rPr>
          <w:rFonts w:hint="eastAsia" w:eastAsia="仿宋_GB2312"/>
        </w:rPr>
        <w:t>（4）</w:t>
      </w:r>
      <w:r>
        <w:rPr>
          <w:rFonts w:eastAsia="仿宋_GB2312"/>
        </w:rPr>
        <w:t>《生产建设项目水土保持监测与评价标准》(GB/T51240-2018)</w:t>
      </w:r>
      <w:r>
        <w:rPr>
          <w:rFonts w:hint="eastAsia" w:eastAsia="仿宋_GB2312"/>
        </w:rPr>
        <w:t>；</w:t>
      </w:r>
    </w:p>
    <w:p>
      <w:pPr>
        <w:tabs>
          <w:tab w:val="left" w:pos="851"/>
          <w:tab w:val="left" w:pos="1485"/>
        </w:tabs>
        <w:ind w:firstLine="480"/>
        <w:rPr>
          <w:rFonts w:eastAsia="仿宋_GB2312"/>
        </w:rPr>
      </w:pPr>
      <w:r>
        <w:rPr>
          <w:rFonts w:hint="eastAsia" w:eastAsia="仿宋_GB2312"/>
        </w:rPr>
        <w:t>（5）《水利水电工程制图标准水土保持图》（SL73.6-2015）；</w:t>
      </w:r>
    </w:p>
    <w:p>
      <w:pPr>
        <w:tabs>
          <w:tab w:val="left" w:pos="851"/>
          <w:tab w:val="left" w:pos="1485"/>
        </w:tabs>
        <w:ind w:firstLine="480"/>
        <w:rPr>
          <w:rFonts w:eastAsia="仿宋_GB2312"/>
        </w:rPr>
      </w:pPr>
      <w:r>
        <w:rPr>
          <w:rFonts w:hint="eastAsia" w:eastAsia="仿宋_GB2312"/>
        </w:rPr>
        <w:t>（6）《水土保持工程概算定额》，水利部水总[2003]67号；</w:t>
      </w:r>
    </w:p>
    <w:p>
      <w:pPr>
        <w:tabs>
          <w:tab w:val="left" w:pos="851"/>
          <w:tab w:val="left" w:pos="1485"/>
        </w:tabs>
        <w:ind w:firstLine="480"/>
        <w:rPr>
          <w:rFonts w:eastAsia="仿宋_GB2312"/>
        </w:rPr>
      </w:pPr>
      <w:r>
        <w:rPr>
          <w:rFonts w:hint="eastAsia" w:eastAsia="仿宋_GB2312"/>
        </w:rPr>
        <w:t>（7）《工程勘察设计收费标准》，国家计委，建设部[2002]10号；</w:t>
      </w:r>
    </w:p>
    <w:p>
      <w:pPr>
        <w:tabs>
          <w:tab w:val="left" w:pos="851"/>
          <w:tab w:val="left" w:pos="1485"/>
        </w:tabs>
        <w:ind w:firstLine="480"/>
        <w:rPr>
          <w:rFonts w:eastAsia="仿宋_GB2312"/>
        </w:rPr>
      </w:pPr>
      <w:r>
        <w:rPr>
          <w:rFonts w:hint="eastAsia" w:eastAsia="仿宋_GB2312"/>
        </w:rPr>
        <w:t>（8）《水土保持工程质量评定规程》（SL336-2006）；</w:t>
      </w:r>
    </w:p>
    <w:p>
      <w:pPr>
        <w:tabs>
          <w:tab w:val="left" w:pos="851"/>
          <w:tab w:val="left" w:pos="1485"/>
        </w:tabs>
        <w:ind w:firstLine="480"/>
        <w:rPr>
          <w:rFonts w:eastAsia="仿宋_GB2312"/>
        </w:rPr>
      </w:pPr>
      <w:r>
        <w:rPr>
          <w:rFonts w:eastAsia="仿宋_GB2312"/>
        </w:rPr>
        <w:t>（</w:t>
      </w:r>
      <w:r>
        <w:rPr>
          <w:rFonts w:hint="eastAsia" w:eastAsia="仿宋_GB2312"/>
        </w:rPr>
        <w:t>9</w:t>
      </w:r>
      <w:r>
        <w:rPr>
          <w:rFonts w:eastAsia="仿宋_GB2312"/>
        </w:rPr>
        <w:t>）《建设工程监理与相关服务收费管理规定》(发改价格[2007]670号文)</w:t>
      </w:r>
      <w:r>
        <w:rPr>
          <w:rFonts w:hint="eastAsia" w:eastAsia="仿宋_GB2312"/>
        </w:rPr>
        <w:t>；</w:t>
      </w:r>
    </w:p>
    <w:p>
      <w:pPr>
        <w:tabs>
          <w:tab w:val="left" w:pos="851"/>
          <w:tab w:val="left" w:pos="1485"/>
        </w:tabs>
        <w:ind w:firstLine="480"/>
        <w:rPr>
          <w:rFonts w:eastAsia="仿宋_GB2312"/>
        </w:rPr>
      </w:pPr>
      <w:r>
        <w:rPr>
          <w:rFonts w:hint="eastAsia" w:eastAsia="仿宋_GB2312"/>
        </w:rPr>
        <w:t>(10) 《水土保持工程设计规范》（GB51018-2014）。</w:t>
      </w:r>
    </w:p>
    <w:p>
      <w:pPr>
        <w:pStyle w:val="4"/>
        <w:keepLines/>
        <w:widowControl/>
        <w:numPr>
          <w:ilvl w:val="2"/>
          <w:numId w:val="1"/>
        </w:numPr>
        <w:tabs>
          <w:tab w:val="clear" w:pos="432"/>
          <w:tab w:val="clear" w:pos="960"/>
        </w:tabs>
        <w:kinsoku/>
        <w:overflowPunct/>
        <w:topLinePunct w:val="0"/>
        <w:autoSpaceDE/>
        <w:autoSpaceDN/>
        <w:adjustRightInd/>
        <w:snapToGrid/>
        <w:ind w:left="0" w:firstLine="0"/>
        <w:jc w:val="both"/>
        <w:rPr>
          <w:rFonts w:eastAsia="仿宋_GB2312"/>
        </w:rPr>
      </w:pPr>
      <w:r>
        <w:rPr>
          <w:rFonts w:eastAsia="仿宋_GB2312"/>
        </w:rPr>
        <w:t>技术资料</w:t>
      </w:r>
      <w:bookmarkEnd w:id="62"/>
      <w:bookmarkEnd w:id="63"/>
    </w:p>
    <w:p>
      <w:pPr>
        <w:tabs>
          <w:tab w:val="left" w:pos="851"/>
          <w:tab w:val="left" w:pos="1485"/>
        </w:tabs>
        <w:ind w:firstLine="480"/>
        <w:rPr>
          <w:rFonts w:eastAsia="仿宋_GB2312"/>
        </w:rPr>
      </w:pPr>
      <w:r>
        <w:rPr>
          <w:rFonts w:hint="eastAsia" w:eastAsia="仿宋_GB2312"/>
        </w:rPr>
        <w:t>（1）</w:t>
      </w:r>
      <w:r>
        <w:rPr>
          <w:rFonts w:eastAsia="仿宋_GB2312"/>
        </w:rPr>
        <w:t>《</w:t>
      </w:r>
      <w:r>
        <w:rPr>
          <w:rFonts w:hint="eastAsia" w:eastAsia="仿宋_GB2312"/>
        </w:rPr>
        <w:t>第十四师224团小区给水管网改造项目初步设计报告</w:t>
      </w:r>
      <w:r>
        <w:rPr>
          <w:rFonts w:eastAsia="仿宋_GB2312"/>
        </w:rPr>
        <w:t>》</w:t>
      </w:r>
      <w:r>
        <w:rPr>
          <w:rFonts w:hint="eastAsia" w:eastAsia="仿宋_GB2312"/>
        </w:rPr>
        <w:t>（安徽省城建设计研究总院股份有限公司，2020年7月）</w:t>
      </w:r>
      <w:r>
        <w:rPr>
          <w:rFonts w:eastAsia="仿宋_GB2312"/>
        </w:rPr>
        <w:t>；</w:t>
      </w:r>
    </w:p>
    <w:p>
      <w:pPr>
        <w:tabs>
          <w:tab w:val="left" w:pos="851"/>
          <w:tab w:val="left" w:pos="1485"/>
        </w:tabs>
        <w:ind w:firstLine="480"/>
        <w:rPr>
          <w:rFonts w:eastAsia="仿宋_GB2312"/>
        </w:rPr>
      </w:pPr>
      <w:r>
        <w:rPr>
          <w:rFonts w:eastAsia="仿宋_GB2312"/>
        </w:rPr>
        <w:t>（</w:t>
      </w:r>
      <w:r>
        <w:rPr>
          <w:rFonts w:hint="eastAsia" w:eastAsia="仿宋_GB2312"/>
        </w:rPr>
        <w:t>2</w:t>
      </w:r>
      <w:r>
        <w:rPr>
          <w:rFonts w:eastAsia="仿宋_GB2312"/>
        </w:rPr>
        <w:t>）其它与工程有关的设计资料</w:t>
      </w:r>
      <w:r>
        <w:rPr>
          <w:rFonts w:hint="eastAsia" w:eastAsia="仿宋_GB2312"/>
        </w:rPr>
        <w:t>；</w:t>
      </w:r>
    </w:p>
    <w:p>
      <w:pPr>
        <w:tabs>
          <w:tab w:val="left" w:pos="851"/>
          <w:tab w:val="left" w:pos="1485"/>
        </w:tabs>
        <w:ind w:firstLine="480"/>
        <w:rPr>
          <w:rFonts w:eastAsia="仿宋_GB2312"/>
        </w:rPr>
      </w:pPr>
      <w:r>
        <w:rPr>
          <w:rFonts w:eastAsia="仿宋_GB2312"/>
        </w:rPr>
        <w:t>（</w:t>
      </w:r>
      <w:r>
        <w:rPr>
          <w:rFonts w:hint="eastAsia" w:eastAsia="仿宋_GB2312"/>
        </w:rPr>
        <w:t>3</w:t>
      </w:r>
      <w:r>
        <w:rPr>
          <w:rFonts w:eastAsia="仿宋_GB2312"/>
        </w:rPr>
        <w:t>）《新疆生产建设兵团水土保持规划2015-2030年》（新疆生产建设兵团，2017年）</w:t>
      </w:r>
      <w:r>
        <w:rPr>
          <w:rFonts w:hint="eastAsia" w:eastAsia="仿宋_GB2312"/>
        </w:rPr>
        <w:t>。</w:t>
      </w:r>
    </w:p>
    <w:p>
      <w:pPr>
        <w:pStyle w:val="3"/>
        <w:widowControl/>
        <w:numPr>
          <w:ilvl w:val="1"/>
          <w:numId w:val="1"/>
        </w:numPr>
        <w:tabs>
          <w:tab w:val="clear" w:pos="1002"/>
        </w:tabs>
        <w:topLinePunct w:val="0"/>
        <w:adjustRightInd/>
        <w:snapToGrid/>
        <w:ind w:left="0" w:firstLine="0"/>
        <w:jc w:val="both"/>
        <w:rPr>
          <w:rFonts w:eastAsia="仿宋_GB2312"/>
        </w:rPr>
      </w:pPr>
      <w:bookmarkStart w:id="64" w:name="_Toc7801538"/>
      <w:bookmarkStart w:id="65" w:name="_Toc47381517"/>
      <w:bookmarkStart w:id="66" w:name="_Toc7801378"/>
      <w:bookmarkStart w:id="67" w:name="_Toc7801445"/>
      <w:r>
        <w:rPr>
          <w:rFonts w:eastAsia="仿宋_GB2312"/>
        </w:rPr>
        <w:t>设计水平年</w:t>
      </w:r>
      <w:bookmarkEnd w:id="64"/>
      <w:bookmarkEnd w:id="65"/>
      <w:bookmarkEnd w:id="66"/>
      <w:bookmarkEnd w:id="67"/>
    </w:p>
    <w:p>
      <w:pPr>
        <w:tabs>
          <w:tab w:val="left" w:pos="851"/>
          <w:tab w:val="left" w:pos="1485"/>
        </w:tabs>
        <w:ind w:firstLine="480"/>
        <w:rPr>
          <w:rFonts w:eastAsia="仿宋_GB2312"/>
        </w:rPr>
      </w:pPr>
      <w:r>
        <w:rPr>
          <w:rFonts w:eastAsia="仿宋_GB2312"/>
        </w:rPr>
        <w:t>根据《水土保持法》第二十七条</w:t>
      </w:r>
      <w:r>
        <w:rPr>
          <w:rFonts w:hint="eastAsia" w:eastAsia="仿宋_GB2312"/>
        </w:rPr>
        <w:t>“</w:t>
      </w:r>
      <w:r>
        <w:rPr>
          <w:rFonts w:eastAsia="仿宋_GB2312"/>
        </w:rPr>
        <w:t>依法应当编制水土保持方案的生产建设项目中的水土保持设施，必须与主体工程同时设计、同时施工、同时投产、使用；生产建设项目竣工验收，应当验收水土保持设施；水土保持设施未经验收或者验收不合格的，生产建设项目不得投产使用。</w:t>
      </w:r>
      <w:r>
        <w:rPr>
          <w:rFonts w:hint="eastAsia" w:eastAsia="仿宋_GB2312"/>
        </w:rPr>
        <w:t>”</w:t>
      </w:r>
      <w:r>
        <w:rPr>
          <w:rFonts w:eastAsia="仿宋_GB2312"/>
        </w:rPr>
        <w:t>的要求，水土保持方案设计深度与主体工程设计深度同步，方案编制深度为</w:t>
      </w:r>
      <w:r>
        <w:rPr>
          <w:rFonts w:hint="eastAsia" w:eastAsia="仿宋_GB2312"/>
        </w:rPr>
        <w:t>可研设计</w:t>
      </w:r>
      <w:r>
        <w:rPr>
          <w:rFonts w:eastAsia="仿宋_GB2312"/>
        </w:rPr>
        <w:t>深度。</w:t>
      </w:r>
    </w:p>
    <w:p>
      <w:pPr>
        <w:tabs>
          <w:tab w:val="left" w:pos="851"/>
          <w:tab w:val="left" w:pos="1485"/>
        </w:tabs>
        <w:ind w:firstLine="480"/>
        <w:rPr>
          <w:rFonts w:eastAsia="仿宋_GB2312"/>
        </w:rPr>
      </w:pPr>
      <w:r>
        <w:rPr>
          <w:rFonts w:eastAsia="仿宋_GB2312"/>
        </w:rPr>
        <w:t>本项目</w:t>
      </w:r>
      <w:r>
        <w:rPr>
          <w:rFonts w:hint="eastAsia" w:eastAsia="仿宋_GB2312"/>
        </w:rPr>
        <w:t>计划</w:t>
      </w:r>
      <w:r>
        <w:rPr>
          <w:rFonts w:eastAsia="仿宋_GB2312"/>
        </w:rPr>
        <w:t>于20</w:t>
      </w:r>
      <w:r>
        <w:rPr>
          <w:rFonts w:hint="eastAsia" w:eastAsia="仿宋_GB2312"/>
        </w:rPr>
        <w:t>21</w:t>
      </w:r>
      <w:r>
        <w:rPr>
          <w:rFonts w:eastAsia="仿宋_GB2312"/>
        </w:rPr>
        <w:t>年</w:t>
      </w:r>
      <w:r>
        <w:rPr>
          <w:rFonts w:hint="eastAsia" w:eastAsia="仿宋_GB2312"/>
        </w:rPr>
        <w:t>9</w:t>
      </w:r>
      <w:r>
        <w:rPr>
          <w:rFonts w:eastAsia="仿宋_GB2312"/>
        </w:rPr>
        <w:t>月开工建设，于20</w:t>
      </w:r>
      <w:r>
        <w:rPr>
          <w:rFonts w:hint="eastAsia" w:eastAsia="仿宋_GB2312"/>
        </w:rPr>
        <w:t>21</w:t>
      </w:r>
      <w:r>
        <w:rPr>
          <w:rFonts w:eastAsia="仿宋_GB2312"/>
        </w:rPr>
        <w:t>年</w:t>
      </w:r>
      <w:r>
        <w:rPr>
          <w:rFonts w:hint="eastAsia" w:eastAsia="仿宋_GB2312"/>
        </w:rPr>
        <w:t>12</w:t>
      </w:r>
      <w:r>
        <w:rPr>
          <w:rFonts w:eastAsia="仿宋_GB2312"/>
        </w:rPr>
        <w:t>月竣工，水土保持方案的设计水平年为主体工程</w:t>
      </w:r>
      <w:r>
        <w:rPr>
          <w:rFonts w:hint="eastAsia" w:eastAsia="仿宋_GB2312"/>
        </w:rPr>
        <w:t>完工后当年</w:t>
      </w:r>
      <w:r>
        <w:rPr>
          <w:rFonts w:eastAsia="仿宋_GB2312"/>
        </w:rPr>
        <w:t>，即</w:t>
      </w:r>
      <w:r>
        <w:rPr>
          <w:rFonts w:hint="eastAsia" w:eastAsia="仿宋_GB2312"/>
        </w:rPr>
        <w:t>2021</w:t>
      </w:r>
      <w:r>
        <w:rPr>
          <w:rFonts w:eastAsia="仿宋_GB2312"/>
        </w:rPr>
        <w:t>年。</w:t>
      </w:r>
    </w:p>
    <w:p>
      <w:pPr>
        <w:pStyle w:val="3"/>
        <w:widowControl/>
        <w:numPr>
          <w:ilvl w:val="1"/>
          <w:numId w:val="1"/>
        </w:numPr>
        <w:tabs>
          <w:tab w:val="clear" w:pos="1002"/>
        </w:tabs>
        <w:topLinePunct w:val="0"/>
        <w:adjustRightInd/>
        <w:snapToGrid/>
        <w:ind w:left="0" w:firstLine="0"/>
        <w:jc w:val="both"/>
        <w:rPr>
          <w:rFonts w:eastAsia="仿宋_GB2312"/>
        </w:rPr>
      </w:pPr>
      <w:bookmarkStart w:id="68" w:name="_Toc7801446"/>
      <w:bookmarkStart w:id="69" w:name="_Toc7801379"/>
      <w:bookmarkStart w:id="70" w:name="_Toc47381518"/>
      <w:bookmarkStart w:id="71" w:name="_Toc7801539"/>
      <w:r>
        <w:rPr>
          <w:rFonts w:eastAsia="仿宋_GB2312"/>
        </w:rPr>
        <w:t>水土流失防治责任范围</w:t>
      </w:r>
      <w:bookmarkEnd w:id="68"/>
      <w:bookmarkEnd w:id="69"/>
      <w:bookmarkEnd w:id="70"/>
      <w:bookmarkEnd w:id="71"/>
    </w:p>
    <w:p>
      <w:pPr>
        <w:tabs>
          <w:tab w:val="left" w:pos="851"/>
          <w:tab w:val="left" w:pos="1485"/>
        </w:tabs>
        <w:ind w:firstLine="480"/>
        <w:rPr>
          <w:rFonts w:eastAsia="仿宋_GB2312"/>
        </w:rPr>
      </w:pPr>
      <w:r>
        <w:rPr>
          <w:rFonts w:eastAsia="仿宋_GB2312"/>
        </w:rPr>
        <w:t>根据水土保持法律法规规定的“谁开发谁保护，谁造成水土流失谁治理”的原则，按照</w:t>
      </w:r>
      <w:r>
        <w:rPr>
          <w:rFonts w:hint="eastAsia" w:eastAsia="仿宋_GB2312"/>
        </w:rPr>
        <w:t>《生产建设项目水土保持技术标准》（GB 50433-2018）</w:t>
      </w:r>
      <w:r>
        <w:rPr>
          <w:rFonts w:eastAsia="仿宋_GB2312"/>
        </w:rPr>
        <w:t>规定和实地调查勘测结果，确定本工程水土流失防治责任范围</w:t>
      </w:r>
      <w:r>
        <w:rPr>
          <w:rFonts w:hint="eastAsia" w:eastAsia="仿宋_GB2312"/>
        </w:rPr>
        <w:t>。</w:t>
      </w:r>
      <w:r>
        <w:rPr>
          <w:rFonts w:eastAsia="仿宋_GB2312"/>
        </w:rPr>
        <w:t>水土流失防治责任范围应包括项目永久征地、临时占地以及其他使用及管辖区域。</w:t>
      </w:r>
    </w:p>
    <w:p>
      <w:pPr>
        <w:tabs>
          <w:tab w:val="left" w:pos="851"/>
          <w:tab w:val="left" w:pos="1485"/>
        </w:tabs>
        <w:ind w:firstLine="480"/>
        <w:rPr>
          <w:rFonts w:eastAsia="仿宋_GB2312"/>
        </w:rPr>
      </w:pPr>
      <w:r>
        <w:rPr>
          <w:rFonts w:eastAsia="仿宋_GB2312"/>
        </w:rPr>
        <w:t>本项目水土流失防治责任范围为</w:t>
      </w:r>
      <w:r>
        <w:rPr>
          <w:rFonts w:hint="eastAsia" w:eastAsia="仿宋_GB2312"/>
        </w:rPr>
        <w:t>1.84h</w:t>
      </w:r>
      <w:r>
        <w:rPr>
          <w:rFonts w:eastAsia="仿宋_GB2312"/>
        </w:rPr>
        <w:t>m²，</w:t>
      </w:r>
      <w:r>
        <w:rPr>
          <w:rFonts w:hint="eastAsia" w:eastAsia="仿宋_GB2312"/>
        </w:rPr>
        <w:t>其中</w:t>
      </w:r>
      <w:r>
        <w:rPr>
          <w:rFonts w:eastAsia="仿宋_GB2312"/>
        </w:rPr>
        <w:t>永久占地</w:t>
      </w:r>
      <w:r>
        <w:rPr>
          <w:rFonts w:hint="eastAsia" w:eastAsia="仿宋_GB2312"/>
        </w:rPr>
        <w:t>0.11h</w:t>
      </w:r>
      <w:r>
        <w:rPr>
          <w:rFonts w:eastAsia="仿宋_GB2312"/>
        </w:rPr>
        <w:t>m²</w:t>
      </w:r>
      <w:r>
        <w:rPr>
          <w:rFonts w:hint="eastAsia" w:eastAsia="仿宋_GB2312"/>
        </w:rPr>
        <w:t>，临时</w:t>
      </w:r>
      <w:r>
        <w:rPr>
          <w:rFonts w:eastAsia="仿宋_GB2312"/>
        </w:rPr>
        <w:t>占地</w:t>
      </w:r>
      <w:r>
        <w:rPr>
          <w:rFonts w:hint="eastAsia" w:eastAsia="仿宋_GB2312"/>
        </w:rPr>
        <w:t>1.73h</w:t>
      </w:r>
      <w:r>
        <w:rPr>
          <w:rFonts w:eastAsia="仿宋_GB2312"/>
        </w:rPr>
        <w:t>m²</w:t>
      </w:r>
      <w:r>
        <w:rPr>
          <w:rFonts w:hint="eastAsia" w:eastAsia="仿宋_GB2312"/>
        </w:rPr>
        <w:t>，</w:t>
      </w:r>
      <w:r>
        <w:rPr>
          <w:rFonts w:eastAsia="仿宋_GB2312"/>
        </w:rPr>
        <w:t>均为项目建设区面积。</w:t>
      </w:r>
    </w:p>
    <w:p>
      <w:pPr>
        <w:pStyle w:val="3"/>
        <w:widowControl/>
        <w:numPr>
          <w:ilvl w:val="1"/>
          <w:numId w:val="1"/>
        </w:numPr>
        <w:tabs>
          <w:tab w:val="clear" w:pos="1002"/>
        </w:tabs>
        <w:topLinePunct w:val="0"/>
        <w:adjustRightInd/>
        <w:snapToGrid/>
        <w:ind w:left="0" w:firstLine="0"/>
        <w:jc w:val="both"/>
        <w:rPr>
          <w:rFonts w:eastAsia="仿宋_GB2312"/>
        </w:rPr>
      </w:pPr>
      <w:bookmarkStart w:id="72" w:name="_Toc7801540"/>
      <w:bookmarkStart w:id="73" w:name="_Toc7801447"/>
      <w:bookmarkStart w:id="74" w:name="_Toc47381519"/>
      <w:bookmarkStart w:id="75" w:name="_Toc7801380"/>
      <w:r>
        <w:rPr>
          <w:rFonts w:eastAsia="仿宋_GB2312"/>
        </w:rPr>
        <w:t>水土流失防治目标</w:t>
      </w:r>
      <w:bookmarkEnd w:id="72"/>
      <w:bookmarkEnd w:id="73"/>
      <w:bookmarkEnd w:id="74"/>
      <w:bookmarkEnd w:id="75"/>
    </w:p>
    <w:p>
      <w:pPr>
        <w:pStyle w:val="4"/>
        <w:keepLines/>
        <w:widowControl/>
        <w:numPr>
          <w:ilvl w:val="2"/>
          <w:numId w:val="1"/>
        </w:numPr>
        <w:tabs>
          <w:tab w:val="clear" w:pos="432"/>
          <w:tab w:val="clear" w:pos="960"/>
        </w:tabs>
        <w:kinsoku/>
        <w:overflowPunct/>
        <w:topLinePunct w:val="0"/>
        <w:autoSpaceDE/>
        <w:autoSpaceDN/>
        <w:adjustRightInd/>
        <w:snapToGrid/>
        <w:ind w:left="0" w:firstLine="0"/>
        <w:jc w:val="both"/>
        <w:rPr>
          <w:rFonts w:eastAsia="仿宋_GB2312"/>
        </w:rPr>
      </w:pPr>
      <w:r>
        <w:rPr>
          <w:rFonts w:eastAsia="仿宋_GB2312"/>
        </w:rPr>
        <w:t>执行标准等级</w:t>
      </w:r>
    </w:p>
    <w:p>
      <w:pPr>
        <w:tabs>
          <w:tab w:val="left" w:pos="851"/>
          <w:tab w:val="left" w:pos="1485"/>
        </w:tabs>
        <w:ind w:firstLine="480"/>
        <w:rPr>
          <w:rFonts w:eastAsia="仿宋_GB2312"/>
        </w:rPr>
      </w:pPr>
      <w:r>
        <w:rPr>
          <w:rFonts w:eastAsia="仿宋_GB2312"/>
        </w:rPr>
        <w:t>项目区地处</w:t>
      </w:r>
      <w:r>
        <w:rPr>
          <w:rFonts w:hint="eastAsia" w:eastAsia="仿宋_GB2312"/>
        </w:rPr>
        <w:t>新疆生产建设兵团第十四师224团境内</w:t>
      </w:r>
      <w:r>
        <w:rPr>
          <w:rFonts w:eastAsia="仿宋_GB2312"/>
        </w:rPr>
        <w:t>，位于《全国水土保持区域（试行）》中划定的“北方风沙区”。</w:t>
      </w:r>
      <w:r>
        <w:rPr>
          <w:rFonts w:hint="eastAsia" w:eastAsia="仿宋_GB2312"/>
        </w:rPr>
        <w:t>224团距离墨玉县约40km，224团</w:t>
      </w:r>
      <w:r>
        <w:rPr>
          <w:rFonts w:eastAsia="仿宋_GB2312"/>
        </w:rPr>
        <w:t>水土流失重点预防区和重点治理区划分</w:t>
      </w:r>
      <w:r>
        <w:rPr>
          <w:rFonts w:hint="eastAsia" w:eastAsia="仿宋_GB2312"/>
        </w:rPr>
        <w:t>可按墨玉县考虑，</w:t>
      </w:r>
      <w:r>
        <w:rPr>
          <w:rFonts w:eastAsia="仿宋_GB2312"/>
        </w:rPr>
        <w:t>根据《全国水土保持规划国家级水土流失重点预防区和重点治理区复核划分成果》，</w:t>
      </w:r>
      <w:r>
        <w:rPr>
          <w:rFonts w:hint="eastAsia" w:eastAsia="仿宋_GB2312"/>
        </w:rPr>
        <w:t>224团（按墨玉县考虑）</w:t>
      </w:r>
      <w:r>
        <w:rPr>
          <w:rFonts w:eastAsia="仿宋_GB2312"/>
        </w:rPr>
        <w:t>属于塔里木河国家级水土流失重点预防区。</w:t>
      </w:r>
      <w:r>
        <w:rPr>
          <w:rFonts w:hint="eastAsia" w:eastAsia="仿宋_GB2312"/>
        </w:rPr>
        <w:t>根据</w:t>
      </w:r>
      <w:r>
        <w:rPr>
          <w:rFonts w:eastAsia="仿宋_GB2312"/>
        </w:rPr>
        <w:t>《关于印发新疆自治区级水土流失重点预防区和重点治理区复核划分成果的通知》（新水水保[2019]4号）</w:t>
      </w:r>
      <w:r>
        <w:rPr>
          <w:rFonts w:hint="eastAsia" w:eastAsia="仿宋_GB2312"/>
        </w:rPr>
        <w:t>，224团（按墨玉县考虑）不属于</w:t>
      </w:r>
      <w:r>
        <w:rPr>
          <w:rFonts w:eastAsia="仿宋_GB2312"/>
        </w:rPr>
        <w:t>新疆自治区级水土流失重点预防区和重点治理区</w:t>
      </w:r>
      <w:r>
        <w:rPr>
          <w:rFonts w:hint="eastAsia" w:eastAsia="仿宋_GB2312"/>
        </w:rPr>
        <w:t>。</w:t>
      </w:r>
      <w:r>
        <w:rPr>
          <w:rFonts w:eastAsia="仿宋_GB2312"/>
        </w:rPr>
        <w:t>根据《新疆生产建设兵团水土保持规划（2015-2030）》，</w:t>
      </w:r>
      <w:r>
        <w:rPr>
          <w:rFonts w:hint="eastAsia" w:eastAsia="仿宋_GB2312"/>
        </w:rPr>
        <w:t>第十四师224团</w:t>
      </w:r>
      <w:r>
        <w:rPr>
          <w:rFonts w:eastAsia="仿宋_GB2312"/>
        </w:rPr>
        <w:t>属于</w:t>
      </w:r>
      <w:r>
        <w:rPr>
          <w:rFonts w:hint="eastAsia" w:eastAsia="仿宋_GB2312"/>
        </w:rPr>
        <w:t>塔里木河流域兵团级水土流失重点治理区。</w:t>
      </w:r>
      <w:r>
        <w:rPr>
          <w:rFonts w:eastAsia="仿宋_GB2312"/>
        </w:rPr>
        <w:t>按照《生产建设项目水土流失防治标准》（GB/T50434-2018）</w:t>
      </w:r>
      <w:r>
        <w:rPr>
          <w:rFonts w:hint="eastAsia" w:eastAsia="仿宋_GB2312"/>
        </w:rPr>
        <w:t>及《全国水土保持区划（试行）》</w:t>
      </w:r>
      <w:r>
        <w:rPr>
          <w:rFonts w:eastAsia="仿宋_GB2312"/>
        </w:rPr>
        <w:t>的基本要求和规定，本工程水土流失防治执行北方风沙区建设类一级防治标准。</w:t>
      </w:r>
    </w:p>
    <w:p>
      <w:pPr>
        <w:pStyle w:val="4"/>
        <w:keepLines/>
        <w:widowControl/>
        <w:numPr>
          <w:ilvl w:val="2"/>
          <w:numId w:val="1"/>
        </w:numPr>
        <w:tabs>
          <w:tab w:val="clear" w:pos="432"/>
          <w:tab w:val="clear" w:pos="960"/>
        </w:tabs>
        <w:kinsoku/>
        <w:overflowPunct/>
        <w:topLinePunct w:val="0"/>
        <w:autoSpaceDE/>
        <w:autoSpaceDN/>
        <w:adjustRightInd/>
        <w:snapToGrid/>
        <w:ind w:left="0" w:firstLine="0"/>
        <w:jc w:val="both"/>
        <w:rPr>
          <w:rFonts w:eastAsia="仿宋_GB2312"/>
        </w:rPr>
      </w:pPr>
      <w:r>
        <w:rPr>
          <w:rFonts w:eastAsia="仿宋_GB2312"/>
        </w:rPr>
        <w:t>防治目标</w:t>
      </w:r>
    </w:p>
    <w:p>
      <w:pPr>
        <w:tabs>
          <w:tab w:val="left" w:pos="851"/>
          <w:tab w:val="left" w:pos="1485"/>
        </w:tabs>
        <w:ind w:firstLine="480"/>
        <w:rPr>
          <w:rFonts w:eastAsia="仿宋_GB2312"/>
        </w:rPr>
      </w:pPr>
      <w:r>
        <w:rPr>
          <w:rFonts w:eastAsia="仿宋_GB2312"/>
        </w:rPr>
        <w:t>本工程水土流失防治执行北方风沙区</w:t>
      </w:r>
      <w:r>
        <w:rPr>
          <w:rFonts w:hint="eastAsia" w:eastAsia="仿宋_GB2312"/>
        </w:rPr>
        <w:t>建设项目一</w:t>
      </w:r>
      <w:r>
        <w:rPr>
          <w:rFonts w:eastAsia="仿宋_GB2312"/>
        </w:rPr>
        <w:t>级标准</w:t>
      </w:r>
      <w:r>
        <w:rPr>
          <w:rFonts w:hint="eastAsia" w:eastAsia="仿宋_GB2312"/>
        </w:rPr>
        <w:t>，根据</w:t>
      </w:r>
      <w:r>
        <w:rPr>
          <w:rFonts w:eastAsia="仿宋_GB2312"/>
        </w:rPr>
        <w:t>《</w:t>
      </w:r>
      <w:r>
        <w:rPr>
          <w:rFonts w:hint="eastAsia" w:eastAsia="仿宋_GB2312"/>
        </w:rPr>
        <w:t>生产</w:t>
      </w:r>
      <w:r>
        <w:rPr>
          <w:rFonts w:eastAsia="仿宋_GB2312"/>
        </w:rPr>
        <w:t>建设项目水土流失防治标准》（GB</w:t>
      </w:r>
      <w:r>
        <w:rPr>
          <w:rFonts w:hint="eastAsia" w:eastAsia="仿宋_GB2312"/>
        </w:rPr>
        <w:t>/T</w:t>
      </w:r>
      <w:r>
        <w:rPr>
          <w:rFonts w:eastAsia="仿宋_GB2312"/>
        </w:rPr>
        <w:t>50434－2018）</w:t>
      </w:r>
      <w:r>
        <w:rPr>
          <w:rFonts w:hint="eastAsia" w:eastAsia="仿宋_GB2312"/>
        </w:rPr>
        <w:t>确定</w:t>
      </w:r>
      <w:r>
        <w:rPr>
          <w:rFonts w:hint="eastAsia" w:ascii="仿宋_GB2312" w:hAnsi="Calibri" w:eastAsia="仿宋_GB2312" w:cs="仿宋_GB2312"/>
        </w:rPr>
        <w:t>本项目</w:t>
      </w:r>
      <w:r>
        <w:rPr>
          <w:rFonts w:eastAsia="仿宋_GB2312"/>
        </w:rPr>
        <w:t>设计水平年的防治目标值为：水土流失治理度</w:t>
      </w:r>
      <w:r>
        <w:rPr>
          <w:rFonts w:hint="eastAsia" w:eastAsia="仿宋_GB2312"/>
        </w:rPr>
        <w:t>85</w:t>
      </w:r>
      <w:r>
        <w:rPr>
          <w:rFonts w:eastAsia="仿宋_GB2312"/>
        </w:rPr>
        <w:t>%，水土流失控制比</w:t>
      </w:r>
      <w:r>
        <w:rPr>
          <w:rFonts w:hint="eastAsia" w:eastAsia="仿宋_GB2312"/>
        </w:rPr>
        <w:t>1.0</w:t>
      </w:r>
      <w:r>
        <w:rPr>
          <w:rFonts w:eastAsia="仿宋_GB2312"/>
        </w:rPr>
        <w:t>，渣土防护率8</w:t>
      </w:r>
      <w:r>
        <w:rPr>
          <w:rFonts w:hint="eastAsia" w:eastAsia="仿宋_GB2312"/>
        </w:rPr>
        <w:t>7</w:t>
      </w:r>
      <w:r>
        <w:rPr>
          <w:rFonts w:eastAsia="仿宋_GB2312"/>
        </w:rPr>
        <w:t>%</w:t>
      </w:r>
      <w:r>
        <w:rPr>
          <w:rFonts w:hint="eastAsia" w:eastAsia="仿宋_GB2312"/>
        </w:rPr>
        <w:t>，林草植被恢复率、林草覆盖率、</w:t>
      </w:r>
      <w:r>
        <w:rPr>
          <w:rFonts w:eastAsia="仿宋_GB2312"/>
        </w:rPr>
        <w:t>表土保护率不作要求</w:t>
      </w:r>
      <w:r>
        <w:rPr>
          <w:rFonts w:hint="eastAsia" w:eastAsia="仿宋_GB2312"/>
        </w:rPr>
        <w:t>。</w:t>
      </w:r>
    </w:p>
    <w:p>
      <w:pPr>
        <w:tabs>
          <w:tab w:val="left" w:pos="840"/>
          <w:tab w:val="left" w:pos="1485"/>
        </w:tabs>
        <w:spacing w:line="240" w:lineRule="auto"/>
        <w:ind w:firstLine="0" w:firstLineChars="0"/>
        <w:jc w:val="center"/>
        <w:rPr>
          <w:rFonts w:eastAsia="仿宋_GB2312"/>
          <w:b/>
        </w:rPr>
      </w:pPr>
      <w:r>
        <w:rPr>
          <w:rFonts w:eastAsia="仿宋_GB2312"/>
          <w:b/>
        </w:rPr>
        <w:t>表</w:t>
      </w:r>
      <w:r>
        <w:rPr>
          <w:rFonts w:hint="eastAsia" w:eastAsia="仿宋_GB2312"/>
          <w:b/>
        </w:rPr>
        <w:t>1.5</w:t>
      </w:r>
      <w:r>
        <w:rPr>
          <w:rFonts w:eastAsia="仿宋_GB2312"/>
          <w:b/>
        </w:rPr>
        <w:t>-</w:t>
      </w:r>
      <w:r>
        <w:rPr>
          <w:rFonts w:hint="eastAsia" w:eastAsia="仿宋_GB2312"/>
          <w:b/>
        </w:rPr>
        <w:t>1    项目区</w:t>
      </w:r>
      <w:r>
        <w:rPr>
          <w:rFonts w:eastAsia="仿宋_GB2312"/>
          <w:b/>
        </w:rPr>
        <w:t>水土流失防治指标值</w:t>
      </w:r>
    </w:p>
    <w:tbl>
      <w:tblPr>
        <w:tblStyle w:val="40"/>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236"/>
        <w:gridCol w:w="1046"/>
        <w:gridCol w:w="1047"/>
        <w:gridCol w:w="1047"/>
        <w:gridCol w:w="1112"/>
        <w:gridCol w:w="981"/>
        <w:gridCol w:w="104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313" w:type="pct"/>
            <w:vMerge w:val="restart"/>
            <w:vAlign w:val="center"/>
          </w:tcPr>
          <w:p>
            <w:pPr>
              <w:widowControl/>
              <w:spacing w:line="240" w:lineRule="auto"/>
              <w:ind w:firstLine="0" w:firstLineChars="0"/>
              <w:jc w:val="center"/>
              <w:rPr>
                <w:rFonts w:eastAsia="仿宋_GB2312"/>
                <w:sz w:val="21"/>
                <w:szCs w:val="21"/>
              </w:rPr>
            </w:pPr>
            <w:r>
              <w:rPr>
                <w:rFonts w:hint="eastAsia" w:eastAsia="仿宋_GB2312"/>
                <w:sz w:val="21"/>
                <w:szCs w:val="21"/>
              </w:rPr>
              <w:t>防治指标</w:t>
            </w:r>
          </w:p>
        </w:tc>
        <w:tc>
          <w:tcPr>
            <w:tcW w:w="1229" w:type="pct"/>
            <w:gridSpan w:val="2"/>
            <w:vAlign w:val="center"/>
          </w:tcPr>
          <w:p>
            <w:pPr>
              <w:widowControl/>
              <w:spacing w:line="240" w:lineRule="auto"/>
              <w:ind w:firstLine="0" w:firstLineChars="0"/>
              <w:jc w:val="center"/>
              <w:rPr>
                <w:rFonts w:eastAsia="仿宋_GB2312"/>
                <w:sz w:val="21"/>
                <w:szCs w:val="21"/>
              </w:rPr>
            </w:pPr>
            <w:r>
              <w:rPr>
                <w:rFonts w:eastAsia="仿宋_GB2312"/>
                <w:sz w:val="21"/>
                <w:szCs w:val="21"/>
              </w:rPr>
              <w:t>规范标准</w:t>
            </w:r>
          </w:p>
        </w:tc>
        <w:tc>
          <w:tcPr>
            <w:tcW w:w="615" w:type="pct"/>
            <w:vMerge w:val="restart"/>
            <w:vAlign w:val="center"/>
          </w:tcPr>
          <w:p>
            <w:pPr>
              <w:widowControl/>
              <w:spacing w:line="240" w:lineRule="auto"/>
              <w:ind w:firstLine="0" w:firstLineChars="0"/>
              <w:jc w:val="center"/>
              <w:rPr>
                <w:rFonts w:eastAsia="仿宋_GB2312"/>
                <w:sz w:val="21"/>
                <w:szCs w:val="21"/>
              </w:rPr>
            </w:pPr>
            <w:r>
              <w:rPr>
                <w:rFonts w:eastAsia="仿宋_GB2312"/>
                <w:sz w:val="21"/>
                <w:szCs w:val="21"/>
              </w:rPr>
              <w:t>按干旱程度修正</w:t>
            </w:r>
          </w:p>
        </w:tc>
        <w:tc>
          <w:tcPr>
            <w:tcW w:w="653" w:type="pct"/>
            <w:vMerge w:val="restart"/>
            <w:vAlign w:val="center"/>
          </w:tcPr>
          <w:p>
            <w:pPr>
              <w:widowControl/>
              <w:spacing w:line="240" w:lineRule="auto"/>
              <w:ind w:firstLine="0" w:firstLineChars="0"/>
              <w:jc w:val="center"/>
              <w:rPr>
                <w:rFonts w:eastAsia="仿宋_GB2312"/>
                <w:sz w:val="21"/>
                <w:szCs w:val="21"/>
              </w:rPr>
            </w:pPr>
            <w:r>
              <w:rPr>
                <w:rFonts w:eastAsia="仿宋_GB2312"/>
                <w:sz w:val="21"/>
                <w:szCs w:val="21"/>
              </w:rPr>
              <w:t>按土壤侵蚀强度修正</w:t>
            </w:r>
          </w:p>
        </w:tc>
        <w:tc>
          <w:tcPr>
            <w:tcW w:w="1190" w:type="pct"/>
            <w:gridSpan w:val="2"/>
            <w:vAlign w:val="center"/>
          </w:tcPr>
          <w:p>
            <w:pPr>
              <w:widowControl/>
              <w:spacing w:line="240" w:lineRule="auto"/>
              <w:ind w:firstLine="0" w:firstLineChars="0"/>
              <w:jc w:val="center"/>
              <w:rPr>
                <w:rFonts w:eastAsia="仿宋_GB2312"/>
                <w:sz w:val="21"/>
                <w:szCs w:val="21"/>
              </w:rPr>
            </w:pPr>
            <w:r>
              <w:rPr>
                <w:rFonts w:eastAsia="仿宋_GB2312"/>
                <w:sz w:val="21"/>
                <w:szCs w:val="21"/>
              </w:rPr>
              <w:t>采用标准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313" w:type="pct"/>
            <w:vMerge w:val="continue"/>
            <w:vAlign w:val="center"/>
          </w:tcPr>
          <w:p>
            <w:pPr>
              <w:widowControl/>
              <w:spacing w:line="240" w:lineRule="auto"/>
              <w:ind w:firstLine="420"/>
              <w:jc w:val="center"/>
              <w:rPr>
                <w:rFonts w:eastAsia="仿宋_GB2312"/>
                <w:sz w:val="21"/>
                <w:szCs w:val="21"/>
              </w:rPr>
            </w:pPr>
          </w:p>
        </w:tc>
        <w:tc>
          <w:tcPr>
            <w:tcW w:w="614" w:type="pct"/>
            <w:vAlign w:val="center"/>
          </w:tcPr>
          <w:p>
            <w:pPr>
              <w:spacing w:line="240" w:lineRule="auto"/>
              <w:ind w:firstLine="0" w:firstLineChars="0"/>
              <w:jc w:val="center"/>
              <w:rPr>
                <w:rFonts w:eastAsia="仿宋_GB2312"/>
                <w:sz w:val="21"/>
                <w:szCs w:val="21"/>
              </w:rPr>
            </w:pPr>
            <w:r>
              <w:rPr>
                <w:rFonts w:eastAsia="仿宋_GB2312"/>
                <w:sz w:val="21"/>
                <w:szCs w:val="21"/>
              </w:rPr>
              <w:t>施工期</w:t>
            </w:r>
          </w:p>
        </w:tc>
        <w:tc>
          <w:tcPr>
            <w:tcW w:w="615" w:type="pct"/>
            <w:vAlign w:val="center"/>
          </w:tcPr>
          <w:p>
            <w:pPr>
              <w:widowControl/>
              <w:spacing w:line="240" w:lineRule="auto"/>
              <w:ind w:firstLine="0" w:firstLineChars="0"/>
              <w:jc w:val="center"/>
              <w:rPr>
                <w:rFonts w:eastAsia="仿宋_GB2312"/>
                <w:sz w:val="21"/>
                <w:szCs w:val="21"/>
              </w:rPr>
            </w:pPr>
            <w:r>
              <w:rPr>
                <w:rFonts w:eastAsia="仿宋_GB2312"/>
                <w:sz w:val="21"/>
                <w:szCs w:val="21"/>
              </w:rPr>
              <w:t>设计水平年</w:t>
            </w:r>
          </w:p>
        </w:tc>
        <w:tc>
          <w:tcPr>
            <w:tcW w:w="615" w:type="pct"/>
            <w:vMerge w:val="continue"/>
            <w:vAlign w:val="center"/>
          </w:tcPr>
          <w:p>
            <w:pPr>
              <w:widowControl/>
              <w:spacing w:line="240" w:lineRule="auto"/>
              <w:ind w:firstLine="0" w:firstLineChars="0"/>
              <w:jc w:val="center"/>
              <w:rPr>
                <w:rFonts w:eastAsia="仿宋_GB2312"/>
                <w:sz w:val="21"/>
                <w:szCs w:val="21"/>
              </w:rPr>
            </w:pPr>
          </w:p>
        </w:tc>
        <w:tc>
          <w:tcPr>
            <w:tcW w:w="653" w:type="pct"/>
            <w:vMerge w:val="continue"/>
            <w:vAlign w:val="center"/>
          </w:tcPr>
          <w:p>
            <w:pPr>
              <w:widowControl/>
              <w:spacing w:line="240" w:lineRule="auto"/>
              <w:ind w:firstLine="0" w:firstLineChars="0"/>
              <w:jc w:val="center"/>
              <w:rPr>
                <w:rFonts w:eastAsia="仿宋_GB2312"/>
                <w:sz w:val="21"/>
                <w:szCs w:val="21"/>
              </w:rPr>
            </w:pPr>
          </w:p>
        </w:tc>
        <w:tc>
          <w:tcPr>
            <w:tcW w:w="576" w:type="pct"/>
            <w:vAlign w:val="center"/>
          </w:tcPr>
          <w:p>
            <w:pPr>
              <w:spacing w:line="240" w:lineRule="auto"/>
              <w:ind w:firstLine="0" w:firstLineChars="0"/>
              <w:jc w:val="center"/>
              <w:rPr>
                <w:rFonts w:eastAsia="仿宋_GB2312"/>
                <w:sz w:val="21"/>
                <w:szCs w:val="21"/>
              </w:rPr>
            </w:pPr>
            <w:r>
              <w:rPr>
                <w:rFonts w:eastAsia="仿宋_GB2312"/>
                <w:sz w:val="21"/>
                <w:szCs w:val="21"/>
              </w:rPr>
              <w:t>施工期</w:t>
            </w:r>
          </w:p>
        </w:tc>
        <w:tc>
          <w:tcPr>
            <w:tcW w:w="614" w:type="pct"/>
            <w:vAlign w:val="center"/>
          </w:tcPr>
          <w:p>
            <w:pPr>
              <w:widowControl/>
              <w:spacing w:line="240" w:lineRule="auto"/>
              <w:ind w:firstLine="0" w:firstLineChars="0"/>
              <w:jc w:val="center"/>
              <w:rPr>
                <w:rFonts w:eastAsia="仿宋_GB2312"/>
                <w:sz w:val="21"/>
                <w:szCs w:val="21"/>
              </w:rPr>
            </w:pPr>
            <w:r>
              <w:rPr>
                <w:rFonts w:eastAsia="仿宋_GB2312"/>
                <w:sz w:val="21"/>
                <w:szCs w:val="21"/>
              </w:rPr>
              <w:t>设计水平年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313" w:type="pct"/>
            <w:vAlign w:val="center"/>
          </w:tcPr>
          <w:p>
            <w:pPr>
              <w:widowControl/>
              <w:spacing w:line="240" w:lineRule="auto"/>
              <w:ind w:firstLine="0" w:firstLineChars="0"/>
              <w:jc w:val="center"/>
              <w:rPr>
                <w:rFonts w:eastAsia="仿宋_GB2312"/>
                <w:sz w:val="21"/>
                <w:szCs w:val="21"/>
              </w:rPr>
            </w:pPr>
            <w:r>
              <w:rPr>
                <w:rFonts w:eastAsia="仿宋_GB2312"/>
                <w:sz w:val="21"/>
                <w:szCs w:val="21"/>
              </w:rPr>
              <w:t>水土流失治理度（%）</w:t>
            </w:r>
          </w:p>
        </w:tc>
        <w:tc>
          <w:tcPr>
            <w:tcW w:w="614" w:type="pct"/>
            <w:vAlign w:val="center"/>
          </w:tcPr>
          <w:p>
            <w:pPr>
              <w:widowControl/>
              <w:spacing w:line="240" w:lineRule="auto"/>
              <w:ind w:firstLine="0" w:firstLineChars="0"/>
              <w:jc w:val="center"/>
              <w:rPr>
                <w:rFonts w:eastAsia="仿宋_GB2312"/>
                <w:sz w:val="21"/>
                <w:szCs w:val="21"/>
              </w:rPr>
            </w:pPr>
            <w:r>
              <w:rPr>
                <w:rFonts w:eastAsia="仿宋_GB2312"/>
                <w:sz w:val="21"/>
                <w:szCs w:val="21"/>
              </w:rPr>
              <w:t>-</w:t>
            </w:r>
          </w:p>
        </w:tc>
        <w:tc>
          <w:tcPr>
            <w:tcW w:w="615" w:type="pct"/>
            <w:vAlign w:val="center"/>
          </w:tcPr>
          <w:p>
            <w:pPr>
              <w:widowControl/>
              <w:spacing w:line="240" w:lineRule="auto"/>
              <w:ind w:firstLine="0" w:firstLineChars="0"/>
              <w:jc w:val="center"/>
              <w:rPr>
                <w:rFonts w:eastAsia="仿宋_GB2312"/>
                <w:sz w:val="21"/>
                <w:szCs w:val="21"/>
              </w:rPr>
            </w:pPr>
            <w:r>
              <w:rPr>
                <w:rFonts w:hint="eastAsia" w:eastAsia="仿宋_GB2312"/>
                <w:sz w:val="21"/>
                <w:szCs w:val="21"/>
              </w:rPr>
              <w:t>85</w:t>
            </w:r>
          </w:p>
        </w:tc>
        <w:tc>
          <w:tcPr>
            <w:tcW w:w="615" w:type="pct"/>
            <w:vAlign w:val="center"/>
          </w:tcPr>
          <w:p>
            <w:pPr>
              <w:widowControl/>
              <w:spacing w:line="240" w:lineRule="auto"/>
              <w:ind w:firstLine="0" w:firstLineChars="0"/>
              <w:jc w:val="center"/>
              <w:rPr>
                <w:rFonts w:eastAsia="仿宋_GB2312"/>
                <w:sz w:val="21"/>
                <w:szCs w:val="21"/>
              </w:rPr>
            </w:pPr>
            <w:r>
              <w:rPr>
                <w:rFonts w:hint="eastAsia" w:eastAsia="仿宋_GB2312"/>
                <w:sz w:val="21"/>
                <w:szCs w:val="21"/>
              </w:rPr>
              <w:t>0</w:t>
            </w:r>
          </w:p>
        </w:tc>
        <w:tc>
          <w:tcPr>
            <w:tcW w:w="653" w:type="pct"/>
            <w:vAlign w:val="center"/>
          </w:tcPr>
          <w:p>
            <w:pPr>
              <w:widowControl/>
              <w:spacing w:line="240" w:lineRule="auto"/>
              <w:ind w:firstLine="0" w:firstLineChars="0"/>
              <w:jc w:val="center"/>
              <w:rPr>
                <w:rFonts w:eastAsia="仿宋_GB2312"/>
                <w:sz w:val="21"/>
                <w:szCs w:val="21"/>
              </w:rPr>
            </w:pPr>
            <w:r>
              <w:rPr>
                <w:rFonts w:eastAsia="仿宋_GB2312"/>
                <w:sz w:val="21"/>
                <w:szCs w:val="21"/>
              </w:rPr>
              <w:t>0</w:t>
            </w:r>
          </w:p>
        </w:tc>
        <w:tc>
          <w:tcPr>
            <w:tcW w:w="576" w:type="pct"/>
            <w:vAlign w:val="center"/>
          </w:tcPr>
          <w:p>
            <w:pPr>
              <w:widowControl/>
              <w:spacing w:line="240" w:lineRule="auto"/>
              <w:ind w:firstLine="0" w:firstLineChars="0"/>
              <w:jc w:val="center"/>
              <w:rPr>
                <w:rFonts w:eastAsia="仿宋_GB2312"/>
                <w:sz w:val="21"/>
                <w:szCs w:val="21"/>
              </w:rPr>
            </w:pPr>
            <w:r>
              <w:rPr>
                <w:rFonts w:eastAsia="仿宋_GB2312"/>
                <w:sz w:val="21"/>
                <w:szCs w:val="21"/>
              </w:rPr>
              <w:t>-</w:t>
            </w:r>
          </w:p>
        </w:tc>
        <w:tc>
          <w:tcPr>
            <w:tcW w:w="614" w:type="pct"/>
            <w:vAlign w:val="center"/>
          </w:tcPr>
          <w:p>
            <w:pPr>
              <w:widowControl/>
              <w:spacing w:line="240" w:lineRule="auto"/>
              <w:ind w:firstLine="0" w:firstLineChars="0"/>
              <w:jc w:val="center"/>
              <w:rPr>
                <w:rFonts w:eastAsia="仿宋_GB2312"/>
                <w:sz w:val="21"/>
                <w:szCs w:val="21"/>
              </w:rPr>
            </w:pPr>
            <w:r>
              <w:rPr>
                <w:rFonts w:hint="eastAsia" w:eastAsia="仿宋_GB2312"/>
                <w:sz w:val="21"/>
                <w:szCs w:val="21"/>
              </w:rPr>
              <w:t>85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313" w:type="pct"/>
            <w:vAlign w:val="center"/>
          </w:tcPr>
          <w:p>
            <w:pPr>
              <w:widowControl/>
              <w:spacing w:line="240" w:lineRule="auto"/>
              <w:ind w:firstLine="0" w:firstLineChars="0"/>
              <w:jc w:val="center"/>
              <w:rPr>
                <w:rFonts w:eastAsia="仿宋_GB2312"/>
                <w:sz w:val="21"/>
                <w:szCs w:val="21"/>
              </w:rPr>
            </w:pPr>
            <w:r>
              <w:rPr>
                <w:rFonts w:eastAsia="仿宋_GB2312"/>
                <w:sz w:val="21"/>
                <w:szCs w:val="21"/>
              </w:rPr>
              <w:t>土壤流失控制比</w:t>
            </w:r>
          </w:p>
        </w:tc>
        <w:tc>
          <w:tcPr>
            <w:tcW w:w="614" w:type="pct"/>
            <w:vAlign w:val="center"/>
          </w:tcPr>
          <w:p>
            <w:pPr>
              <w:widowControl/>
              <w:spacing w:line="240" w:lineRule="auto"/>
              <w:ind w:firstLine="0" w:firstLineChars="0"/>
              <w:jc w:val="center"/>
              <w:rPr>
                <w:rFonts w:eastAsia="仿宋_GB2312"/>
                <w:sz w:val="21"/>
                <w:szCs w:val="21"/>
              </w:rPr>
            </w:pPr>
            <w:r>
              <w:rPr>
                <w:rFonts w:eastAsia="仿宋_GB2312"/>
                <w:sz w:val="21"/>
                <w:szCs w:val="21"/>
              </w:rPr>
              <w:t>-</w:t>
            </w:r>
          </w:p>
        </w:tc>
        <w:tc>
          <w:tcPr>
            <w:tcW w:w="615" w:type="pct"/>
            <w:vAlign w:val="center"/>
          </w:tcPr>
          <w:p>
            <w:pPr>
              <w:widowControl/>
              <w:spacing w:line="240" w:lineRule="auto"/>
              <w:ind w:firstLine="0" w:firstLineChars="0"/>
              <w:jc w:val="center"/>
              <w:rPr>
                <w:rFonts w:eastAsia="仿宋_GB2312"/>
                <w:sz w:val="21"/>
                <w:szCs w:val="21"/>
              </w:rPr>
            </w:pPr>
            <w:r>
              <w:rPr>
                <w:rFonts w:hint="eastAsia" w:eastAsia="仿宋_GB2312"/>
                <w:sz w:val="21"/>
                <w:szCs w:val="21"/>
              </w:rPr>
              <w:t>0.80</w:t>
            </w:r>
          </w:p>
        </w:tc>
        <w:tc>
          <w:tcPr>
            <w:tcW w:w="615" w:type="pct"/>
            <w:vAlign w:val="center"/>
          </w:tcPr>
          <w:p>
            <w:pPr>
              <w:widowControl/>
              <w:spacing w:line="240" w:lineRule="auto"/>
              <w:ind w:firstLine="0" w:firstLineChars="0"/>
              <w:jc w:val="center"/>
              <w:rPr>
                <w:rFonts w:eastAsia="仿宋_GB2312"/>
                <w:sz w:val="21"/>
                <w:szCs w:val="21"/>
              </w:rPr>
            </w:pPr>
            <w:r>
              <w:rPr>
                <w:rFonts w:eastAsia="仿宋_GB2312"/>
                <w:sz w:val="21"/>
                <w:szCs w:val="21"/>
              </w:rPr>
              <w:t>0</w:t>
            </w:r>
          </w:p>
        </w:tc>
        <w:tc>
          <w:tcPr>
            <w:tcW w:w="653" w:type="pct"/>
            <w:vAlign w:val="center"/>
          </w:tcPr>
          <w:p>
            <w:pPr>
              <w:widowControl/>
              <w:spacing w:line="240" w:lineRule="auto"/>
              <w:ind w:firstLine="0" w:firstLineChars="0"/>
              <w:jc w:val="center"/>
              <w:rPr>
                <w:rFonts w:eastAsia="仿宋_GB2312"/>
                <w:sz w:val="21"/>
                <w:szCs w:val="21"/>
              </w:rPr>
            </w:pPr>
            <w:r>
              <w:rPr>
                <w:rFonts w:eastAsia="仿宋_GB2312"/>
                <w:sz w:val="21"/>
                <w:szCs w:val="21"/>
              </w:rPr>
              <w:t>+0.2</w:t>
            </w:r>
            <w:r>
              <w:rPr>
                <w:rFonts w:hint="eastAsia" w:eastAsia="仿宋_GB2312"/>
                <w:sz w:val="21"/>
                <w:szCs w:val="21"/>
              </w:rPr>
              <w:t>0</w:t>
            </w:r>
          </w:p>
        </w:tc>
        <w:tc>
          <w:tcPr>
            <w:tcW w:w="576" w:type="pct"/>
            <w:vAlign w:val="center"/>
          </w:tcPr>
          <w:p>
            <w:pPr>
              <w:widowControl/>
              <w:spacing w:line="240" w:lineRule="auto"/>
              <w:ind w:firstLine="0" w:firstLineChars="0"/>
              <w:jc w:val="center"/>
              <w:rPr>
                <w:rFonts w:eastAsia="仿宋_GB2312"/>
                <w:sz w:val="21"/>
                <w:szCs w:val="21"/>
              </w:rPr>
            </w:pPr>
            <w:r>
              <w:rPr>
                <w:rFonts w:eastAsia="仿宋_GB2312"/>
                <w:sz w:val="21"/>
                <w:szCs w:val="21"/>
              </w:rPr>
              <w:t>-</w:t>
            </w:r>
          </w:p>
        </w:tc>
        <w:tc>
          <w:tcPr>
            <w:tcW w:w="614" w:type="pct"/>
            <w:vAlign w:val="center"/>
          </w:tcPr>
          <w:p>
            <w:pPr>
              <w:widowControl/>
              <w:spacing w:line="240" w:lineRule="auto"/>
              <w:ind w:firstLine="0" w:firstLineChars="0"/>
              <w:jc w:val="center"/>
              <w:rPr>
                <w:rFonts w:eastAsia="仿宋_GB2312"/>
                <w:sz w:val="21"/>
                <w:szCs w:val="21"/>
              </w:rPr>
            </w:pPr>
            <w:r>
              <w:rPr>
                <w:rFonts w:eastAsia="仿宋_GB2312"/>
                <w:sz w:val="21"/>
                <w:szCs w:val="21"/>
              </w:rP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313" w:type="pct"/>
            <w:vAlign w:val="center"/>
          </w:tcPr>
          <w:p>
            <w:pPr>
              <w:widowControl/>
              <w:spacing w:line="240" w:lineRule="auto"/>
              <w:ind w:firstLine="0" w:firstLineChars="0"/>
              <w:jc w:val="center"/>
              <w:rPr>
                <w:rFonts w:eastAsia="仿宋_GB2312"/>
                <w:sz w:val="21"/>
                <w:szCs w:val="21"/>
              </w:rPr>
            </w:pPr>
            <w:r>
              <w:rPr>
                <w:rFonts w:eastAsia="仿宋_GB2312"/>
                <w:sz w:val="21"/>
                <w:szCs w:val="21"/>
              </w:rPr>
              <w:t>渣土防护率（%）</w:t>
            </w:r>
          </w:p>
        </w:tc>
        <w:tc>
          <w:tcPr>
            <w:tcW w:w="614" w:type="pct"/>
            <w:vAlign w:val="center"/>
          </w:tcPr>
          <w:p>
            <w:pPr>
              <w:widowControl/>
              <w:spacing w:line="240" w:lineRule="auto"/>
              <w:ind w:firstLine="0" w:firstLineChars="0"/>
              <w:jc w:val="center"/>
              <w:rPr>
                <w:rFonts w:eastAsia="仿宋_GB2312"/>
                <w:sz w:val="21"/>
                <w:szCs w:val="21"/>
              </w:rPr>
            </w:pPr>
            <w:r>
              <w:rPr>
                <w:rFonts w:eastAsia="仿宋_GB2312"/>
                <w:sz w:val="21"/>
                <w:szCs w:val="21"/>
              </w:rPr>
              <w:t>8</w:t>
            </w:r>
            <w:r>
              <w:rPr>
                <w:rFonts w:hint="eastAsia" w:eastAsia="仿宋_GB2312"/>
                <w:sz w:val="21"/>
                <w:szCs w:val="21"/>
              </w:rPr>
              <w:t>5</w:t>
            </w:r>
          </w:p>
        </w:tc>
        <w:tc>
          <w:tcPr>
            <w:tcW w:w="615" w:type="pct"/>
            <w:vAlign w:val="center"/>
          </w:tcPr>
          <w:p>
            <w:pPr>
              <w:widowControl/>
              <w:spacing w:line="240" w:lineRule="auto"/>
              <w:ind w:firstLine="0" w:firstLineChars="0"/>
              <w:jc w:val="center"/>
              <w:rPr>
                <w:rFonts w:eastAsia="仿宋_GB2312"/>
                <w:sz w:val="21"/>
                <w:szCs w:val="21"/>
              </w:rPr>
            </w:pPr>
            <w:r>
              <w:rPr>
                <w:rFonts w:hint="eastAsia" w:eastAsia="仿宋_GB2312"/>
                <w:sz w:val="21"/>
                <w:szCs w:val="21"/>
              </w:rPr>
              <w:t>87</w:t>
            </w:r>
          </w:p>
        </w:tc>
        <w:tc>
          <w:tcPr>
            <w:tcW w:w="615" w:type="pct"/>
            <w:vAlign w:val="center"/>
          </w:tcPr>
          <w:p>
            <w:pPr>
              <w:widowControl/>
              <w:spacing w:line="240" w:lineRule="auto"/>
              <w:ind w:firstLine="0" w:firstLineChars="0"/>
              <w:jc w:val="center"/>
              <w:rPr>
                <w:rFonts w:eastAsia="仿宋_GB2312"/>
                <w:sz w:val="21"/>
                <w:szCs w:val="21"/>
              </w:rPr>
            </w:pPr>
            <w:r>
              <w:rPr>
                <w:rFonts w:eastAsia="仿宋_GB2312"/>
                <w:sz w:val="21"/>
                <w:szCs w:val="21"/>
              </w:rPr>
              <w:t>0</w:t>
            </w:r>
          </w:p>
        </w:tc>
        <w:tc>
          <w:tcPr>
            <w:tcW w:w="653" w:type="pct"/>
            <w:vAlign w:val="center"/>
          </w:tcPr>
          <w:p>
            <w:pPr>
              <w:widowControl/>
              <w:spacing w:line="240" w:lineRule="auto"/>
              <w:ind w:firstLine="0" w:firstLineChars="0"/>
              <w:jc w:val="center"/>
              <w:rPr>
                <w:rFonts w:eastAsia="仿宋_GB2312"/>
                <w:sz w:val="21"/>
                <w:szCs w:val="21"/>
              </w:rPr>
            </w:pPr>
            <w:r>
              <w:rPr>
                <w:rFonts w:eastAsia="仿宋_GB2312"/>
                <w:sz w:val="21"/>
                <w:szCs w:val="21"/>
              </w:rPr>
              <w:t>0</w:t>
            </w:r>
          </w:p>
        </w:tc>
        <w:tc>
          <w:tcPr>
            <w:tcW w:w="576" w:type="pct"/>
            <w:vAlign w:val="center"/>
          </w:tcPr>
          <w:p>
            <w:pPr>
              <w:widowControl/>
              <w:spacing w:line="240" w:lineRule="auto"/>
              <w:ind w:firstLine="0" w:firstLineChars="0"/>
              <w:jc w:val="center"/>
              <w:rPr>
                <w:rFonts w:eastAsia="仿宋_GB2312"/>
                <w:sz w:val="21"/>
                <w:szCs w:val="21"/>
              </w:rPr>
            </w:pPr>
            <w:r>
              <w:rPr>
                <w:rFonts w:hint="eastAsia" w:eastAsia="仿宋_GB2312"/>
                <w:sz w:val="21"/>
                <w:szCs w:val="21"/>
              </w:rPr>
              <w:t>85</w:t>
            </w:r>
          </w:p>
        </w:tc>
        <w:tc>
          <w:tcPr>
            <w:tcW w:w="614" w:type="pct"/>
            <w:vAlign w:val="center"/>
          </w:tcPr>
          <w:p>
            <w:pPr>
              <w:widowControl/>
              <w:spacing w:line="240" w:lineRule="auto"/>
              <w:ind w:firstLine="0" w:firstLineChars="0"/>
              <w:jc w:val="center"/>
              <w:rPr>
                <w:rFonts w:eastAsia="仿宋_GB2312"/>
                <w:sz w:val="21"/>
                <w:szCs w:val="21"/>
              </w:rPr>
            </w:pPr>
            <w:r>
              <w:rPr>
                <w:rFonts w:hint="eastAsia" w:eastAsia="仿宋_GB2312"/>
                <w:sz w:val="21"/>
                <w:szCs w:val="21"/>
              </w:rPr>
              <w:t>87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313" w:type="pct"/>
            <w:vAlign w:val="center"/>
          </w:tcPr>
          <w:p>
            <w:pPr>
              <w:widowControl/>
              <w:spacing w:line="240" w:lineRule="auto"/>
              <w:ind w:firstLine="0" w:firstLineChars="0"/>
              <w:jc w:val="center"/>
              <w:rPr>
                <w:rFonts w:eastAsia="仿宋_GB2312"/>
                <w:sz w:val="21"/>
                <w:szCs w:val="21"/>
              </w:rPr>
            </w:pPr>
            <w:r>
              <w:rPr>
                <w:rFonts w:eastAsia="仿宋_GB2312"/>
                <w:sz w:val="21"/>
                <w:szCs w:val="21"/>
              </w:rPr>
              <w:t>表土保护率（%）</w:t>
            </w:r>
          </w:p>
        </w:tc>
        <w:tc>
          <w:tcPr>
            <w:tcW w:w="614" w:type="pct"/>
            <w:vAlign w:val="center"/>
          </w:tcPr>
          <w:p>
            <w:pPr>
              <w:widowControl/>
              <w:spacing w:line="240" w:lineRule="auto"/>
              <w:ind w:firstLine="0" w:firstLineChars="0"/>
              <w:jc w:val="center"/>
              <w:rPr>
                <w:rFonts w:eastAsia="仿宋_GB2312"/>
                <w:sz w:val="21"/>
                <w:szCs w:val="21"/>
              </w:rPr>
            </w:pPr>
            <w:r>
              <w:rPr>
                <w:rFonts w:eastAsia="仿宋_GB2312"/>
                <w:sz w:val="21"/>
                <w:szCs w:val="21"/>
              </w:rPr>
              <w:t>*</w:t>
            </w:r>
          </w:p>
        </w:tc>
        <w:tc>
          <w:tcPr>
            <w:tcW w:w="615" w:type="pct"/>
            <w:vAlign w:val="center"/>
          </w:tcPr>
          <w:p>
            <w:pPr>
              <w:widowControl/>
              <w:spacing w:line="240" w:lineRule="auto"/>
              <w:ind w:firstLine="0" w:firstLineChars="0"/>
              <w:jc w:val="center"/>
              <w:rPr>
                <w:rFonts w:eastAsia="仿宋_GB2312"/>
                <w:sz w:val="21"/>
                <w:szCs w:val="21"/>
              </w:rPr>
            </w:pPr>
            <w:r>
              <w:rPr>
                <w:rFonts w:eastAsia="仿宋_GB2312"/>
                <w:sz w:val="21"/>
                <w:szCs w:val="21"/>
              </w:rPr>
              <w:t>*</w:t>
            </w:r>
          </w:p>
        </w:tc>
        <w:tc>
          <w:tcPr>
            <w:tcW w:w="615" w:type="pct"/>
            <w:vAlign w:val="center"/>
          </w:tcPr>
          <w:p>
            <w:pPr>
              <w:widowControl/>
              <w:spacing w:line="240" w:lineRule="auto"/>
              <w:ind w:firstLine="0" w:firstLineChars="0"/>
              <w:jc w:val="center"/>
              <w:rPr>
                <w:rFonts w:eastAsia="仿宋_GB2312"/>
                <w:sz w:val="21"/>
                <w:szCs w:val="21"/>
              </w:rPr>
            </w:pPr>
            <w:r>
              <w:rPr>
                <w:rFonts w:eastAsia="仿宋_GB2312"/>
                <w:sz w:val="21"/>
                <w:szCs w:val="21"/>
              </w:rPr>
              <w:t>*</w:t>
            </w:r>
          </w:p>
        </w:tc>
        <w:tc>
          <w:tcPr>
            <w:tcW w:w="653" w:type="pct"/>
            <w:vAlign w:val="center"/>
          </w:tcPr>
          <w:p>
            <w:pPr>
              <w:widowControl/>
              <w:spacing w:line="240" w:lineRule="auto"/>
              <w:ind w:firstLine="0" w:firstLineChars="0"/>
              <w:jc w:val="center"/>
              <w:rPr>
                <w:rFonts w:eastAsia="仿宋_GB2312"/>
                <w:sz w:val="21"/>
                <w:szCs w:val="21"/>
              </w:rPr>
            </w:pPr>
            <w:r>
              <w:rPr>
                <w:rFonts w:eastAsia="仿宋_GB2312"/>
                <w:sz w:val="21"/>
                <w:szCs w:val="21"/>
              </w:rPr>
              <w:t>*</w:t>
            </w:r>
          </w:p>
        </w:tc>
        <w:tc>
          <w:tcPr>
            <w:tcW w:w="576" w:type="pct"/>
            <w:vAlign w:val="center"/>
          </w:tcPr>
          <w:p>
            <w:pPr>
              <w:widowControl/>
              <w:spacing w:line="240" w:lineRule="auto"/>
              <w:ind w:firstLine="0" w:firstLineChars="0"/>
              <w:jc w:val="center"/>
              <w:rPr>
                <w:rFonts w:eastAsia="仿宋_GB2312"/>
                <w:sz w:val="21"/>
                <w:szCs w:val="21"/>
              </w:rPr>
            </w:pPr>
            <w:r>
              <w:rPr>
                <w:rFonts w:eastAsia="仿宋_GB2312"/>
                <w:sz w:val="21"/>
                <w:szCs w:val="21"/>
              </w:rPr>
              <w:t>*</w:t>
            </w:r>
          </w:p>
        </w:tc>
        <w:tc>
          <w:tcPr>
            <w:tcW w:w="614" w:type="pct"/>
            <w:vAlign w:val="center"/>
          </w:tcPr>
          <w:p>
            <w:pPr>
              <w:widowControl/>
              <w:spacing w:line="240" w:lineRule="auto"/>
              <w:ind w:firstLine="0" w:firstLineChars="0"/>
              <w:jc w:val="center"/>
              <w:rPr>
                <w:rFonts w:eastAsia="仿宋_GB2312"/>
                <w:sz w:val="21"/>
                <w:szCs w:val="21"/>
              </w:rPr>
            </w:pPr>
            <w:r>
              <w:rPr>
                <w:rFonts w:eastAsia="仿宋_GB2312"/>
                <w:sz w:val="21"/>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313" w:type="pct"/>
            <w:vAlign w:val="center"/>
          </w:tcPr>
          <w:p>
            <w:pPr>
              <w:widowControl/>
              <w:spacing w:line="240" w:lineRule="auto"/>
              <w:ind w:firstLine="0" w:firstLineChars="0"/>
              <w:jc w:val="center"/>
              <w:rPr>
                <w:rFonts w:eastAsia="仿宋_GB2312"/>
                <w:sz w:val="21"/>
                <w:szCs w:val="21"/>
              </w:rPr>
            </w:pPr>
            <w:r>
              <w:rPr>
                <w:rFonts w:eastAsia="仿宋_GB2312"/>
                <w:sz w:val="21"/>
                <w:szCs w:val="21"/>
              </w:rPr>
              <w:t>林草植被恢复率（%）</w:t>
            </w:r>
          </w:p>
        </w:tc>
        <w:tc>
          <w:tcPr>
            <w:tcW w:w="614" w:type="pct"/>
            <w:vAlign w:val="center"/>
          </w:tcPr>
          <w:p>
            <w:pPr>
              <w:widowControl/>
              <w:spacing w:line="240" w:lineRule="auto"/>
              <w:ind w:firstLine="0" w:firstLineChars="0"/>
              <w:jc w:val="center"/>
              <w:rPr>
                <w:rFonts w:eastAsia="仿宋_GB2312"/>
                <w:sz w:val="21"/>
                <w:szCs w:val="21"/>
              </w:rPr>
            </w:pPr>
            <w:r>
              <w:rPr>
                <w:rFonts w:eastAsia="仿宋_GB2312"/>
                <w:sz w:val="21"/>
                <w:szCs w:val="21"/>
              </w:rPr>
              <w:t>-</w:t>
            </w:r>
          </w:p>
        </w:tc>
        <w:tc>
          <w:tcPr>
            <w:tcW w:w="615" w:type="pct"/>
            <w:vAlign w:val="center"/>
          </w:tcPr>
          <w:p>
            <w:pPr>
              <w:widowControl/>
              <w:spacing w:line="240" w:lineRule="auto"/>
              <w:ind w:firstLine="0" w:firstLineChars="0"/>
              <w:jc w:val="center"/>
              <w:rPr>
                <w:rFonts w:eastAsia="仿宋_GB2312"/>
                <w:sz w:val="21"/>
                <w:szCs w:val="21"/>
              </w:rPr>
            </w:pPr>
            <w:r>
              <w:rPr>
                <w:rFonts w:hint="eastAsia" w:eastAsia="仿宋_GB2312"/>
                <w:sz w:val="21"/>
                <w:szCs w:val="21"/>
              </w:rPr>
              <w:t>93</w:t>
            </w:r>
          </w:p>
        </w:tc>
        <w:tc>
          <w:tcPr>
            <w:tcW w:w="615" w:type="pct"/>
            <w:vAlign w:val="center"/>
          </w:tcPr>
          <w:p>
            <w:pPr>
              <w:widowControl/>
              <w:spacing w:line="240" w:lineRule="auto"/>
              <w:ind w:firstLine="0" w:firstLineChars="0"/>
              <w:jc w:val="center"/>
              <w:rPr>
                <w:rFonts w:eastAsia="仿宋_GB2312"/>
                <w:sz w:val="21"/>
                <w:szCs w:val="21"/>
              </w:rPr>
            </w:pPr>
            <w:r>
              <w:rPr>
                <w:rFonts w:eastAsia="仿宋_GB2312"/>
                <w:sz w:val="21"/>
                <w:szCs w:val="21"/>
              </w:rPr>
              <w:t>-</w:t>
            </w:r>
            <w:r>
              <w:rPr>
                <w:rFonts w:hint="eastAsia" w:eastAsia="仿宋_GB2312"/>
                <w:sz w:val="21"/>
                <w:szCs w:val="21"/>
              </w:rPr>
              <w:t>93</w:t>
            </w:r>
          </w:p>
        </w:tc>
        <w:tc>
          <w:tcPr>
            <w:tcW w:w="653" w:type="pct"/>
            <w:vAlign w:val="center"/>
          </w:tcPr>
          <w:p>
            <w:pPr>
              <w:widowControl/>
              <w:spacing w:line="240" w:lineRule="auto"/>
              <w:ind w:firstLine="0" w:firstLineChars="0"/>
              <w:jc w:val="center"/>
              <w:rPr>
                <w:rFonts w:eastAsia="仿宋_GB2312"/>
                <w:sz w:val="21"/>
                <w:szCs w:val="21"/>
              </w:rPr>
            </w:pPr>
            <w:r>
              <w:rPr>
                <w:rFonts w:eastAsia="仿宋_GB2312"/>
                <w:sz w:val="21"/>
                <w:szCs w:val="21"/>
              </w:rPr>
              <w:t>0</w:t>
            </w:r>
          </w:p>
        </w:tc>
        <w:tc>
          <w:tcPr>
            <w:tcW w:w="576" w:type="pct"/>
            <w:vAlign w:val="center"/>
          </w:tcPr>
          <w:p>
            <w:pPr>
              <w:widowControl/>
              <w:spacing w:line="240" w:lineRule="auto"/>
              <w:ind w:firstLine="0" w:firstLineChars="0"/>
              <w:jc w:val="center"/>
              <w:rPr>
                <w:rFonts w:eastAsia="仿宋_GB2312"/>
                <w:sz w:val="21"/>
                <w:szCs w:val="21"/>
              </w:rPr>
            </w:pPr>
            <w:r>
              <w:rPr>
                <w:rFonts w:eastAsia="仿宋_GB2312"/>
                <w:sz w:val="21"/>
                <w:szCs w:val="21"/>
              </w:rPr>
              <w:t>-</w:t>
            </w:r>
          </w:p>
        </w:tc>
        <w:tc>
          <w:tcPr>
            <w:tcW w:w="614" w:type="pct"/>
            <w:vAlign w:val="center"/>
          </w:tcPr>
          <w:p>
            <w:pPr>
              <w:widowControl/>
              <w:spacing w:line="240" w:lineRule="auto"/>
              <w:ind w:firstLine="0" w:firstLineChars="0"/>
              <w:jc w:val="center"/>
              <w:rPr>
                <w:rFonts w:eastAsia="仿宋_GB2312"/>
                <w:sz w:val="21"/>
                <w:szCs w:val="21"/>
              </w:rPr>
            </w:pPr>
            <w:r>
              <w:rPr>
                <w:rFonts w:eastAsia="仿宋_GB2312"/>
                <w:sz w:val="21"/>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313" w:type="pct"/>
            <w:vAlign w:val="center"/>
          </w:tcPr>
          <w:p>
            <w:pPr>
              <w:widowControl/>
              <w:spacing w:line="240" w:lineRule="auto"/>
              <w:ind w:firstLine="0" w:firstLineChars="0"/>
              <w:jc w:val="center"/>
              <w:rPr>
                <w:rFonts w:eastAsia="仿宋_GB2312"/>
                <w:sz w:val="21"/>
                <w:szCs w:val="21"/>
              </w:rPr>
            </w:pPr>
            <w:r>
              <w:rPr>
                <w:rFonts w:eastAsia="仿宋_GB2312"/>
                <w:sz w:val="21"/>
                <w:szCs w:val="21"/>
              </w:rPr>
              <w:t>林草覆盖率（%）</w:t>
            </w:r>
          </w:p>
        </w:tc>
        <w:tc>
          <w:tcPr>
            <w:tcW w:w="614" w:type="pct"/>
            <w:vAlign w:val="center"/>
          </w:tcPr>
          <w:p>
            <w:pPr>
              <w:widowControl/>
              <w:spacing w:line="240" w:lineRule="auto"/>
              <w:ind w:firstLine="0" w:firstLineChars="0"/>
              <w:jc w:val="center"/>
              <w:rPr>
                <w:rFonts w:eastAsia="仿宋_GB2312"/>
                <w:sz w:val="21"/>
                <w:szCs w:val="21"/>
              </w:rPr>
            </w:pPr>
            <w:r>
              <w:rPr>
                <w:rFonts w:eastAsia="仿宋_GB2312"/>
                <w:sz w:val="21"/>
                <w:szCs w:val="21"/>
              </w:rPr>
              <w:t>-</w:t>
            </w:r>
          </w:p>
        </w:tc>
        <w:tc>
          <w:tcPr>
            <w:tcW w:w="615" w:type="pct"/>
            <w:vAlign w:val="center"/>
          </w:tcPr>
          <w:p>
            <w:pPr>
              <w:widowControl/>
              <w:spacing w:line="240" w:lineRule="auto"/>
              <w:ind w:firstLine="0" w:firstLineChars="0"/>
              <w:jc w:val="center"/>
              <w:rPr>
                <w:rFonts w:eastAsia="仿宋_GB2312"/>
                <w:sz w:val="21"/>
                <w:szCs w:val="21"/>
              </w:rPr>
            </w:pPr>
            <w:r>
              <w:rPr>
                <w:rFonts w:hint="eastAsia" w:eastAsia="仿宋_GB2312"/>
                <w:sz w:val="21"/>
                <w:szCs w:val="21"/>
              </w:rPr>
              <w:t>20</w:t>
            </w:r>
          </w:p>
        </w:tc>
        <w:tc>
          <w:tcPr>
            <w:tcW w:w="615" w:type="pct"/>
            <w:vAlign w:val="center"/>
          </w:tcPr>
          <w:p>
            <w:pPr>
              <w:widowControl/>
              <w:spacing w:line="240" w:lineRule="auto"/>
              <w:ind w:firstLine="0" w:firstLineChars="0"/>
              <w:jc w:val="center"/>
              <w:rPr>
                <w:rFonts w:eastAsia="仿宋_GB2312"/>
                <w:sz w:val="21"/>
                <w:szCs w:val="21"/>
              </w:rPr>
            </w:pPr>
            <w:r>
              <w:rPr>
                <w:rFonts w:eastAsia="仿宋_GB2312"/>
                <w:sz w:val="21"/>
                <w:szCs w:val="21"/>
              </w:rPr>
              <w:t>-</w:t>
            </w:r>
            <w:r>
              <w:rPr>
                <w:rFonts w:hint="eastAsia" w:eastAsia="仿宋_GB2312"/>
                <w:sz w:val="21"/>
                <w:szCs w:val="21"/>
              </w:rPr>
              <w:t>20</w:t>
            </w:r>
          </w:p>
        </w:tc>
        <w:tc>
          <w:tcPr>
            <w:tcW w:w="653" w:type="pct"/>
            <w:vAlign w:val="center"/>
          </w:tcPr>
          <w:p>
            <w:pPr>
              <w:widowControl/>
              <w:spacing w:line="240" w:lineRule="auto"/>
              <w:ind w:firstLine="0" w:firstLineChars="0"/>
              <w:jc w:val="center"/>
              <w:rPr>
                <w:rFonts w:eastAsia="仿宋_GB2312"/>
                <w:sz w:val="21"/>
                <w:szCs w:val="21"/>
              </w:rPr>
            </w:pPr>
            <w:r>
              <w:rPr>
                <w:rFonts w:eastAsia="仿宋_GB2312"/>
                <w:sz w:val="21"/>
                <w:szCs w:val="21"/>
              </w:rPr>
              <w:t>0</w:t>
            </w:r>
          </w:p>
        </w:tc>
        <w:tc>
          <w:tcPr>
            <w:tcW w:w="576" w:type="pct"/>
            <w:vAlign w:val="center"/>
          </w:tcPr>
          <w:p>
            <w:pPr>
              <w:widowControl/>
              <w:spacing w:line="240" w:lineRule="auto"/>
              <w:ind w:firstLine="0" w:firstLineChars="0"/>
              <w:jc w:val="center"/>
              <w:rPr>
                <w:rFonts w:eastAsia="仿宋_GB2312"/>
                <w:sz w:val="21"/>
                <w:szCs w:val="21"/>
              </w:rPr>
            </w:pPr>
            <w:r>
              <w:rPr>
                <w:rFonts w:eastAsia="仿宋_GB2312"/>
                <w:sz w:val="21"/>
                <w:szCs w:val="21"/>
              </w:rPr>
              <w:t>-</w:t>
            </w:r>
          </w:p>
        </w:tc>
        <w:tc>
          <w:tcPr>
            <w:tcW w:w="614" w:type="pct"/>
            <w:vAlign w:val="center"/>
          </w:tcPr>
          <w:p>
            <w:pPr>
              <w:widowControl/>
              <w:spacing w:line="240" w:lineRule="auto"/>
              <w:ind w:firstLine="0" w:firstLineChars="0"/>
              <w:jc w:val="center"/>
              <w:rPr>
                <w:rFonts w:eastAsia="仿宋_GB2312"/>
                <w:sz w:val="21"/>
                <w:szCs w:val="21"/>
              </w:rPr>
            </w:pPr>
            <w:r>
              <w:rPr>
                <w:rFonts w:eastAsia="仿宋_GB2312"/>
                <w:sz w:val="21"/>
                <w:szCs w:val="21"/>
              </w:rPr>
              <w:t>-</w:t>
            </w:r>
          </w:p>
        </w:tc>
      </w:tr>
    </w:tbl>
    <w:p>
      <w:pPr>
        <w:tabs>
          <w:tab w:val="left" w:pos="851"/>
          <w:tab w:val="left" w:pos="1485"/>
        </w:tabs>
        <w:spacing w:beforeLines="100"/>
        <w:ind w:firstLine="480"/>
        <w:rPr>
          <w:rFonts w:eastAsia="仿宋_GB2312"/>
        </w:rPr>
      </w:pPr>
      <w:r>
        <w:rPr>
          <w:rFonts w:hint="eastAsia" w:eastAsia="仿宋_GB2312"/>
        </w:rPr>
        <w:t>修正过程：</w:t>
      </w:r>
      <w:r>
        <w:rPr>
          <w:rFonts w:eastAsia="仿宋_GB2312"/>
        </w:rPr>
        <w:t>由于项目区属于北方风沙区，</w:t>
      </w:r>
      <w:r>
        <w:rPr>
          <w:rFonts w:hint="eastAsia" w:eastAsia="仿宋_GB2312"/>
        </w:rPr>
        <w:t>项目未占用耕地、园地等生产力较高的土地，</w:t>
      </w:r>
      <w:r>
        <w:rPr>
          <w:rFonts w:eastAsia="仿宋_GB2312"/>
        </w:rPr>
        <w:t>因此表土保护率不作要求</w:t>
      </w:r>
      <w:r>
        <w:rPr>
          <w:rFonts w:hint="eastAsia" w:eastAsia="仿宋_GB2312"/>
        </w:rPr>
        <w:t>；根据</w:t>
      </w:r>
      <w:r>
        <w:rPr>
          <w:rFonts w:eastAsia="仿宋_GB2312"/>
        </w:rPr>
        <w:t>《</w:t>
      </w:r>
      <w:r>
        <w:rPr>
          <w:rFonts w:hint="eastAsia" w:eastAsia="仿宋_GB2312"/>
        </w:rPr>
        <w:t>生产</w:t>
      </w:r>
      <w:r>
        <w:rPr>
          <w:rFonts w:eastAsia="仿宋_GB2312"/>
        </w:rPr>
        <w:t>建设项目水土流失防治标准》（GB</w:t>
      </w:r>
      <w:r>
        <w:rPr>
          <w:rFonts w:hint="eastAsia" w:eastAsia="仿宋_GB2312"/>
        </w:rPr>
        <w:t>/T</w:t>
      </w:r>
      <w:r>
        <w:rPr>
          <w:rFonts w:eastAsia="仿宋_GB2312"/>
        </w:rPr>
        <w:t>50434－2018）</w:t>
      </w:r>
      <w:r>
        <w:rPr>
          <w:rFonts w:hint="eastAsia" w:eastAsia="仿宋_GB2312"/>
        </w:rPr>
        <w:t>4.0.7条“土壤流失控制比在轻度侵蚀为主的区域不应小于1，中度以上侵蚀为主的区域可降低0.1~0.2”，本项目</w:t>
      </w:r>
      <w:r>
        <w:rPr>
          <w:rFonts w:eastAsia="仿宋_GB2312"/>
        </w:rPr>
        <w:t>土壤侵蚀类型</w:t>
      </w:r>
      <w:r>
        <w:rPr>
          <w:rFonts w:hint="eastAsia" w:eastAsia="仿宋_GB2312"/>
        </w:rPr>
        <w:t>以</w:t>
      </w:r>
      <w:r>
        <w:rPr>
          <w:rFonts w:eastAsia="仿宋_GB2312"/>
        </w:rPr>
        <w:t>轻度</w:t>
      </w:r>
      <w:r>
        <w:rPr>
          <w:rFonts w:hint="eastAsia" w:eastAsia="仿宋_GB2312"/>
        </w:rPr>
        <w:t>为主，因此土壤流失控制比确定为1.0；</w:t>
      </w:r>
      <w:r>
        <w:rPr>
          <w:rFonts w:eastAsia="仿宋_GB2312"/>
        </w:rPr>
        <w:t>根据</w:t>
      </w:r>
      <w:r>
        <w:rPr>
          <w:rFonts w:hint="eastAsia" w:eastAsia="仿宋_GB2312"/>
        </w:rPr>
        <w:t>《中国气候区划名称与代码—气候带和气候大区》（GB/T17297—1998），项目区属于暖温带极干旱性气候大区，代码为13E，根据</w:t>
      </w:r>
      <w:r>
        <w:rPr>
          <w:rFonts w:eastAsia="仿宋_GB2312"/>
        </w:rPr>
        <w:t>《</w:t>
      </w:r>
      <w:r>
        <w:rPr>
          <w:rFonts w:hint="eastAsia" w:eastAsia="仿宋_GB2312"/>
        </w:rPr>
        <w:t>生产</w:t>
      </w:r>
      <w:r>
        <w:rPr>
          <w:rFonts w:eastAsia="仿宋_GB2312"/>
        </w:rPr>
        <w:t>建设项目水土流失防治标准》（GB</w:t>
      </w:r>
      <w:r>
        <w:rPr>
          <w:rFonts w:hint="eastAsia" w:eastAsia="仿宋_GB2312"/>
        </w:rPr>
        <w:t>/T</w:t>
      </w:r>
      <w:r>
        <w:rPr>
          <w:rFonts w:eastAsia="仿宋_GB2312"/>
        </w:rPr>
        <w:t>50434－2018）</w:t>
      </w:r>
      <w:r>
        <w:rPr>
          <w:rFonts w:hint="eastAsia" w:eastAsia="仿宋_GB2312"/>
        </w:rPr>
        <w:t>4.0.6条“位于极干旱地区的，林草植被恢复率和林草覆盖率可不作要求，水土流失治理度可降低5</w:t>
      </w:r>
      <w:r>
        <w:rPr>
          <w:rFonts w:eastAsia="仿宋_GB2312"/>
        </w:rPr>
        <w:t>%~</w:t>
      </w:r>
      <w:r>
        <w:rPr>
          <w:rFonts w:hint="eastAsia" w:eastAsia="仿宋_GB2312"/>
        </w:rPr>
        <w:t>8</w:t>
      </w:r>
      <w:r>
        <w:rPr>
          <w:rFonts w:eastAsia="仿宋_GB2312"/>
        </w:rPr>
        <w:t>%</w:t>
      </w:r>
      <w:r>
        <w:rPr>
          <w:rFonts w:hint="eastAsia" w:eastAsia="仿宋_GB2312"/>
        </w:rPr>
        <w:t>”，且施工作业区大部分位于硬化道路下，因此，本项目不考虑采取植物措施，林草植被恢复率、林草覆盖率</w:t>
      </w:r>
      <w:r>
        <w:rPr>
          <w:rFonts w:eastAsia="仿宋_GB2312"/>
        </w:rPr>
        <w:t>不作要求</w:t>
      </w:r>
      <w:r>
        <w:rPr>
          <w:rFonts w:hint="eastAsia" w:eastAsia="仿宋_GB2312"/>
        </w:rPr>
        <w:t>。</w:t>
      </w:r>
    </w:p>
    <w:bookmarkEnd w:id="37"/>
    <w:bookmarkEnd w:id="38"/>
    <w:bookmarkEnd w:id="39"/>
    <w:bookmarkEnd w:id="40"/>
    <w:bookmarkEnd w:id="41"/>
    <w:bookmarkEnd w:id="42"/>
    <w:bookmarkEnd w:id="43"/>
    <w:bookmarkEnd w:id="44"/>
    <w:p>
      <w:pPr>
        <w:pStyle w:val="3"/>
        <w:widowControl/>
        <w:numPr>
          <w:ilvl w:val="1"/>
          <w:numId w:val="1"/>
        </w:numPr>
        <w:tabs>
          <w:tab w:val="clear" w:pos="1002"/>
        </w:tabs>
        <w:topLinePunct w:val="0"/>
        <w:adjustRightInd/>
        <w:snapToGrid/>
        <w:ind w:left="0" w:firstLine="0"/>
        <w:jc w:val="both"/>
        <w:rPr>
          <w:rFonts w:eastAsia="仿宋_GB2312"/>
        </w:rPr>
      </w:pPr>
      <w:bookmarkStart w:id="76" w:name="_Toc4951110"/>
      <w:bookmarkStart w:id="77" w:name="_Toc7801381"/>
      <w:bookmarkStart w:id="78" w:name="_Toc7801541"/>
      <w:bookmarkStart w:id="79" w:name="_Toc47381520"/>
      <w:bookmarkStart w:id="80" w:name="_Toc7801448"/>
      <w:bookmarkStart w:id="81" w:name="_Toc187631280"/>
      <w:bookmarkStart w:id="82" w:name="_Toc188242310"/>
      <w:bookmarkStart w:id="83" w:name="_Toc184022978"/>
      <w:bookmarkStart w:id="84" w:name="_Toc181680714"/>
      <w:bookmarkStart w:id="85" w:name="_Toc184443628"/>
      <w:bookmarkStart w:id="86" w:name="_Toc182194763"/>
      <w:r>
        <w:rPr>
          <w:rFonts w:eastAsia="仿宋_GB2312"/>
        </w:rPr>
        <w:t>项目水土保持评价结论</w:t>
      </w:r>
      <w:bookmarkEnd w:id="76"/>
      <w:bookmarkEnd w:id="77"/>
      <w:bookmarkEnd w:id="78"/>
      <w:bookmarkEnd w:id="79"/>
      <w:bookmarkEnd w:id="80"/>
    </w:p>
    <w:p>
      <w:pPr>
        <w:pStyle w:val="4"/>
        <w:keepLines/>
        <w:widowControl/>
        <w:numPr>
          <w:ilvl w:val="2"/>
          <w:numId w:val="1"/>
        </w:numPr>
        <w:tabs>
          <w:tab w:val="clear" w:pos="432"/>
          <w:tab w:val="clear" w:pos="960"/>
        </w:tabs>
        <w:kinsoku/>
        <w:overflowPunct/>
        <w:topLinePunct w:val="0"/>
        <w:autoSpaceDE/>
        <w:autoSpaceDN/>
        <w:adjustRightInd/>
        <w:snapToGrid/>
        <w:ind w:left="0" w:firstLine="0"/>
        <w:jc w:val="both"/>
        <w:rPr>
          <w:rFonts w:eastAsia="仿宋_GB2312"/>
        </w:rPr>
      </w:pPr>
      <w:r>
        <w:rPr>
          <w:rFonts w:eastAsia="仿宋_GB2312"/>
        </w:rPr>
        <w:t>主体工程选址（线）评价</w:t>
      </w:r>
    </w:p>
    <w:p>
      <w:pPr>
        <w:tabs>
          <w:tab w:val="left" w:pos="851"/>
          <w:tab w:val="left" w:pos="1485"/>
        </w:tabs>
        <w:ind w:firstLine="480"/>
        <w:rPr>
          <w:rFonts w:eastAsia="仿宋_GB2312"/>
        </w:rPr>
      </w:pPr>
      <w:r>
        <w:rPr>
          <w:rFonts w:hint="eastAsia" w:eastAsia="仿宋_GB2312"/>
        </w:rPr>
        <w:t>（1）</w:t>
      </w:r>
      <w:r>
        <w:rPr>
          <w:rFonts w:eastAsia="仿宋_GB2312"/>
        </w:rPr>
        <w:t>项目建设</w:t>
      </w:r>
      <w:r>
        <w:rPr>
          <w:rFonts w:hint="eastAsia" w:eastAsia="仿宋_GB2312"/>
        </w:rPr>
        <w:t>内容基本</w:t>
      </w:r>
      <w:r>
        <w:rPr>
          <w:rFonts w:eastAsia="仿宋_GB2312"/>
        </w:rPr>
        <w:t>符合水保[2007]184号文、《</w:t>
      </w:r>
      <w:r>
        <w:rPr>
          <w:rFonts w:hint="eastAsia" w:eastAsia="仿宋_GB2312"/>
        </w:rPr>
        <w:t>生产</w:t>
      </w:r>
      <w:r>
        <w:rPr>
          <w:rFonts w:eastAsia="仿宋_GB2312"/>
        </w:rPr>
        <w:t>建设项目水土保持技术</w:t>
      </w:r>
      <w:r>
        <w:rPr>
          <w:rFonts w:hint="eastAsia" w:eastAsia="仿宋_GB2312"/>
        </w:rPr>
        <w:t>标准</w:t>
      </w:r>
      <w:r>
        <w:rPr>
          <w:rFonts w:eastAsia="仿宋_GB2312"/>
        </w:rPr>
        <w:t>》(GB50433-2018)及《中华人民共和国水土保持法》的要求，虽然在工程建设中可能会产生一定的水土流失危害，但是工程的建设符合国家产业政策和地方规划</w:t>
      </w:r>
      <w:r>
        <w:rPr>
          <w:rFonts w:hint="eastAsia" w:eastAsia="仿宋_GB2312"/>
        </w:rPr>
        <w:t>，</w:t>
      </w:r>
      <w:r>
        <w:rPr>
          <w:rFonts w:eastAsia="仿宋_GB2312"/>
        </w:rPr>
        <w:t>不存在制约工程建设的水土保持因素，工程建设是可行的。</w:t>
      </w:r>
    </w:p>
    <w:p>
      <w:pPr>
        <w:tabs>
          <w:tab w:val="left" w:pos="851"/>
          <w:tab w:val="left" w:pos="1485"/>
        </w:tabs>
        <w:ind w:firstLine="480"/>
        <w:rPr>
          <w:rFonts w:eastAsia="仿宋_GB2312"/>
        </w:rPr>
      </w:pPr>
      <w:r>
        <w:rPr>
          <w:rFonts w:hint="eastAsia" w:eastAsia="仿宋_GB2312"/>
        </w:rPr>
        <w:t>（2）</w:t>
      </w:r>
      <w:r>
        <w:rPr>
          <w:rFonts w:eastAsia="仿宋_GB2312"/>
        </w:rPr>
        <w:t>项目区地处</w:t>
      </w:r>
      <w:r>
        <w:rPr>
          <w:rFonts w:hint="eastAsia" w:eastAsia="仿宋_GB2312"/>
        </w:rPr>
        <w:t>新疆生产建设兵团第十四师224团，</w:t>
      </w:r>
      <w:r>
        <w:rPr>
          <w:rFonts w:eastAsia="仿宋_GB2312"/>
        </w:rPr>
        <w:t>根据《全国水土保持规划国家级水土流失重点预防区和重点治理区复核划分成果》，</w:t>
      </w:r>
      <w:r>
        <w:rPr>
          <w:rFonts w:hint="eastAsia" w:eastAsia="仿宋_GB2312"/>
        </w:rPr>
        <w:t>224团（按墨玉县考虑）</w:t>
      </w:r>
      <w:r>
        <w:rPr>
          <w:rFonts w:eastAsia="仿宋_GB2312"/>
        </w:rPr>
        <w:t>属于塔里木河国家级水土流失重点预防区</w:t>
      </w:r>
      <w:r>
        <w:rPr>
          <w:rFonts w:hint="eastAsia" w:eastAsia="仿宋_GB2312"/>
        </w:rPr>
        <w:t>；</w:t>
      </w:r>
      <w:r>
        <w:rPr>
          <w:rFonts w:eastAsia="仿宋_GB2312"/>
        </w:rPr>
        <w:t>根据《新疆生产建设兵团水土保持规划（2015-2030）》，</w:t>
      </w:r>
      <w:r>
        <w:rPr>
          <w:rFonts w:hint="eastAsia" w:eastAsia="仿宋_GB2312"/>
        </w:rPr>
        <w:t>第十四师224团</w:t>
      </w:r>
      <w:r>
        <w:rPr>
          <w:rFonts w:eastAsia="仿宋_GB2312"/>
        </w:rPr>
        <w:t>属于</w:t>
      </w:r>
      <w:r>
        <w:rPr>
          <w:rFonts w:hint="eastAsia" w:eastAsia="仿宋_GB2312"/>
        </w:rPr>
        <w:t>塔里木河流域兵团级水土流失重点治理区；</w:t>
      </w:r>
      <w:r>
        <w:rPr>
          <w:rFonts w:eastAsia="仿宋_GB2312"/>
        </w:rPr>
        <w:t>工程征占地范围内不占用国家水土保持定位观测站</w:t>
      </w:r>
      <w:r>
        <w:rPr>
          <w:rFonts w:hint="eastAsia" w:eastAsia="仿宋_GB2312"/>
        </w:rPr>
        <w:t>。</w:t>
      </w:r>
    </w:p>
    <w:p>
      <w:pPr>
        <w:tabs>
          <w:tab w:val="left" w:pos="851"/>
          <w:tab w:val="left" w:pos="1485"/>
        </w:tabs>
        <w:ind w:firstLine="480"/>
        <w:rPr>
          <w:rFonts w:eastAsia="仿宋_GB2312"/>
        </w:rPr>
      </w:pPr>
      <w:r>
        <w:rPr>
          <w:rFonts w:hint="eastAsia" w:eastAsia="仿宋_GB2312"/>
        </w:rPr>
        <w:t>（3）</w:t>
      </w:r>
      <w:r>
        <w:rPr>
          <w:rFonts w:eastAsia="仿宋_GB2312"/>
        </w:rPr>
        <w:t>工程选址也不涉及当地县级以上人民政府规划确定和已建的水土保持重点试验区、监测站点；工程选址不在泥石流易发区、崩塌滑坡危险区等易引起严重水土流失的地区。</w:t>
      </w:r>
    </w:p>
    <w:p>
      <w:pPr>
        <w:tabs>
          <w:tab w:val="left" w:pos="851"/>
          <w:tab w:val="left" w:pos="1485"/>
        </w:tabs>
        <w:ind w:firstLine="480"/>
        <w:rPr>
          <w:rFonts w:eastAsia="仿宋_GB2312"/>
        </w:rPr>
      </w:pPr>
      <w:r>
        <w:rPr>
          <w:rFonts w:hint="eastAsia" w:eastAsia="仿宋_GB2312"/>
        </w:rPr>
        <w:t>（4）</w:t>
      </w:r>
      <w:r>
        <w:rPr>
          <w:rFonts w:eastAsia="仿宋_GB2312"/>
        </w:rPr>
        <w:t>本项目选址不涉及饮用水水源保护区、水功能一级区的保护区和保留区、自然保护区、世界文化和自然遗产地等区域。</w:t>
      </w:r>
      <w:r>
        <w:rPr>
          <w:rFonts w:eastAsia="仿宋_GB2312"/>
        </w:rPr>
        <w:br w:type="textWrapping"/>
      </w:r>
      <w:r>
        <w:rPr>
          <w:rFonts w:eastAsia="仿宋_GB2312"/>
        </w:rPr>
        <w:t> 综上所述，</w:t>
      </w:r>
      <w:r>
        <w:rPr>
          <w:rFonts w:hint="eastAsia" w:eastAsia="仿宋_GB2312"/>
        </w:rPr>
        <w:t>虽然本工程选址无法避让</w:t>
      </w:r>
      <w:r>
        <w:rPr>
          <w:rFonts w:eastAsia="仿宋_GB2312"/>
        </w:rPr>
        <w:t>塔里木河国家级水土流失重点预防区</w:t>
      </w:r>
      <w:r>
        <w:rPr>
          <w:rFonts w:hint="eastAsia" w:eastAsia="仿宋_GB2312"/>
        </w:rPr>
        <w:t>和塔里木河流域兵团级水土流失重点治理区</w:t>
      </w:r>
      <w:r>
        <w:rPr>
          <w:rFonts w:eastAsia="仿宋_GB2312"/>
        </w:rPr>
        <w:t>，</w:t>
      </w:r>
      <w:r>
        <w:rPr>
          <w:rFonts w:hint="eastAsia" w:eastAsia="仿宋_GB2312"/>
        </w:rPr>
        <w:t>但通过执行</w:t>
      </w:r>
      <w:r>
        <w:rPr>
          <w:rFonts w:eastAsia="仿宋_GB2312"/>
        </w:rPr>
        <w:t>北方风沙区</w:t>
      </w:r>
      <w:r>
        <w:rPr>
          <w:rFonts w:hint="eastAsia" w:eastAsia="仿宋_GB2312"/>
        </w:rPr>
        <w:t>建设项目一</w:t>
      </w:r>
      <w:r>
        <w:rPr>
          <w:rFonts w:eastAsia="仿宋_GB2312"/>
        </w:rPr>
        <w:t>级标准</w:t>
      </w:r>
      <w:r>
        <w:rPr>
          <w:rFonts w:hint="eastAsia" w:eastAsia="仿宋_GB2312"/>
        </w:rPr>
        <w:t>，</w:t>
      </w:r>
      <w:r>
        <w:rPr>
          <w:rFonts w:eastAsia="仿宋_GB2312"/>
        </w:rPr>
        <w:t>建设期加强管理，减少地表扰动</w:t>
      </w:r>
      <w:r>
        <w:rPr>
          <w:rFonts w:hint="eastAsia" w:eastAsia="仿宋_GB2312"/>
        </w:rPr>
        <w:t>，</w:t>
      </w:r>
      <w:r>
        <w:rPr>
          <w:rFonts w:eastAsia="仿宋_GB2312"/>
        </w:rPr>
        <w:t>项目建设</w:t>
      </w:r>
      <w:r>
        <w:rPr>
          <w:rFonts w:hint="eastAsia" w:eastAsia="仿宋_GB2312"/>
        </w:rPr>
        <w:t>还是</w:t>
      </w:r>
      <w:r>
        <w:rPr>
          <w:rFonts w:eastAsia="仿宋_GB2312"/>
        </w:rPr>
        <w:t>可行</w:t>
      </w:r>
      <w:r>
        <w:rPr>
          <w:rFonts w:hint="eastAsia" w:eastAsia="仿宋_GB2312"/>
        </w:rPr>
        <w:t>的</w:t>
      </w:r>
      <w:r>
        <w:rPr>
          <w:rFonts w:eastAsia="仿宋_GB2312"/>
        </w:rPr>
        <w:t>。主体工程在设计时已充分考虑减少工程占地，节约利用土地资源等因素合理布设项目区布局，</w:t>
      </w:r>
      <w:r>
        <w:rPr>
          <w:rFonts w:hint="eastAsia" w:eastAsia="仿宋_GB2312"/>
        </w:rPr>
        <w:t>基本</w:t>
      </w:r>
      <w:r>
        <w:rPr>
          <w:rFonts w:eastAsia="仿宋_GB2312"/>
        </w:rPr>
        <w:t>符合水土保持要求。</w:t>
      </w:r>
    </w:p>
    <w:p>
      <w:pPr>
        <w:pStyle w:val="4"/>
        <w:keepLines/>
        <w:widowControl/>
        <w:numPr>
          <w:ilvl w:val="2"/>
          <w:numId w:val="1"/>
        </w:numPr>
        <w:tabs>
          <w:tab w:val="clear" w:pos="432"/>
          <w:tab w:val="clear" w:pos="960"/>
        </w:tabs>
        <w:kinsoku/>
        <w:overflowPunct/>
        <w:topLinePunct w:val="0"/>
        <w:autoSpaceDE/>
        <w:autoSpaceDN/>
        <w:adjustRightInd/>
        <w:snapToGrid/>
        <w:ind w:left="0" w:firstLine="0"/>
        <w:jc w:val="both"/>
        <w:rPr>
          <w:rFonts w:eastAsia="仿宋_GB2312"/>
        </w:rPr>
      </w:pPr>
      <w:r>
        <w:rPr>
          <w:rFonts w:eastAsia="仿宋_GB2312"/>
        </w:rPr>
        <w:t>建设方案与布局评价</w:t>
      </w:r>
    </w:p>
    <w:p>
      <w:pPr>
        <w:tabs>
          <w:tab w:val="left" w:pos="851"/>
          <w:tab w:val="left" w:pos="1485"/>
        </w:tabs>
        <w:ind w:firstLine="480"/>
        <w:rPr>
          <w:rFonts w:eastAsia="仿宋_GB2312"/>
        </w:rPr>
      </w:pPr>
      <w:r>
        <w:rPr>
          <w:rFonts w:hint="eastAsia" w:eastAsia="仿宋_GB2312"/>
        </w:rPr>
        <w:t>一</w:t>
      </w:r>
      <w:r>
        <w:rPr>
          <w:rFonts w:eastAsia="仿宋_GB2312"/>
        </w:rPr>
        <w:t>、本项目总占地面积</w:t>
      </w:r>
      <w:r>
        <w:rPr>
          <w:rFonts w:hint="eastAsia" w:eastAsia="仿宋_GB2312"/>
        </w:rPr>
        <w:t>1.84h</w:t>
      </w:r>
      <w:r>
        <w:rPr>
          <w:rFonts w:eastAsia="仿宋_GB2312"/>
        </w:rPr>
        <w:t>m²，</w:t>
      </w:r>
      <w:r>
        <w:rPr>
          <w:rFonts w:hint="eastAsia" w:eastAsia="仿宋_GB2312"/>
        </w:rPr>
        <w:t>其中</w:t>
      </w:r>
      <w:r>
        <w:rPr>
          <w:rFonts w:eastAsia="仿宋_GB2312"/>
        </w:rPr>
        <w:t>永久占地</w:t>
      </w:r>
      <w:r>
        <w:rPr>
          <w:rFonts w:hint="eastAsia" w:eastAsia="仿宋_GB2312"/>
        </w:rPr>
        <w:t>0.11h</w:t>
      </w:r>
      <w:r>
        <w:rPr>
          <w:rFonts w:eastAsia="仿宋_GB2312"/>
        </w:rPr>
        <w:t>m²，</w:t>
      </w:r>
      <w:r>
        <w:rPr>
          <w:rFonts w:hint="eastAsia" w:eastAsia="仿宋_GB2312"/>
        </w:rPr>
        <w:t>临时</w:t>
      </w:r>
      <w:r>
        <w:rPr>
          <w:rFonts w:eastAsia="仿宋_GB2312"/>
        </w:rPr>
        <w:t>占地</w:t>
      </w:r>
      <w:r>
        <w:rPr>
          <w:rFonts w:hint="eastAsia" w:eastAsia="仿宋_GB2312"/>
        </w:rPr>
        <w:t>1.73h</w:t>
      </w:r>
      <w:r>
        <w:rPr>
          <w:rFonts w:eastAsia="仿宋_GB2312"/>
        </w:rPr>
        <w:t>m²，工程占地均为</w:t>
      </w:r>
      <w:r>
        <w:rPr>
          <w:rFonts w:hint="eastAsia" w:eastAsia="仿宋_GB2312"/>
        </w:rPr>
        <w:t>建设用地</w:t>
      </w:r>
      <w:r>
        <w:rPr>
          <w:rFonts w:eastAsia="仿宋_GB2312"/>
        </w:rPr>
        <w:t>，不会对区域</w:t>
      </w:r>
      <w:r>
        <w:rPr>
          <w:rFonts w:hint="eastAsia" w:eastAsia="仿宋_GB2312"/>
        </w:rPr>
        <w:t>周边</w:t>
      </w:r>
      <w:r>
        <w:rPr>
          <w:rFonts w:eastAsia="仿宋_GB2312"/>
        </w:rPr>
        <w:t>的土地生产力产生巨大影响。工程占地是根据工程建设和管理需要确定的，尽量利用工程拟建场地和永久占地，减少扰动范围。总体上，在做好防护工作后，工程占地符合水土保持的要求。</w:t>
      </w:r>
    </w:p>
    <w:p>
      <w:pPr>
        <w:tabs>
          <w:tab w:val="left" w:pos="851"/>
          <w:tab w:val="left" w:pos="1485"/>
        </w:tabs>
        <w:ind w:firstLine="480"/>
        <w:rPr>
          <w:rFonts w:eastAsia="仿宋_GB2312"/>
        </w:rPr>
      </w:pPr>
      <w:r>
        <w:rPr>
          <w:rFonts w:hint="eastAsia" w:eastAsia="仿宋_GB2312"/>
        </w:rPr>
        <w:t>二</w:t>
      </w:r>
      <w:r>
        <w:rPr>
          <w:rFonts w:eastAsia="仿宋_GB2312"/>
        </w:rPr>
        <w:t>、本工程开挖总量为</w:t>
      </w:r>
      <w:r>
        <w:rPr>
          <w:rFonts w:hint="eastAsia" w:eastAsia="仿宋_GB2312"/>
        </w:rPr>
        <w:t>0.68万</w:t>
      </w:r>
      <w:r>
        <w:rPr>
          <w:rFonts w:eastAsia="仿宋_GB2312"/>
        </w:rPr>
        <w:t>m</w:t>
      </w:r>
      <w:r>
        <w:rPr>
          <w:rFonts w:eastAsia="仿宋_GB2312"/>
          <w:vertAlign w:val="superscript"/>
        </w:rPr>
        <w:t>3</w:t>
      </w:r>
      <w:r>
        <w:rPr>
          <w:rFonts w:eastAsia="仿宋_GB2312"/>
        </w:rPr>
        <w:t>，土方填筑总量为</w:t>
      </w:r>
      <w:r>
        <w:rPr>
          <w:rFonts w:hint="eastAsia" w:eastAsia="仿宋_GB2312"/>
        </w:rPr>
        <w:t>0.68万</w:t>
      </w:r>
      <w:r>
        <w:rPr>
          <w:rFonts w:eastAsia="仿宋_GB2312"/>
        </w:rPr>
        <w:t>m</w:t>
      </w:r>
      <w:r>
        <w:rPr>
          <w:rFonts w:eastAsia="仿宋_GB2312"/>
          <w:vertAlign w:val="superscript"/>
        </w:rPr>
        <w:t>3</w:t>
      </w:r>
      <w:r>
        <w:rPr>
          <w:rFonts w:eastAsia="仿宋_GB2312"/>
        </w:rPr>
        <w:t>，项目建设过程中通过移挖作填、合理调配利用，</w:t>
      </w:r>
      <w:r>
        <w:rPr>
          <w:rFonts w:hint="eastAsia" w:eastAsia="仿宋_GB2312"/>
        </w:rPr>
        <w:t>通过内部调运大部分土方回填利用，剩余土方平摊至施工范围内，全部按填方考虑，挖填基本平衡</w:t>
      </w:r>
      <w:r>
        <w:rPr>
          <w:rFonts w:eastAsia="仿宋_GB2312"/>
        </w:rPr>
        <w:t>，</w:t>
      </w:r>
      <w:r>
        <w:rPr>
          <w:rFonts w:hint="eastAsia" w:eastAsia="仿宋_GB2312"/>
        </w:rPr>
        <w:t>无外借，无弃方</w:t>
      </w:r>
      <w:r>
        <w:rPr>
          <w:rFonts w:eastAsia="仿宋_GB2312"/>
        </w:rPr>
        <w:t>。不需设置专门的永久弃渣场，从总量上看，整个项目建设区土石方配置合理。</w:t>
      </w:r>
      <w:r>
        <w:rPr>
          <w:rFonts w:hint="eastAsia" w:eastAsia="仿宋_GB2312"/>
          <w:color w:val="000000"/>
        </w:rPr>
        <w:t>本项目仅有少量路面拆除垃圾运至垃圾场处理。</w:t>
      </w:r>
    </w:p>
    <w:p>
      <w:pPr>
        <w:tabs>
          <w:tab w:val="left" w:pos="851"/>
          <w:tab w:val="left" w:pos="1485"/>
        </w:tabs>
        <w:ind w:firstLine="480"/>
        <w:rPr>
          <w:rFonts w:eastAsia="仿宋_GB2312"/>
        </w:rPr>
      </w:pPr>
      <w:r>
        <w:rPr>
          <w:rFonts w:hint="eastAsia" w:eastAsia="仿宋_GB2312"/>
        </w:rPr>
        <w:t>三</w:t>
      </w:r>
      <w:r>
        <w:rPr>
          <w:rFonts w:eastAsia="仿宋_GB2312"/>
        </w:rPr>
        <w:t>、本项目施工布置充分利用工程征地，工程施工道路和营地均利用既有场地，不新增占地。砂砾石料采取外购方式，尽量减少征占地面积。总体来看，工程施工布置均是以施工过程中扰动面积最小为原则，尽量减少新增占地进行布设的，符合水土保持要求。</w:t>
      </w:r>
    </w:p>
    <w:p>
      <w:pPr>
        <w:tabs>
          <w:tab w:val="left" w:pos="851"/>
          <w:tab w:val="left" w:pos="1485"/>
        </w:tabs>
        <w:ind w:firstLine="480"/>
        <w:rPr>
          <w:rFonts w:eastAsia="仿宋_GB2312"/>
        </w:rPr>
      </w:pPr>
      <w:r>
        <w:rPr>
          <w:rFonts w:hint="eastAsia" w:eastAsia="仿宋_GB2312"/>
        </w:rPr>
        <w:t>四</w:t>
      </w:r>
      <w:r>
        <w:rPr>
          <w:rFonts w:eastAsia="仿宋_GB2312"/>
        </w:rPr>
        <w:t>、工程主要采用机械化施工，以加快工程进度，有助于减轻水土流失影响。</w:t>
      </w:r>
    </w:p>
    <w:p>
      <w:pPr>
        <w:tabs>
          <w:tab w:val="left" w:pos="851"/>
          <w:tab w:val="left" w:pos="1485"/>
        </w:tabs>
        <w:ind w:firstLine="480"/>
        <w:rPr>
          <w:rFonts w:eastAsia="仿宋_GB2312"/>
        </w:rPr>
      </w:pPr>
      <w:r>
        <w:rPr>
          <w:rFonts w:hint="eastAsia" w:eastAsia="仿宋_GB2312"/>
        </w:rPr>
        <w:t>五</w:t>
      </w:r>
      <w:r>
        <w:rPr>
          <w:rFonts w:eastAsia="仿宋_GB2312"/>
        </w:rPr>
        <w:t>、为保证工程的安全运行，主体工程设计考虑了</w:t>
      </w:r>
      <w:r>
        <w:rPr>
          <w:rFonts w:hint="eastAsia" w:eastAsia="仿宋_GB2312"/>
        </w:rPr>
        <w:t>土地平整</w:t>
      </w:r>
      <w:r>
        <w:rPr>
          <w:rFonts w:eastAsia="仿宋_GB2312"/>
        </w:rPr>
        <w:t>措施，这些措施一方面保障了主体工程安全运行，另一方面也起到了一定的水土保持作用，满足相应的水土保持要求。</w:t>
      </w:r>
    </w:p>
    <w:p>
      <w:pPr>
        <w:tabs>
          <w:tab w:val="left" w:pos="840"/>
          <w:tab w:val="left" w:pos="1485"/>
        </w:tabs>
        <w:ind w:firstLine="480"/>
        <w:rPr>
          <w:rFonts w:eastAsia="仿宋_GB2312"/>
        </w:rPr>
      </w:pPr>
      <w:r>
        <w:rPr>
          <w:rFonts w:eastAsia="仿宋_GB2312"/>
        </w:rPr>
        <w:t>工程建设施工会对建设区植被、土壤、原始地表等水土保持设施产生不利影响，但是通过采取合理的工程措施并辅以临时措施，将使工程建设产生的水土流失影响降到最低。综合分析表明，无制约本项目建设的因素，主体工程建设方案合理可行，主体工程设计中占地及土石方调配利用合理，本项目建设是可行的。</w:t>
      </w:r>
    </w:p>
    <w:p>
      <w:pPr>
        <w:pStyle w:val="3"/>
        <w:widowControl/>
        <w:numPr>
          <w:ilvl w:val="1"/>
          <w:numId w:val="1"/>
        </w:numPr>
        <w:tabs>
          <w:tab w:val="clear" w:pos="1002"/>
        </w:tabs>
        <w:topLinePunct w:val="0"/>
        <w:adjustRightInd/>
        <w:snapToGrid/>
        <w:ind w:left="0" w:firstLine="0"/>
        <w:jc w:val="both"/>
        <w:rPr>
          <w:rFonts w:eastAsia="仿宋_GB2312"/>
        </w:rPr>
      </w:pPr>
      <w:bookmarkStart w:id="87" w:name="_Toc255304489"/>
      <w:bookmarkStart w:id="88" w:name="_Toc237169825"/>
      <w:bookmarkStart w:id="89" w:name="_Toc7801542"/>
      <w:bookmarkStart w:id="90" w:name="_Toc7801382"/>
      <w:bookmarkStart w:id="91" w:name="_Toc47381521"/>
      <w:bookmarkStart w:id="92" w:name="_Toc7801449"/>
      <w:r>
        <w:rPr>
          <w:rFonts w:eastAsia="仿宋_GB2312"/>
        </w:rPr>
        <w:t>水土流失预测结果</w:t>
      </w:r>
      <w:bookmarkEnd w:id="87"/>
      <w:bookmarkEnd w:id="88"/>
      <w:bookmarkEnd w:id="89"/>
      <w:bookmarkEnd w:id="90"/>
      <w:bookmarkEnd w:id="91"/>
      <w:bookmarkEnd w:id="92"/>
    </w:p>
    <w:p>
      <w:pPr>
        <w:tabs>
          <w:tab w:val="left" w:pos="840"/>
          <w:tab w:val="left" w:pos="1485"/>
        </w:tabs>
        <w:ind w:firstLine="480"/>
        <w:rPr>
          <w:rFonts w:eastAsia="仿宋_GB2312"/>
        </w:rPr>
      </w:pPr>
      <w:bookmarkStart w:id="93" w:name="_Toc237169826"/>
      <w:bookmarkStart w:id="94" w:name="_Toc255304490"/>
      <w:r>
        <w:rPr>
          <w:rFonts w:hint="eastAsia" w:eastAsia="仿宋_GB2312"/>
        </w:rPr>
        <w:t>预测时段内可能造成的水土流失量为96</w:t>
      </w:r>
      <w:r>
        <w:rPr>
          <w:rFonts w:eastAsia="仿宋_GB2312"/>
        </w:rPr>
        <w:t>t</w:t>
      </w:r>
      <w:r>
        <w:rPr>
          <w:rFonts w:hint="eastAsia" w:eastAsia="仿宋_GB2312"/>
        </w:rPr>
        <w:t>，新增土壤侵蚀量为36</w:t>
      </w:r>
      <w:r>
        <w:rPr>
          <w:rFonts w:eastAsia="仿宋_GB2312"/>
        </w:rPr>
        <w:t>t</w:t>
      </w:r>
      <w:r>
        <w:rPr>
          <w:rFonts w:hint="eastAsia" w:eastAsia="仿宋_GB2312"/>
        </w:rPr>
        <w:t>。</w:t>
      </w:r>
      <w:r>
        <w:rPr>
          <w:rFonts w:eastAsia="仿宋_GB2312"/>
          <w:color w:val="000000"/>
        </w:rPr>
        <w:t>水土流失重点时段是施工期，重点部位为</w:t>
      </w:r>
      <w:r>
        <w:rPr>
          <w:rFonts w:hint="eastAsia" w:eastAsia="仿宋_GB2312"/>
          <w:snapToGrid w:val="0"/>
          <w:color w:val="000000"/>
        </w:rPr>
        <w:t>管道工程区</w:t>
      </w:r>
      <w:r>
        <w:rPr>
          <w:rFonts w:eastAsia="仿宋_GB2312"/>
          <w:color w:val="000000"/>
        </w:rPr>
        <w:t>。</w:t>
      </w:r>
    </w:p>
    <w:p>
      <w:pPr>
        <w:tabs>
          <w:tab w:val="left" w:pos="840"/>
          <w:tab w:val="left" w:pos="1485"/>
        </w:tabs>
        <w:ind w:firstLine="480"/>
        <w:rPr>
          <w:rFonts w:eastAsia="仿宋_GB2312"/>
        </w:rPr>
      </w:pPr>
      <w:r>
        <w:rPr>
          <w:rFonts w:eastAsia="仿宋_GB2312"/>
        </w:rPr>
        <w:t>各地面设施建设区场地平整、</w:t>
      </w:r>
      <w:r>
        <w:rPr>
          <w:rFonts w:hint="eastAsia" w:eastAsia="仿宋_GB2312"/>
        </w:rPr>
        <w:t>基础</w:t>
      </w:r>
      <w:r>
        <w:rPr>
          <w:rFonts w:eastAsia="仿宋_GB2312"/>
        </w:rPr>
        <w:t>开挖和临时堆土等，将加剧项目区水土流失，对项目区生态环境造成不良的影响。根据项目区地形地貌和施工建设特点，本项目建设不易引发泥石流、地面塌陷、大型滑坡等严重生态影响。项目建设引起的水土流失可能造成以下几个方面的危害：</w:t>
      </w:r>
    </w:p>
    <w:p>
      <w:pPr>
        <w:tabs>
          <w:tab w:val="left" w:pos="840"/>
          <w:tab w:val="left" w:pos="1485"/>
        </w:tabs>
        <w:ind w:firstLine="480"/>
        <w:rPr>
          <w:rFonts w:eastAsia="仿宋_GB2312"/>
        </w:rPr>
      </w:pPr>
      <w:r>
        <w:rPr>
          <w:rFonts w:eastAsia="仿宋_GB2312"/>
        </w:rPr>
        <w:t>（1）损毁土地和植被、加剧水土流失发展</w:t>
      </w:r>
      <w:r>
        <w:rPr>
          <w:rFonts w:hint="eastAsia" w:eastAsia="仿宋_GB2312"/>
        </w:rPr>
        <w:t>；</w:t>
      </w:r>
    </w:p>
    <w:p>
      <w:pPr>
        <w:tabs>
          <w:tab w:val="left" w:pos="840"/>
          <w:tab w:val="left" w:pos="1485"/>
        </w:tabs>
        <w:ind w:firstLine="480"/>
        <w:rPr>
          <w:rFonts w:eastAsia="仿宋_GB2312"/>
        </w:rPr>
      </w:pPr>
      <w:r>
        <w:rPr>
          <w:rFonts w:eastAsia="仿宋_GB2312"/>
        </w:rPr>
        <w:t>（2）降低土地生产力</w:t>
      </w:r>
      <w:r>
        <w:rPr>
          <w:rFonts w:hint="eastAsia" w:eastAsia="仿宋_GB2312"/>
        </w:rPr>
        <w:t>；</w:t>
      </w:r>
    </w:p>
    <w:bookmarkEnd w:id="93"/>
    <w:bookmarkEnd w:id="94"/>
    <w:p>
      <w:pPr>
        <w:pStyle w:val="3"/>
        <w:widowControl/>
        <w:numPr>
          <w:ilvl w:val="1"/>
          <w:numId w:val="1"/>
        </w:numPr>
        <w:tabs>
          <w:tab w:val="clear" w:pos="1002"/>
        </w:tabs>
        <w:topLinePunct w:val="0"/>
        <w:adjustRightInd/>
        <w:snapToGrid/>
        <w:ind w:left="0" w:firstLine="0"/>
        <w:jc w:val="both"/>
        <w:rPr>
          <w:rFonts w:eastAsia="仿宋_GB2312"/>
        </w:rPr>
      </w:pPr>
      <w:bookmarkStart w:id="95" w:name="_Toc394051116"/>
      <w:bookmarkStart w:id="96" w:name="_Toc4951112"/>
      <w:bookmarkStart w:id="97" w:name="_Toc7801543"/>
      <w:bookmarkStart w:id="98" w:name="_Toc7801383"/>
      <w:bookmarkStart w:id="99" w:name="_Toc7801450"/>
      <w:bookmarkStart w:id="100" w:name="_Toc47381522"/>
      <w:bookmarkStart w:id="101" w:name="_Toc255304491"/>
      <w:r>
        <w:rPr>
          <w:rFonts w:eastAsia="仿宋_GB2312"/>
        </w:rPr>
        <w:t>水土</w:t>
      </w:r>
      <w:bookmarkEnd w:id="95"/>
      <w:r>
        <w:rPr>
          <w:rFonts w:eastAsia="仿宋_GB2312"/>
        </w:rPr>
        <w:t>保持措施布设成果</w:t>
      </w:r>
      <w:bookmarkEnd w:id="96"/>
      <w:bookmarkEnd w:id="97"/>
      <w:bookmarkEnd w:id="98"/>
      <w:bookmarkEnd w:id="99"/>
      <w:bookmarkEnd w:id="100"/>
    </w:p>
    <w:bookmarkEnd w:id="101"/>
    <w:p>
      <w:pPr>
        <w:tabs>
          <w:tab w:val="left" w:pos="840"/>
          <w:tab w:val="left" w:pos="1485"/>
        </w:tabs>
        <w:ind w:firstLine="480"/>
        <w:rPr>
          <w:rFonts w:eastAsia="仿宋_GB2312"/>
        </w:rPr>
      </w:pPr>
      <w:bookmarkStart w:id="102" w:name="_Toc255304493"/>
      <w:bookmarkStart w:id="103" w:name="_Toc191287323"/>
      <w:bookmarkStart w:id="104" w:name="_Toc182948426"/>
      <w:bookmarkStart w:id="105" w:name="_Toc189300627"/>
      <w:bookmarkStart w:id="106" w:name="_Toc237169827"/>
      <w:r>
        <w:rPr>
          <w:rFonts w:hint="eastAsia" w:eastAsia="仿宋_GB2312"/>
        </w:rPr>
        <w:t>本项目水土流失防治区划分为管道工程区、附属构筑物区等防治分区。</w:t>
      </w:r>
    </w:p>
    <w:p>
      <w:pPr>
        <w:tabs>
          <w:tab w:val="left" w:pos="840"/>
          <w:tab w:val="left" w:pos="1485"/>
        </w:tabs>
        <w:ind w:firstLine="480"/>
        <w:rPr>
          <w:rFonts w:eastAsia="仿宋_GB2312"/>
        </w:rPr>
      </w:pPr>
      <w:r>
        <w:rPr>
          <w:rFonts w:eastAsia="仿宋_GB2312"/>
        </w:rPr>
        <w:t>为了防治工程建设所产生的水土流失，减少对周边地区的不利影响，本方案在水土流失防治分区基础上对工程建设扰动土地区采取工程和临时措施，与主体工程中具有水土保持功能的措施共同构建综合防治体系。</w:t>
      </w:r>
    </w:p>
    <w:p>
      <w:pPr>
        <w:tabs>
          <w:tab w:val="left" w:pos="840"/>
          <w:tab w:val="left" w:pos="1485"/>
        </w:tabs>
        <w:ind w:firstLine="480"/>
        <w:rPr>
          <w:rFonts w:eastAsia="仿宋_GB2312"/>
          <w:b/>
        </w:rPr>
      </w:pPr>
      <w:r>
        <w:rPr>
          <w:rFonts w:hint="eastAsia" w:eastAsia="仿宋_GB2312"/>
          <w:b/>
        </w:rPr>
        <w:t>一、</w:t>
      </w:r>
      <w:r>
        <w:rPr>
          <w:rFonts w:eastAsia="仿宋_GB2312"/>
          <w:b/>
        </w:rPr>
        <w:t>各防治分区水土流失防治措施</w:t>
      </w:r>
      <w:r>
        <w:rPr>
          <w:rFonts w:hint="eastAsia" w:eastAsia="仿宋_GB2312"/>
          <w:b/>
        </w:rPr>
        <w:t>工程量</w:t>
      </w:r>
      <w:r>
        <w:rPr>
          <w:rFonts w:eastAsia="仿宋_GB2312"/>
          <w:b/>
        </w:rPr>
        <w:t>如下：</w:t>
      </w:r>
    </w:p>
    <w:p>
      <w:pPr>
        <w:tabs>
          <w:tab w:val="left" w:pos="840"/>
          <w:tab w:val="left" w:pos="1485"/>
        </w:tabs>
        <w:ind w:firstLine="480"/>
        <w:rPr>
          <w:rFonts w:eastAsia="仿宋_GB2312"/>
        </w:rPr>
      </w:pPr>
      <w:r>
        <w:rPr>
          <w:rFonts w:hint="eastAsia" w:eastAsia="仿宋_GB2312"/>
        </w:rPr>
        <w:t>1、管道工程区</w:t>
      </w:r>
    </w:p>
    <w:p>
      <w:pPr>
        <w:ind w:firstLine="480"/>
        <w:rPr>
          <w:rFonts w:eastAsia="仿宋_GB2312"/>
        </w:rPr>
      </w:pPr>
      <w:r>
        <w:rPr>
          <w:rFonts w:eastAsia="仿宋_GB2312"/>
        </w:rPr>
        <w:t>主体设计</w:t>
      </w:r>
      <w:r>
        <w:rPr>
          <w:rFonts w:hint="eastAsia" w:eastAsia="仿宋_GB2312"/>
        </w:rPr>
        <w:t>施工</w:t>
      </w:r>
      <w:r>
        <w:rPr>
          <w:rFonts w:eastAsia="仿宋_GB2312"/>
        </w:rPr>
        <w:t>结束之后对施工场地进行</w:t>
      </w:r>
      <w:r>
        <w:rPr>
          <w:rFonts w:hint="eastAsia" w:eastAsia="仿宋_GB2312"/>
        </w:rPr>
        <w:t>土地</w:t>
      </w:r>
      <w:r>
        <w:rPr>
          <w:rFonts w:eastAsia="仿宋_GB2312"/>
        </w:rPr>
        <w:t>平整。</w:t>
      </w:r>
      <w:r>
        <w:rPr>
          <w:rFonts w:hint="eastAsia" w:eastAsia="仿宋_GB2312"/>
        </w:rPr>
        <w:t>方案补充施工期间</w:t>
      </w:r>
      <w:r>
        <w:rPr>
          <w:rFonts w:eastAsia="仿宋_GB2312"/>
        </w:rPr>
        <w:t>在施工</w:t>
      </w:r>
      <w:r>
        <w:rPr>
          <w:rFonts w:hint="eastAsia" w:eastAsia="仿宋_GB2312"/>
        </w:rPr>
        <w:t>作业带两侧</w:t>
      </w:r>
      <w:r>
        <w:rPr>
          <w:rFonts w:eastAsia="仿宋_GB2312"/>
        </w:rPr>
        <w:t>设置</w:t>
      </w:r>
      <w:r>
        <w:rPr>
          <w:rFonts w:hint="eastAsia" w:eastAsia="仿宋_GB2312"/>
        </w:rPr>
        <w:t>彩条旗限界措施；对基础开挖土方临时堆放在管沟一侧并实施</w:t>
      </w:r>
      <w:r>
        <w:rPr>
          <w:rFonts w:eastAsia="仿宋_GB2312"/>
        </w:rPr>
        <w:t>防尘网苫盖措施</w:t>
      </w:r>
      <w:r>
        <w:rPr>
          <w:rFonts w:hint="eastAsia" w:eastAsia="仿宋_GB2312"/>
        </w:rPr>
        <w:t>；</w:t>
      </w:r>
      <w:r>
        <w:rPr>
          <w:rFonts w:eastAsia="仿宋_GB2312"/>
        </w:rPr>
        <w:t>工程建设过程中</w:t>
      </w:r>
      <w:r>
        <w:rPr>
          <w:rFonts w:hint="eastAsia" w:eastAsia="仿宋_GB2312"/>
        </w:rPr>
        <w:t>定期对场地实施</w:t>
      </w:r>
      <w:r>
        <w:rPr>
          <w:rFonts w:eastAsia="仿宋_GB2312"/>
        </w:rPr>
        <w:t>洒水措施</w:t>
      </w:r>
      <w:r>
        <w:rPr>
          <w:rFonts w:hint="eastAsia" w:eastAsia="仿宋_GB2312"/>
        </w:rPr>
        <w:t>；</w:t>
      </w:r>
      <w:r>
        <w:rPr>
          <w:rFonts w:eastAsia="仿宋_GB2312"/>
        </w:rPr>
        <w:t>为提高施工人员水土保持意识，设计在</w:t>
      </w:r>
      <w:r>
        <w:rPr>
          <w:rFonts w:hint="eastAsia" w:eastAsia="仿宋_GB2312"/>
        </w:rPr>
        <w:t>各个村施工场地</w:t>
      </w:r>
      <w:r>
        <w:rPr>
          <w:rFonts w:eastAsia="仿宋_GB2312"/>
        </w:rPr>
        <w:t>处</w:t>
      </w:r>
      <w:r>
        <w:rPr>
          <w:rFonts w:hint="eastAsia" w:eastAsia="仿宋_GB2312"/>
        </w:rPr>
        <w:t>分别</w:t>
      </w:r>
      <w:r>
        <w:rPr>
          <w:rFonts w:eastAsia="仿宋_GB2312"/>
        </w:rPr>
        <w:t>布置1块水土保持宣传牌</w:t>
      </w:r>
      <w:r>
        <w:rPr>
          <w:rFonts w:hint="eastAsia" w:eastAsia="仿宋_GB2312"/>
        </w:rPr>
        <w:t>。</w:t>
      </w:r>
    </w:p>
    <w:p>
      <w:pPr>
        <w:tabs>
          <w:tab w:val="left" w:pos="840"/>
          <w:tab w:val="left" w:pos="1485"/>
        </w:tabs>
        <w:ind w:firstLine="480"/>
        <w:rPr>
          <w:rFonts w:eastAsia="仿宋_GB2312"/>
        </w:rPr>
      </w:pPr>
      <w:r>
        <w:rPr>
          <w:rFonts w:eastAsia="仿宋_GB2312"/>
        </w:rPr>
        <w:t>工程措施：土地平整</w:t>
      </w:r>
      <w:r>
        <w:rPr>
          <w:rFonts w:hint="eastAsia" w:eastAsia="仿宋_GB2312"/>
        </w:rPr>
        <w:t>0.53h</w:t>
      </w:r>
      <w:r>
        <w:rPr>
          <w:rFonts w:eastAsia="仿宋_GB2312"/>
        </w:rPr>
        <w:t>m²</w:t>
      </w:r>
      <w:r>
        <w:rPr>
          <w:rFonts w:eastAsia="仿宋_GB2312"/>
          <w:snapToGrid w:val="0"/>
        </w:rPr>
        <w:t xml:space="preserve"> (主体已列)</w:t>
      </w:r>
      <w:r>
        <w:rPr>
          <w:rFonts w:eastAsia="仿宋_GB2312"/>
        </w:rPr>
        <w:t>。</w:t>
      </w:r>
    </w:p>
    <w:p>
      <w:pPr>
        <w:ind w:firstLine="480"/>
        <w:rPr>
          <w:rFonts w:eastAsia="仿宋_GB2312"/>
        </w:rPr>
      </w:pPr>
      <w:r>
        <w:rPr>
          <w:rFonts w:eastAsia="仿宋_GB2312"/>
        </w:rPr>
        <w:t>临时措施：防尘网苫盖</w:t>
      </w:r>
      <w:r>
        <w:rPr>
          <w:rFonts w:hint="eastAsia" w:eastAsia="仿宋_GB2312"/>
        </w:rPr>
        <w:t>3454</w:t>
      </w:r>
      <w:r>
        <w:rPr>
          <w:rFonts w:eastAsia="仿宋_GB2312"/>
        </w:rPr>
        <w:t>m²</w:t>
      </w:r>
      <w:r>
        <w:rPr>
          <w:rFonts w:eastAsia="仿宋_GB2312"/>
          <w:snapToGrid w:val="0"/>
        </w:rPr>
        <w:t>(</w:t>
      </w:r>
      <w:r>
        <w:rPr>
          <w:rFonts w:hint="eastAsia" w:eastAsia="仿宋_GB2312"/>
          <w:snapToGrid w:val="0"/>
        </w:rPr>
        <w:t>方案新增</w:t>
      </w:r>
      <w:r>
        <w:rPr>
          <w:rFonts w:eastAsia="仿宋_GB2312"/>
          <w:snapToGrid w:val="0"/>
        </w:rPr>
        <w:t>)</w:t>
      </w:r>
      <w:r>
        <w:rPr>
          <w:rFonts w:hint="eastAsia" w:eastAsia="仿宋_GB2312"/>
          <w:snapToGrid w:val="0"/>
        </w:rPr>
        <w:t>，</w:t>
      </w:r>
      <w:r>
        <w:rPr>
          <w:rFonts w:hint="eastAsia" w:eastAsia="仿宋_GB2312"/>
        </w:rPr>
        <w:t>彩条旗限界6908m</w:t>
      </w:r>
      <w:r>
        <w:rPr>
          <w:rFonts w:eastAsia="仿宋_GB2312"/>
          <w:snapToGrid w:val="0"/>
        </w:rPr>
        <w:t>(</w:t>
      </w:r>
      <w:r>
        <w:rPr>
          <w:rFonts w:hint="eastAsia" w:eastAsia="仿宋_GB2312"/>
          <w:snapToGrid w:val="0"/>
        </w:rPr>
        <w:t>方案新增</w:t>
      </w:r>
      <w:r>
        <w:rPr>
          <w:rFonts w:eastAsia="仿宋_GB2312"/>
          <w:snapToGrid w:val="0"/>
        </w:rPr>
        <w:t>)</w:t>
      </w:r>
      <w:r>
        <w:rPr>
          <w:rFonts w:hint="eastAsia" w:eastAsia="仿宋_GB2312"/>
          <w:snapToGrid w:val="0"/>
        </w:rPr>
        <w:t>，</w:t>
      </w:r>
      <w:r>
        <w:rPr>
          <w:rFonts w:hint="eastAsia" w:eastAsia="仿宋_GB2312"/>
        </w:rPr>
        <w:t>洒水104m</w:t>
      </w:r>
      <w:r>
        <w:rPr>
          <w:rFonts w:hint="eastAsia" w:eastAsia="仿宋_GB2312"/>
          <w:vertAlign w:val="superscript"/>
        </w:rPr>
        <w:t>3</w:t>
      </w:r>
      <w:r>
        <w:rPr>
          <w:rFonts w:eastAsia="仿宋_GB2312"/>
          <w:snapToGrid w:val="0"/>
        </w:rPr>
        <w:t>(</w:t>
      </w:r>
      <w:r>
        <w:rPr>
          <w:rFonts w:hint="eastAsia" w:eastAsia="仿宋_GB2312"/>
          <w:snapToGrid w:val="0"/>
        </w:rPr>
        <w:t>方案新增</w:t>
      </w:r>
      <w:r>
        <w:rPr>
          <w:rFonts w:eastAsia="仿宋_GB2312"/>
          <w:snapToGrid w:val="0"/>
        </w:rPr>
        <w:t>)</w:t>
      </w:r>
      <w:r>
        <w:rPr>
          <w:rFonts w:hint="eastAsia" w:eastAsia="仿宋_GB2312"/>
          <w:snapToGrid w:val="0"/>
        </w:rPr>
        <w:t>，</w:t>
      </w:r>
      <w:r>
        <w:rPr>
          <w:rFonts w:hint="eastAsia" w:eastAsia="仿宋_GB2312"/>
          <w:snapToGrid w:val="0"/>
          <w:color w:val="FF0000"/>
        </w:rPr>
        <w:t>宣传牌2块</w:t>
      </w:r>
      <w:r>
        <w:rPr>
          <w:rFonts w:eastAsia="仿宋_GB2312"/>
          <w:snapToGrid w:val="0"/>
          <w:color w:val="FF0000"/>
        </w:rPr>
        <w:t>(</w:t>
      </w:r>
      <w:r>
        <w:rPr>
          <w:rFonts w:hint="eastAsia" w:eastAsia="仿宋_GB2312"/>
          <w:snapToGrid w:val="0"/>
          <w:color w:val="FF0000"/>
        </w:rPr>
        <w:t>方案新增</w:t>
      </w:r>
      <w:r>
        <w:rPr>
          <w:rFonts w:eastAsia="仿宋_GB2312"/>
          <w:snapToGrid w:val="0"/>
          <w:color w:val="FF0000"/>
        </w:rPr>
        <w:t>)</w:t>
      </w:r>
      <w:r>
        <w:rPr>
          <w:rFonts w:eastAsia="仿宋_GB2312"/>
          <w:color w:val="FF0000"/>
        </w:rPr>
        <w:t>。</w:t>
      </w:r>
    </w:p>
    <w:p>
      <w:pPr>
        <w:tabs>
          <w:tab w:val="left" w:pos="840"/>
          <w:tab w:val="left" w:pos="1485"/>
        </w:tabs>
        <w:ind w:firstLine="480"/>
        <w:rPr>
          <w:rFonts w:eastAsia="仿宋_GB2312"/>
        </w:rPr>
      </w:pPr>
      <w:r>
        <w:rPr>
          <w:rFonts w:hint="eastAsia" w:eastAsia="仿宋_GB2312"/>
        </w:rPr>
        <w:t>2、附属构筑物区</w:t>
      </w:r>
    </w:p>
    <w:p>
      <w:pPr>
        <w:ind w:firstLine="480"/>
        <w:rPr>
          <w:rFonts w:eastAsia="仿宋_GB2312"/>
        </w:rPr>
      </w:pPr>
      <w:r>
        <w:rPr>
          <w:rFonts w:eastAsia="仿宋_GB2312"/>
        </w:rPr>
        <w:t>主体设计</w:t>
      </w:r>
      <w:r>
        <w:rPr>
          <w:rFonts w:hint="eastAsia" w:eastAsia="仿宋_GB2312"/>
        </w:rPr>
        <w:t>施工</w:t>
      </w:r>
      <w:r>
        <w:rPr>
          <w:rFonts w:eastAsia="仿宋_GB2312"/>
        </w:rPr>
        <w:t>结束之后对施工场地进行</w:t>
      </w:r>
      <w:r>
        <w:rPr>
          <w:rFonts w:hint="eastAsia" w:eastAsia="仿宋_GB2312"/>
        </w:rPr>
        <w:t>土地</w:t>
      </w:r>
      <w:r>
        <w:rPr>
          <w:rFonts w:eastAsia="仿宋_GB2312"/>
        </w:rPr>
        <w:t>平整。</w:t>
      </w:r>
      <w:r>
        <w:rPr>
          <w:rFonts w:hint="eastAsia" w:eastAsia="仿宋_GB2312"/>
        </w:rPr>
        <w:t>方案补充施工期间对基础开挖土方临时堆放在基础四周并实施</w:t>
      </w:r>
      <w:r>
        <w:rPr>
          <w:rFonts w:eastAsia="仿宋_GB2312"/>
        </w:rPr>
        <w:t>防尘网苫盖措施</w:t>
      </w:r>
      <w:r>
        <w:rPr>
          <w:rFonts w:hint="eastAsia" w:eastAsia="仿宋_GB2312"/>
        </w:rPr>
        <w:t>。</w:t>
      </w:r>
    </w:p>
    <w:p>
      <w:pPr>
        <w:tabs>
          <w:tab w:val="left" w:pos="840"/>
          <w:tab w:val="left" w:pos="1485"/>
        </w:tabs>
        <w:ind w:firstLine="480"/>
        <w:rPr>
          <w:rFonts w:eastAsia="仿宋_GB2312"/>
        </w:rPr>
      </w:pPr>
      <w:r>
        <w:rPr>
          <w:rFonts w:eastAsia="仿宋_GB2312"/>
        </w:rPr>
        <w:t>工程措施：土地平整</w:t>
      </w:r>
      <w:r>
        <w:rPr>
          <w:rFonts w:hint="eastAsia" w:eastAsia="仿宋_GB2312"/>
        </w:rPr>
        <w:t>0.09h</w:t>
      </w:r>
      <w:r>
        <w:rPr>
          <w:rFonts w:eastAsia="仿宋_GB2312"/>
        </w:rPr>
        <w:t>m²</w:t>
      </w:r>
      <w:r>
        <w:rPr>
          <w:rFonts w:eastAsia="仿宋_GB2312"/>
          <w:snapToGrid w:val="0"/>
        </w:rPr>
        <w:t xml:space="preserve"> (主体已列)</w:t>
      </w:r>
      <w:r>
        <w:rPr>
          <w:rFonts w:eastAsia="仿宋_GB2312"/>
        </w:rPr>
        <w:t>。</w:t>
      </w:r>
    </w:p>
    <w:p>
      <w:pPr>
        <w:tabs>
          <w:tab w:val="left" w:pos="840"/>
          <w:tab w:val="left" w:pos="1485"/>
        </w:tabs>
        <w:ind w:firstLine="480"/>
        <w:rPr>
          <w:rFonts w:eastAsia="仿宋_GB2312"/>
        </w:rPr>
      </w:pPr>
      <w:r>
        <w:rPr>
          <w:rFonts w:eastAsia="仿宋_GB2312"/>
        </w:rPr>
        <w:t>临时措施：防尘网苫盖</w:t>
      </w:r>
      <w:r>
        <w:rPr>
          <w:rFonts w:hint="eastAsia" w:eastAsia="仿宋_GB2312"/>
        </w:rPr>
        <w:t>220</w:t>
      </w:r>
      <w:r>
        <w:rPr>
          <w:rFonts w:eastAsia="仿宋_GB2312"/>
        </w:rPr>
        <w:t>m²</w:t>
      </w:r>
      <w:r>
        <w:rPr>
          <w:rFonts w:eastAsia="仿宋_GB2312"/>
          <w:snapToGrid w:val="0"/>
        </w:rPr>
        <w:t>(</w:t>
      </w:r>
      <w:r>
        <w:rPr>
          <w:rFonts w:hint="eastAsia" w:eastAsia="仿宋_GB2312"/>
          <w:snapToGrid w:val="0"/>
        </w:rPr>
        <w:t>方案新增</w:t>
      </w:r>
      <w:r>
        <w:rPr>
          <w:rFonts w:eastAsia="仿宋_GB2312"/>
          <w:snapToGrid w:val="0"/>
        </w:rPr>
        <w:t>)</w:t>
      </w:r>
      <w:r>
        <w:rPr>
          <w:rFonts w:eastAsia="仿宋_GB2312"/>
        </w:rPr>
        <w:t>。</w:t>
      </w:r>
    </w:p>
    <w:p>
      <w:pPr>
        <w:tabs>
          <w:tab w:val="left" w:pos="840"/>
          <w:tab w:val="left" w:pos="1485"/>
        </w:tabs>
        <w:ind w:firstLine="480"/>
        <w:rPr>
          <w:rFonts w:eastAsia="仿宋_GB2312"/>
          <w:b/>
        </w:rPr>
      </w:pPr>
      <w:r>
        <w:rPr>
          <w:rFonts w:hint="eastAsia" w:eastAsia="仿宋_GB2312"/>
          <w:b/>
        </w:rPr>
        <w:t>二、水土保持措施工程量统计如下：</w:t>
      </w:r>
    </w:p>
    <w:p>
      <w:pPr>
        <w:tabs>
          <w:tab w:val="left" w:pos="840"/>
          <w:tab w:val="left" w:pos="1485"/>
        </w:tabs>
        <w:ind w:firstLine="480"/>
        <w:rPr>
          <w:rFonts w:eastAsia="仿宋_GB2312"/>
        </w:rPr>
      </w:pPr>
      <w:r>
        <w:rPr>
          <w:rFonts w:hint="eastAsia" w:eastAsia="仿宋_GB2312"/>
        </w:rPr>
        <w:t>1、</w:t>
      </w:r>
      <w:r>
        <w:rPr>
          <w:rFonts w:eastAsia="仿宋_GB2312"/>
        </w:rPr>
        <w:t>工程措施：土地平整</w:t>
      </w:r>
      <w:r>
        <w:rPr>
          <w:rFonts w:hint="eastAsia" w:eastAsia="仿宋_GB2312"/>
        </w:rPr>
        <w:t>0.62h</w:t>
      </w:r>
      <w:r>
        <w:rPr>
          <w:rFonts w:eastAsia="仿宋_GB2312"/>
        </w:rPr>
        <w:t>m²</w:t>
      </w:r>
      <w:r>
        <w:rPr>
          <w:rFonts w:eastAsia="仿宋_GB2312"/>
          <w:snapToGrid w:val="0"/>
        </w:rPr>
        <w:t xml:space="preserve"> (主体已列)</w:t>
      </w:r>
      <w:r>
        <w:rPr>
          <w:rFonts w:eastAsia="仿宋_GB2312"/>
        </w:rPr>
        <w:t>。</w:t>
      </w:r>
    </w:p>
    <w:p>
      <w:pPr>
        <w:ind w:firstLine="480"/>
        <w:rPr>
          <w:rFonts w:eastAsia="仿宋_GB2312"/>
        </w:rPr>
      </w:pPr>
      <w:r>
        <w:rPr>
          <w:rFonts w:hint="eastAsia" w:eastAsia="仿宋_GB2312"/>
        </w:rPr>
        <w:t>2、</w:t>
      </w:r>
      <w:r>
        <w:rPr>
          <w:rFonts w:eastAsia="仿宋_GB2312"/>
        </w:rPr>
        <w:t>临时措施：防尘网苫盖</w:t>
      </w:r>
      <w:r>
        <w:rPr>
          <w:rFonts w:hint="eastAsia" w:eastAsia="仿宋_GB2312"/>
        </w:rPr>
        <w:t>3674</w:t>
      </w:r>
      <w:r>
        <w:rPr>
          <w:rFonts w:eastAsia="仿宋_GB2312"/>
        </w:rPr>
        <w:t>m²</w:t>
      </w:r>
      <w:r>
        <w:rPr>
          <w:rFonts w:eastAsia="仿宋_GB2312"/>
          <w:snapToGrid w:val="0"/>
        </w:rPr>
        <w:t>(</w:t>
      </w:r>
      <w:r>
        <w:rPr>
          <w:rFonts w:hint="eastAsia" w:eastAsia="仿宋_GB2312"/>
          <w:snapToGrid w:val="0"/>
        </w:rPr>
        <w:t>方案新增</w:t>
      </w:r>
      <w:r>
        <w:rPr>
          <w:rFonts w:eastAsia="仿宋_GB2312"/>
          <w:snapToGrid w:val="0"/>
        </w:rPr>
        <w:t>)</w:t>
      </w:r>
      <w:r>
        <w:rPr>
          <w:rFonts w:hint="eastAsia" w:eastAsia="仿宋_GB2312"/>
          <w:snapToGrid w:val="0"/>
        </w:rPr>
        <w:t>，</w:t>
      </w:r>
      <w:r>
        <w:rPr>
          <w:rFonts w:hint="eastAsia" w:eastAsia="仿宋_GB2312"/>
        </w:rPr>
        <w:t>彩条旗限界6908m</w:t>
      </w:r>
      <w:r>
        <w:rPr>
          <w:rFonts w:eastAsia="仿宋_GB2312"/>
          <w:snapToGrid w:val="0"/>
        </w:rPr>
        <w:t>(</w:t>
      </w:r>
      <w:r>
        <w:rPr>
          <w:rFonts w:hint="eastAsia" w:eastAsia="仿宋_GB2312"/>
          <w:snapToGrid w:val="0"/>
        </w:rPr>
        <w:t>方案新增</w:t>
      </w:r>
      <w:r>
        <w:rPr>
          <w:rFonts w:eastAsia="仿宋_GB2312"/>
          <w:snapToGrid w:val="0"/>
        </w:rPr>
        <w:t>)</w:t>
      </w:r>
      <w:r>
        <w:rPr>
          <w:rFonts w:hint="eastAsia" w:eastAsia="仿宋_GB2312"/>
          <w:snapToGrid w:val="0"/>
        </w:rPr>
        <w:t>，</w:t>
      </w:r>
      <w:r>
        <w:rPr>
          <w:rFonts w:hint="eastAsia" w:eastAsia="仿宋_GB2312"/>
        </w:rPr>
        <w:t>洒水104m</w:t>
      </w:r>
      <w:r>
        <w:rPr>
          <w:rFonts w:hint="eastAsia" w:eastAsia="仿宋_GB2312"/>
          <w:vertAlign w:val="superscript"/>
        </w:rPr>
        <w:t>3</w:t>
      </w:r>
      <w:r>
        <w:rPr>
          <w:rFonts w:eastAsia="仿宋_GB2312"/>
          <w:snapToGrid w:val="0"/>
        </w:rPr>
        <w:t>(</w:t>
      </w:r>
      <w:r>
        <w:rPr>
          <w:rFonts w:hint="eastAsia" w:eastAsia="仿宋_GB2312"/>
          <w:snapToGrid w:val="0"/>
        </w:rPr>
        <w:t>方案新增</w:t>
      </w:r>
      <w:r>
        <w:rPr>
          <w:rFonts w:eastAsia="仿宋_GB2312"/>
          <w:snapToGrid w:val="0"/>
        </w:rPr>
        <w:t>)</w:t>
      </w:r>
      <w:r>
        <w:rPr>
          <w:rFonts w:hint="eastAsia" w:eastAsia="仿宋_GB2312"/>
          <w:snapToGrid w:val="0"/>
        </w:rPr>
        <w:t>，宣传牌2块</w:t>
      </w:r>
      <w:r>
        <w:rPr>
          <w:rFonts w:eastAsia="仿宋_GB2312"/>
          <w:snapToGrid w:val="0"/>
        </w:rPr>
        <w:t>(</w:t>
      </w:r>
      <w:r>
        <w:rPr>
          <w:rFonts w:hint="eastAsia" w:eastAsia="仿宋_GB2312"/>
          <w:snapToGrid w:val="0"/>
        </w:rPr>
        <w:t>方案新增</w:t>
      </w:r>
      <w:r>
        <w:rPr>
          <w:rFonts w:eastAsia="仿宋_GB2312"/>
          <w:snapToGrid w:val="0"/>
        </w:rPr>
        <w:t>)</w:t>
      </w:r>
      <w:r>
        <w:rPr>
          <w:rFonts w:eastAsia="仿宋_GB2312"/>
        </w:rPr>
        <w:t>。</w:t>
      </w:r>
    </w:p>
    <w:p>
      <w:pPr>
        <w:pStyle w:val="3"/>
        <w:widowControl/>
        <w:numPr>
          <w:ilvl w:val="1"/>
          <w:numId w:val="1"/>
        </w:numPr>
        <w:tabs>
          <w:tab w:val="clear" w:pos="1002"/>
        </w:tabs>
        <w:topLinePunct w:val="0"/>
        <w:adjustRightInd/>
        <w:snapToGrid/>
        <w:ind w:left="0" w:firstLine="0"/>
        <w:jc w:val="both"/>
        <w:rPr>
          <w:rFonts w:eastAsia="仿宋_GB2312"/>
        </w:rPr>
      </w:pPr>
      <w:bookmarkStart w:id="107" w:name="_Toc458611444"/>
      <w:bookmarkStart w:id="108" w:name="_Toc47381523"/>
      <w:bookmarkStart w:id="109" w:name="_Toc7801544"/>
      <w:bookmarkStart w:id="110" w:name="_Toc7801384"/>
      <w:bookmarkStart w:id="111" w:name="_Toc7801451"/>
      <w:r>
        <w:rPr>
          <w:rFonts w:eastAsia="仿宋_GB2312"/>
        </w:rPr>
        <w:t>水土保持监测</w:t>
      </w:r>
      <w:bookmarkEnd w:id="107"/>
      <w:r>
        <w:rPr>
          <w:rFonts w:eastAsia="仿宋_GB2312"/>
        </w:rPr>
        <w:t>方案</w:t>
      </w:r>
      <w:bookmarkEnd w:id="108"/>
      <w:bookmarkEnd w:id="109"/>
      <w:bookmarkEnd w:id="110"/>
      <w:bookmarkEnd w:id="111"/>
    </w:p>
    <w:p>
      <w:pPr>
        <w:tabs>
          <w:tab w:val="left" w:pos="840"/>
          <w:tab w:val="left" w:pos="1485"/>
        </w:tabs>
        <w:ind w:firstLine="480"/>
        <w:rPr>
          <w:rFonts w:eastAsia="仿宋_GB2312"/>
        </w:rPr>
      </w:pPr>
      <w:r>
        <w:rPr>
          <w:rFonts w:eastAsia="仿宋_GB2312"/>
          <w:color w:val="000000"/>
          <w:kern w:val="10"/>
        </w:rPr>
        <w:t>根据《新疆维吾尔自治区实施&lt;中华人民共和国水土保持法&gt;办法》和《新疆维吾尔自治区生产建设项目水土保持方案管理办法》，</w:t>
      </w:r>
      <w:r>
        <w:rPr>
          <w:rFonts w:eastAsia="仿宋_GB2312"/>
          <w:color w:val="000000"/>
        </w:rPr>
        <w:t>本项目</w:t>
      </w:r>
      <w:r>
        <w:rPr>
          <w:rFonts w:eastAsia="仿宋_GB2312"/>
          <w:color w:val="000000"/>
          <w:kern w:val="10"/>
        </w:rPr>
        <w:t>水土保持方案报告表对水土保持监测不做具体要求</w:t>
      </w:r>
      <w:r>
        <w:rPr>
          <w:rFonts w:eastAsia="仿宋_GB2312"/>
          <w:color w:val="000000"/>
        </w:rPr>
        <w:t>。</w:t>
      </w:r>
    </w:p>
    <w:bookmarkEnd w:id="81"/>
    <w:bookmarkEnd w:id="82"/>
    <w:bookmarkEnd w:id="83"/>
    <w:bookmarkEnd w:id="84"/>
    <w:bookmarkEnd w:id="85"/>
    <w:bookmarkEnd w:id="86"/>
    <w:bookmarkEnd w:id="102"/>
    <w:bookmarkEnd w:id="103"/>
    <w:bookmarkEnd w:id="104"/>
    <w:bookmarkEnd w:id="105"/>
    <w:bookmarkEnd w:id="106"/>
    <w:p>
      <w:pPr>
        <w:pStyle w:val="3"/>
        <w:widowControl/>
        <w:numPr>
          <w:ilvl w:val="1"/>
          <w:numId w:val="1"/>
        </w:numPr>
        <w:tabs>
          <w:tab w:val="clear" w:pos="1002"/>
        </w:tabs>
        <w:topLinePunct w:val="0"/>
        <w:adjustRightInd/>
        <w:snapToGrid/>
        <w:ind w:left="0" w:firstLine="0"/>
        <w:jc w:val="both"/>
        <w:rPr>
          <w:rFonts w:eastAsia="仿宋_GB2312"/>
        </w:rPr>
      </w:pPr>
      <w:bookmarkStart w:id="112" w:name="_Toc191287324"/>
      <w:bookmarkStart w:id="113" w:name="_Toc255304494"/>
      <w:bookmarkStart w:id="114" w:name="_Toc237169828"/>
      <w:bookmarkStart w:id="115" w:name="_Toc189300628"/>
      <w:bookmarkStart w:id="116" w:name="_Toc182948427"/>
      <w:bookmarkStart w:id="117" w:name="_Toc7801452"/>
      <w:bookmarkStart w:id="118" w:name="_Toc7801385"/>
      <w:bookmarkStart w:id="119" w:name="_Toc47381524"/>
      <w:bookmarkStart w:id="120" w:name="_Toc7801545"/>
      <w:r>
        <w:rPr>
          <w:rFonts w:eastAsia="仿宋_GB2312"/>
        </w:rPr>
        <w:t>水土保持投资及效益分析</w:t>
      </w:r>
      <w:bookmarkEnd w:id="112"/>
      <w:bookmarkEnd w:id="113"/>
      <w:bookmarkEnd w:id="114"/>
      <w:bookmarkEnd w:id="115"/>
      <w:bookmarkEnd w:id="116"/>
      <w:r>
        <w:rPr>
          <w:rFonts w:eastAsia="仿宋_GB2312"/>
        </w:rPr>
        <w:t>成果</w:t>
      </w:r>
      <w:bookmarkEnd w:id="117"/>
      <w:bookmarkEnd w:id="118"/>
      <w:bookmarkEnd w:id="119"/>
      <w:bookmarkEnd w:id="120"/>
    </w:p>
    <w:p>
      <w:pPr>
        <w:tabs>
          <w:tab w:val="left" w:pos="840"/>
          <w:tab w:val="left" w:pos="1485"/>
        </w:tabs>
        <w:ind w:firstLine="480"/>
        <w:rPr>
          <w:rFonts w:eastAsia="仿宋_GB2312"/>
          <w:color w:val="FF0000"/>
        </w:rPr>
      </w:pPr>
      <w:bookmarkStart w:id="121" w:name="_Toc191287325"/>
      <w:bookmarkStart w:id="122" w:name="_Toc237169829"/>
      <w:bookmarkStart w:id="123" w:name="_Toc182948428"/>
      <w:bookmarkStart w:id="124" w:name="_Toc189300629"/>
      <w:bookmarkStart w:id="125" w:name="_Toc255304495"/>
      <w:r>
        <w:rPr>
          <w:rFonts w:eastAsia="仿宋_GB2312"/>
          <w:color w:val="FF0000"/>
        </w:rPr>
        <w:t>本工程水土保持总投资</w:t>
      </w:r>
      <w:r>
        <w:rPr>
          <w:rFonts w:hint="eastAsia" w:eastAsia="仿宋_GB2312"/>
          <w:color w:val="FF0000"/>
        </w:rPr>
        <w:t>18.79</w:t>
      </w:r>
      <w:r>
        <w:rPr>
          <w:rFonts w:eastAsia="仿宋_GB2312"/>
          <w:color w:val="FF0000"/>
        </w:rPr>
        <w:t>万元，其中主体已列</w:t>
      </w:r>
      <w:r>
        <w:rPr>
          <w:rFonts w:hint="eastAsia" w:eastAsia="仿宋_GB2312"/>
          <w:color w:val="FF0000"/>
        </w:rPr>
        <w:t>0.75</w:t>
      </w:r>
      <w:r>
        <w:rPr>
          <w:rFonts w:eastAsia="仿宋_GB2312"/>
          <w:color w:val="FF0000"/>
        </w:rPr>
        <w:t>万元，本方案新增</w:t>
      </w:r>
      <w:r>
        <w:rPr>
          <w:rFonts w:hint="eastAsia" w:eastAsia="仿宋_GB2312"/>
          <w:color w:val="FF0000"/>
        </w:rPr>
        <w:t>18.05</w:t>
      </w:r>
      <w:r>
        <w:rPr>
          <w:rFonts w:eastAsia="仿宋_GB2312"/>
          <w:color w:val="FF0000"/>
        </w:rPr>
        <w:t>万元。</w:t>
      </w:r>
      <w:r>
        <w:rPr>
          <w:rFonts w:hint="eastAsia" w:eastAsia="仿宋_GB2312"/>
          <w:color w:val="FF0000"/>
        </w:rPr>
        <w:t>其</w:t>
      </w:r>
      <w:r>
        <w:rPr>
          <w:rFonts w:eastAsia="仿宋_GB2312"/>
          <w:color w:val="FF0000"/>
        </w:rPr>
        <w:t>中工程措施投资</w:t>
      </w:r>
      <w:r>
        <w:rPr>
          <w:rFonts w:hint="eastAsia" w:eastAsia="仿宋_GB2312"/>
          <w:color w:val="FF0000"/>
        </w:rPr>
        <w:t>0.75</w:t>
      </w:r>
      <w:r>
        <w:rPr>
          <w:rFonts w:eastAsia="仿宋_GB2312"/>
          <w:color w:val="FF0000"/>
        </w:rPr>
        <w:t>万元</w:t>
      </w:r>
      <w:r>
        <w:rPr>
          <w:rFonts w:hint="eastAsia" w:eastAsia="仿宋_GB2312"/>
          <w:color w:val="FF0000"/>
        </w:rPr>
        <w:t>，</w:t>
      </w:r>
      <w:r>
        <w:rPr>
          <w:rFonts w:eastAsia="仿宋_GB2312"/>
          <w:color w:val="FF0000"/>
        </w:rPr>
        <w:t>临时措施投资</w:t>
      </w:r>
      <w:r>
        <w:rPr>
          <w:rFonts w:hint="eastAsia" w:eastAsia="仿宋_GB2312"/>
          <w:color w:val="FF0000"/>
        </w:rPr>
        <w:t>3.42</w:t>
      </w:r>
      <w:r>
        <w:rPr>
          <w:rFonts w:eastAsia="仿宋_GB2312"/>
          <w:color w:val="FF0000"/>
        </w:rPr>
        <w:t>万元，独立费用</w:t>
      </w:r>
      <w:r>
        <w:rPr>
          <w:rFonts w:hint="eastAsia" w:eastAsia="仿宋_GB2312"/>
          <w:color w:val="FF0000"/>
        </w:rPr>
        <w:t>13.08</w:t>
      </w:r>
      <w:r>
        <w:rPr>
          <w:rFonts w:eastAsia="仿宋_GB2312"/>
          <w:color w:val="FF0000"/>
        </w:rPr>
        <w:t>万元（其中建设管理费为</w:t>
      </w:r>
      <w:r>
        <w:rPr>
          <w:rFonts w:hint="eastAsia" w:eastAsia="仿宋_GB2312"/>
          <w:color w:val="FF0000"/>
        </w:rPr>
        <w:t>0.08</w:t>
      </w:r>
      <w:r>
        <w:rPr>
          <w:rFonts w:eastAsia="仿宋_GB2312"/>
          <w:color w:val="FF0000"/>
        </w:rPr>
        <w:t>万元，</w:t>
      </w:r>
      <w:r>
        <w:rPr>
          <w:rFonts w:hint="eastAsia" w:eastAsia="仿宋_GB2312"/>
          <w:color w:val="FF0000"/>
        </w:rPr>
        <w:t>水土保持监理</w:t>
      </w:r>
      <w:r>
        <w:rPr>
          <w:rFonts w:eastAsia="仿宋_GB2312"/>
          <w:color w:val="FF0000"/>
        </w:rPr>
        <w:t>费</w:t>
      </w:r>
      <w:r>
        <w:rPr>
          <w:rFonts w:hint="eastAsia" w:eastAsia="仿宋_GB2312"/>
          <w:color w:val="FF0000"/>
        </w:rPr>
        <w:t>2.00</w:t>
      </w:r>
      <w:r>
        <w:rPr>
          <w:rFonts w:eastAsia="仿宋_GB2312"/>
          <w:color w:val="FF0000"/>
        </w:rPr>
        <w:t>万元，科研勘测设计</w:t>
      </w:r>
      <w:r>
        <w:rPr>
          <w:rFonts w:hint="eastAsia" w:eastAsia="仿宋_GB2312"/>
          <w:color w:val="FF0000"/>
        </w:rPr>
        <w:t>6.00</w:t>
      </w:r>
      <w:r>
        <w:rPr>
          <w:rFonts w:eastAsia="仿宋_GB2312"/>
          <w:color w:val="FF0000"/>
        </w:rPr>
        <w:t>万元</w:t>
      </w:r>
      <w:r>
        <w:rPr>
          <w:rFonts w:hint="eastAsia" w:eastAsia="仿宋_GB2312"/>
          <w:color w:val="FF0000"/>
        </w:rPr>
        <w:t>，</w:t>
      </w:r>
      <w:r>
        <w:rPr>
          <w:rFonts w:eastAsia="仿宋_GB2312"/>
          <w:color w:val="FF0000"/>
        </w:rPr>
        <w:t>水土保持设施验收报告编制费</w:t>
      </w:r>
      <w:r>
        <w:rPr>
          <w:rFonts w:hint="eastAsia" w:eastAsia="仿宋_GB2312"/>
          <w:color w:val="FF0000"/>
        </w:rPr>
        <w:t>5.00</w:t>
      </w:r>
      <w:r>
        <w:rPr>
          <w:rFonts w:eastAsia="仿宋_GB2312"/>
          <w:color w:val="FF0000"/>
        </w:rPr>
        <w:t>万元），基本预备费为</w:t>
      </w:r>
      <w:r>
        <w:rPr>
          <w:rFonts w:hint="eastAsia" w:eastAsia="仿宋_GB2312"/>
          <w:color w:val="FF0000"/>
        </w:rPr>
        <w:t>0.99</w:t>
      </w:r>
      <w:r>
        <w:rPr>
          <w:rFonts w:eastAsia="仿宋_GB2312"/>
          <w:color w:val="FF0000"/>
        </w:rPr>
        <w:t>万元</w:t>
      </w:r>
      <w:r>
        <w:rPr>
          <w:rFonts w:hint="eastAsia" w:eastAsia="仿宋_GB2312"/>
          <w:color w:val="FF0000"/>
        </w:rPr>
        <w:t>，水土保持补偿费0.55万元</w:t>
      </w:r>
      <w:r>
        <w:rPr>
          <w:rFonts w:eastAsia="仿宋_GB2312"/>
          <w:color w:val="FF0000"/>
        </w:rPr>
        <w:t>。</w:t>
      </w:r>
    </w:p>
    <w:p>
      <w:pPr>
        <w:tabs>
          <w:tab w:val="left" w:pos="840"/>
          <w:tab w:val="left" w:pos="1485"/>
        </w:tabs>
        <w:ind w:firstLine="480"/>
        <w:rPr>
          <w:rFonts w:eastAsia="仿宋_GB2312"/>
        </w:rPr>
      </w:pPr>
      <w:r>
        <w:rPr>
          <w:rFonts w:eastAsia="仿宋_GB2312"/>
        </w:rPr>
        <w:t>通过该方案的实施，使工程建设产生的水土流失得到控制，到设计水平年，水土流失治理度达到</w:t>
      </w:r>
      <w:r>
        <w:rPr>
          <w:rFonts w:hint="eastAsia" w:eastAsia="仿宋_GB2312"/>
        </w:rPr>
        <w:t>98.91</w:t>
      </w:r>
      <w:r>
        <w:rPr>
          <w:rFonts w:eastAsia="仿宋_GB2312"/>
        </w:rPr>
        <w:t>%，土壤流失控制比达到1.0，渣土防护</w:t>
      </w:r>
      <w:r>
        <w:rPr>
          <w:rFonts w:hint="eastAsia" w:eastAsia="仿宋_GB2312"/>
        </w:rPr>
        <w:t>率</w:t>
      </w:r>
      <w:r>
        <w:rPr>
          <w:rFonts w:eastAsia="仿宋_GB2312"/>
        </w:rPr>
        <w:t>达到</w:t>
      </w:r>
      <w:r>
        <w:rPr>
          <w:rFonts w:hint="eastAsia" w:eastAsia="仿宋_GB2312"/>
        </w:rPr>
        <w:t>97.06</w:t>
      </w:r>
      <w:r>
        <w:rPr>
          <w:rFonts w:eastAsia="仿宋_GB2312"/>
        </w:rPr>
        <w:t>%，</w:t>
      </w:r>
      <w:r>
        <w:rPr>
          <w:rFonts w:hint="eastAsia" w:eastAsia="仿宋_GB2312"/>
        </w:rPr>
        <w:t>林草植被恢复率、林草覆盖率、</w:t>
      </w:r>
      <w:r>
        <w:rPr>
          <w:rFonts w:eastAsia="仿宋_GB2312"/>
        </w:rPr>
        <w:t>表土保护率不作要求</w:t>
      </w:r>
      <w:r>
        <w:rPr>
          <w:rFonts w:hint="eastAsia" w:eastAsia="仿宋_GB2312"/>
        </w:rPr>
        <w:t>。</w:t>
      </w:r>
    </w:p>
    <w:p>
      <w:pPr>
        <w:pStyle w:val="3"/>
        <w:widowControl/>
        <w:numPr>
          <w:ilvl w:val="1"/>
          <w:numId w:val="1"/>
        </w:numPr>
        <w:tabs>
          <w:tab w:val="clear" w:pos="1002"/>
        </w:tabs>
        <w:topLinePunct w:val="0"/>
        <w:adjustRightInd/>
        <w:snapToGrid/>
        <w:ind w:left="0" w:firstLine="0"/>
        <w:jc w:val="both"/>
        <w:rPr>
          <w:rFonts w:eastAsia="仿宋_GB2312"/>
        </w:rPr>
      </w:pPr>
      <w:bookmarkStart w:id="126" w:name="_Toc7801546"/>
      <w:bookmarkStart w:id="127" w:name="_Toc7801453"/>
      <w:bookmarkStart w:id="128" w:name="_Toc47381525"/>
      <w:bookmarkStart w:id="129" w:name="_Toc7801386"/>
      <w:r>
        <w:rPr>
          <w:rFonts w:eastAsia="仿宋_GB2312"/>
        </w:rPr>
        <w:t>结论</w:t>
      </w:r>
      <w:bookmarkEnd w:id="126"/>
      <w:bookmarkEnd w:id="127"/>
      <w:bookmarkEnd w:id="128"/>
      <w:bookmarkEnd w:id="129"/>
    </w:p>
    <w:bookmarkEnd w:id="121"/>
    <w:bookmarkEnd w:id="122"/>
    <w:bookmarkEnd w:id="123"/>
    <w:bookmarkEnd w:id="124"/>
    <w:bookmarkEnd w:id="125"/>
    <w:p>
      <w:pPr>
        <w:tabs>
          <w:tab w:val="left" w:pos="840"/>
          <w:tab w:val="left" w:pos="1485"/>
        </w:tabs>
        <w:ind w:firstLine="480"/>
        <w:rPr>
          <w:rFonts w:eastAsia="仿宋_GB2312"/>
        </w:rPr>
      </w:pPr>
      <w:r>
        <w:rPr>
          <w:rFonts w:eastAsia="仿宋_GB2312"/>
        </w:rPr>
        <w:t>从水土保持角度分析，本工程建设符合地区规划，工程选址、布局、占地、取料场、弃渣场、施工组织及施工工艺等方面不存在制约工程建设的不利因素，工程建设将扰动地表造成一定程度的水土流失，但通过水土保持方案各种治理措施的实施，对水土流失的防治及控制能力可以满足防治要求，不存在影响本工程建设的水土保持制约性因素。因此主体工程在做好水土流失防治工作后是可行的。</w:t>
      </w:r>
    </w:p>
    <w:p>
      <w:pPr>
        <w:tabs>
          <w:tab w:val="left" w:pos="840"/>
          <w:tab w:val="left" w:pos="1485"/>
        </w:tabs>
        <w:ind w:firstLine="480"/>
        <w:rPr>
          <w:rFonts w:eastAsia="仿宋_GB2312"/>
        </w:rPr>
      </w:pPr>
      <w:r>
        <w:rPr>
          <w:rFonts w:eastAsia="仿宋_GB2312"/>
        </w:rPr>
        <w:t>建议建设单位进一步优化施工组织、施工工艺，最大程度利用工程建设挖填方，并减少土石方的二次倒运；建议建设单位在施工期间加强管理，严格限制施工范围，避免无序施工造成沿线周边地表扰动；建议建设单位在施工期间积极落实主体设计以及方案新增的水土保持措施，加强施工期间土石方转运过程中的监督管理，减少土石方运输期间的沿途撒漏以尽最大可能减少水土流失</w:t>
      </w:r>
      <w:r>
        <w:rPr>
          <w:rFonts w:eastAsia="仿宋_GB2312"/>
          <w:snapToGrid w:val="0"/>
          <w:color w:val="000000"/>
        </w:rPr>
        <w:t>。</w:t>
      </w:r>
    </w:p>
    <w:p>
      <w:pPr>
        <w:tabs>
          <w:tab w:val="left" w:pos="840"/>
          <w:tab w:val="left" w:pos="1485"/>
        </w:tabs>
        <w:ind w:firstLine="480"/>
        <w:rPr>
          <w:rFonts w:eastAsia="仿宋_GB2312"/>
        </w:rPr>
        <w:sectPr>
          <w:headerReference r:id="rId10" w:type="default"/>
          <w:pgSz w:w="11906" w:h="16838"/>
          <w:pgMar w:top="1440" w:right="1803" w:bottom="1440" w:left="1803" w:header="850" w:footer="964" w:gutter="0"/>
          <w:cols w:space="720" w:num="1"/>
          <w:docGrid w:linePitch="326" w:charSpace="0"/>
        </w:sectPr>
      </w:pPr>
    </w:p>
    <w:p>
      <w:pPr>
        <w:tabs>
          <w:tab w:val="left" w:pos="840"/>
          <w:tab w:val="left" w:pos="1485"/>
        </w:tabs>
        <w:spacing w:line="240" w:lineRule="auto"/>
        <w:ind w:firstLine="0" w:firstLineChars="0"/>
        <w:jc w:val="center"/>
        <w:rPr>
          <w:rFonts w:eastAsia="仿宋_GB2312"/>
          <w:b/>
        </w:rPr>
      </w:pPr>
      <w:r>
        <w:rPr>
          <w:rFonts w:eastAsia="仿宋_GB2312"/>
          <w:b/>
        </w:rPr>
        <w:t>水土保持方案特性表</w:t>
      </w:r>
      <w:bookmarkStart w:id="130" w:name="RANGE!C3:Q49"/>
      <w:bookmarkEnd w:id="130"/>
      <w:bookmarkStart w:id="131" w:name="RANGE!C3:R48"/>
      <w:bookmarkEnd w:id="131"/>
      <w:bookmarkStart w:id="132" w:name="RANGE!C3:Q48"/>
      <w:bookmarkEnd w:id="132"/>
      <w:bookmarkStart w:id="133" w:name="RANGE!C3:R50"/>
      <w:bookmarkEnd w:id="133"/>
    </w:p>
    <w:tbl>
      <w:tblPr>
        <w:tblStyle w:val="40"/>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28" w:type="dxa"/>
          <w:bottom w:w="0" w:type="dxa"/>
          <w:right w:w="28" w:type="dxa"/>
        </w:tblCellMar>
      </w:tblPr>
      <w:tblGrid>
        <w:gridCol w:w="1460"/>
        <w:gridCol w:w="37"/>
        <w:gridCol w:w="374"/>
        <w:gridCol w:w="851"/>
        <w:gridCol w:w="567"/>
        <w:gridCol w:w="663"/>
        <w:gridCol w:w="246"/>
        <w:gridCol w:w="85"/>
        <w:gridCol w:w="1018"/>
        <w:gridCol w:w="122"/>
        <w:gridCol w:w="244"/>
        <w:gridCol w:w="493"/>
        <w:gridCol w:w="734"/>
        <w:gridCol w:w="82"/>
        <w:gridCol w:w="409"/>
        <w:gridCol w:w="97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74" w:type="pct"/>
            <w:tcBorders>
              <w:top w:val="single" w:color="auto" w:sz="12" w:space="0"/>
            </w:tcBorders>
            <w:vAlign w:val="center"/>
          </w:tcPr>
          <w:p>
            <w:pPr>
              <w:pStyle w:val="73"/>
              <w:widowControl w:val="0"/>
              <w:topLinePunct/>
              <w:adjustRightInd w:val="0"/>
              <w:snapToGrid w:val="0"/>
              <w:spacing w:line="240" w:lineRule="auto"/>
              <w:jc w:val="center"/>
              <w:textAlignment w:val="center"/>
              <w:rPr>
                <w:rFonts w:cs="Times New Roman"/>
                <w:bCs/>
              </w:rPr>
            </w:pPr>
            <w:bookmarkStart w:id="134" w:name="_Toc211401478"/>
            <w:bookmarkStart w:id="135" w:name="_Toc255304498"/>
            <w:r>
              <w:rPr>
                <w:rFonts w:cs="Times New Roman"/>
                <w:bCs/>
              </w:rPr>
              <w:t>项目名称</w:t>
            </w:r>
          </w:p>
        </w:tc>
        <w:tc>
          <w:tcPr>
            <w:tcW w:w="1638" w:type="pct"/>
            <w:gridSpan w:val="6"/>
            <w:tcBorders>
              <w:top w:val="single" w:color="auto" w:sz="12" w:space="0"/>
            </w:tcBorders>
            <w:vAlign w:val="center"/>
          </w:tcPr>
          <w:p>
            <w:pPr>
              <w:pStyle w:val="73"/>
              <w:widowControl w:val="0"/>
              <w:topLinePunct/>
              <w:adjustRightInd w:val="0"/>
              <w:snapToGrid w:val="0"/>
              <w:spacing w:line="240" w:lineRule="auto"/>
              <w:jc w:val="center"/>
              <w:textAlignment w:val="center"/>
              <w:rPr>
                <w:rFonts w:cs="Times New Roman"/>
                <w:bCs/>
              </w:rPr>
            </w:pPr>
            <w:r>
              <w:rPr>
                <w:rFonts w:hint="eastAsia"/>
              </w:rPr>
              <w:t>第十四师224团小区给水管网改造项目</w:t>
            </w:r>
          </w:p>
        </w:tc>
        <w:tc>
          <w:tcPr>
            <w:tcW w:w="1662" w:type="pct"/>
            <w:gridSpan w:val="7"/>
            <w:tcBorders>
              <w:top w:val="single" w:color="auto" w:sz="12" w:space="0"/>
            </w:tcBorders>
            <w:vAlign w:val="center"/>
          </w:tcPr>
          <w:p>
            <w:pPr>
              <w:pStyle w:val="73"/>
              <w:widowControl w:val="0"/>
              <w:topLinePunct/>
              <w:adjustRightInd w:val="0"/>
              <w:snapToGrid w:val="0"/>
              <w:spacing w:line="240" w:lineRule="auto"/>
              <w:jc w:val="center"/>
              <w:textAlignment w:val="center"/>
              <w:rPr>
                <w:rFonts w:cs="Times New Roman"/>
                <w:bCs/>
              </w:rPr>
            </w:pPr>
            <w:r>
              <w:rPr>
                <w:rFonts w:hint="eastAsia"/>
              </w:rPr>
              <w:t>水行政主管部门</w:t>
            </w:r>
          </w:p>
        </w:tc>
        <w:tc>
          <w:tcPr>
            <w:tcW w:w="826" w:type="pct"/>
            <w:gridSpan w:val="2"/>
            <w:tcBorders>
              <w:top w:val="single" w:color="auto" w:sz="12" w:space="0"/>
            </w:tcBorders>
            <w:vAlign w:val="center"/>
          </w:tcPr>
          <w:p>
            <w:pPr>
              <w:pStyle w:val="73"/>
              <w:widowControl w:val="0"/>
              <w:topLinePunct/>
              <w:adjustRightInd w:val="0"/>
              <w:snapToGrid w:val="0"/>
              <w:spacing w:line="240" w:lineRule="auto"/>
              <w:jc w:val="center"/>
              <w:textAlignment w:val="center"/>
              <w:rPr>
                <w:rFonts w:cs="Times New Roman"/>
                <w:bCs/>
              </w:rPr>
            </w:pPr>
            <w:r>
              <w:rPr>
                <w:rFonts w:hint="eastAsia" w:cs="Times New Roman"/>
                <w:bCs/>
                <w:color w:val="auto"/>
              </w:rPr>
              <w:t>第十四师224团</w:t>
            </w:r>
            <w:r>
              <w:rPr>
                <w:rFonts w:cs="Times New Roman"/>
                <w:bCs/>
                <w:color w:val="auto"/>
              </w:rPr>
              <w:t>水利局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74" w:type="pct"/>
            <w:vAlign w:val="center"/>
          </w:tcPr>
          <w:p>
            <w:pPr>
              <w:pStyle w:val="73"/>
              <w:widowControl w:val="0"/>
              <w:topLinePunct/>
              <w:adjustRightInd w:val="0"/>
              <w:snapToGrid w:val="0"/>
              <w:spacing w:line="240" w:lineRule="auto"/>
              <w:jc w:val="center"/>
              <w:textAlignment w:val="center"/>
              <w:rPr>
                <w:rFonts w:cs="Times New Roman"/>
                <w:b/>
                <w:bCs/>
              </w:rPr>
            </w:pPr>
            <w:r>
              <w:rPr>
                <w:rFonts w:cs="Times New Roman"/>
                <w:bCs/>
              </w:rPr>
              <w:t>涉及省（市、区）</w:t>
            </w:r>
          </w:p>
        </w:tc>
        <w:tc>
          <w:tcPr>
            <w:tcW w:w="755" w:type="pct"/>
            <w:gridSpan w:val="3"/>
            <w:vAlign w:val="center"/>
          </w:tcPr>
          <w:p>
            <w:pPr>
              <w:pStyle w:val="73"/>
              <w:widowControl w:val="0"/>
              <w:topLinePunct/>
              <w:adjustRightInd w:val="0"/>
              <w:snapToGrid w:val="0"/>
              <w:spacing w:line="240" w:lineRule="auto"/>
              <w:jc w:val="center"/>
              <w:textAlignment w:val="center"/>
              <w:rPr>
                <w:rFonts w:cs="Times New Roman"/>
              </w:rPr>
            </w:pPr>
            <w:r>
              <w:rPr>
                <w:rFonts w:cs="Times New Roman"/>
              </w:rPr>
              <w:t>新疆</w:t>
            </w:r>
            <w:r>
              <w:rPr>
                <w:rFonts w:hint="eastAsia" w:cs="Times New Roman"/>
              </w:rPr>
              <w:t>生产建设兵团</w:t>
            </w:r>
          </w:p>
        </w:tc>
        <w:tc>
          <w:tcPr>
            <w:tcW w:w="883" w:type="pct"/>
            <w:gridSpan w:val="3"/>
            <w:tcBorders>
              <w:bottom w:val="nil"/>
            </w:tcBorders>
            <w:vAlign w:val="center"/>
          </w:tcPr>
          <w:p>
            <w:pPr>
              <w:pStyle w:val="73"/>
              <w:widowControl w:val="0"/>
              <w:topLinePunct/>
              <w:adjustRightInd w:val="0"/>
              <w:snapToGrid w:val="0"/>
              <w:spacing w:line="240" w:lineRule="auto"/>
              <w:jc w:val="center"/>
              <w:textAlignment w:val="center"/>
              <w:rPr>
                <w:rFonts w:cs="Times New Roman"/>
              </w:rPr>
            </w:pPr>
            <w:r>
              <w:rPr>
                <w:rFonts w:cs="Times New Roman"/>
              </w:rPr>
              <w:t>涉及地市或个数</w:t>
            </w:r>
          </w:p>
        </w:tc>
        <w:tc>
          <w:tcPr>
            <w:tcW w:w="733" w:type="pct"/>
            <w:gridSpan w:val="3"/>
            <w:vAlign w:val="center"/>
          </w:tcPr>
          <w:p>
            <w:pPr>
              <w:pStyle w:val="73"/>
              <w:widowControl w:val="0"/>
              <w:topLinePunct/>
              <w:adjustRightInd w:val="0"/>
              <w:snapToGrid w:val="0"/>
              <w:spacing w:line="240" w:lineRule="auto"/>
              <w:jc w:val="center"/>
              <w:textAlignment w:val="center"/>
              <w:rPr>
                <w:rFonts w:cs="Times New Roman"/>
              </w:rPr>
            </w:pPr>
            <w:r>
              <w:rPr>
                <w:rFonts w:hint="eastAsia" w:cs="Times New Roman"/>
              </w:rPr>
              <w:t>第十四师</w:t>
            </w:r>
          </w:p>
        </w:tc>
        <w:tc>
          <w:tcPr>
            <w:tcW w:w="929" w:type="pct"/>
            <w:gridSpan w:val="4"/>
            <w:tcBorders>
              <w:bottom w:val="nil"/>
            </w:tcBorders>
            <w:vAlign w:val="center"/>
          </w:tcPr>
          <w:p>
            <w:pPr>
              <w:pStyle w:val="73"/>
              <w:widowControl w:val="0"/>
              <w:topLinePunct/>
              <w:adjustRightInd w:val="0"/>
              <w:snapToGrid w:val="0"/>
              <w:spacing w:line="240" w:lineRule="auto"/>
              <w:jc w:val="center"/>
              <w:textAlignment w:val="center"/>
              <w:rPr>
                <w:rFonts w:cs="Times New Roman"/>
              </w:rPr>
            </w:pPr>
            <w:r>
              <w:rPr>
                <w:rFonts w:cs="Times New Roman"/>
              </w:rPr>
              <w:t>涉及县或个数</w:t>
            </w:r>
          </w:p>
        </w:tc>
        <w:tc>
          <w:tcPr>
            <w:tcW w:w="826" w:type="pct"/>
            <w:gridSpan w:val="2"/>
            <w:vAlign w:val="center"/>
          </w:tcPr>
          <w:p>
            <w:pPr>
              <w:pStyle w:val="73"/>
              <w:widowControl w:val="0"/>
              <w:topLinePunct/>
              <w:adjustRightInd w:val="0"/>
              <w:snapToGrid w:val="0"/>
              <w:spacing w:line="240" w:lineRule="auto"/>
              <w:jc w:val="center"/>
              <w:textAlignment w:val="center"/>
              <w:rPr>
                <w:rFonts w:cs="Times New Roman"/>
              </w:rPr>
            </w:pPr>
            <w:r>
              <w:rPr>
                <w:rFonts w:hint="eastAsia" w:cs="Times New Roman"/>
              </w:rPr>
              <w:t>224团</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74" w:type="pct"/>
            <w:vAlign w:val="center"/>
          </w:tcPr>
          <w:p>
            <w:pPr>
              <w:pStyle w:val="73"/>
              <w:widowControl w:val="0"/>
              <w:topLinePunct/>
              <w:adjustRightInd w:val="0"/>
              <w:snapToGrid w:val="0"/>
              <w:spacing w:line="240" w:lineRule="auto"/>
              <w:jc w:val="center"/>
              <w:textAlignment w:val="center"/>
              <w:rPr>
                <w:rFonts w:cs="Times New Roman"/>
                <w:bCs/>
              </w:rPr>
            </w:pPr>
            <w:r>
              <w:rPr>
                <w:rFonts w:cs="Times New Roman"/>
                <w:bCs/>
              </w:rPr>
              <w:t>项目规模</w:t>
            </w:r>
          </w:p>
        </w:tc>
        <w:tc>
          <w:tcPr>
            <w:tcW w:w="755" w:type="pct"/>
            <w:gridSpan w:val="3"/>
            <w:vAlign w:val="center"/>
          </w:tcPr>
          <w:p>
            <w:pPr>
              <w:pStyle w:val="73"/>
              <w:widowControl w:val="0"/>
              <w:topLinePunct/>
              <w:adjustRightInd w:val="0"/>
              <w:snapToGrid w:val="0"/>
              <w:spacing w:line="240" w:lineRule="auto"/>
              <w:jc w:val="center"/>
              <w:textAlignment w:val="center"/>
              <w:rPr>
                <w:rFonts w:cs="Times New Roman"/>
              </w:rPr>
            </w:pPr>
            <w:r>
              <w:t>改</w:t>
            </w:r>
            <w:r>
              <w:rPr>
                <w:rFonts w:hint="eastAsia"/>
              </w:rPr>
              <w:t>造给水</w:t>
            </w:r>
            <w:r>
              <w:t>管道</w:t>
            </w:r>
            <w:r>
              <w:rPr>
                <w:rFonts w:hint="eastAsia"/>
              </w:rPr>
              <w:t>5064m</w:t>
            </w:r>
          </w:p>
        </w:tc>
        <w:tc>
          <w:tcPr>
            <w:tcW w:w="883" w:type="pct"/>
            <w:gridSpan w:val="3"/>
            <w:tcBorders>
              <w:bottom w:val="nil"/>
            </w:tcBorders>
            <w:vAlign w:val="center"/>
          </w:tcPr>
          <w:p>
            <w:pPr>
              <w:pStyle w:val="73"/>
              <w:widowControl w:val="0"/>
              <w:topLinePunct/>
              <w:adjustRightInd w:val="0"/>
              <w:snapToGrid w:val="0"/>
              <w:spacing w:line="240" w:lineRule="auto"/>
              <w:jc w:val="center"/>
              <w:textAlignment w:val="center"/>
              <w:rPr>
                <w:rFonts w:cs="Times New Roman"/>
              </w:rPr>
            </w:pPr>
            <w:r>
              <w:rPr>
                <w:rFonts w:cs="Times New Roman"/>
              </w:rPr>
              <w:t>总投资（万元）</w:t>
            </w:r>
          </w:p>
        </w:tc>
        <w:tc>
          <w:tcPr>
            <w:tcW w:w="733" w:type="pct"/>
            <w:gridSpan w:val="3"/>
            <w:vAlign w:val="center"/>
          </w:tcPr>
          <w:p>
            <w:pPr>
              <w:pStyle w:val="73"/>
              <w:widowControl w:val="0"/>
              <w:topLinePunct/>
              <w:adjustRightInd w:val="0"/>
              <w:snapToGrid w:val="0"/>
              <w:spacing w:line="240" w:lineRule="auto"/>
              <w:jc w:val="center"/>
              <w:textAlignment w:val="center"/>
              <w:rPr>
                <w:rFonts w:cs="Times New Roman"/>
              </w:rPr>
            </w:pPr>
            <w:r>
              <w:rPr>
                <w:rFonts w:hint="eastAsia"/>
              </w:rPr>
              <w:t>430</w:t>
            </w:r>
          </w:p>
        </w:tc>
        <w:tc>
          <w:tcPr>
            <w:tcW w:w="929" w:type="pct"/>
            <w:gridSpan w:val="4"/>
            <w:tcBorders>
              <w:bottom w:val="nil"/>
            </w:tcBorders>
            <w:vAlign w:val="center"/>
          </w:tcPr>
          <w:p>
            <w:pPr>
              <w:pStyle w:val="73"/>
              <w:widowControl w:val="0"/>
              <w:topLinePunct/>
              <w:adjustRightInd w:val="0"/>
              <w:snapToGrid w:val="0"/>
              <w:spacing w:line="240" w:lineRule="auto"/>
              <w:jc w:val="center"/>
              <w:textAlignment w:val="center"/>
              <w:rPr>
                <w:rFonts w:cs="Times New Roman"/>
              </w:rPr>
            </w:pPr>
            <w:r>
              <w:rPr>
                <w:rFonts w:cs="Times New Roman"/>
              </w:rPr>
              <w:t>土建投资（万元）</w:t>
            </w:r>
          </w:p>
        </w:tc>
        <w:tc>
          <w:tcPr>
            <w:tcW w:w="826" w:type="pct"/>
            <w:gridSpan w:val="2"/>
            <w:vAlign w:val="center"/>
          </w:tcPr>
          <w:p>
            <w:pPr>
              <w:pStyle w:val="73"/>
              <w:widowControl w:val="0"/>
              <w:topLinePunct/>
              <w:adjustRightInd w:val="0"/>
              <w:snapToGrid w:val="0"/>
              <w:spacing w:line="240" w:lineRule="auto"/>
              <w:jc w:val="center"/>
              <w:textAlignment w:val="center"/>
              <w:rPr>
                <w:rFonts w:cs="Times New Roman"/>
              </w:rPr>
            </w:pPr>
            <w:r>
              <w:rPr>
                <w:rFonts w:hint="eastAsia" w:cs="Times New Roman"/>
              </w:rPr>
              <w:t>366.97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74" w:type="pct"/>
            <w:vAlign w:val="center"/>
          </w:tcPr>
          <w:p>
            <w:pPr>
              <w:pStyle w:val="73"/>
              <w:widowControl w:val="0"/>
              <w:topLinePunct/>
              <w:adjustRightInd w:val="0"/>
              <w:snapToGrid w:val="0"/>
              <w:spacing w:line="240" w:lineRule="auto"/>
              <w:jc w:val="center"/>
              <w:textAlignment w:val="center"/>
              <w:rPr>
                <w:rFonts w:cs="Times New Roman"/>
                <w:bCs/>
              </w:rPr>
            </w:pPr>
            <w:r>
              <w:rPr>
                <w:rFonts w:cs="Times New Roman"/>
                <w:bCs/>
              </w:rPr>
              <w:t>动工时间</w:t>
            </w:r>
          </w:p>
        </w:tc>
        <w:tc>
          <w:tcPr>
            <w:tcW w:w="755" w:type="pct"/>
            <w:gridSpan w:val="3"/>
            <w:vAlign w:val="center"/>
          </w:tcPr>
          <w:p>
            <w:pPr>
              <w:pStyle w:val="73"/>
              <w:widowControl w:val="0"/>
              <w:topLinePunct/>
              <w:adjustRightInd w:val="0"/>
              <w:snapToGrid w:val="0"/>
              <w:spacing w:line="240" w:lineRule="auto"/>
              <w:jc w:val="center"/>
              <w:textAlignment w:val="center"/>
              <w:rPr>
                <w:rFonts w:cs="Times New Roman"/>
              </w:rPr>
            </w:pPr>
            <w:r>
              <w:rPr>
                <w:rFonts w:cs="Times New Roman"/>
              </w:rPr>
              <w:t>20</w:t>
            </w:r>
            <w:r>
              <w:rPr>
                <w:rFonts w:hint="eastAsia" w:cs="Times New Roman"/>
              </w:rPr>
              <w:t>21</w:t>
            </w:r>
            <w:r>
              <w:rPr>
                <w:rFonts w:cs="Times New Roman"/>
              </w:rPr>
              <w:t>年</w:t>
            </w:r>
            <w:r>
              <w:rPr>
                <w:rFonts w:hint="eastAsia" w:cs="Times New Roman"/>
              </w:rPr>
              <w:t>9</w:t>
            </w:r>
            <w:r>
              <w:rPr>
                <w:rFonts w:cs="Times New Roman"/>
              </w:rPr>
              <w:t>月</w:t>
            </w:r>
          </w:p>
        </w:tc>
        <w:tc>
          <w:tcPr>
            <w:tcW w:w="883" w:type="pct"/>
            <w:gridSpan w:val="3"/>
            <w:tcBorders>
              <w:bottom w:val="nil"/>
            </w:tcBorders>
            <w:vAlign w:val="center"/>
          </w:tcPr>
          <w:p>
            <w:pPr>
              <w:pStyle w:val="73"/>
              <w:widowControl w:val="0"/>
              <w:topLinePunct/>
              <w:adjustRightInd w:val="0"/>
              <w:snapToGrid w:val="0"/>
              <w:spacing w:line="240" w:lineRule="auto"/>
              <w:jc w:val="center"/>
              <w:textAlignment w:val="center"/>
              <w:rPr>
                <w:rFonts w:cs="Times New Roman"/>
              </w:rPr>
            </w:pPr>
            <w:r>
              <w:rPr>
                <w:rFonts w:cs="Times New Roman"/>
              </w:rPr>
              <w:t>完工时间</w:t>
            </w:r>
          </w:p>
        </w:tc>
        <w:tc>
          <w:tcPr>
            <w:tcW w:w="733" w:type="pct"/>
            <w:gridSpan w:val="3"/>
            <w:vAlign w:val="center"/>
          </w:tcPr>
          <w:p>
            <w:pPr>
              <w:pStyle w:val="73"/>
              <w:widowControl w:val="0"/>
              <w:topLinePunct/>
              <w:adjustRightInd w:val="0"/>
              <w:snapToGrid w:val="0"/>
              <w:spacing w:line="240" w:lineRule="auto"/>
              <w:jc w:val="center"/>
              <w:textAlignment w:val="center"/>
              <w:rPr>
                <w:rFonts w:cs="Times New Roman"/>
              </w:rPr>
            </w:pPr>
            <w:r>
              <w:rPr>
                <w:rFonts w:cs="Times New Roman"/>
              </w:rPr>
              <w:t>20</w:t>
            </w:r>
            <w:r>
              <w:rPr>
                <w:rFonts w:hint="eastAsia" w:cs="Times New Roman"/>
              </w:rPr>
              <w:t>21</w:t>
            </w:r>
            <w:r>
              <w:rPr>
                <w:rFonts w:cs="Times New Roman"/>
              </w:rPr>
              <w:t>年</w:t>
            </w:r>
            <w:r>
              <w:rPr>
                <w:rFonts w:hint="eastAsia" w:cs="Times New Roman"/>
              </w:rPr>
              <w:t>12</w:t>
            </w:r>
            <w:r>
              <w:rPr>
                <w:rFonts w:cs="Times New Roman"/>
              </w:rPr>
              <w:t>月</w:t>
            </w:r>
          </w:p>
        </w:tc>
        <w:tc>
          <w:tcPr>
            <w:tcW w:w="929" w:type="pct"/>
            <w:gridSpan w:val="4"/>
            <w:tcBorders>
              <w:bottom w:val="nil"/>
            </w:tcBorders>
            <w:vAlign w:val="center"/>
          </w:tcPr>
          <w:p>
            <w:pPr>
              <w:pStyle w:val="73"/>
              <w:widowControl w:val="0"/>
              <w:topLinePunct/>
              <w:adjustRightInd w:val="0"/>
              <w:snapToGrid w:val="0"/>
              <w:spacing w:line="240" w:lineRule="auto"/>
              <w:jc w:val="center"/>
              <w:textAlignment w:val="center"/>
              <w:rPr>
                <w:rFonts w:cs="Times New Roman"/>
              </w:rPr>
            </w:pPr>
            <w:r>
              <w:rPr>
                <w:rFonts w:cs="Times New Roman"/>
              </w:rPr>
              <w:t>设计水平年</w:t>
            </w:r>
          </w:p>
        </w:tc>
        <w:tc>
          <w:tcPr>
            <w:tcW w:w="826" w:type="pct"/>
            <w:gridSpan w:val="2"/>
            <w:vAlign w:val="center"/>
          </w:tcPr>
          <w:p>
            <w:pPr>
              <w:pStyle w:val="73"/>
              <w:widowControl w:val="0"/>
              <w:topLinePunct/>
              <w:adjustRightInd w:val="0"/>
              <w:snapToGrid w:val="0"/>
              <w:spacing w:line="240" w:lineRule="auto"/>
              <w:jc w:val="center"/>
              <w:textAlignment w:val="center"/>
              <w:rPr>
                <w:rFonts w:cs="Times New Roman"/>
              </w:rPr>
            </w:pPr>
            <w:r>
              <w:rPr>
                <w:rFonts w:cs="Times New Roman"/>
              </w:rPr>
              <w:t>20</w:t>
            </w:r>
            <w:r>
              <w:rPr>
                <w:rFonts w:hint="eastAsia" w:cs="Times New Roman"/>
              </w:rPr>
              <w:t>21</w:t>
            </w:r>
            <w:r>
              <w:rPr>
                <w:rFonts w:cs="Times New Roman"/>
              </w:rPr>
              <w:t>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74" w:type="pct"/>
            <w:vAlign w:val="center"/>
          </w:tcPr>
          <w:p>
            <w:pPr>
              <w:pStyle w:val="73"/>
              <w:widowControl w:val="0"/>
              <w:topLinePunct/>
              <w:adjustRightInd w:val="0"/>
              <w:snapToGrid w:val="0"/>
              <w:spacing w:line="240" w:lineRule="auto"/>
              <w:jc w:val="center"/>
              <w:textAlignment w:val="center"/>
              <w:rPr>
                <w:rFonts w:cs="Times New Roman"/>
                <w:bCs/>
              </w:rPr>
            </w:pPr>
            <w:r>
              <w:rPr>
                <w:rFonts w:cs="Times New Roman"/>
                <w:bCs/>
              </w:rPr>
              <w:t>工程占地</w:t>
            </w:r>
            <w:r>
              <w:rPr>
                <w:rFonts w:cs="Times New Roman"/>
              </w:rPr>
              <w:t>（</w:t>
            </w:r>
            <w:r>
              <w:rPr>
                <w:rFonts w:hint="eastAsia" w:cs="Times New Roman"/>
              </w:rPr>
              <w:t>h</w:t>
            </w:r>
            <w:r>
              <w:rPr>
                <w:rFonts w:cs="Times New Roman"/>
              </w:rPr>
              <w:t>m</w:t>
            </w:r>
            <w:r>
              <w:rPr>
                <w:rFonts w:cs="Times New Roman"/>
                <w:vertAlign w:val="superscript"/>
              </w:rPr>
              <w:t>2</w:t>
            </w:r>
            <w:r>
              <w:rPr>
                <w:rFonts w:cs="Times New Roman"/>
              </w:rPr>
              <w:t>）</w:t>
            </w:r>
          </w:p>
        </w:tc>
        <w:tc>
          <w:tcPr>
            <w:tcW w:w="755" w:type="pct"/>
            <w:gridSpan w:val="3"/>
            <w:vAlign w:val="center"/>
          </w:tcPr>
          <w:p>
            <w:pPr>
              <w:pStyle w:val="73"/>
              <w:widowControl w:val="0"/>
              <w:topLinePunct/>
              <w:adjustRightInd w:val="0"/>
              <w:snapToGrid w:val="0"/>
              <w:spacing w:line="240" w:lineRule="auto"/>
              <w:jc w:val="center"/>
              <w:textAlignment w:val="center"/>
              <w:rPr>
                <w:rFonts w:cs="Times New Roman"/>
              </w:rPr>
            </w:pPr>
            <w:r>
              <w:rPr>
                <w:rFonts w:hint="eastAsia" w:cs="Times New Roman"/>
              </w:rPr>
              <w:t>1.84</w:t>
            </w:r>
          </w:p>
        </w:tc>
        <w:tc>
          <w:tcPr>
            <w:tcW w:w="883" w:type="pct"/>
            <w:gridSpan w:val="3"/>
            <w:tcBorders>
              <w:bottom w:val="nil"/>
            </w:tcBorders>
            <w:vAlign w:val="center"/>
          </w:tcPr>
          <w:p>
            <w:pPr>
              <w:pStyle w:val="73"/>
              <w:widowControl w:val="0"/>
              <w:topLinePunct/>
              <w:adjustRightInd w:val="0"/>
              <w:snapToGrid w:val="0"/>
              <w:spacing w:line="240" w:lineRule="auto"/>
              <w:jc w:val="center"/>
              <w:textAlignment w:val="center"/>
              <w:rPr>
                <w:rFonts w:cs="Times New Roman"/>
              </w:rPr>
            </w:pPr>
            <w:r>
              <w:rPr>
                <w:rFonts w:cs="Times New Roman"/>
              </w:rPr>
              <w:t>永久占地（</w:t>
            </w:r>
            <w:r>
              <w:rPr>
                <w:rFonts w:hint="eastAsia" w:cs="Times New Roman"/>
              </w:rPr>
              <w:t>h</w:t>
            </w:r>
            <w:r>
              <w:rPr>
                <w:rFonts w:cs="Times New Roman"/>
              </w:rPr>
              <w:t>m</w:t>
            </w:r>
            <w:r>
              <w:rPr>
                <w:rFonts w:cs="Times New Roman"/>
                <w:vertAlign w:val="superscript"/>
              </w:rPr>
              <w:t>2</w:t>
            </w:r>
            <w:r>
              <w:rPr>
                <w:rFonts w:cs="Times New Roman"/>
              </w:rPr>
              <w:t>）</w:t>
            </w:r>
          </w:p>
        </w:tc>
        <w:tc>
          <w:tcPr>
            <w:tcW w:w="733" w:type="pct"/>
            <w:gridSpan w:val="3"/>
            <w:vAlign w:val="center"/>
          </w:tcPr>
          <w:p>
            <w:pPr>
              <w:pStyle w:val="73"/>
              <w:widowControl w:val="0"/>
              <w:topLinePunct/>
              <w:adjustRightInd w:val="0"/>
              <w:snapToGrid w:val="0"/>
              <w:spacing w:line="240" w:lineRule="auto"/>
              <w:jc w:val="center"/>
              <w:textAlignment w:val="center"/>
              <w:rPr>
                <w:rFonts w:cs="Times New Roman"/>
              </w:rPr>
            </w:pPr>
            <w:r>
              <w:rPr>
                <w:rFonts w:hint="eastAsia" w:cs="Times New Roman"/>
              </w:rPr>
              <w:t>0.11</w:t>
            </w:r>
          </w:p>
        </w:tc>
        <w:tc>
          <w:tcPr>
            <w:tcW w:w="929" w:type="pct"/>
            <w:gridSpan w:val="4"/>
            <w:tcBorders>
              <w:bottom w:val="nil"/>
            </w:tcBorders>
            <w:vAlign w:val="center"/>
          </w:tcPr>
          <w:p>
            <w:pPr>
              <w:pStyle w:val="73"/>
              <w:widowControl w:val="0"/>
              <w:topLinePunct/>
              <w:adjustRightInd w:val="0"/>
              <w:snapToGrid w:val="0"/>
              <w:spacing w:line="240" w:lineRule="auto"/>
              <w:jc w:val="center"/>
              <w:textAlignment w:val="center"/>
              <w:rPr>
                <w:rFonts w:cs="Times New Roman"/>
              </w:rPr>
            </w:pPr>
            <w:r>
              <w:rPr>
                <w:rFonts w:cs="Times New Roman"/>
              </w:rPr>
              <w:t>临时占地（</w:t>
            </w:r>
            <w:r>
              <w:rPr>
                <w:rFonts w:hint="eastAsia" w:cs="Times New Roman"/>
              </w:rPr>
              <w:t>h</w:t>
            </w:r>
            <w:r>
              <w:rPr>
                <w:rFonts w:cs="Times New Roman"/>
              </w:rPr>
              <w:t>m</w:t>
            </w:r>
            <w:r>
              <w:rPr>
                <w:rFonts w:cs="Times New Roman"/>
                <w:vertAlign w:val="superscript"/>
              </w:rPr>
              <w:t>2</w:t>
            </w:r>
            <w:r>
              <w:rPr>
                <w:rFonts w:cs="Times New Roman"/>
              </w:rPr>
              <w:t>）</w:t>
            </w:r>
          </w:p>
        </w:tc>
        <w:tc>
          <w:tcPr>
            <w:tcW w:w="826" w:type="pct"/>
            <w:gridSpan w:val="2"/>
            <w:vAlign w:val="center"/>
          </w:tcPr>
          <w:p>
            <w:pPr>
              <w:pStyle w:val="73"/>
              <w:widowControl w:val="0"/>
              <w:topLinePunct/>
              <w:adjustRightInd w:val="0"/>
              <w:snapToGrid w:val="0"/>
              <w:spacing w:line="240" w:lineRule="auto"/>
              <w:jc w:val="center"/>
              <w:textAlignment w:val="center"/>
              <w:rPr>
                <w:rFonts w:cs="Times New Roman"/>
              </w:rPr>
            </w:pPr>
            <w:r>
              <w:rPr>
                <w:rFonts w:hint="eastAsia" w:cs="Times New Roman"/>
              </w:rPr>
              <w:t>1.73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629" w:type="pct"/>
            <w:gridSpan w:val="4"/>
            <w:vMerge w:val="restart"/>
            <w:vAlign w:val="center"/>
          </w:tcPr>
          <w:p>
            <w:pPr>
              <w:pStyle w:val="73"/>
              <w:widowControl w:val="0"/>
              <w:topLinePunct/>
              <w:adjustRightInd w:val="0"/>
              <w:snapToGrid w:val="0"/>
              <w:spacing w:line="240" w:lineRule="auto"/>
              <w:jc w:val="center"/>
              <w:textAlignment w:val="center"/>
              <w:rPr>
                <w:rFonts w:cs="Times New Roman"/>
              </w:rPr>
            </w:pPr>
            <w:r>
              <w:rPr>
                <w:rFonts w:cs="Times New Roman"/>
                <w:bCs/>
              </w:rPr>
              <w:t>土石方量</w:t>
            </w:r>
            <w:r>
              <w:rPr>
                <w:rFonts w:cs="Times New Roman"/>
              </w:rPr>
              <w:t>（</w:t>
            </w:r>
            <w:r>
              <w:rPr>
                <w:rFonts w:hint="eastAsia" w:cs="Times New Roman"/>
              </w:rPr>
              <w:t>万</w:t>
            </w:r>
            <w:r>
              <w:rPr>
                <w:rFonts w:cs="Times New Roman"/>
              </w:rPr>
              <w:t>m</w:t>
            </w:r>
            <w:r>
              <w:rPr>
                <w:rFonts w:cs="Times New Roman"/>
                <w:vertAlign w:val="superscript"/>
              </w:rPr>
              <w:t>3</w:t>
            </w:r>
            <w:r>
              <w:rPr>
                <w:rFonts w:cs="Times New Roman"/>
              </w:rPr>
              <w:t>）</w:t>
            </w:r>
          </w:p>
        </w:tc>
        <w:tc>
          <w:tcPr>
            <w:tcW w:w="883" w:type="pct"/>
            <w:gridSpan w:val="3"/>
            <w:vAlign w:val="center"/>
          </w:tcPr>
          <w:p>
            <w:pPr>
              <w:pStyle w:val="73"/>
              <w:widowControl w:val="0"/>
              <w:topLinePunct/>
              <w:adjustRightInd w:val="0"/>
              <w:snapToGrid w:val="0"/>
              <w:spacing w:line="240" w:lineRule="auto"/>
              <w:jc w:val="center"/>
              <w:textAlignment w:val="center"/>
              <w:rPr>
                <w:rFonts w:cs="Times New Roman"/>
              </w:rPr>
            </w:pPr>
            <w:r>
              <w:rPr>
                <w:rFonts w:cs="Times New Roman"/>
              </w:rPr>
              <w:t>挖方</w:t>
            </w:r>
          </w:p>
        </w:tc>
        <w:tc>
          <w:tcPr>
            <w:tcW w:w="733" w:type="pct"/>
            <w:gridSpan w:val="3"/>
            <w:tcBorders>
              <w:bottom w:val="nil"/>
            </w:tcBorders>
            <w:vAlign w:val="center"/>
          </w:tcPr>
          <w:p>
            <w:pPr>
              <w:pStyle w:val="73"/>
              <w:widowControl w:val="0"/>
              <w:topLinePunct/>
              <w:adjustRightInd w:val="0"/>
              <w:snapToGrid w:val="0"/>
              <w:spacing w:line="240" w:lineRule="auto"/>
              <w:jc w:val="center"/>
              <w:textAlignment w:val="center"/>
              <w:rPr>
                <w:rFonts w:cs="Times New Roman"/>
              </w:rPr>
            </w:pPr>
            <w:r>
              <w:rPr>
                <w:rFonts w:cs="Times New Roman"/>
              </w:rPr>
              <w:t>填方</w:t>
            </w:r>
          </w:p>
        </w:tc>
        <w:tc>
          <w:tcPr>
            <w:tcW w:w="929" w:type="pct"/>
            <w:gridSpan w:val="4"/>
            <w:vAlign w:val="center"/>
          </w:tcPr>
          <w:p>
            <w:pPr>
              <w:spacing w:line="240" w:lineRule="auto"/>
              <w:ind w:firstLine="0" w:firstLineChars="0"/>
              <w:jc w:val="center"/>
              <w:rPr>
                <w:rFonts w:eastAsia="仿宋_GB2312"/>
                <w:sz w:val="21"/>
                <w:szCs w:val="21"/>
              </w:rPr>
            </w:pPr>
            <w:r>
              <w:rPr>
                <w:rFonts w:eastAsia="仿宋_GB2312"/>
                <w:sz w:val="21"/>
                <w:szCs w:val="21"/>
              </w:rPr>
              <w:t>借方</w:t>
            </w:r>
          </w:p>
        </w:tc>
        <w:tc>
          <w:tcPr>
            <w:tcW w:w="826" w:type="pct"/>
            <w:gridSpan w:val="2"/>
            <w:vAlign w:val="center"/>
          </w:tcPr>
          <w:p>
            <w:pPr>
              <w:spacing w:line="240" w:lineRule="auto"/>
              <w:ind w:firstLine="0" w:firstLineChars="0"/>
              <w:jc w:val="center"/>
              <w:rPr>
                <w:rFonts w:eastAsia="仿宋_GB2312"/>
                <w:sz w:val="21"/>
                <w:szCs w:val="21"/>
              </w:rPr>
            </w:pPr>
            <w:r>
              <w:rPr>
                <w:rFonts w:eastAsia="仿宋_GB2312"/>
                <w:sz w:val="21"/>
                <w:szCs w:val="21"/>
              </w:rPr>
              <w:t>余（弃）方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629" w:type="pct"/>
            <w:gridSpan w:val="4"/>
            <w:vMerge w:val="continue"/>
            <w:tcBorders>
              <w:bottom w:val="single" w:color="auto" w:sz="4" w:space="0"/>
            </w:tcBorders>
            <w:vAlign w:val="center"/>
          </w:tcPr>
          <w:p>
            <w:pPr>
              <w:pStyle w:val="73"/>
              <w:widowControl w:val="0"/>
              <w:topLinePunct/>
              <w:adjustRightInd w:val="0"/>
              <w:snapToGrid w:val="0"/>
              <w:spacing w:line="240" w:lineRule="auto"/>
              <w:jc w:val="center"/>
              <w:textAlignment w:val="center"/>
              <w:rPr>
                <w:rFonts w:cs="Times New Roman"/>
                <w:bCs/>
              </w:rPr>
            </w:pPr>
          </w:p>
        </w:tc>
        <w:tc>
          <w:tcPr>
            <w:tcW w:w="883" w:type="pct"/>
            <w:gridSpan w:val="3"/>
            <w:vAlign w:val="center"/>
          </w:tcPr>
          <w:p>
            <w:pPr>
              <w:widowControl/>
              <w:topLinePunct w:val="0"/>
              <w:adjustRightInd/>
              <w:snapToGrid/>
              <w:spacing w:line="240" w:lineRule="auto"/>
              <w:ind w:firstLine="0" w:firstLineChars="0"/>
              <w:jc w:val="center"/>
              <w:rPr>
                <w:rFonts w:eastAsia="仿宋_GB2312"/>
                <w:sz w:val="21"/>
                <w:szCs w:val="21"/>
              </w:rPr>
            </w:pPr>
            <w:r>
              <w:rPr>
                <w:rFonts w:hint="eastAsia" w:eastAsia="仿宋_GB2312"/>
                <w:sz w:val="21"/>
                <w:szCs w:val="21"/>
              </w:rPr>
              <w:t>0.68</w:t>
            </w:r>
          </w:p>
        </w:tc>
        <w:tc>
          <w:tcPr>
            <w:tcW w:w="733" w:type="pct"/>
            <w:gridSpan w:val="3"/>
            <w:tcBorders>
              <w:bottom w:val="nil"/>
            </w:tcBorders>
            <w:vAlign w:val="center"/>
          </w:tcPr>
          <w:p>
            <w:pPr>
              <w:widowControl/>
              <w:topLinePunct w:val="0"/>
              <w:adjustRightInd/>
              <w:snapToGrid/>
              <w:spacing w:line="240" w:lineRule="auto"/>
              <w:ind w:firstLine="0" w:firstLineChars="0"/>
              <w:jc w:val="center"/>
              <w:rPr>
                <w:rFonts w:eastAsia="仿宋_GB2312"/>
                <w:sz w:val="21"/>
                <w:szCs w:val="21"/>
              </w:rPr>
            </w:pPr>
            <w:r>
              <w:rPr>
                <w:rFonts w:hint="eastAsia" w:eastAsia="仿宋_GB2312"/>
                <w:sz w:val="21"/>
                <w:szCs w:val="21"/>
              </w:rPr>
              <w:t>0.68</w:t>
            </w:r>
          </w:p>
        </w:tc>
        <w:tc>
          <w:tcPr>
            <w:tcW w:w="929" w:type="pct"/>
            <w:gridSpan w:val="4"/>
            <w:vAlign w:val="center"/>
          </w:tcPr>
          <w:p>
            <w:pPr>
              <w:widowControl/>
              <w:topLinePunct w:val="0"/>
              <w:spacing w:line="240" w:lineRule="auto"/>
              <w:ind w:firstLine="0" w:firstLineChars="0"/>
              <w:jc w:val="center"/>
              <w:rPr>
                <w:rFonts w:eastAsia="仿宋_GB2312"/>
                <w:color w:val="000000"/>
                <w:sz w:val="21"/>
                <w:szCs w:val="21"/>
              </w:rPr>
            </w:pPr>
            <w:r>
              <w:rPr>
                <w:rFonts w:hint="eastAsia" w:eastAsia="仿宋_GB2312"/>
                <w:color w:val="000000"/>
                <w:sz w:val="21"/>
                <w:szCs w:val="21"/>
              </w:rPr>
              <w:t>/</w:t>
            </w:r>
          </w:p>
        </w:tc>
        <w:tc>
          <w:tcPr>
            <w:tcW w:w="826" w:type="pct"/>
            <w:gridSpan w:val="2"/>
            <w:vAlign w:val="center"/>
          </w:tcPr>
          <w:p>
            <w:pPr>
              <w:spacing w:line="240" w:lineRule="auto"/>
              <w:ind w:firstLine="0" w:firstLineChars="0"/>
              <w:jc w:val="center"/>
              <w:rPr>
                <w:rFonts w:eastAsia="仿宋_GB2312"/>
                <w:sz w:val="21"/>
                <w:szCs w:val="21"/>
              </w:rPr>
            </w:pPr>
            <w:r>
              <w:rPr>
                <w:rFonts w:hint="eastAsia" w:eastAsia="仿宋_GB2312"/>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629" w:type="pct"/>
            <w:gridSpan w:val="4"/>
            <w:tcBorders>
              <w:bottom w:val="single" w:color="auto" w:sz="4" w:space="0"/>
            </w:tcBorders>
            <w:vAlign w:val="center"/>
          </w:tcPr>
          <w:p>
            <w:pPr>
              <w:pStyle w:val="73"/>
              <w:widowControl w:val="0"/>
              <w:topLinePunct/>
              <w:adjustRightInd w:val="0"/>
              <w:snapToGrid w:val="0"/>
              <w:spacing w:line="240" w:lineRule="auto"/>
              <w:jc w:val="center"/>
              <w:textAlignment w:val="center"/>
              <w:rPr>
                <w:rFonts w:cs="Times New Roman"/>
                <w:bCs/>
              </w:rPr>
            </w:pPr>
            <w:r>
              <w:rPr>
                <w:rFonts w:cs="Times New Roman"/>
                <w:bCs/>
              </w:rPr>
              <w:t>重点防治区名称</w:t>
            </w:r>
          </w:p>
        </w:tc>
        <w:tc>
          <w:tcPr>
            <w:tcW w:w="3371" w:type="pct"/>
            <w:gridSpan w:val="12"/>
            <w:vAlign w:val="center"/>
          </w:tcPr>
          <w:p>
            <w:pPr>
              <w:pStyle w:val="73"/>
              <w:widowControl w:val="0"/>
              <w:topLinePunct/>
              <w:adjustRightInd w:val="0"/>
              <w:snapToGrid w:val="0"/>
              <w:spacing w:line="240" w:lineRule="auto"/>
              <w:jc w:val="center"/>
              <w:textAlignment w:val="center"/>
              <w:rPr>
                <w:rFonts w:cs="Times New Roman"/>
              </w:rPr>
            </w:pPr>
            <w:r>
              <w:rPr>
                <w:rFonts w:cs="Times New Roman"/>
                <w:bCs/>
              </w:rPr>
              <w:t>塔里木河国家级水土流失重点预防区</w:t>
            </w:r>
            <w:r>
              <w:rPr>
                <w:rFonts w:hint="eastAsia" w:cs="Times New Roman"/>
                <w:bCs/>
              </w:rPr>
              <w:t>和塔里木河流域兵团级水土流失重点治理区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629" w:type="pct"/>
            <w:gridSpan w:val="4"/>
            <w:tcBorders>
              <w:bottom w:val="single" w:color="auto" w:sz="4" w:space="0"/>
            </w:tcBorders>
            <w:vAlign w:val="center"/>
          </w:tcPr>
          <w:p>
            <w:pPr>
              <w:pStyle w:val="73"/>
              <w:widowControl w:val="0"/>
              <w:topLinePunct/>
              <w:adjustRightInd w:val="0"/>
              <w:snapToGrid w:val="0"/>
              <w:spacing w:line="240" w:lineRule="auto"/>
              <w:jc w:val="center"/>
              <w:textAlignment w:val="center"/>
              <w:rPr>
                <w:rFonts w:cs="Times New Roman"/>
              </w:rPr>
            </w:pPr>
            <w:r>
              <w:rPr>
                <w:rFonts w:cs="Times New Roman"/>
              </w:rPr>
              <w:t>地貌类型</w:t>
            </w:r>
          </w:p>
        </w:tc>
        <w:tc>
          <w:tcPr>
            <w:tcW w:w="883" w:type="pct"/>
            <w:gridSpan w:val="3"/>
            <w:tcBorders>
              <w:bottom w:val="single" w:color="auto" w:sz="4" w:space="0"/>
            </w:tcBorders>
            <w:vAlign w:val="center"/>
          </w:tcPr>
          <w:p>
            <w:pPr>
              <w:pStyle w:val="73"/>
              <w:widowControl w:val="0"/>
              <w:topLinePunct/>
              <w:adjustRightInd w:val="0"/>
              <w:snapToGrid w:val="0"/>
              <w:spacing w:line="240" w:lineRule="auto"/>
              <w:jc w:val="center"/>
              <w:textAlignment w:val="center"/>
              <w:rPr>
                <w:rFonts w:cs="Times New Roman"/>
              </w:rPr>
            </w:pPr>
            <w:r>
              <w:rPr>
                <w:rFonts w:hint="eastAsia"/>
              </w:rPr>
              <w:t>冲洪积平原区</w:t>
            </w:r>
          </w:p>
        </w:tc>
        <w:tc>
          <w:tcPr>
            <w:tcW w:w="1613" w:type="pct"/>
            <w:gridSpan w:val="6"/>
            <w:tcBorders>
              <w:bottom w:val="nil"/>
            </w:tcBorders>
            <w:vAlign w:val="center"/>
          </w:tcPr>
          <w:p>
            <w:pPr>
              <w:pStyle w:val="73"/>
              <w:widowControl w:val="0"/>
              <w:topLinePunct/>
              <w:adjustRightInd w:val="0"/>
              <w:snapToGrid w:val="0"/>
              <w:spacing w:line="240" w:lineRule="auto"/>
              <w:jc w:val="center"/>
              <w:textAlignment w:val="center"/>
              <w:rPr>
                <w:rFonts w:cs="Times New Roman"/>
              </w:rPr>
            </w:pPr>
            <w:r>
              <w:rPr>
                <w:rFonts w:cs="Times New Roman"/>
              </w:rPr>
              <w:t>水土保持区划</w:t>
            </w:r>
          </w:p>
        </w:tc>
        <w:tc>
          <w:tcPr>
            <w:tcW w:w="875" w:type="pct"/>
            <w:gridSpan w:val="3"/>
            <w:vAlign w:val="center"/>
          </w:tcPr>
          <w:p>
            <w:pPr>
              <w:pStyle w:val="73"/>
              <w:widowControl w:val="0"/>
              <w:topLinePunct/>
              <w:adjustRightInd w:val="0"/>
              <w:snapToGrid w:val="0"/>
              <w:spacing w:line="240" w:lineRule="auto"/>
              <w:jc w:val="center"/>
              <w:textAlignment w:val="center"/>
              <w:rPr>
                <w:rFonts w:cs="Times New Roman"/>
              </w:rPr>
            </w:pPr>
            <w:r>
              <w:rPr>
                <w:rFonts w:hint="eastAsia" w:cs="Times New Roman"/>
              </w:rPr>
              <w:t>北方风沙区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629" w:type="pct"/>
            <w:gridSpan w:val="4"/>
            <w:tcBorders>
              <w:bottom w:val="single" w:color="auto" w:sz="4" w:space="0"/>
            </w:tcBorders>
            <w:vAlign w:val="center"/>
          </w:tcPr>
          <w:p>
            <w:pPr>
              <w:pStyle w:val="73"/>
              <w:widowControl w:val="0"/>
              <w:topLinePunct/>
              <w:adjustRightInd w:val="0"/>
              <w:snapToGrid w:val="0"/>
              <w:spacing w:line="240" w:lineRule="auto"/>
              <w:jc w:val="center"/>
              <w:textAlignment w:val="center"/>
              <w:rPr>
                <w:rFonts w:cs="Times New Roman"/>
              </w:rPr>
            </w:pPr>
            <w:r>
              <w:rPr>
                <w:rFonts w:cs="Times New Roman"/>
              </w:rPr>
              <w:t>土壤侵蚀类型</w:t>
            </w:r>
          </w:p>
        </w:tc>
        <w:tc>
          <w:tcPr>
            <w:tcW w:w="883" w:type="pct"/>
            <w:gridSpan w:val="3"/>
            <w:tcBorders>
              <w:bottom w:val="single" w:color="auto" w:sz="4" w:space="0"/>
            </w:tcBorders>
            <w:vAlign w:val="center"/>
          </w:tcPr>
          <w:p>
            <w:pPr>
              <w:pStyle w:val="73"/>
              <w:widowControl w:val="0"/>
              <w:topLinePunct/>
              <w:adjustRightInd w:val="0"/>
              <w:snapToGrid w:val="0"/>
              <w:spacing w:line="240" w:lineRule="auto"/>
              <w:jc w:val="center"/>
              <w:textAlignment w:val="center"/>
              <w:rPr>
                <w:rFonts w:cs="Times New Roman"/>
              </w:rPr>
            </w:pPr>
            <w:r>
              <w:rPr>
                <w:rFonts w:cs="Times New Roman"/>
              </w:rPr>
              <w:t>风蚀</w:t>
            </w:r>
          </w:p>
        </w:tc>
        <w:tc>
          <w:tcPr>
            <w:tcW w:w="1613" w:type="pct"/>
            <w:gridSpan w:val="6"/>
            <w:tcBorders>
              <w:bottom w:val="nil"/>
            </w:tcBorders>
            <w:vAlign w:val="center"/>
          </w:tcPr>
          <w:p>
            <w:pPr>
              <w:pStyle w:val="73"/>
              <w:widowControl w:val="0"/>
              <w:topLinePunct/>
              <w:adjustRightInd w:val="0"/>
              <w:snapToGrid w:val="0"/>
              <w:spacing w:line="240" w:lineRule="auto"/>
              <w:jc w:val="center"/>
              <w:textAlignment w:val="center"/>
              <w:rPr>
                <w:rFonts w:cs="Times New Roman"/>
              </w:rPr>
            </w:pPr>
            <w:r>
              <w:rPr>
                <w:rFonts w:cs="Times New Roman"/>
              </w:rPr>
              <w:t>土壤侵蚀强度</w:t>
            </w:r>
          </w:p>
        </w:tc>
        <w:tc>
          <w:tcPr>
            <w:tcW w:w="875" w:type="pct"/>
            <w:gridSpan w:val="3"/>
            <w:vAlign w:val="center"/>
          </w:tcPr>
          <w:p>
            <w:pPr>
              <w:pStyle w:val="73"/>
              <w:widowControl w:val="0"/>
              <w:topLinePunct/>
              <w:adjustRightInd w:val="0"/>
              <w:snapToGrid w:val="0"/>
              <w:spacing w:line="240" w:lineRule="auto"/>
              <w:jc w:val="center"/>
              <w:textAlignment w:val="center"/>
              <w:rPr>
                <w:rFonts w:cs="Times New Roman"/>
              </w:rPr>
            </w:pPr>
            <w:r>
              <w:rPr>
                <w:rFonts w:cs="Times New Roman"/>
              </w:rPr>
              <w:t>轻度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629" w:type="pct"/>
            <w:gridSpan w:val="4"/>
            <w:tcBorders>
              <w:bottom w:val="single" w:color="auto" w:sz="4" w:space="0"/>
            </w:tcBorders>
            <w:vAlign w:val="center"/>
          </w:tcPr>
          <w:p>
            <w:pPr>
              <w:pStyle w:val="73"/>
              <w:widowControl w:val="0"/>
              <w:topLinePunct/>
              <w:adjustRightInd w:val="0"/>
              <w:snapToGrid w:val="0"/>
              <w:spacing w:line="240" w:lineRule="auto"/>
              <w:jc w:val="center"/>
              <w:textAlignment w:val="center"/>
              <w:rPr>
                <w:rFonts w:cs="Times New Roman"/>
                <w:color w:val="auto"/>
              </w:rPr>
            </w:pPr>
            <w:r>
              <w:rPr>
                <w:rFonts w:cs="Times New Roman"/>
                <w:bCs/>
              </w:rPr>
              <w:t>防治责任范围面积（</w:t>
            </w:r>
            <w:r>
              <w:rPr>
                <w:rFonts w:hint="eastAsia" w:cs="Times New Roman"/>
                <w:bCs/>
              </w:rPr>
              <w:t>h</w:t>
            </w:r>
            <w:r>
              <w:rPr>
                <w:rFonts w:cs="Times New Roman"/>
                <w:bCs/>
              </w:rPr>
              <w:t>m</w:t>
            </w:r>
            <w:r>
              <w:rPr>
                <w:rFonts w:cs="Times New Roman"/>
                <w:bCs/>
                <w:vertAlign w:val="superscript"/>
              </w:rPr>
              <w:t>2</w:t>
            </w:r>
            <w:r>
              <w:rPr>
                <w:rFonts w:cs="Times New Roman"/>
                <w:bCs/>
              </w:rPr>
              <w:t>）</w:t>
            </w:r>
          </w:p>
        </w:tc>
        <w:tc>
          <w:tcPr>
            <w:tcW w:w="883" w:type="pct"/>
            <w:gridSpan w:val="3"/>
            <w:tcBorders>
              <w:bottom w:val="single" w:color="auto" w:sz="4" w:space="0"/>
            </w:tcBorders>
            <w:vAlign w:val="center"/>
          </w:tcPr>
          <w:p>
            <w:pPr>
              <w:pStyle w:val="73"/>
              <w:widowControl w:val="0"/>
              <w:topLinePunct/>
              <w:adjustRightInd w:val="0"/>
              <w:snapToGrid w:val="0"/>
              <w:spacing w:line="240" w:lineRule="auto"/>
              <w:jc w:val="center"/>
              <w:textAlignment w:val="center"/>
              <w:rPr>
                <w:rFonts w:cs="Times New Roman"/>
                <w:color w:val="auto"/>
              </w:rPr>
            </w:pPr>
            <w:r>
              <w:rPr>
                <w:rFonts w:hint="eastAsia" w:cs="Times New Roman"/>
                <w:color w:val="auto"/>
              </w:rPr>
              <w:t>1.84</w:t>
            </w:r>
          </w:p>
        </w:tc>
        <w:tc>
          <w:tcPr>
            <w:tcW w:w="1613" w:type="pct"/>
            <w:gridSpan w:val="6"/>
            <w:tcBorders>
              <w:bottom w:val="nil"/>
            </w:tcBorders>
            <w:vAlign w:val="center"/>
          </w:tcPr>
          <w:p>
            <w:pPr>
              <w:pStyle w:val="73"/>
              <w:widowControl w:val="0"/>
              <w:topLinePunct/>
              <w:adjustRightInd w:val="0"/>
              <w:snapToGrid w:val="0"/>
              <w:spacing w:line="240" w:lineRule="auto"/>
              <w:jc w:val="center"/>
              <w:textAlignment w:val="center"/>
              <w:rPr>
                <w:rFonts w:cs="Times New Roman"/>
              </w:rPr>
            </w:pPr>
            <w:r>
              <w:rPr>
                <w:rFonts w:cs="Times New Roman"/>
              </w:rPr>
              <w:t>容许土壤流失量</w:t>
            </w:r>
            <w:r>
              <w:rPr>
                <w:rFonts w:cs="Times New Roman"/>
                <w:color w:val="auto"/>
                <w:sz w:val="24"/>
              </w:rPr>
              <w:t>[</w:t>
            </w:r>
            <w:r>
              <w:rPr>
                <w:rFonts w:cs="Times New Roman"/>
              </w:rPr>
              <w:t>t/（km</w:t>
            </w:r>
            <w:r>
              <w:rPr>
                <w:rFonts w:cs="Times New Roman"/>
                <w:vertAlign w:val="superscript"/>
              </w:rPr>
              <w:t>2</w:t>
            </w:r>
            <w:r>
              <w:rPr>
                <w:rFonts w:cs="Times New Roman"/>
              </w:rPr>
              <w:t>·a）</w:t>
            </w:r>
            <w:r>
              <w:rPr>
                <w:rFonts w:cs="Times New Roman"/>
                <w:color w:val="auto"/>
                <w:sz w:val="24"/>
              </w:rPr>
              <w:t>]</w:t>
            </w:r>
          </w:p>
        </w:tc>
        <w:tc>
          <w:tcPr>
            <w:tcW w:w="875" w:type="pct"/>
            <w:gridSpan w:val="3"/>
            <w:vAlign w:val="center"/>
          </w:tcPr>
          <w:p>
            <w:pPr>
              <w:pStyle w:val="73"/>
              <w:widowControl w:val="0"/>
              <w:topLinePunct/>
              <w:adjustRightInd w:val="0"/>
              <w:snapToGrid w:val="0"/>
              <w:spacing w:line="240" w:lineRule="auto"/>
              <w:jc w:val="center"/>
              <w:textAlignment w:val="center"/>
              <w:rPr>
                <w:rFonts w:cs="Times New Roman"/>
              </w:rPr>
            </w:pPr>
            <w:r>
              <w:rPr>
                <w:rFonts w:hint="eastAsia" w:cs="Times New Roman"/>
              </w:rPr>
              <w:t>1500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629" w:type="pct"/>
            <w:gridSpan w:val="4"/>
            <w:tcBorders>
              <w:bottom w:val="single" w:color="auto" w:sz="4" w:space="0"/>
            </w:tcBorders>
            <w:vAlign w:val="center"/>
          </w:tcPr>
          <w:p>
            <w:pPr>
              <w:pStyle w:val="73"/>
              <w:widowControl w:val="0"/>
              <w:topLinePunct/>
              <w:adjustRightInd w:val="0"/>
              <w:snapToGrid w:val="0"/>
              <w:spacing w:line="240" w:lineRule="auto"/>
              <w:jc w:val="center"/>
              <w:textAlignment w:val="center"/>
              <w:rPr>
                <w:rFonts w:cs="Times New Roman"/>
              </w:rPr>
            </w:pPr>
            <w:r>
              <w:rPr>
                <w:rFonts w:cs="Times New Roman"/>
                <w:bCs/>
              </w:rPr>
              <w:t>水土流失预测总量（t）</w:t>
            </w:r>
          </w:p>
        </w:tc>
        <w:tc>
          <w:tcPr>
            <w:tcW w:w="883" w:type="pct"/>
            <w:gridSpan w:val="3"/>
            <w:tcBorders>
              <w:bottom w:val="single" w:color="auto" w:sz="4" w:space="0"/>
            </w:tcBorders>
            <w:vAlign w:val="center"/>
          </w:tcPr>
          <w:p>
            <w:pPr>
              <w:pStyle w:val="73"/>
              <w:widowControl w:val="0"/>
              <w:topLinePunct/>
              <w:adjustRightInd w:val="0"/>
              <w:snapToGrid w:val="0"/>
              <w:spacing w:line="240" w:lineRule="auto"/>
              <w:jc w:val="center"/>
              <w:textAlignment w:val="center"/>
              <w:rPr>
                <w:rFonts w:cs="Times New Roman"/>
              </w:rPr>
            </w:pPr>
            <w:r>
              <w:rPr>
                <w:rFonts w:hint="eastAsia" w:cs="Times New Roman"/>
              </w:rPr>
              <w:t>96</w:t>
            </w:r>
          </w:p>
        </w:tc>
        <w:tc>
          <w:tcPr>
            <w:tcW w:w="1613" w:type="pct"/>
            <w:gridSpan w:val="6"/>
            <w:tcBorders>
              <w:bottom w:val="nil"/>
            </w:tcBorders>
            <w:vAlign w:val="center"/>
          </w:tcPr>
          <w:p>
            <w:pPr>
              <w:pStyle w:val="73"/>
              <w:widowControl w:val="0"/>
              <w:topLinePunct/>
              <w:adjustRightInd w:val="0"/>
              <w:snapToGrid w:val="0"/>
              <w:spacing w:line="240" w:lineRule="auto"/>
              <w:jc w:val="center"/>
              <w:textAlignment w:val="center"/>
              <w:rPr>
                <w:rFonts w:cs="Times New Roman"/>
              </w:rPr>
            </w:pPr>
            <w:r>
              <w:rPr>
                <w:rFonts w:cs="Times New Roman"/>
              </w:rPr>
              <w:t>新增水土流失量(t)</w:t>
            </w:r>
          </w:p>
        </w:tc>
        <w:tc>
          <w:tcPr>
            <w:tcW w:w="875" w:type="pct"/>
            <w:gridSpan w:val="3"/>
            <w:vAlign w:val="center"/>
          </w:tcPr>
          <w:p>
            <w:pPr>
              <w:pStyle w:val="73"/>
              <w:widowControl w:val="0"/>
              <w:topLinePunct/>
              <w:adjustRightInd w:val="0"/>
              <w:snapToGrid w:val="0"/>
              <w:spacing w:line="240" w:lineRule="auto"/>
              <w:jc w:val="center"/>
              <w:textAlignment w:val="center"/>
              <w:rPr>
                <w:rFonts w:cs="Times New Roman"/>
                <w:b/>
              </w:rPr>
            </w:pPr>
            <w:r>
              <w:rPr>
                <w:rFonts w:hint="eastAsia" w:cs="Times New Roman"/>
              </w:rPr>
              <w:t>36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629" w:type="pct"/>
            <w:gridSpan w:val="4"/>
            <w:vAlign w:val="center"/>
          </w:tcPr>
          <w:p>
            <w:pPr>
              <w:pStyle w:val="73"/>
              <w:widowControl w:val="0"/>
              <w:topLinePunct/>
              <w:adjustRightInd w:val="0"/>
              <w:snapToGrid w:val="0"/>
              <w:spacing w:line="240" w:lineRule="auto"/>
              <w:jc w:val="center"/>
              <w:textAlignment w:val="center"/>
              <w:rPr>
                <w:rFonts w:cs="Times New Roman"/>
                <w:bCs/>
              </w:rPr>
            </w:pPr>
            <w:r>
              <w:rPr>
                <w:rFonts w:cs="Times New Roman"/>
                <w:bCs/>
              </w:rPr>
              <w:t>水土流失防治标准执行等级</w:t>
            </w:r>
          </w:p>
        </w:tc>
        <w:tc>
          <w:tcPr>
            <w:tcW w:w="3371" w:type="pct"/>
            <w:gridSpan w:val="12"/>
            <w:vAlign w:val="center"/>
          </w:tcPr>
          <w:p>
            <w:pPr>
              <w:pStyle w:val="73"/>
              <w:widowControl w:val="0"/>
              <w:topLinePunct/>
              <w:adjustRightInd w:val="0"/>
              <w:snapToGrid w:val="0"/>
              <w:spacing w:line="240" w:lineRule="auto"/>
              <w:jc w:val="center"/>
              <w:textAlignment w:val="center"/>
              <w:rPr>
                <w:rFonts w:cs="Times New Roman"/>
              </w:rPr>
            </w:pPr>
            <w:r>
              <w:rPr>
                <w:rFonts w:hint="eastAsia" w:cs="Times New Roman"/>
              </w:rPr>
              <w:t>北方风沙区</w:t>
            </w:r>
            <w:r>
              <w:rPr>
                <w:rFonts w:cs="Times New Roman"/>
              </w:rPr>
              <w:t>建设类项目</w:t>
            </w:r>
            <w:r>
              <w:rPr>
                <w:rFonts w:hint="eastAsia" w:cs="Times New Roman"/>
              </w:rPr>
              <w:t>水土流失防治</w:t>
            </w:r>
            <w:r>
              <w:rPr>
                <w:rFonts w:cs="Times New Roman"/>
              </w:rPr>
              <w:t>一级标准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96" w:type="pct"/>
            <w:gridSpan w:val="2"/>
            <w:vMerge w:val="restart"/>
            <w:vAlign w:val="center"/>
          </w:tcPr>
          <w:p>
            <w:pPr>
              <w:pStyle w:val="73"/>
              <w:widowControl w:val="0"/>
              <w:topLinePunct/>
              <w:adjustRightInd w:val="0"/>
              <w:snapToGrid w:val="0"/>
              <w:spacing w:line="240" w:lineRule="auto"/>
              <w:jc w:val="center"/>
              <w:textAlignment w:val="center"/>
              <w:rPr>
                <w:rFonts w:cs="Times New Roman"/>
                <w:bCs/>
              </w:rPr>
            </w:pPr>
            <w:r>
              <w:rPr>
                <w:rFonts w:cs="Times New Roman"/>
                <w:bCs/>
              </w:rPr>
              <w:t>防治</w:t>
            </w:r>
          </w:p>
          <w:p>
            <w:pPr>
              <w:pStyle w:val="73"/>
              <w:widowControl w:val="0"/>
              <w:topLinePunct/>
              <w:adjustRightInd w:val="0"/>
              <w:snapToGrid w:val="0"/>
              <w:spacing w:line="240" w:lineRule="auto"/>
              <w:jc w:val="center"/>
              <w:textAlignment w:val="center"/>
              <w:rPr>
                <w:rFonts w:cs="Times New Roman"/>
                <w:bCs/>
              </w:rPr>
            </w:pPr>
            <w:r>
              <w:rPr>
                <w:rFonts w:cs="Times New Roman"/>
                <w:bCs/>
              </w:rPr>
              <w:t>指标</w:t>
            </w:r>
          </w:p>
        </w:tc>
        <w:tc>
          <w:tcPr>
            <w:tcW w:w="1616" w:type="pct"/>
            <w:gridSpan w:val="5"/>
            <w:vAlign w:val="center"/>
          </w:tcPr>
          <w:p>
            <w:pPr>
              <w:pStyle w:val="73"/>
              <w:widowControl w:val="0"/>
              <w:topLinePunct/>
              <w:adjustRightInd w:val="0"/>
              <w:snapToGrid w:val="0"/>
              <w:spacing w:line="240" w:lineRule="auto"/>
              <w:jc w:val="center"/>
              <w:textAlignment w:val="center"/>
              <w:rPr>
                <w:rFonts w:cs="Times New Roman"/>
              </w:rPr>
            </w:pPr>
            <w:r>
              <w:rPr>
                <w:rFonts w:cs="Times New Roman"/>
              </w:rPr>
              <w:t>水土流失治理度（%）</w:t>
            </w:r>
          </w:p>
        </w:tc>
        <w:tc>
          <w:tcPr>
            <w:tcW w:w="660" w:type="pct"/>
            <w:gridSpan w:val="2"/>
            <w:tcBorders>
              <w:bottom w:val="nil"/>
            </w:tcBorders>
            <w:vAlign w:val="center"/>
          </w:tcPr>
          <w:p>
            <w:pPr>
              <w:pStyle w:val="73"/>
              <w:widowControl w:val="0"/>
              <w:topLinePunct/>
              <w:adjustRightInd w:val="0"/>
              <w:snapToGrid w:val="0"/>
              <w:spacing w:line="240" w:lineRule="auto"/>
              <w:jc w:val="center"/>
              <w:textAlignment w:val="center"/>
              <w:rPr>
                <w:rFonts w:cs="Times New Roman"/>
              </w:rPr>
            </w:pPr>
            <w:r>
              <w:rPr>
                <w:rFonts w:cs="Times New Roman"/>
              </w:rPr>
              <w:t>85</w:t>
            </w:r>
          </w:p>
        </w:tc>
        <w:tc>
          <w:tcPr>
            <w:tcW w:w="1247" w:type="pct"/>
            <w:gridSpan w:val="6"/>
            <w:vAlign w:val="center"/>
          </w:tcPr>
          <w:p>
            <w:pPr>
              <w:pStyle w:val="73"/>
              <w:widowControl w:val="0"/>
              <w:topLinePunct/>
              <w:adjustRightInd w:val="0"/>
              <w:snapToGrid w:val="0"/>
              <w:spacing w:line="240" w:lineRule="auto"/>
              <w:jc w:val="center"/>
              <w:textAlignment w:val="center"/>
              <w:rPr>
                <w:rFonts w:cs="Times New Roman"/>
              </w:rPr>
            </w:pPr>
            <w:r>
              <w:rPr>
                <w:rFonts w:cs="Times New Roman"/>
              </w:rPr>
              <w:t>土壤流失控制比</w:t>
            </w:r>
          </w:p>
        </w:tc>
        <w:tc>
          <w:tcPr>
            <w:tcW w:w="581" w:type="pct"/>
            <w:vAlign w:val="center"/>
          </w:tcPr>
          <w:p>
            <w:pPr>
              <w:pStyle w:val="73"/>
              <w:widowControl w:val="0"/>
              <w:topLinePunct/>
              <w:adjustRightInd w:val="0"/>
              <w:snapToGrid w:val="0"/>
              <w:spacing w:line="240" w:lineRule="auto"/>
              <w:jc w:val="center"/>
              <w:textAlignment w:val="center"/>
              <w:rPr>
                <w:rFonts w:cs="Times New Roman"/>
              </w:rPr>
            </w:pPr>
            <w:r>
              <w:rPr>
                <w:rFonts w:hint="eastAsia" w:cs="Times New Roman"/>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96" w:type="pct"/>
            <w:gridSpan w:val="2"/>
            <w:vMerge w:val="continue"/>
            <w:vAlign w:val="center"/>
          </w:tcPr>
          <w:p>
            <w:pPr>
              <w:pStyle w:val="73"/>
              <w:widowControl w:val="0"/>
              <w:topLinePunct/>
              <w:adjustRightInd w:val="0"/>
              <w:snapToGrid w:val="0"/>
              <w:spacing w:line="240" w:lineRule="auto"/>
              <w:jc w:val="center"/>
              <w:textAlignment w:val="center"/>
              <w:rPr>
                <w:rFonts w:cs="Times New Roman"/>
                <w:bCs/>
              </w:rPr>
            </w:pPr>
          </w:p>
        </w:tc>
        <w:tc>
          <w:tcPr>
            <w:tcW w:w="1616" w:type="pct"/>
            <w:gridSpan w:val="5"/>
            <w:vAlign w:val="center"/>
          </w:tcPr>
          <w:p>
            <w:pPr>
              <w:pStyle w:val="73"/>
              <w:widowControl w:val="0"/>
              <w:topLinePunct/>
              <w:adjustRightInd w:val="0"/>
              <w:snapToGrid w:val="0"/>
              <w:spacing w:line="240" w:lineRule="auto"/>
              <w:jc w:val="center"/>
              <w:textAlignment w:val="center"/>
              <w:rPr>
                <w:rFonts w:cs="Times New Roman"/>
              </w:rPr>
            </w:pPr>
            <w:r>
              <w:rPr>
                <w:rFonts w:cs="Times New Roman"/>
              </w:rPr>
              <w:t>渣土挡护率（%）</w:t>
            </w:r>
          </w:p>
        </w:tc>
        <w:tc>
          <w:tcPr>
            <w:tcW w:w="660" w:type="pct"/>
            <w:gridSpan w:val="2"/>
            <w:tcBorders>
              <w:bottom w:val="nil"/>
            </w:tcBorders>
            <w:vAlign w:val="center"/>
          </w:tcPr>
          <w:p>
            <w:pPr>
              <w:pStyle w:val="73"/>
              <w:widowControl w:val="0"/>
              <w:topLinePunct/>
              <w:adjustRightInd w:val="0"/>
              <w:snapToGrid w:val="0"/>
              <w:spacing w:line="240" w:lineRule="auto"/>
              <w:jc w:val="center"/>
              <w:textAlignment w:val="center"/>
              <w:rPr>
                <w:rFonts w:cs="Times New Roman"/>
              </w:rPr>
            </w:pPr>
            <w:r>
              <w:rPr>
                <w:rFonts w:cs="Times New Roman"/>
              </w:rPr>
              <w:t>87</w:t>
            </w:r>
          </w:p>
        </w:tc>
        <w:tc>
          <w:tcPr>
            <w:tcW w:w="1247" w:type="pct"/>
            <w:gridSpan w:val="6"/>
            <w:vAlign w:val="center"/>
          </w:tcPr>
          <w:p>
            <w:pPr>
              <w:pStyle w:val="73"/>
              <w:widowControl w:val="0"/>
              <w:topLinePunct/>
              <w:adjustRightInd w:val="0"/>
              <w:snapToGrid w:val="0"/>
              <w:spacing w:line="240" w:lineRule="auto"/>
              <w:jc w:val="center"/>
              <w:textAlignment w:val="center"/>
              <w:rPr>
                <w:rFonts w:cs="Times New Roman"/>
              </w:rPr>
            </w:pPr>
            <w:r>
              <w:rPr>
                <w:rFonts w:cs="Times New Roman"/>
              </w:rPr>
              <w:t>表土保护率（%）</w:t>
            </w:r>
          </w:p>
        </w:tc>
        <w:tc>
          <w:tcPr>
            <w:tcW w:w="581" w:type="pct"/>
            <w:vAlign w:val="center"/>
          </w:tcPr>
          <w:p>
            <w:pPr>
              <w:pStyle w:val="73"/>
              <w:widowControl w:val="0"/>
              <w:topLinePunct/>
              <w:adjustRightInd w:val="0"/>
              <w:snapToGrid w:val="0"/>
              <w:spacing w:line="240" w:lineRule="auto"/>
              <w:jc w:val="center"/>
              <w:textAlignment w:val="center"/>
              <w:rPr>
                <w:rFonts w:cs="Times New Roman"/>
              </w:rPr>
            </w:pPr>
            <w:r>
              <w:rPr>
                <w:rFonts w:cs="Times New Roma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96" w:type="pct"/>
            <w:gridSpan w:val="2"/>
            <w:vMerge w:val="continue"/>
            <w:vAlign w:val="center"/>
          </w:tcPr>
          <w:p>
            <w:pPr>
              <w:pStyle w:val="73"/>
              <w:widowControl w:val="0"/>
              <w:topLinePunct/>
              <w:adjustRightInd w:val="0"/>
              <w:snapToGrid w:val="0"/>
              <w:spacing w:line="240" w:lineRule="auto"/>
              <w:jc w:val="center"/>
              <w:textAlignment w:val="center"/>
              <w:rPr>
                <w:rFonts w:cs="Times New Roman"/>
                <w:bCs/>
              </w:rPr>
            </w:pPr>
          </w:p>
        </w:tc>
        <w:tc>
          <w:tcPr>
            <w:tcW w:w="1616" w:type="pct"/>
            <w:gridSpan w:val="5"/>
            <w:vAlign w:val="center"/>
          </w:tcPr>
          <w:p>
            <w:pPr>
              <w:pStyle w:val="73"/>
              <w:widowControl w:val="0"/>
              <w:topLinePunct/>
              <w:adjustRightInd w:val="0"/>
              <w:snapToGrid w:val="0"/>
              <w:spacing w:line="240" w:lineRule="auto"/>
              <w:jc w:val="center"/>
              <w:textAlignment w:val="center"/>
              <w:rPr>
                <w:rFonts w:cs="Times New Roman"/>
              </w:rPr>
            </w:pPr>
            <w:r>
              <w:rPr>
                <w:rFonts w:cs="Times New Roman"/>
              </w:rPr>
              <w:t>林草植被恢复率（%）</w:t>
            </w:r>
          </w:p>
        </w:tc>
        <w:tc>
          <w:tcPr>
            <w:tcW w:w="660" w:type="pct"/>
            <w:gridSpan w:val="2"/>
            <w:tcBorders>
              <w:bottom w:val="nil"/>
            </w:tcBorders>
            <w:vAlign w:val="center"/>
          </w:tcPr>
          <w:p>
            <w:pPr>
              <w:pStyle w:val="73"/>
              <w:widowControl w:val="0"/>
              <w:topLinePunct/>
              <w:adjustRightInd w:val="0"/>
              <w:snapToGrid w:val="0"/>
              <w:spacing w:line="240" w:lineRule="auto"/>
              <w:jc w:val="center"/>
              <w:textAlignment w:val="center"/>
              <w:rPr>
                <w:rFonts w:cs="Times New Roman"/>
              </w:rPr>
            </w:pPr>
            <w:r>
              <w:rPr>
                <w:rFonts w:hint="eastAsia" w:cs="Times New Roman"/>
              </w:rPr>
              <w:t>--</w:t>
            </w:r>
          </w:p>
        </w:tc>
        <w:tc>
          <w:tcPr>
            <w:tcW w:w="1247" w:type="pct"/>
            <w:gridSpan w:val="6"/>
            <w:vAlign w:val="center"/>
          </w:tcPr>
          <w:p>
            <w:pPr>
              <w:pStyle w:val="73"/>
              <w:widowControl w:val="0"/>
              <w:topLinePunct/>
              <w:adjustRightInd w:val="0"/>
              <w:snapToGrid w:val="0"/>
              <w:spacing w:line="240" w:lineRule="auto"/>
              <w:jc w:val="center"/>
              <w:textAlignment w:val="center"/>
              <w:rPr>
                <w:rFonts w:cs="Times New Roman"/>
              </w:rPr>
            </w:pPr>
            <w:r>
              <w:rPr>
                <w:rFonts w:cs="Times New Roman"/>
              </w:rPr>
              <w:t>林草覆盖率（%）</w:t>
            </w:r>
          </w:p>
        </w:tc>
        <w:tc>
          <w:tcPr>
            <w:tcW w:w="581" w:type="pct"/>
            <w:vAlign w:val="center"/>
          </w:tcPr>
          <w:p>
            <w:pPr>
              <w:pStyle w:val="73"/>
              <w:widowControl w:val="0"/>
              <w:topLinePunct/>
              <w:adjustRightInd w:val="0"/>
              <w:snapToGrid w:val="0"/>
              <w:spacing w:line="240" w:lineRule="auto"/>
              <w:jc w:val="center"/>
              <w:textAlignment w:val="center"/>
              <w:rPr>
                <w:rFonts w:cs="Times New Roman"/>
              </w:rPr>
            </w:pPr>
            <w:r>
              <w:rPr>
                <w:rFonts w:hint="eastAsia" w:cs="Times New Roma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96" w:type="pct"/>
            <w:gridSpan w:val="2"/>
            <w:vMerge w:val="restart"/>
            <w:vAlign w:val="center"/>
          </w:tcPr>
          <w:p>
            <w:pPr>
              <w:pStyle w:val="73"/>
              <w:widowControl w:val="0"/>
              <w:topLinePunct/>
              <w:adjustRightInd w:val="0"/>
              <w:snapToGrid w:val="0"/>
              <w:spacing w:line="240" w:lineRule="auto"/>
              <w:jc w:val="center"/>
              <w:textAlignment w:val="center"/>
              <w:rPr>
                <w:rFonts w:cs="Times New Roman"/>
              </w:rPr>
            </w:pPr>
            <w:r>
              <w:rPr>
                <w:rFonts w:cs="Times New Roman"/>
                <w:bCs/>
              </w:rPr>
              <w:t>防治措施及工程量</w:t>
            </w:r>
          </w:p>
        </w:tc>
        <w:tc>
          <w:tcPr>
            <w:tcW w:w="1469" w:type="pct"/>
            <w:gridSpan w:val="4"/>
            <w:tcBorders>
              <w:bottom w:val="nil"/>
            </w:tcBorders>
            <w:vAlign w:val="center"/>
          </w:tcPr>
          <w:p>
            <w:pPr>
              <w:pStyle w:val="73"/>
              <w:widowControl w:val="0"/>
              <w:topLinePunct/>
              <w:adjustRightInd w:val="0"/>
              <w:snapToGrid w:val="0"/>
              <w:spacing w:line="240" w:lineRule="auto"/>
              <w:jc w:val="center"/>
              <w:textAlignment w:val="center"/>
              <w:rPr>
                <w:rFonts w:cs="Times New Roman"/>
              </w:rPr>
            </w:pPr>
            <w:r>
              <w:rPr>
                <w:rFonts w:cs="Times New Roman"/>
              </w:rPr>
              <w:t>工程措施</w:t>
            </w:r>
          </w:p>
        </w:tc>
        <w:tc>
          <w:tcPr>
            <w:tcW w:w="1026" w:type="pct"/>
            <w:gridSpan w:val="5"/>
            <w:vAlign w:val="center"/>
          </w:tcPr>
          <w:p>
            <w:pPr>
              <w:pStyle w:val="73"/>
              <w:widowControl w:val="0"/>
              <w:topLinePunct/>
              <w:adjustRightInd w:val="0"/>
              <w:snapToGrid w:val="0"/>
              <w:spacing w:line="240" w:lineRule="auto"/>
              <w:jc w:val="center"/>
              <w:textAlignment w:val="center"/>
              <w:rPr>
                <w:rFonts w:cs="Times New Roman"/>
              </w:rPr>
            </w:pPr>
            <w:r>
              <w:rPr>
                <w:rFonts w:cs="Times New Roman"/>
              </w:rPr>
              <w:t>植物措施</w:t>
            </w:r>
          </w:p>
        </w:tc>
        <w:tc>
          <w:tcPr>
            <w:tcW w:w="1609" w:type="pct"/>
            <w:gridSpan w:val="5"/>
            <w:vAlign w:val="center"/>
          </w:tcPr>
          <w:p>
            <w:pPr>
              <w:pStyle w:val="73"/>
              <w:widowControl w:val="0"/>
              <w:topLinePunct/>
              <w:adjustRightInd w:val="0"/>
              <w:snapToGrid w:val="0"/>
              <w:spacing w:line="240" w:lineRule="auto"/>
              <w:jc w:val="center"/>
              <w:textAlignment w:val="center"/>
              <w:rPr>
                <w:rFonts w:cs="Times New Roman"/>
              </w:rPr>
            </w:pPr>
            <w:r>
              <w:rPr>
                <w:rFonts w:cs="Times New Roman"/>
              </w:rPr>
              <w:t>临时措施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96" w:type="pct"/>
            <w:gridSpan w:val="2"/>
            <w:vMerge w:val="continue"/>
            <w:vAlign w:val="center"/>
          </w:tcPr>
          <w:p>
            <w:pPr>
              <w:pStyle w:val="73"/>
              <w:widowControl w:val="0"/>
              <w:topLinePunct/>
              <w:adjustRightInd w:val="0"/>
              <w:snapToGrid w:val="0"/>
              <w:spacing w:line="240" w:lineRule="auto"/>
              <w:jc w:val="center"/>
              <w:textAlignment w:val="center"/>
              <w:rPr>
                <w:rFonts w:cs="Times New Roman"/>
                <w:b/>
              </w:rPr>
            </w:pPr>
          </w:p>
        </w:tc>
        <w:tc>
          <w:tcPr>
            <w:tcW w:w="1469" w:type="pct"/>
            <w:gridSpan w:val="4"/>
            <w:vAlign w:val="center"/>
          </w:tcPr>
          <w:p>
            <w:pPr>
              <w:tabs>
                <w:tab w:val="left" w:pos="840"/>
                <w:tab w:val="left" w:pos="1485"/>
              </w:tabs>
              <w:spacing w:line="240" w:lineRule="auto"/>
              <w:ind w:firstLine="0" w:firstLineChars="0"/>
              <w:rPr>
                <w:rFonts w:eastAsia="仿宋_GB2312"/>
                <w:sz w:val="21"/>
                <w:szCs w:val="21"/>
              </w:rPr>
            </w:pPr>
            <w:r>
              <w:rPr>
                <w:rFonts w:eastAsia="仿宋_GB2312"/>
                <w:sz w:val="21"/>
                <w:szCs w:val="21"/>
              </w:rPr>
              <w:t>土地平整</w:t>
            </w:r>
            <w:r>
              <w:rPr>
                <w:rFonts w:hint="eastAsia" w:eastAsia="仿宋_GB2312"/>
                <w:sz w:val="21"/>
                <w:szCs w:val="21"/>
              </w:rPr>
              <w:t>0.62h</w:t>
            </w:r>
            <w:r>
              <w:rPr>
                <w:rFonts w:eastAsia="仿宋_GB2312"/>
                <w:sz w:val="21"/>
                <w:szCs w:val="21"/>
              </w:rPr>
              <w:t>m²</w:t>
            </w:r>
            <w:r>
              <w:rPr>
                <w:rFonts w:eastAsia="仿宋_GB2312"/>
                <w:snapToGrid w:val="0"/>
                <w:sz w:val="21"/>
                <w:szCs w:val="21"/>
              </w:rPr>
              <w:t xml:space="preserve"> (</w:t>
            </w:r>
            <w:r>
              <w:rPr>
                <w:rFonts w:hint="eastAsia" w:eastAsia="仿宋_GB2312"/>
                <w:snapToGrid w:val="0"/>
                <w:sz w:val="21"/>
                <w:szCs w:val="21"/>
              </w:rPr>
              <w:t>主体已列</w:t>
            </w:r>
            <w:r>
              <w:rPr>
                <w:rFonts w:eastAsia="仿宋_GB2312"/>
                <w:snapToGrid w:val="0"/>
                <w:sz w:val="21"/>
                <w:szCs w:val="21"/>
              </w:rPr>
              <w:t>)</w:t>
            </w:r>
            <w:r>
              <w:rPr>
                <w:rFonts w:eastAsia="仿宋_GB2312"/>
                <w:sz w:val="21"/>
                <w:szCs w:val="21"/>
              </w:rPr>
              <w:t>。</w:t>
            </w:r>
          </w:p>
        </w:tc>
        <w:tc>
          <w:tcPr>
            <w:tcW w:w="1026" w:type="pct"/>
            <w:gridSpan w:val="5"/>
            <w:vAlign w:val="center"/>
          </w:tcPr>
          <w:p>
            <w:pPr>
              <w:tabs>
                <w:tab w:val="left" w:pos="840"/>
                <w:tab w:val="left" w:pos="1485"/>
              </w:tabs>
              <w:spacing w:line="240" w:lineRule="auto"/>
              <w:ind w:firstLine="382" w:firstLineChars="182"/>
              <w:rPr>
                <w:rFonts w:eastAsia="仿宋_GB2312"/>
                <w:sz w:val="21"/>
                <w:szCs w:val="21"/>
              </w:rPr>
            </w:pPr>
          </w:p>
        </w:tc>
        <w:tc>
          <w:tcPr>
            <w:tcW w:w="1609" w:type="pct"/>
            <w:gridSpan w:val="5"/>
            <w:vAlign w:val="center"/>
          </w:tcPr>
          <w:p>
            <w:pPr>
              <w:pStyle w:val="73"/>
              <w:widowControl w:val="0"/>
              <w:topLinePunct/>
              <w:adjustRightInd w:val="0"/>
              <w:snapToGrid w:val="0"/>
              <w:spacing w:line="240" w:lineRule="auto"/>
              <w:jc w:val="center"/>
              <w:textAlignment w:val="center"/>
              <w:rPr>
                <w:rFonts w:cs="Times New Roman"/>
                <w:highlight w:val="yellow"/>
              </w:rPr>
            </w:pPr>
            <w:r>
              <w:t>防尘网苫盖</w:t>
            </w:r>
            <w:r>
              <w:rPr>
                <w:rFonts w:hint="eastAsia"/>
              </w:rPr>
              <w:t>3674</w:t>
            </w:r>
            <w:r>
              <w:t>m²</w:t>
            </w:r>
            <w:r>
              <w:rPr>
                <w:snapToGrid w:val="0"/>
              </w:rPr>
              <w:t>(</w:t>
            </w:r>
            <w:r>
              <w:rPr>
                <w:rFonts w:hint="eastAsia"/>
                <w:snapToGrid w:val="0"/>
              </w:rPr>
              <w:t>方案新增</w:t>
            </w:r>
            <w:r>
              <w:rPr>
                <w:snapToGrid w:val="0"/>
              </w:rPr>
              <w:t>)</w:t>
            </w:r>
            <w:r>
              <w:rPr>
                <w:rFonts w:hint="eastAsia"/>
                <w:snapToGrid w:val="0"/>
              </w:rPr>
              <w:t>，</w:t>
            </w:r>
            <w:r>
              <w:rPr>
                <w:rFonts w:hint="eastAsia"/>
              </w:rPr>
              <w:t>彩条旗限界6908m</w:t>
            </w:r>
            <w:r>
              <w:rPr>
                <w:snapToGrid w:val="0"/>
              </w:rPr>
              <w:t>(</w:t>
            </w:r>
            <w:r>
              <w:rPr>
                <w:rFonts w:hint="eastAsia"/>
                <w:snapToGrid w:val="0"/>
              </w:rPr>
              <w:t>方案新增</w:t>
            </w:r>
            <w:r>
              <w:rPr>
                <w:snapToGrid w:val="0"/>
              </w:rPr>
              <w:t>)</w:t>
            </w:r>
            <w:r>
              <w:rPr>
                <w:rFonts w:hint="eastAsia"/>
                <w:snapToGrid w:val="0"/>
              </w:rPr>
              <w:t>，</w:t>
            </w:r>
            <w:r>
              <w:rPr>
                <w:rFonts w:hint="eastAsia"/>
              </w:rPr>
              <w:t>洒水104m</w:t>
            </w:r>
            <w:r>
              <w:rPr>
                <w:rFonts w:hint="eastAsia"/>
                <w:vertAlign w:val="superscript"/>
              </w:rPr>
              <w:t>3</w:t>
            </w:r>
            <w:r>
              <w:rPr>
                <w:snapToGrid w:val="0"/>
              </w:rPr>
              <w:t>(</w:t>
            </w:r>
            <w:r>
              <w:rPr>
                <w:rFonts w:hint="eastAsia"/>
                <w:snapToGrid w:val="0"/>
              </w:rPr>
              <w:t>方案新增</w:t>
            </w:r>
            <w:r>
              <w:rPr>
                <w:snapToGrid w:val="0"/>
              </w:rPr>
              <w:t>)</w:t>
            </w:r>
            <w:r>
              <w:rPr>
                <w:rFonts w:hint="eastAsia"/>
                <w:snapToGrid w:val="0"/>
              </w:rPr>
              <w:t>，</w:t>
            </w:r>
            <w:r>
              <w:rPr>
                <w:rFonts w:hint="eastAsia"/>
              </w:rPr>
              <w:t>宣传牌2块</w:t>
            </w:r>
            <w:r>
              <w:rPr>
                <w:snapToGrid w:val="0"/>
              </w:rPr>
              <w:t>(</w:t>
            </w:r>
            <w:r>
              <w:rPr>
                <w:rFonts w:hint="eastAsia"/>
                <w:snapToGrid w:val="0"/>
              </w:rPr>
              <w:t>方案新增</w:t>
            </w:r>
            <w:r>
              <w:rPr>
                <w:snapToGrid w:val="0"/>
              </w:rPr>
              <w:t>)</w:t>
            </w:r>
            <w: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96" w:type="pct"/>
            <w:gridSpan w:val="2"/>
            <w:tcBorders>
              <w:top w:val="single" w:color="auto" w:sz="4" w:space="0"/>
            </w:tcBorders>
            <w:vAlign w:val="center"/>
          </w:tcPr>
          <w:p>
            <w:pPr>
              <w:pStyle w:val="73"/>
              <w:widowControl w:val="0"/>
              <w:topLinePunct/>
              <w:adjustRightInd w:val="0"/>
              <w:snapToGrid w:val="0"/>
              <w:spacing w:line="240" w:lineRule="auto"/>
              <w:jc w:val="center"/>
              <w:textAlignment w:val="center"/>
              <w:rPr>
                <w:rFonts w:cs="Times New Roman"/>
              </w:rPr>
            </w:pPr>
            <w:r>
              <w:rPr>
                <w:rFonts w:cs="Times New Roman"/>
              </w:rPr>
              <w:t>投资（万元）</w:t>
            </w:r>
          </w:p>
        </w:tc>
        <w:tc>
          <w:tcPr>
            <w:tcW w:w="1469" w:type="pct"/>
            <w:gridSpan w:val="4"/>
            <w:tcBorders>
              <w:bottom w:val="nil"/>
            </w:tcBorders>
            <w:vAlign w:val="center"/>
          </w:tcPr>
          <w:p>
            <w:pPr>
              <w:pStyle w:val="73"/>
              <w:widowControl w:val="0"/>
              <w:topLinePunct/>
              <w:adjustRightInd w:val="0"/>
              <w:snapToGrid w:val="0"/>
              <w:spacing w:line="240" w:lineRule="auto"/>
              <w:jc w:val="center"/>
              <w:textAlignment w:val="center"/>
              <w:rPr>
                <w:rFonts w:cs="Times New Roman"/>
                <w:color w:val="FF0000"/>
              </w:rPr>
            </w:pPr>
            <w:r>
              <w:rPr>
                <w:rFonts w:hint="eastAsia" w:cs="Times New Roman"/>
                <w:color w:val="FF0000"/>
              </w:rPr>
              <w:t>0.75</w:t>
            </w:r>
          </w:p>
        </w:tc>
        <w:tc>
          <w:tcPr>
            <w:tcW w:w="1026" w:type="pct"/>
            <w:gridSpan w:val="5"/>
            <w:vAlign w:val="center"/>
          </w:tcPr>
          <w:p>
            <w:pPr>
              <w:pStyle w:val="73"/>
              <w:widowControl w:val="0"/>
              <w:topLinePunct/>
              <w:adjustRightInd w:val="0"/>
              <w:snapToGrid w:val="0"/>
              <w:spacing w:line="240" w:lineRule="auto"/>
              <w:jc w:val="center"/>
              <w:textAlignment w:val="center"/>
              <w:rPr>
                <w:rFonts w:cs="Times New Roman"/>
                <w:color w:val="FF0000"/>
              </w:rPr>
            </w:pPr>
          </w:p>
        </w:tc>
        <w:tc>
          <w:tcPr>
            <w:tcW w:w="1609" w:type="pct"/>
            <w:gridSpan w:val="5"/>
            <w:vAlign w:val="center"/>
          </w:tcPr>
          <w:p>
            <w:pPr>
              <w:pStyle w:val="73"/>
              <w:widowControl w:val="0"/>
              <w:topLinePunct/>
              <w:adjustRightInd w:val="0"/>
              <w:snapToGrid w:val="0"/>
              <w:spacing w:line="240" w:lineRule="auto"/>
              <w:jc w:val="center"/>
              <w:textAlignment w:val="center"/>
              <w:rPr>
                <w:rFonts w:cs="Times New Roman"/>
                <w:color w:val="FF0000"/>
              </w:rPr>
            </w:pPr>
            <w:r>
              <w:rPr>
                <w:rFonts w:hint="eastAsia" w:cs="Times New Roman"/>
                <w:color w:val="FF0000"/>
              </w:rPr>
              <w:t>3.42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120" w:type="pct"/>
            <w:gridSpan w:val="3"/>
            <w:vAlign w:val="center"/>
          </w:tcPr>
          <w:p>
            <w:pPr>
              <w:pStyle w:val="73"/>
              <w:widowControl w:val="0"/>
              <w:topLinePunct/>
              <w:adjustRightInd w:val="0"/>
              <w:snapToGrid w:val="0"/>
              <w:spacing w:line="240" w:lineRule="auto"/>
              <w:jc w:val="center"/>
              <w:textAlignment w:val="center"/>
              <w:rPr>
                <w:rFonts w:cs="Times New Roman"/>
                <w:bCs/>
                <w:color w:val="FF0000"/>
              </w:rPr>
            </w:pPr>
            <w:r>
              <w:rPr>
                <w:rFonts w:cs="Times New Roman"/>
                <w:bCs/>
                <w:color w:val="FF0000"/>
              </w:rPr>
              <w:t>水土保持总投资</w:t>
            </w:r>
          </w:p>
          <w:p>
            <w:pPr>
              <w:pStyle w:val="73"/>
              <w:widowControl w:val="0"/>
              <w:topLinePunct/>
              <w:adjustRightInd w:val="0"/>
              <w:snapToGrid w:val="0"/>
              <w:spacing w:line="240" w:lineRule="auto"/>
              <w:jc w:val="center"/>
              <w:textAlignment w:val="center"/>
              <w:rPr>
                <w:rFonts w:cs="Times New Roman"/>
                <w:bCs/>
                <w:color w:val="FF0000"/>
              </w:rPr>
            </w:pPr>
            <w:r>
              <w:rPr>
                <w:rFonts w:cs="Times New Roman"/>
                <w:bCs/>
                <w:color w:val="FF0000"/>
              </w:rPr>
              <w:t>（万元）</w:t>
            </w:r>
          </w:p>
        </w:tc>
        <w:tc>
          <w:tcPr>
            <w:tcW w:w="1245" w:type="pct"/>
            <w:gridSpan w:val="3"/>
            <w:vAlign w:val="center"/>
          </w:tcPr>
          <w:p>
            <w:pPr>
              <w:pStyle w:val="73"/>
              <w:widowControl w:val="0"/>
              <w:topLinePunct/>
              <w:adjustRightInd w:val="0"/>
              <w:snapToGrid w:val="0"/>
              <w:spacing w:line="240" w:lineRule="auto"/>
              <w:jc w:val="center"/>
              <w:textAlignment w:val="center"/>
              <w:rPr>
                <w:rFonts w:cs="Times New Roman"/>
                <w:color w:val="FF0000"/>
              </w:rPr>
            </w:pPr>
            <w:r>
              <w:rPr>
                <w:rFonts w:hint="eastAsia" w:cs="Times New Roman"/>
                <w:color w:val="FF0000"/>
              </w:rPr>
              <w:t>18.79</w:t>
            </w:r>
          </w:p>
        </w:tc>
        <w:tc>
          <w:tcPr>
            <w:tcW w:w="1321" w:type="pct"/>
            <w:gridSpan w:val="6"/>
            <w:tcBorders>
              <w:bottom w:val="nil"/>
            </w:tcBorders>
            <w:vAlign w:val="center"/>
          </w:tcPr>
          <w:p>
            <w:pPr>
              <w:pStyle w:val="73"/>
              <w:widowControl w:val="0"/>
              <w:topLinePunct/>
              <w:adjustRightInd w:val="0"/>
              <w:snapToGrid w:val="0"/>
              <w:spacing w:line="240" w:lineRule="auto"/>
              <w:jc w:val="center"/>
              <w:textAlignment w:val="center"/>
              <w:rPr>
                <w:rFonts w:cs="Times New Roman"/>
                <w:color w:val="FF0000"/>
              </w:rPr>
            </w:pPr>
            <w:r>
              <w:rPr>
                <w:rFonts w:cs="Times New Roman"/>
                <w:color w:val="FF0000"/>
              </w:rPr>
              <w:t>独立费用（万元）</w:t>
            </w:r>
          </w:p>
        </w:tc>
        <w:tc>
          <w:tcPr>
            <w:tcW w:w="1314" w:type="pct"/>
            <w:gridSpan w:val="4"/>
            <w:vAlign w:val="center"/>
          </w:tcPr>
          <w:p>
            <w:pPr>
              <w:pStyle w:val="73"/>
              <w:widowControl w:val="0"/>
              <w:topLinePunct/>
              <w:adjustRightInd w:val="0"/>
              <w:snapToGrid w:val="0"/>
              <w:spacing w:line="240" w:lineRule="auto"/>
              <w:jc w:val="center"/>
              <w:textAlignment w:val="center"/>
              <w:rPr>
                <w:rFonts w:cs="Times New Roman"/>
                <w:color w:val="FF0000"/>
              </w:rPr>
            </w:pPr>
            <w:r>
              <w:rPr>
                <w:rFonts w:hint="eastAsia" w:cs="Times New Roman"/>
                <w:color w:val="FF0000"/>
              </w:rPr>
              <w:t>13.08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120" w:type="pct"/>
            <w:gridSpan w:val="3"/>
            <w:vAlign w:val="center"/>
          </w:tcPr>
          <w:p>
            <w:pPr>
              <w:pStyle w:val="73"/>
              <w:widowControl w:val="0"/>
              <w:topLinePunct/>
              <w:adjustRightInd w:val="0"/>
              <w:snapToGrid w:val="0"/>
              <w:spacing w:line="240" w:lineRule="auto"/>
              <w:jc w:val="center"/>
              <w:textAlignment w:val="center"/>
              <w:rPr>
                <w:rFonts w:cs="Times New Roman"/>
                <w:bCs/>
                <w:color w:val="FF0000"/>
              </w:rPr>
            </w:pPr>
            <w:r>
              <w:rPr>
                <w:rFonts w:cs="Times New Roman"/>
                <w:bCs/>
                <w:color w:val="FF0000"/>
              </w:rPr>
              <w:t>监理费（万元）</w:t>
            </w:r>
          </w:p>
        </w:tc>
        <w:tc>
          <w:tcPr>
            <w:tcW w:w="848" w:type="pct"/>
            <w:gridSpan w:val="2"/>
            <w:vAlign w:val="center"/>
          </w:tcPr>
          <w:p>
            <w:pPr>
              <w:pStyle w:val="73"/>
              <w:widowControl w:val="0"/>
              <w:topLinePunct/>
              <w:adjustRightInd w:val="0"/>
              <w:snapToGrid w:val="0"/>
              <w:spacing w:line="240" w:lineRule="auto"/>
              <w:jc w:val="center"/>
              <w:textAlignment w:val="center"/>
              <w:rPr>
                <w:rFonts w:cs="Times New Roman"/>
                <w:color w:val="FF0000"/>
              </w:rPr>
            </w:pPr>
            <w:r>
              <w:rPr>
                <w:rFonts w:hint="eastAsia" w:cs="Times New Roman"/>
                <w:color w:val="FF0000"/>
              </w:rPr>
              <w:t>2.00</w:t>
            </w:r>
          </w:p>
        </w:tc>
        <w:tc>
          <w:tcPr>
            <w:tcW w:w="1204" w:type="pct"/>
            <w:gridSpan w:val="4"/>
            <w:tcBorders>
              <w:bottom w:val="nil"/>
            </w:tcBorders>
            <w:vAlign w:val="center"/>
          </w:tcPr>
          <w:p>
            <w:pPr>
              <w:pStyle w:val="73"/>
              <w:widowControl w:val="0"/>
              <w:topLinePunct/>
              <w:adjustRightInd w:val="0"/>
              <w:snapToGrid w:val="0"/>
              <w:spacing w:line="240" w:lineRule="auto"/>
              <w:jc w:val="center"/>
              <w:textAlignment w:val="center"/>
              <w:rPr>
                <w:rFonts w:cs="Times New Roman"/>
                <w:color w:val="FF0000"/>
              </w:rPr>
            </w:pPr>
            <w:r>
              <w:rPr>
                <w:rFonts w:cs="Times New Roman"/>
                <w:color w:val="FF0000"/>
              </w:rPr>
              <w:t>监测费(万元)</w:t>
            </w:r>
          </w:p>
        </w:tc>
        <w:tc>
          <w:tcPr>
            <w:tcW w:w="514" w:type="pct"/>
            <w:gridSpan w:val="3"/>
            <w:vAlign w:val="center"/>
          </w:tcPr>
          <w:p>
            <w:pPr>
              <w:pStyle w:val="73"/>
              <w:widowControl w:val="0"/>
              <w:topLinePunct/>
              <w:adjustRightInd w:val="0"/>
              <w:snapToGrid w:val="0"/>
              <w:spacing w:line="240" w:lineRule="auto"/>
              <w:jc w:val="center"/>
              <w:textAlignment w:val="center"/>
              <w:rPr>
                <w:rFonts w:cs="Times New Roman"/>
                <w:color w:val="FF0000"/>
              </w:rPr>
            </w:pPr>
            <w:r>
              <w:rPr>
                <w:rFonts w:hint="eastAsia" w:cs="Times New Roman"/>
                <w:color w:val="FF0000"/>
              </w:rPr>
              <w:t>/</w:t>
            </w:r>
          </w:p>
        </w:tc>
        <w:tc>
          <w:tcPr>
            <w:tcW w:w="733" w:type="pct"/>
            <w:gridSpan w:val="3"/>
            <w:tcBorders>
              <w:bottom w:val="nil"/>
            </w:tcBorders>
            <w:vAlign w:val="center"/>
          </w:tcPr>
          <w:p>
            <w:pPr>
              <w:pStyle w:val="73"/>
              <w:widowControl w:val="0"/>
              <w:topLinePunct/>
              <w:adjustRightInd w:val="0"/>
              <w:snapToGrid w:val="0"/>
              <w:spacing w:line="240" w:lineRule="auto"/>
              <w:jc w:val="center"/>
              <w:textAlignment w:val="center"/>
              <w:rPr>
                <w:rFonts w:cs="Times New Roman"/>
                <w:color w:val="FF0000"/>
              </w:rPr>
            </w:pPr>
            <w:r>
              <w:rPr>
                <w:rFonts w:cs="Times New Roman"/>
                <w:color w:val="FF0000"/>
              </w:rPr>
              <w:t>补偿费(元)</w:t>
            </w:r>
          </w:p>
        </w:tc>
        <w:tc>
          <w:tcPr>
            <w:tcW w:w="581" w:type="pct"/>
            <w:vAlign w:val="center"/>
          </w:tcPr>
          <w:p>
            <w:pPr>
              <w:pStyle w:val="73"/>
              <w:widowControl w:val="0"/>
              <w:topLinePunct/>
              <w:adjustRightInd w:val="0"/>
              <w:snapToGrid w:val="0"/>
              <w:spacing w:line="240" w:lineRule="auto"/>
              <w:jc w:val="center"/>
              <w:textAlignment w:val="center"/>
              <w:rPr>
                <w:rFonts w:cs="Times New Roman"/>
                <w:color w:val="FF0000"/>
              </w:rPr>
            </w:pPr>
            <w:r>
              <w:rPr>
                <w:rFonts w:hint="eastAsia" w:cs="Times New Roman"/>
                <w:color w:val="FF0000"/>
              </w:rPr>
              <w:t>0.55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120" w:type="pct"/>
            <w:gridSpan w:val="3"/>
            <w:vAlign w:val="center"/>
          </w:tcPr>
          <w:p>
            <w:pPr>
              <w:pStyle w:val="73"/>
              <w:widowControl w:val="0"/>
              <w:topLinePunct/>
              <w:adjustRightInd w:val="0"/>
              <w:snapToGrid w:val="0"/>
              <w:spacing w:line="240" w:lineRule="auto"/>
              <w:jc w:val="center"/>
              <w:textAlignment w:val="center"/>
              <w:rPr>
                <w:rFonts w:cs="Times New Roman"/>
                <w:bCs/>
              </w:rPr>
            </w:pPr>
            <w:r>
              <w:rPr>
                <w:rFonts w:cs="Times New Roman"/>
                <w:bCs/>
              </w:rPr>
              <w:t>分省措施费（万元）</w:t>
            </w:r>
          </w:p>
        </w:tc>
        <w:tc>
          <w:tcPr>
            <w:tcW w:w="1443" w:type="pct"/>
            <w:gridSpan w:val="5"/>
            <w:vAlign w:val="center"/>
          </w:tcPr>
          <w:p>
            <w:pPr>
              <w:spacing w:line="240" w:lineRule="auto"/>
              <w:ind w:firstLine="0" w:firstLineChars="0"/>
              <w:jc w:val="center"/>
              <w:rPr>
                <w:rFonts w:eastAsia="仿宋_GB2312"/>
                <w:sz w:val="21"/>
                <w:szCs w:val="21"/>
              </w:rPr>
            </w:pPr>
            <w:r>
              <w:rPr>
                <w:rFonts w:eastAsia="仿宋_GB2312"/>
                <w:sz w:val="21"/>
                <w:szCs w:val="21"/>
              </w:rPr>
              <w:t>—</w:t>
            </w:r>
          </w:p>
        </w:tc>
        <w:tc>
          <w:tcPr>
            <w:tcW w:w="1123" w:type="pct"/>
            <w:gridSpan w:val="4"/>
            <w:tcBorders>
              <w:bottom w:val="nil"/>
            </w:tcBorders>
            <w:vAlign w:val="center"/>
          </w:tcPr>
          <w:p>
            <w:pPr>
              <w:pStyle w:val="73"/>
              <w:widowControl w:val="0"/>
              <w:topLinePunct/>
              <w:adjustRightInd w:val="0"/>
              <w:snapToGrid w:val="0"/>
              <w:spacing w:line="240" w:lineRule="auto"/>
              <w:jc w:val="center"/>
              <w:textAlignment w:val="center"/>
              <w:rPr>
                <w:rFonts w:cs="Times New Roman"/>
                <w:color w:val="auto"/>
              </w:rPr>
            </w:pPr>
            <w:r>
              <w:rPr>
                <w:rFonts w:cs="Times New Roman"/>
                <w:color w:val="auto"/>
              </w:rPr>
              <w:t>分省补偿费（万元）</w:t>
            </w:r>
          </w:p>
        </w:tc>
        <w:tc>
          <w:tcPr>
            <w:tcW w:w="1314" w:type="pct"/>
            <w:gridSpan w:val="4"/>
            <w:vAlign w:val="center"/>
          </w:tcPr>
          <w:p>
            <w:pPr>
              <w:pStyle w:val="73"/>
              <w:widowControl w:val="0"/>
              <w:topLinePunct/>
              <w:adjustRightInd w:val="0"/>
              <w:snapToGrid w:val="0"/>
              <w:spacing w:line="240" w:lineRule="auto"/>
              <w:jc w:val="center"/>
              <w:textAlignment w:val="center"/>
              <w:rPr>
                <w:rFonts w:cs="Times New Roman"/>
                <w:color w:val="auto"/>
              </w:rPr>
            </w:pPr>
            <w:r>
              <w:rPr>
                <w:rFonts w:cs="Times New Roman"/>
                <w:color w:val="auto"/>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120" w:type="pct"/>
            <w:gridSpan w:val="3"/>
            <w:vAlign w:val="center"/>
          </w:tcPr>
          <w:p>
            <w:pPr>
              <w:pStyle w:val="73"/>
              <w:widowControl w:val="0"/>
              <w:topLinePunct/>
              <w:adjustRightInd w:val="0"/>
              <w:snapToGrid w:val="0"/>
              <w:spacing w:line="240" w:lineRule="auto"/>
              <w:jc w:val="center"/>
              <w:textAlignment w:val="center"/>
              <w:rPr>
                <w:rFonts w:cs="Times New Roman"/>
                <w:bCs/>
              </w:rPr>
            </w:pPr>
            <w:r>
              <w:rPr>
                <w:rFonts w:cs="Times New Roman"/>
                <w:bCs/>
              </w:rPr>
              <w:t>方案编制单位</w:t>
            </w:r>
          </w:p>
        </w:tc>
        <w:tc>
          <w:tcPr>
            <w:tcW w:w="1443" w:type="pct"/>
            <w:gridSpan w:val="5"/>
            <w:vAlign w:val="center"/>
          </w:tcPr>
          <w:p>
            <w:pPr>
              <w:pStyle w:val="73"/>
              <w:widowControl w:val="0"/>
              <w:topLinePunct/>
              <w:adjustRightInd w:val="0"/>
              <w:snapToGrid w:val="0"/>
              <w:spacing w:line="240" w:lineRule="auto"/>
              <w:jc w:val="center"/>
              <w:textAlignment w:val="center"/>
              <w:rPr>
                <w:rFonts w:cs="Times New Roman"/>
                <w:bCs/>
                <w:color w:val="auto"/>
              </w:rPr>
            </w:pPr>
            <w:r>
              <w:rPr>
                <w:rFonts w:hint="eastAsia" w:cs="Times New Roman"/>
                <w:bCs/>
                <w:color w:val="auto"/>
              </w:rPr>
              <w:t>新疆新农丽景环境工程咨询有限公司</w:t>
            </w:r>
          </w:p>
        </w:tc>
        <w:tc>
          <w:tcPr>
            <w:tcW w:w="1123" w:type="pct"/>
            <w:gridSpan w:val="4"/>
            <w:tcBorders>
              <w:bottom w:val="nil"/>
            </w:tcBorders>
            <w:vAlign w:val="center"/>
          </w:tcPr>
          <w:p>
            <w:pPr>
              <w:pStyle w:val="73"/>
              <w:widowControl w:val="0"/>
              <w:topLinePunct/>
              <w:adjustRightInd w:val="0"/>
              <w:snapToGrid w:val="0"/>
              <w:spacing w:line="240" w:lineRule="auto"/>
              <w:jc w:val="center"/>
              <w:textAlignment w:val="center"/>
              <w:rPr>
                <w:rFonts w:cs="Times New Roman"/>
                <w:color w:val="auto"/>
              </w:rPr>
            </w:pPr>
            <w:r>
              <w:rPr>
                <w:rFonts w:cs="Times New Roman"/>
                <w:color w:val="auto"/>
              </w:rPr>
              <w:t>建设单位</w:t>
            </w:r>
          </w:p>
        </w:tc>
        <w:tc>
          <w:tcPr>
            <w:tcW w:w="1314" w:type="pct"/>
            <w:gridSpan w:val="4"/>
            <w:vAlign w:val="center"/>
          </w:tcPr>
          <w:p>
            <w:pPr>
              <w:pStyle w:val="73"/>
              <w:widowControl w:val="0"/>
              <w:topLinePunct/>
              <w:adjustRightInd w:val="0"/>
              <w:snapToGrid w:val="0"/>
              <w:spacing w:line="240" w:lineRule="auto"/>
              <w:jc w:val="center"/>
              <w:textAlignment w:val="center"/>
              <w:rPr>
                <w:rFonts w:cs="Times New Roman"/>
                <w:color w:val="auto"/>
              </w:rPr>
            </w:pPr>
            <w:r>
              <w:rPr>
                <w:rFonts w:cs="Times New Roman"/>
                <w:color w:val="auto"/>
              </w:rPr>
              <w:t>第十四师水利工程管理服务中心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120" w:type="pct"/>
            <w:gridSpan w:val="3"/>
            <w:vAlign w:val="center"/>
          </w:tcPr>
          <w:p>
            <w:pPr>
              <w:pStyle w:val="73"/>
              <w:widowControl w:val="0"/>
              <w:topLinePunct/>
              <w:adjustRightInd w:val="0"/>
              <w:snapToGrid w:val="0"/>
              <w:spacing w:line="240" w:lineRule="auto"/>
              <w:jc w:val="center"/>
              <w:textAlignment w:val="center"/>
              <w:rPr>
                <w:rFonts w:cs="Times New Roman"/>
                <w:bCs/>
              </w:rPr>
            </w:pPr>
            <w:r>
              <w:rPr>
                <w:rFonts w:cs="Times New Roman"/>
                <w:bCs/>
              </w:rPr>
              <w:t>法定代表人</w:t>
            </w:r>
          </w:p>
        </w:tc>
        <w:tc>
          <w:tcPr>
            <w:tcW w:w="1443" w:type="pct"/>
            <w:gridSpan w:val="5"/>
            <w:vAlign w:val="center"/>
          </w:tcPr>
          <w:p>
            <w:pPr>
              <w:pStyle w:val="73"/>
              <w:widowControl w:val="0"/>
              <w:topLinePunct/>
              <w:adjustRightInd w:val="0"/>
              <w:snapToGrid w:val="0"/>
              <w:spacing w:line="240" w:lineRule="auto"/>
              <w:jc w:val="center"/>
              <w:textAlignment w:val="center"/>
              <w:rPr>
                <w:bCs/>
                <w:color w:val="auto"/>
              </w:rPr>
            </w:pPr>
            <w:r>
              <w:rPr>
                <w:bCs/>
                <w:color w:val="auto"/>
              </w:rPr>
              <w:t>白慧敏</w:t>
            </w:r>
          </w:p>
        </w:tc>
        <w:tc>
          <w:tcPr>
            <w:tcW w:w="1123" w:type="pct"/>
            <w:gridSpan w:val="4"/>
            <w:tcBorders>
              <w:bottom w:val="nil"/>
            </w:tcBorders>
            <w:vAlign w:val="center"/>
          </w:tcPr>
          <w:p>
            <w:pPr>
              <w:pStyle w:val="73"/>
              <w:widowControl w:val="0"/>
              <w:topLinePunct/>
              <w:adjustRightInd w:val="0"/>
              <w:snapToGrid w:val="0"/>
              <w:spacing w:line="240" w:lineRule="auto"/>
              <w:jc w:val="center"/>
              <w:textAlignment w:val="center"/>
              <w:rPr>
                <w:rFonts w:cs="Times New Roman"/>
                <w:color w:val="auto"/>
              </w:rPr>
            </w:pPr>
            <w:r>
              <w:rPr>
                <w:rFonts w:cs="Times New Roman"/>
                <w:color w:val="auto"/>
              </w:rPr>
              <w:t>法定代表人</w:t>
            </w:r>
          </w:p>
        </w:tc>
        <w:tc>
          <w:tcPr>
            <w:tcW w:w="1314" w:type="pct"/>
            <w:gridSpan w:val="4"/>
            <w:vAlign w:val="center"/>
          </w:tcPr>
          <w:p>
            <w:pPr>
              <w:pStyle w:val="73"/>
              <w:widowControl w:val="0"/>
              <w:topLinePunct/>
              <w:adjustRightInd w:val="0"/>
              <w:snapToGrid w:val="0"/>
              <w:spacing w:line="240" w:lineRule="auto"/>
              <w:jc w:val="center"/>
              <w:textAlignment w:val="center"/>
              <w:rPr>
                <w:rFonts w:cs="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120" w:type="pct"/>
            <w:gridSpan w:val="3"/>
            <w:vAlign w:val="center"/>
          </w:tcPr>
          <w:p>
            <w:pPr>
              <w:pStyle w:val="73"/>
              <w:widowControl w:val="0"/>
              <w:topLinePunct/>
              <w:adjustRightInd w:val="0"/>
              <w:snapToGrid w:val="0"/>
              <w:spacing w:line="240" w:lineRule="auto"/>
              <w:jc w:val="center"/>
              <w:textAlignment w:val="center"/>
              <w:rPr>
                <w:rFonts w:cs="Times New Roman"/>
                <w:bCs/>
              </w:rPr>
            </w:pPr>
            <w:r>
              <w:rPr>
                <w:rFonts w:cs="Times New Roman"/>
                <w:bCs/>
              </w:rPr>
              <w:t>地址</w:t>
            </w:r>
          </w:p>
        </w:tc>
        <w:tc>
          <w:tcPr>
            <w:tcW w:w="1443" w:type="pct"/>
            <w:gridSpan w:val="5"/>
            <w:vAlign w:val="center"/>
          </w:tcPr>
          <w:p>
            <w:pPr>
              <w:pStyle w:val="73"/>
              <w:widowControl w:val="0"/>
              <w:topLinePunct/>
              <w:adjustRightInd w:val="0"/>
              <w:snapToGrid w:val="0"/>
              <w:spacing w:line="240" w:lineRule="auto"/>
              <w:jc w:val="center"/>
              <w:textAlignment w:val="center"/>
              <w:rPr>
                <w:bCs/>
                <w:color w:val="auto"/>
              </w:rPr>
            </w:pPr>
            <w:r>
              <w:rPr>
                <w:rFonts w:cs="Times New Roman"/>
              </w:rPr>
              <w:t>新疆乌鲁木齐沙依巴克区克拉玛依西路2577号恒昌恒业花园4栋1单元602室</w:t>
            </w:r>
          </w:p>
        </w:tc>
        <w:tc>
          <w:tcPr>
            <w:tcW w:w="1123" w:type="pct"/>
            <w:gridSpan w:val="4"/>
            <w:tcBorders>
              <w:bottom w:val="nil"/>
            </w:tcBorders>
            <w:vAlign w:val="center"/>
          </w:tcPr>
          <w:p>
            <w:pPr>
              <w:pStyle w:val="73"/>
              <w:widowControl w:val="0"/>
              <w:topLinePunct/>
              <w:adjustRightInd w:val="0"/>
              <w:snapToGrid w:val="0"/>
              <w:spacing w:line="240" w:lineRule="auto"/>
              <w:jc w:val="center"/>
              <w:textAlignment w:val="center"/>
              <w:rPr>
                <w:rFonts w:cs="Times New Roman"/>
                <w:color w:val="auto"/>
              </w:rPr>
            </w:pPr>
            <w:r>
              <w:rPr>
                <w:rFonts w:cs="Times New Roman"/>
                <w:color w:val="auto"/>
              </w:rPr>
              <w:t>地址</w:t>
            </w:r>
          </w:p>
        </w:tc>
        <w:tc>
          <w:tcPr>
            <w:tcW w:w="1314" w:type="pct"/>
            <w:gridSpan w:val="4"/>
            <w:vAlign w:val="center"/>
          </w:tcPr>
          <w:p>
            <w:pPr>
              <w:pStyle w:val="73"/>
              <w:widowControl w:val="0"/>
              <w:topLinePunct/>
              <w:adjustRightInd w:val="0"/>
              <w:snapToGrid w:val="0"/>
              <w:spacing w:line="240" w:lineRule="auto"/>
              <w:jc w:val="center"/>
              <w:textAlignment w:val="center"/>
              <w:rPr>
                <w:rFonts w:cs="Times New Roman"/>
                <w:color w:val="auto"/>
              </w:rPr>
            </w:pPr>
            <w:r>
              <w:fldChar w:fldCharType="begin"/>
            </w:r>
            <w:r>
              <w:instrText xml:space="preserve"> HYPERLINK "https://ditu.so.com/?pid=b16184175467d6da&amp;src=onebox" \t "_blank" </w:instrText>
            </w:r>
            <w:r>
              <w:fldChar w:fldCharType="separate"/>
            </w:r>
            <w:r>
              <w:rPr>
                <w:rFonts w:cs="Times New Roman"/>
                <w:color w:val="auto"/>
              </w:rPr>
              <w:t>和田市乌鲁木齐北路190号</w:t>
            </w:r>
            <w:r>
              <w:rPr>
                <w:rFonts w:cs="Times New Roman"/>
                <w:color w:val="auto"/>
              </w:rPr>
              <w:fldChar w:fldCharType="end"/>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120" w:type="pct"/>
            <w:gridSpan w:val="3"/>
            <w:vAlign w:val="center"/>
          </w:tcPr>
          <w:p>
            <w:pPr>
              <w:pStyle w:val="73"/>
              <w:widowControl w:val="0"/>
              <w:topLinePunct/>
              <w:adjustRightInd w:val="0"/>
              <w:snapToGrid w:val="0"/>
              <w:spacing w:line="240" w:lineRule="auto"/>
              <w:jc w:val="center"/>
              <w:textAlignment w:val="center"/>
              <w:rPr>
                <w:rFonts w:cs="Times New Roman"/>
                <w:bCs/>
              </w:rPr>
            </w:pPr>
            <w:r>
              <w:rPr>
                <w:rFonts w:cs="Times New Roman"/>
                <w:bCs/>
              </w:rPr>
              <w:t>邮编</w:t>
            </w:r>
          </w:p>
        </w:tc>
        <w:tc>
          <w:tcPr>
            <w:tcW w:w="1443" w:type="pct"/>
            <w:gridSpan w:val="5"/>
            <w:vAlign w:val="center"/>
          </w:tcPr>
          <w:p>
            <w:pPr>
              <w:pStyle w:val="73"/>
              <w:widowControl w:val="0"/>
              <w:topLinePunct/>
              <w:adjustRightInd w:val="0"/>
              <w:snapToGrid w:val="0"/>
              <w:spacing w:line="240" w:lineRule="auto"/>
              <w:jc w:val="center"/>
              <w:textAlignment w:val="center"/>
              <w:rPr>
                <w:bCs/>
                <w:color w:val="auto"/>
              </w:rPr>
            </w:pPr>
            <w:r>
              <w:rPr>
                <w:rFonts w:hint="eastAsia"/>
                <w:bCs/>
                <w:color w:val="auto"/>
              </w:rPr>
              <w:t>830000</w:t>
            </w:r>
          </w:p>
        </w:tc>
        <w:tc>
          <w:tcPr>
            <w:tcW w:w="1123" w:type="pct"/>
            <w:gridSpan w:val="4"/>
            <w:tcBorders>
              <w:bottom w:val="nil"/>
            </w:tcBorders>
            <w:vAlign w:val="center"/>
          </w:tcPr>
          <w:p>
            <w:pPr>
              <w:pStyle w:val="73"/>
              <w:widowControl w:val="0"/>
              <w:topLinePunct/>
              <w:adjustRightInd w:val="0"/>
              <w:snapToGrid w:val="0"/>
              <w:spacing w:line="240" w:lineRule="auto"/>
              <w:jc w:val="center"/>
              <w:textAlignment w:val="center"/>
              <w:rPr>
                <w:rFonts w:cs="Times New Roman"/>
                <w:color w:val="auto"/>
              </w:rPr>
            </w:pPr>
            <w:r>
              <w:rPr>
                <w:rFonts w:cs="Times New Roman"/>
                <w:color w:val="auto"/>
              </w:rPr>
              <w:t>邮编</w:t>
            </w:r>
          </w:p>
        </w:tc>
        <w:tc>
          <w:tcPr>
            <w:tcW w:w="1314" w:type="pct"/>
            <w:gridSpan w:val="4"/>
            <w:vAlign w:val="center"/>
          </w:tcPr>
          <w:p>
            <w:pPr>
              <w:pStyle w:val="73"/>
              <w:widowControl w:val="0"/>
              <w:topLinePunct/>
              <w:adjustRightInd w:val="0"/>
              <w:snapToGrid w:val="0"/>
              <w:spacing w:line="240" w:lineRule="auto"/>
              <w:jc w:val="center"/>
              <w:textAlignment w:val="center"/>
              <w:rPr>
                <w:rFonts w:cs="Times New Roman"/>
                <w:color w:val="auto"/>
              </w:rPr>
            </w:pPr>
            <w:r>
              <w:rPr>
                <w:rFonts w:cs="Times New Roman"/>
                <w:color w:val="auto"/>
              </w:rPr>
              <w:t>848100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120" w:type="pct"/>
            <w:gridSpan w:val="3"/>
            <w:vAlign w:val="center"/>
          </w:tcPr>
          <w:p>
            <w:pPr>
              <w:pStyle w:val="73"/>
              <w:widowControl w:val="0"/>
              <w:topLinePunct/>
              <w:adjustRightInd w:val="0"/>
              <w:snapToGrid w:val="0"/>
              <w:spacing w:line="240" w:lineRule="auto"/>
              <w:jc w:val="center"/>
              <w:textAlignment w:val="center"/>
              <w:rPr>
                <w:rFonts w:cs="Times New Roman"/>
                <w:bCs/>
              </w:rPr>
            </w:pPr>
            <w:r>
              <w:rPr>
                <w:rFonts w:cs="Times New Roman"/>
                <w:bCs/>
              </w:rPr>
              <w:t>联系人及电话</w:t>
            </w:r>
          </w:p>
        </w:tc>
        <w:tc>
          <w:tcPr>
            <w:tcW w:w="1443" w:type="pct"/>
            <w:gridSpan w:val="5"/>
            <w:vAlign w:val="center"/>
          </w:tcPr>
          <w:p>
            <w:pPr>
              <w:pStyle w:val="73"/>
              <w:widowControl w:val="0"/>
              <w:topLinePunct/>
              <w:adjustRightInd w:val="0"/>
              <w:snapToGrid w:val="0"/>
              <w:spacing w:line="240" w:lineRule="auto"/>
              <w:jc w:val="center"/>
              <w:textAlignment w:val="center"/>
              <w:rPr>
                <w:bCs/>
                <w:color w:val="auto"/>
              </w:rPr>
            </w:pPr>
            <w:r>
              <w:rPr>
                <w:color w:val="auto"/>
              </w:rPr>
              <w:t>周建勤 19990627353</w:t>
            </w:r>
          </w:p>
        </w:tc>
        <w:tc>
          <w:tcPr>
            <w:tcW w:w="1123" w:type="pct"/>
            <w:gridSpan w:val="4"/>
            <w:tcBorders>
              <w:bottom w:val="nil"/>
            </w:tcBorders>
            <w:vAlign w:val="center"/>
          </w:tcPr>
          <w:p>
            <w:pPr>
              <w:pStyle w:val="73"/>
              <w:widowControl w:val="0"/>
              <w:topLinePunct/>
              <w:adjustRightInd w:val="0"/>
              <w:snapToGrid w:val="0"/>
              <w:spacing w:line="240" w:lineRule="auto"/>
              <w:jc w:val="center"/>
              <w:textAlignment w:val="center"/>
              <w:rPr>
                <w:rFonts w:cs="Times New Roman"/>
                <w:color w:val="auto"/>
              </w:rPr>
            </w:pPr>
            <w:r>
              <w:rPr>
                <w:rFonts w:cs="Times New Roman"/>
                <w:color w:val="auto"/>
              </w:rPr>
              <w:t>联系人及电话</w:t>
            </w:r>
          </w:p>
        </w:tc>
        <w:tc>
          <w:tcPr>
            <w:tcW w:w="1314" w:type="pct"/>
            <w:gridSpan w:val="4"/>
            <w:vAlign w:val="center"/>
          </w:tcPr>
          <w:p>
            <w:pPr>
              <w:pStyle w:val="73"/>
              <w:widowControl w:val="0"/>
              <w:topLinePunct/>
              <w:adjustRightInd w:val="0"/>
              <w:snapToGrid w:val="0"/>
              <w:spacing w:line="240" w:lineRule="auto"/>
              <w:jc w:val="center"/>
              <w:textAlignment w:val="center"/>
              <w:rPr>
                <w:rFonts w:cs="Times New Roman"/>
                <w:color w:val="auto"/>
              </w:rPr>
            </w:pPr>
            <w:r>
              <w:rPr>
                <w:rFonts w:hint="eastAsia" w:cs="Times New Roman"/>
                <w:color w:val="auto"/>
              </w:rPr>
              <w:t>刘多宏18999430988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120" w:type="pct"/>
            <w:gridSpan w:val="3"/>
            <w:vAlign w:val="center"/>
          </w:tcPr>
          <w:p>
            <w:pPr>
              <w:pStyle w:val="73"/>
              <w:widowControl w:val="0"/>
              <w:topLinePunct/>
              <w:adjustRightInd w:val="0"/>
              <w:snapToGrid w:val="0"/>
              <w:spacing w:line="240" w:lineRule="auto"/>
              <w:jc w:val="center"/>
              <w:textAlignment w:val="center"/>
              <w:rPr>
                <w:rFonts w:cs="Times New Roman"/>
                <w:bCs/>
              </w:rPr>
            </w:pPr>
            <w:r>
              <w:rPr>
                <w:rFonts w:cs="Times New Roman"/>
                <w:bCs/>
              </w:rPr>
              <w:t>传真</w:t>
            </w:r>
          </w:p>
        </w:tc>
        <w:tc>
          <w:tcPr>
            <w:tcW w:w="1443" w:type="pct"/>
            <w:gridSpan w:val="5"/>
            <w:vAlign w:val="center"/>
          </w:tcPr>
          <w:p>
            <w:pPr>
              <w:pStyle w:val="73"/>
              <w:widowControl w:val="0"/>
              <w:topLinePunct/>
              <w:adjustRightInd w:val="0"/>
              <w:snapToGrid w:val="0"/>
              <w:spacing w:line="240" w:lineRule="auto"/>
              <w:jc w:val="center"/>
              <w:textAlignment w:val="center"/>
              <w:rPr>
                <w:rFonts w:cs="Times New Roman"/>
                <w:color w:val="auto"/>
              </w:rPr>
            </w:pPr>
            <w:r>
              <w:rPr>
                <w:rFonts w:cs="Times New Roman"/>
                <w:color w:val="auto"/>
              </w:rPr>
              <w:t>—</w:t>
            </w:r>
          </w:p>
        </w:tc>
        <w:tc>
          <w:tcPr>
            <w:tcW w:w="1123" w:type="pct"/>
            <w:gridSpan w:val="4"/>
            <w:tcBorders>
              <w:bottom w:val="nil"/>
            </w:tcBorders>
            <w:vAlign w:val="center"/>
          </w:tcPr>
          <w:p>
            <w:pPr>
              <w:pStyle w:val="73"/>
              <w:widowControl w:val="0"/>
              <w:topLinePunct/>
              <w:adjustRightInd w:val="0"/>
              <w:snapToGrid w:val="0"/>
              <w:spacing w:line="240" w:lineRule="auto"/>
              <w:jc w:val="center"/>
              <w:textAlignment w:val="center"/>
              <w:rPr>
                <w:rFonts w:cs="Times New Roman"/>
                <w:color w:val="auto"/>
              </w:rPr>
            </w:pPr>
            <w:r>
              <w:rPr>
                <w:rFonts w:cs="Times New Roman"/>
                <w:color w:val="auto"/>
              </w:rPr>
              <w:t>传真</w:t>
            </w:r>
          </w:p>
        </w:tc>
        <w:tc>
          <w:tcPr>
            <w:tcW w:w="1314" w:type="pct"/>
            <w:gridSpan w:val="4"/>
            <w:vAlign w:val="center"/>
          </w:tcPr>
          <w:p>
            <w:pPr>
              <w:pStyle w:val="73"/>
              <w:widowControl w:val="0"/>
              <w:topLinePunct/>
              <w:adjustRightInd w:val="0"/>
              <w:snapToGrid w:val="0"/>
              <w:spacing w:line="240" w:lineRule="auto"/>
              <w:jc w:val="center"/>
              <w:textAlignment w:val="center"/>
              <w:rPr>
                <w:rFonts w:cs="Times New Roman"/>
                <w:color w:val="auto"/>
              </w:rPr>
            </w:pPr>
            <w:r>
              <w:rPr>
                <w:rFonts w:cs="Times New Roman"/>
                <w:color w:val="auto"/>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120" w:type="pct"/>
            <w:gridSpan w:val="3"/>
            <w:tcBorders>
              <w:bottom w:val="single" w:color="auto" w:sz="12" w:space="0"/>
            </w:tcBorders>
            <w:vAlign w:val="center"/>
          </w:tcPr>
          <w:p>
            <w:pPr>
              <w:pStyle w:val="73"/>
              <w:widowControl w:val="0"/>
              <w:topLinePunct/>
              <w:adjustRightInd w:val="0"/>
              <w:snapToGrid w:val="0"/>
              <w:spacing w:line="240" w:lineRule="auto"/>
              <w:jc w:val="center"/>
              <w:textAlignment w:val="center"/>
              <w:rPr>
                <w:rFonts w:cs="Times New Roman"/>
                <w:bCs/>
              </w:rPr>
            </w:pPr>
            <w:r>
              <w:rPr>
                <w:rFonts w:cs="Times New Roman"/>
                <w:bCs/>
              </w:rPr>
              <w:t>电子信箱</w:t>
            </w:r>
          </w:p>
        </w:tc>
        <w:tc>
          <w:tcPr>
            <w:tcW w:w="1443" w:type="pct"/>
            <w:gridSpan w:val="5"/>
            <w:tcBorders>
              <w:bottom w:val="single" w:color="auto" w:sz="12" w:space="0"/>
            </w:tcBorders>
            <w:vAlign w:val="center"/>
          </w:tcPr>
          <w:p>
            <w:pPr>
              <w:pStyle w:val="73"/>
              <w:widowControl w:val="0"/>
              <w:topLinePunct/>
              <w:adjustRightInd w:val="0"/>
              <w:snapToGrid w:val="0"/>
              <w:spacing w:line="240" w:lineRule="auto"/>
              <w:jc w:val="center"/>
              <w:textAlignment w:val="center"/>
              <w:rPr>
                <w:rFonts w:cs="Times New Roman"/>
                <w:color w:val="auto"/>
              </w:rPr>
            </w:pPr>
            <w:r>
              <w:rPr>
                <w:rFonts w:cs="Times New Roman"/>
                <w:color w:val="auto"/>
              </w:rPr>
              <w:t>—</w:t>
            </w:r>
          </w:p>
        </w:tc>
        <w:tc>
          <w:tcPr>
            <w:tcW w:w="1123" w:type="pct"/>
            <w:gridSpan w:val="4"/>
            <w:tcBorders>
              <w:bottom w:val="single" w:color="auto" w:sz="12" w:space="0"/>
            </w:tcBorders>
            <w:vAlign w:val="center"/>
          </w:tcPr>
          <w:p>
            <w:pPr>
              <w:pStyle w:val="73"/>
              <w:widowControl w:val="0"/>
              <w:topLinePunct/>
              <w:adjustRightInd w:val="0"/>
              <w:snapToGrid w:val="0"/>
              <w:spacing w:line="240" w:lineRule="auto"/>
              <w:jc w:val="center"/>
              <w:textAlignment w:val="center"/>
              <w:rPr>
                <w:rFonts w:cs="Times New Roman"/>
                <w:color w:val="auto"/>
              </w:rPr>
            </w:pPr>
            <w:r>
              <w:rPr>
                <w:rFonts w:cs="Times New Roman"/>
                <w:color w:val="auto"/>
              </w:rPr>
              <w:t>电子信箱</w:t>
            </w:r>
          </w:p>
        </w:tc>
        <w:tc>
          <w:tcPr>
            <w:tcW w:w="1314" w:type="pct"/>
            <w:gridSpan w:val="4"/>
            <w:tcBorders>
              <w:bottom w:val="single" w:color="auto" w:sz="12" w:space="0"/>
            </w:tcBorders>
            <w:vAlign w:val="center"/>
          </w:tcPr>
          <w:p>
            <w:pPr>
              <w:pStyle w:val="73"/>
              <w:widowControl w:val="0"/>
              <w:topLinePunct/>
              <w:adjustRightInd w:val="0"/>
              <w:snapToGrid w:val="0"/>
              <w:spacing w:line="240" w:lineRule="auto"/>
              <w:jc w:val="center"/>
              <w:textAlignment w:val="center"/>
              <w:rPr>
                <w:rFonts w:cs="Times New Roman"/>
                <w:color w:val="auto"/>
              </w:rPr>
            </w:pPr>
            <w:r>
              <w:rPr>
                <w:rFonts w:cs="Times New Roman"/>
                <w:color w:val="auto"/>
              </w:rPr>
              <w:t>—</w:t>
            </w:r>
          </w:p>
        </w:tc>
      </w:tr>
      <w:bookmarkEnd w:id="134"/>
      <w:bookmarkEnd w:id="135"/>
    </w:tbl>
    <w:p>
      <w:pPr>
        <w:pStyle w:val="50"/>
        <w:widowControl/>
        <w:numPr>
          <w:ilvl w:val="0"/>
          <w:numId w:val="1"/>
        </w:numPr>
        <w:tabs>
          <w:tab w:val="clear" w:pos="432"/>
        </w:tabs>
        <w:spacing w:beforeLines="100" w:afterLines="100"/>
        <w:rPr>
          <w:rFonts w:eastAsia="仿宋_GB2312"/>
          <w:sz w:val="32"/>
          <w:szCs w:val="32"/>
        </w:rPr>
        <w:sectPr>
          <w:headerReference r:id="rId11" w:type="default"/>
          <w:footerReference r:id="rId12" w:type="default"/>
          <w:pgSz w:w="11906" w:h="16838"/>
          <w:pgMar w:top="1440" w:right="1803" w:bottom="1440" w:left="1803" w:header="851" w:footer="850" w:gutter="0"/>
          <w:cols w:space="720" w:num="1"/>
          <w:docGrid w:linePitch="326" w:charSpace="0"/>
        </w:sectPr>
      </w:pPr>
    </w:p>
    <w:p>
      <w:pPr>
        <w:pStyle w:val="50"/>
        <w:widowControl/>
        <w:numPr>
          <w:ilvl w:val="0"/>
          <w:numId w:val="1"/>
        </w:numPr>
        <w:tabs>
          <w:tab w:val="clear" w:pos="432"/>
        </w:tabs>
        <w:spacing w:beforeLines="100" w:afterLines="100"/>
        <w:rPr>
          <w:rFonts w:eastAsia="仿宋_GB2312"/>
          <w:sz w:val="32"/>
          <w:szCs w:val="32"/>
        </w:rPr>
      </w:pPr>
      <w:bookmarkStart w:id="136" w:name="_Toc7801454"/>
      <w:bookmarkStart w:id="137" w:name="_Toc7801387"/>
      <w:bookmarkStart w:id="138" w:name="_Toc7801547"/>
      <w:bookmarkStart w:id="139" w:name="_Toc47381526"/>
      <w:r>
        <w:rPr>
          <w:rFonts w:eastAsia="仿宋_GB2312"/>
          <w:sz w:val="32"/>
          <w:szCs w:val="32"/>
        </w:rPr>
        <w:t>项目概况</w:t>
      </w:r>
      <w:bookmarkEnd w:id="136"/>
      <w:bookmarkEnd w:id="137"/>
      <w:bookmarkEnd w:id="138"/>
      <w:bookmarkEnd w:id="139"/>
    </w:p>
    <w:p>
      <w:pPr>
        <w:pStyle w:val="3"/>
        <w:widowControl/>
        <w:numPr>
          <w:ilvl w:val="1"/>
          <w:numId w:val="1"/>
        </w:numPr>
        <w:tabs>
          <w:tab w:val="clear" w:pos="1002"/>
        </w:tabs>
        <w:topLinePunct w:val="0"/>
        <w:adjustRightInd/>
        <w:snapToGrid/>
        <w:ind w:left="0" w:firstLine="0"/>
        <w:jc w:val="both"/>
        <w:rPr>
          <w:rFonts w:eastAsia="仿宋_GB2312"/>
        </w:rPr>
      </w:pPr>
      <w:bookmarkStart w:id="140" w:name="_Toc7801455"/>
      <w:bookmarkStart w:id="141" w:name="_Toc47381527"/>
      <w:bookmarkStart w:id="142" w:name="_Toc7801548"/>
      <w:bookmarkStart w:id="143" w:name="_Toc7801388"/>
      <w:r>
        <w:rPr>
          <w:rFonts w:eastAsia="仿宋_GB2312"/>
        </w:rPr>
        <w:t>项目组成及工程布置</w:t>
      </w:r>
      <w:bookmarkEnd w:id="140"/>
      <w:bookmarkEnd w:id="141"/>
      <w:bookmarkEnd w:id="142"/>
      <w:bookmarkEnd w:id="143"/>
    </w:p>
    <w:p>
      <w:pPr>
        <w:pStyle w:val="4"/>
        <w:keepLines/>
        <w:widowControl/>
        <w:numPr>
          <w:ilvl w:val="2"/>
          <w:numId w:val="1"/>
        </w:numPr>
        <w:tabs>
          <w:tab w:val="clear" w:pos="432"/>
          <w:tab w:val="clear" w:pos="960"/>
        </w:tabs>
        <w:kinsoku/>
        <w:overflowPunct/>
        <w:topLinePunct w:val="0"/>
        <w:autoSpaceDE/>
        <w:autoSpaceDN/>
        <w:adjustRightInd/>
        <w:snapToGrid/>
        <w:ind w:left="0" w:firstLine="0"/>
        <w:jc w:val="both"/>
        <w:rPr>
          <w:rFonts w:eastAsia="仿宋_GB2312"/>
        </w:rPr>
      </w:pPr>
      <w:r>
        <w:rPr>
          <w:rFonts w:eastAsia="仿宋_GB2312"/>
        </w:rPr>
        <w:t>项目基本情况</w:t>
      </w:r>
    </w:p>
    <w:p>
      <w:pPr>
        <w:ind w:firstLine="480"/>
        <w:rPr>
          <w:rFonts w:eastAsia="仿宋_GB2312"/>
        </w:rPr>
      </w:pPr>
      <w:r>
        <w:rPr>
          <w:rFonts w:eastAsia="仿宋_GB2312"/>
          <w:b/>
        </w:rPr>
        <w:t>项目名称：</w:t>
      </w:r>
      <w:r>
        <w:rPr>
          <w:rFonts w:hint="eastAsia" w:eastAsia="仿宋_GB2312"/>
          <w:color w:val="000000"/>
        </w:rPr>
        <w:t>第十四师224团小区给水管网改造项目</w:t>
      </w:r>
    </w:p>
    <w:p>
      <w:pPr>
        <w:ind w:firstLine="480"/>
        <w:rPr>
          <w:rFonts w:eastAsia="仿宋_GB2312"/>
          <w:b/>
        </w:rPr>
      </w:pPr>
      <w:r>
        <w:rPr>
          <w:rFonts w:eastAsia="仿宋_GB2312"/>
          <w:b/>
        </w:rPr>
        <w:t>建设单位：</w:t>
      </w:r>
      <w:r>
        <w:rPr>
          <w:rFonts w:eastAsia="仿宋_GB2312"/>
          <w:color w:val="000000"/>
        </w:rPr>
        <w:t>第十四师水利工程管理服务中心</w:t>
      </w:r>
    </w:p>
    <w:p>
      <w:pPr>
        <w:tabs>
          <w:tab w:val="left" w:pos="840"/>
          <w:tab w:val="left" w:pos="1485"/>
        </w:tabs>
        <w:ind w:firstLine="480"/>
        <w:rPr>
          <w:rFonts w:eastAsia="仿宋_GB2312"/>
          <w:color w:val="000000"/>
        </w:rPr>
      </w:pPr>
      <w:r>
        <w:rPr>
          <w:rFonts w:eastAsia="仿宋_GB2312"/>
          <w:b/>
        </w:rPr>
        <w:t>建设地点：</w:t>
      </w:r>
      <w:r>
        <w:rPr>
          <w:rFonts w:eastAsia="仿宋_GB2312"/>
        </w:rPr>
        <w:t>本项目位于</w:t>
      </w:r>
      <w:r>
        <w:rPr>
          <w:rFonts w:eastAsia="仿宋_GB2312"/>
          <w:color w:val="000000"/>
        </w:rPr>
        <w:t>新疆</w:t>
      </w:r>
      <w:r>
        <w:rPr>
          <w:rFonts w:hint="eastAsia" w:eastAsia="仿宋_GB2312"/>
          <w:color w:val="000000"/>
        </w:rPr>
        <w:t>生产建设兵团第十四师224团境内，224团距离东侧和田市约60km，</w:t>
      </w:r>
      <w:r>
        <w:rPr>
          <w:rFonts w:hint="eastAsia" w:eastAsia="仿宋_GB2312"/>
        </w:rPr>
        <w:t>224团南侧为G315国道，本项目所在的</w:t>
      </w:r>
      <w:r>
        <w:rPr>
          <w:rFonts w:hint="eastAsia" w:eastAsia="仿宋_GB2312"/>
          <w:color w:val="000000"/>
        </w:rPr>
        <w:t>天翔、明珠小区位于</w:t>
      </w:r>
      <w:r>
        <w:rPr>
          <w:rFonts w:hint="eastAsia" w:eastAsia="仿宋_GB2312"/>
        </w:rPr>
        <w:t>224团</w:t>
      </w:r>
      <w:r>
        <w:rPr>
          <w:rFonts w:hint="eastAsia" w:eastAsia="仿宋_GB2312"/>
          <w:color w:val="000000"/>
        </w:rPr>
        <w:t>中心城区</w:t>
      </w:r>
      <w:r>
        <w:rPr>
          <w:rFonts w:hint="eastAsia" w:eastAsia="仿宋_GB2312"/>
        </w:rPr>
        <w:t>，市政道路较为完善，与周边县市的交通来往非常便利</w:t>
      </w:r>
      <w:r>
        <w:rPr>
          <w:rFonts w:eastAsia="仿宋_GB2312"/>
        </w:rPr>
        <w:t>。</w:t>
      </w:r>
    </w:p>
    <w:p>
      <w:pPr>
        <w:ind w:firstLine="480"/>
        <w:rPr>
          <w:rFonts w:eastAsia="仿宋_GB2312"/>
          <w:color w:val="000000"/>
        </w:rPr>
      </w:pPr>
      <w:r>
        <w:rPr>
          <w:rFonts w:eastAsia="仿宋_GB2312"/>
          <w:b/>
        </w:rPr>
        <w:t>建设性质：</w:t>
      </w:r>
      <w:r>
        <w:rPr>
          <w:rFonts w:eastAsia="仿宋_GB2312"/>
          <w:color w:val="000000"/>
        </w:rPr>
        <w:t>新建</w:t>
      </w:r>
    </w:p>
    <w:p>
      <w:pPr>
        <w:tabs>
          <w:tab w:val="left" w:pos="840"/>
          <w:tab w:val="left" w:pos="1485"/>
        </w:tabs>
        <w:ind w:firstLine="480"/>
        <w:rPr>
          <w:rFonts w:eastAsia="仿宋_GB2312"/>
        </w:rPr>
      </w:pPr>
      <w:r>
        <w:rPr>
          <w:rFonts w:hint="eastAsia" w:eastAsia="仿宋_GB2312"/>
          <w:b/>
        </w:rPr>
        <w:t>主要建设内容：</w:t>
      </w:r>
      <w:r>
        <w:rPr>
          <w:rFonts w:hint="eastAsia" w:eastAsia="仿宋_GB2312"/>
        </w:rPr>
        <w:t>本项目</w:t>
      </w:r>
      <w:r>
        <w:rPr>
          <w:rFonts w:eastAsia="仿宋_GB2312"/>
        </w:rPr>
        <w:t>主要</w:t>
      </w:r>
      <w:r>
        <w:rPr>
          <w:rFonts w:hint="eastAsia" w:eastAsia="仿宋_GB2312"/>
        </w:rPr>
        <w:t>对224团老旧小区（天翔、明珠小区）给水管网进行改造，</w:t>
      </w:r>
      <w:r>
        <w:rPr>
          <w:rFonts w:eastAsia="仿宋_GB2312"/>
        </w:rPr>
        <w:t>改</w:t>
      </w:r>
      <w:r>
        <w:rPr>
          <w:rFonts w:hint="eastAsia" w:eastAsia="仿宋_GB2312"/>
        </w:rPr>
        <w:t>造给水</w:t>
      </w:r>
      <w:r>
        <w:rPr>
          <w:rFonts w:eastAsia="仿宋_GB2312"/>
        </w:rPr>
        <w:t>管道</w:t>
      </w:r>
      <w:r>
        <w:rPr>
          <w:rFonts w:hint="eastAsia" w:eastAsia="仿宋_GB2312"/>
        </w:rPr>
        <w:t>5064m，配套室外消火栓28座，给水阀门井82座</w:t>
      </w:r>
      <w:r>
        <w:rPr>
          <w:rFonts w:eastAsia="仿宋_GB2312"/>
        </w:rPr>
        <w:t>。</w:t>
      </w:r>
    </w:p>
    <w:p>
      <w:pPr>
        <w:tabs>
          <w:tab w:val="left" w:pos="840"/>
          <w:tab w:val="left" w:pos="1485"/>
        </w:tabs>
        <w:ind w:firstLine="480"/>
        <w:rPr>
          <w:rFonts w:eastAsia="仿宋_GB2312"/>
        </w:rPr>
      </w:pPr>
      <w:r>
        <w:rPr>
          <w:rFonts w:eastAsia="仿宋_GB2312"/>
          <w:b/>
        </w:rPr>
        <w:t>建设工期：</w:t>
      </w:r>
      <w:r>
        <w:rPr>
          <w:rFonts w:hint="eastAsia" w:eastAsia="仿宋_GB2312"/>
        </w:rPr>
        <w:t>2021年9月-2021年12月</w:t>
      </w:r>
      <w:r>
        <w:rPr>
          <w:rFonts w:eastAsia="仿宋_GB2312"/>
        </w:rPr>
        <w:t>，总工期</w:t>
      </w:r>
      <w:r>
        <w:rPr>
          <w:rFonts w:hint="eastAsia" w:eastAsia="仿宋_GB2312"/>
        </w:rPr>
        <w:t>4</w:t>
      </w:r>
      <w:r>
        <w:rPr>
          <w:rFonts w:eastAsia="仿宋_GB2312"/>
        </w:rPr>
        <w:t>个月。</w:t>
      </w:r>
    </w:p>
    <w:p>
      <w:pPr>
        <w:tabs>
          <w:tab w:val="left" w:pos="840"/>
          <w:tab w:val="left" w:pos="1485"/>
        </w:tabs>
        <w:ind w:firstLine="480"/>
        <w:rPr>
          <w:rFonts w:eastAsia="仿宋_GB2312"/>
          <w:color w:val="000000"/>
        </w:rPr>
      </w:pPr>
      <w:r>
        <w:rPr>
          <w:rFonts w:eastAsia="仿宋_GB2312"/>
          <w:b/>
        </w:rPr>
        <w:t>总投资：</w:t>
      </w:r>
      <w:r>
        <w:rPr>
          <w:rFonts w:eastAsia="仿宋_GB2312"/>
        </w:rPr>
        <w:t>本工程总投资</w:t>
      </w:r>
      <w:r>
        <w:rPr>
          <w:rFonts w:hint="eastAsia" w:eastAsia="仿宋_GB2312"/>
        </w:rPr>
        <w:t>430</w:t>
      </w:r>
      <w:r>
        <w:rPr>
          <w:rFonts w:eastAsia="仿宋_GB2312"/>
        </w:rPr>
        <w:t>万元，</w:t>
      </w:r>
      <w:r>
        <w:rPr>
          <w:rFonts w:hint="eastAsia" w:eastAsia="仿宋_GB2312"/>
        </w:rPr>
        <w:t>土建投资366.97万元</w:t>
      </w:r>
      <w:r>
        <w:rPr>
          <w:rFonts w:eastAsia="仿宋_GB2312"/>
        </w:rPr>
        <w:t>，</w:t>
      </w:r>
      <w:r>
        <w:rPr>
          <w:rFonts w:hint="eastAsia" w:eastAsia="仿宋_GB2312"/>
          <w:color w:val="000000"/>
        </w:rPr>
        <w:t>资金来源为申请抗疫特别国债资金400万元，师市本级财政性资金30万元。</w:t>
      </w:r>
    </w:p>
    <w:p>
      <w:pPr>
        <w:tabs>
          <w:tab w:val="left" w:pos="840"/>
          <w:tab w:val="left" w:pos="1485"/>
        </w:tabs>
        <w:ind w:firstLine="480"/>
        <w:rPr>
          <w:rFonts w:eastAsia="仿宋_GB2312"/>
        </w:rPr>
      </w:pPr>
      <w:r>
        <w:rPr>
          <w:rFonts w:eastAsia="仿宋_GB2312"/>
        </w:rPr>
        <w:t>工程特性见表2.1-1。</w:t>
      </w:r>
    </w:p>
    <w:p>
      <w:pPr>
        <w:tabs>
          <w:tab w:val="left" w:pos="840"/>
          <w:tab w:val="left" w:pos="1485"/>
        </w:tabs>
        <w:spacing w:line="240" w:lineRule="auto"/>
        <w:ind w:firstLine="0" w:firstLineChars="0"/>
        <w:jc w:val="center"/>
        <w:rPr>
          <w:rFonts w:eastAsia="仿宋_GB2312"/>
          <w:b/>
        </w:rPr>
      </w:pPr>
      <w:r>
        <w:rPr>
          <w:rFonts w:eastAsia="仿宋_GB2312"/>
          <w:b/>
        </w:rPr>
        <w:pict>
          <v:shape id="_x0000_s1026" o:spid="_x0000_s1026" o:spt="202" type="#_x0000_t202" style="position:absolute;left:0pt;margin-left:69.7pt;margin-top:81.35pt;height:24.75pt;width:71.25pt;z-index:254151680;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">
            <v:path/>
            <v:fill on="f" focussize="0,0"/>
            <v:stroke on="f" joinstyle="miter"/>
            <v:imagedata o:title=""/>
            <o:lock v:ext="edit"/>
            <v:textbox>
              <w:txbxContent>
                <w:p>
                  <w:pPr>
                    <w:ind w:firstLine="0" w:firstLineChars="0"/>
                    <w:rPr>
                      <w:b/>
                      <w:color w:val="FF0000"/>
                      <w:sz w:val="32"/>
                      <w:szCs w:val="32"/>
                    </w:rPr>
                  </w:pPr>
                  <w:r>
                    <w:rPr>
                      <w:rFonts w:hint="eastAsia"/>
                      <w:b/>
                      <w:color w:val="FF0000"/>
                      <w:sz w:val="32"/>
                      <w:szCs w:val="32"/>
                    </w:rPr>
                    <w:t>本项目</w:t>
                  </w:r>
                </w:p>
              </w:txbxContent>
            </v:textbox>
          </v:shape>
        </w:pict>
      </w:r>
      <w:r>
        <w:pict>
          <v:shape id="五角星 2" o:spid="_x0000_s1027" o:spt="100" style="position:absolute;left:0pt;margin-left:85.9pt;margin-top:51.25pt;height:24.75pt;width:25.5pt;z-index:254149632;v-text-anchor:middle;mso-width-relative:page;mso-height-relative:page;" fillcolor="#FF0000" filled="t" stroked="t" coordsize="323850,314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" adj="-11796480,,5400" path="m0,120061l123700,120062,161925,0,200150,120062,323850,120061,223774,194263,262000,314324,161925,240121,61850,314324,100076,194263,0,120061xe">
            <v:path textboxrect="0,0,323850,314325" arrowok="t" o:connecttype="custom" o:connectlocs="0,120061;123700,120062;161925,0;200150,120062;323850,120061;223774,194263;262000,314324;161925,240121;61850,314324;100076,194263;0,120061" o:connectangles="0,0,0,0,0,0,0,0,0,0,0"/>
            <v:fill on="t" focussize="0,0"/>
            <v:stroke weight="2pt" color="#FF0000" joinstyle="miter"/>
            <v:imagedata o:title=""/>
            <o:lock v:ext="edit"/>
            <v:textbox>
              <w:txbxContent>
                <w:p>
                  <w:pPr>
                    <w:ind w:firstLine="480"/>
                    <w:jc w:val="center"/>
                  </w:pPr>
                </w:p>
              </w:txbxContent>
            </v:textbox>
          </v:shape>
        </w:pict>
      </w:r>
      <w:r>
        <w:drawing>
          <wp:inline distT="0" distB="0" distL="0" distR="0">
            <wp:extent cx="5270500" cy="339661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30" cstate="print"/>
                    <a:stretch>
                      <a:fillRect/>
                    </a:stretch>
                  </pic:blipFill>
                  <pic:spPr>
                    <a:xfrm>
                      <a:off x="0" y="0"/>
                      <a:ext cx="5270500" cy="3396615"/>
                    </a:xfrm>
                    <a:prstGeom prst="rect">
                      <a:avLst/>
                    </a:prstGeom>
                  </pic:spPr>
                </pic:pic>
              </a:graphicData>
            </a:graphic>
          </wp:inline>
        </w:drawing>
      </w:r>
    </w:p>
    <w:p>
      <w:pPr>
        <w:tabs>
          <w:tab w:val="left" w:pos="840"/>
          <w:tab w:val="left" w:pos="1485"/>
        </w:tabs>
        <w:spacing w:line="240" w:lineRule="auto"/>
        <w:ind w:firstLine="0" w:firstLineChars="0"/>
        <w:jc w:val="center"/>
        <w:rPr>
          <w:rFonts w:eastAsia="仿宋_GB2312"/>
          <w:b/>
        </w:rPr>
        <w:sectPr>
          <w:pgSz w:w="11906" w:h="16838"/>
          <w:pgMar w:top="1440" w:right="1803" w:bottom="1440" w:left="1803" w:header="851" w:footer="850" w:gutter="0"/>
          <w:cols w:space="720" w:num="1"/>
          <w:docGrid w:linePitch="326" w:charSpace="0"/>
        </w:sectPr>
      </w:pPr>
      <w:r>
        <w:rPr>
          <w:rFonts w:eastAsia="仿宋_GB2312"/>
          <w:b/>
        </w:rPr>
        <w:t>图2.</w:t>
      </w:r>
      <w:r>
        <w:rPr>
          <w:rFonts w:hint="eastAsia" w:eastAsia="仿宋_GB2312"/>
          <w:b/>
        </w:rPr>
        <w:t>1</w:t>
      </w:r>
      <w:r>
        <w:rPr>
          <w:rFonts w:eastAsia="仿宋_GB2312"/>
          <w:b/>
        </w:rPr>
        <w:t>-1</w:t>
      </w:r>
      <w:r>
        <w:rPr>
          <w:rFonts w:hint="eastAsia" w:eastAsia="仿宋_GB2312"/>
          <w:b/>
        </w:rPr>
        <w:t>项目</w:t>
      </w:r>
      <w:r>
        <w:rPr>
          <w:rFonts w:hint="eastAsia" w:eastAsia="仿宋_GB2312"/>
          <w:b/>
          <w:color w:val="000000"/>
        </w:rPr>
        <w:t>地理位置</w:t>
      </w:r>
      <w:r>
        <w:rPr>
          <w:rFonts w:hint="eastAsia" w:eastAsia="仿宋_GB2312"/>
          <w:b/>
        </w:rPr>
        <w:t>示意图</w:t>
      </w:r>
    </w:p>
    <w:p>
      <w:pPr>
        <w:tabs>
          <w:tab w:val="left" w:pos="840"/>
          <w:tab w:val="left" w:pos="1485"/>
        </w:tabs>
        <w:spacing w:line="240" w:lineRule="auto"/>
        <w:ind w:firstLine="0" w:firstLineChars="0"/>
        <w:jc w:val="center"/>
        <w:rPr>
          <w:rFonts w:eastAsia="仿宋_GB2312"/>
        </w:rPr>
      </w:pPr>
      <w:r>
        <w:rPr>
          <w:rFonts w:eastAsia="仿宋_GB2312"/>
          <w:b/>
        </w:rPr>
        <w:t>表2.1-1   工程主要技术经济指标表</w:t>
      </w:r>
    </w:p>
    <w:tbl>
      <w:tblPr>
        <w:tblStyle w:val="40"/>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67"/>
        <w:gridCol w:w="964"/>
        <w:gridCol w:w="766"/>
        <w:gridCol w:w="10"/>
        <w:gridCol w:w="702"/>
        <w:gridCol w:w="72"/>
        <w:gridCol w:w="654"/>
        <w:gridCol w:w="581"/>
        <w:gridCol w:w="36"/>
        <w:gridCol w:w="555"/>
        <w:gridCol w:w="581"/>
        <w:gridCol w:w="112"/>
        <w:gridCol w:w="472"/>
        <w:gridCol w:w="581"/>
        <w:gridCol w:w="204"/>
        <w:gridCol w:w="382"/>
        <w:gridCol w:w="581"/>
        <w:gridCol w:w="59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00" w:type="pct"/>
            <w:gridSpan w:val="18"/>
            <w:vAlign w:val="center"/>
          </w:tcPr>
          <w:p>
            <w:pPr>
              <w:autoSpaceDE w:val="0"/>
              <w:autoSpaceDN w:val="0"/>
              <w:spacing w:line="0" w:lineRule="atLeast"/>
              <w:ind w:right="-20" w:firstLine="0" w:firstLineChars="0"/>
              <w:jc w:val="center"/>
              <w:rPr>
                <w:rFonts w:eastAsia="仿宋_GB2312"/>
                <w:b/>
                <w:position w:val="-2"/>
                <w:sz w:val="21"/>
                <w:szCs w:val="21"/>
              </w:rPr>
            </w:pPr>
            <w:bookmarkStart w:id="144" w:name="RANGE!C7:N31"/>
            <w:bookmarkEnd w:id="144"/>
            <w:bookmarkStart w:id="145" w:name="RANGE!C7:N33"/>
            <w:bookmarkEnd w:id="145"/>
            <w:bookmarkStart w:id="146" w:name="RANGE!C7:N34"/>
            <w:bookmarkEnd w:id="146"/>
            <w:r>
              <w:rPr>
                <w:rFonts w:eastAsia="仿宋_GB2312"/>
                <w:b/>
                <w:position w:val="-2"/>
                <w:sz w:val="21"/>
                <w:szCs w:val="21"/>
              </w:rPr>
              <w:t>一、工程概况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58" w:type="pct"/>
            <w:gridSpan w:val="2"/>
            <w:vAlign w:val="center"/>
          </w:tcPr>
          <w:p>
            <w:pPr>
              <w:autoSpaceDE w:val="0"/>
              <w:autoSpaceDN w:val="0"/>
              <w:spacing w:line="0" w:lineRule="atLeast"/>
              <w:ind w:right="-20" w:firstLine="0" w:firstLineChars="0"/>
              <w:jc w:val="center"/>
              <w:rPr>
                <w:rFonts w:eastAsia="仿宋_GB2312"/>
                <w:position w:val="-2"/>
                <w:sz w:val="21"/>
                <w:szCs w:val="21"/>
              </w:rPr>
            </w:pPr>
            <w:r>
              <w:rPr>
                <w:rFonts w:eastAsia="仿宋_GB2312"/>
                <w:position w:val="-2"/>
                <w:sz w:val="21"/>
                <w:szCs w:val="21"/>
              </w:rPr>
              <w:t>项目名称</w:t>
            </w:r>
          </w:p>
        </w:tc>
        <w:tc>
          <w:tcPr>
            <w:tcW w:w="4042" w:type="pct"/>
            <w:gridSpan w:val="16"/>
            <w:vAlign w:val="center"/>
          </w:tcPr>
          <w:p>
            <w:pPr>
              <w:autoSpaceDE w:val="0"/>
              <w:autoSpaceDN w:val="0"/>
              <w:spacing w:line="0" w:lineRule="atLeast"/>
              <w:ind w:right="-20" w:firstLine="0" w:firstLineChars="0"/>
              <w:jc w:val="center"/>
              <w:rPr>
                <w:rFonts w:eastAsia="仿宋_GB2312"/>
                <w:position w:val="-2"/>
                <w:sz w:val="21"/>
                <w:szCs w:val="21"/>
              </w:rPr>
            </w:pPr>
            <w:r>
              <w:rPr>
                <w:rFonts w:hint="eastAsia" w:eastAsia="仿宋_GB2312"/>
                <w:position w:val="-2"/>
                <w:sz w:val="21"/>
                <w:szCs w:val="21"/>
              </w:rPr>
              <w:t>第十四师224团小区给水管网改造项目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58" w:type="pct"/>
            <w:gridSpan w:val="2"/>
            <w:vAlign w:val="center"/>
          </w:tcPr>
          <w:p>
            <w:pPr>
              <w:autoSpaceDE w:val="0"/>
              <w:autoSpaceDN w:val="0"/>
              <w:spacing w:line="0" w:lineRule="atLeast"/>
              <w:ind w:right="-20" w:firstLine="0" w:firstLineChars="0"/>
              <w:jc w:val="center"/>
              <w:rPr>
                <w:rFonts w:eastAsia="仿宋_GB2312"/>
                <w:position w:val="-2"/>
                <w:sz w:val="21"/>
                <w:szCs w:val="21"/>
              </w:rPr>
            </w:pPr>
            <w:r>
              <w:rPr>
                <w:rFonts w:eastAsia="仿宋_GB2312"/>
                <w:position w:val="-2"/>
                <w:sz w:val="21"/>
                <w:szCs w:val="21"/>
              </w:rPr>
              <w:t>建设单位</w:t>
            </w:r>
          </w:p>
        </w:tc>
        <w:tc>
          <w:tcPr>
            <w:tcW w:w="4042" w:type="pct"/>
            <w:gridSpan w:val="16"/>
            <w:vAlign w:val="center"/>
          </w:tcPr>
          <w:p>
            <w:pPr>
              <w:autoSpaceDE w:val="0"/>
              <w:autoSpaceDN w:val="0"/>
              <w:spacing w:line="0" w:lineRule="atLeast"/>
              <w:ind w:right="-20" w:firstLine="0" w:firstLineChars="0"/>
              <w:jc w:val="center"/>
              <w:rPr>
                <w:rFonts w:eastAsia="仿宋_GB2312"/>
                <w:position w:val="-2"/>
                <w:sz w:val="21"/>
                <w:szCs w:val="21"/>
              </w:rPr>
            </w:pPr>
            <w:r>
              <w:rPr>
                <w:rFonts w:eastAsia="仿宋_GB2312"/>
                <w:position w:val="-2"/>
                <w:sz w:val="21"/>
                <w:szCs w:val="21"/>
              </w:rPr>
              <w:t>第十四师水利工程管理服务中心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58" w:type="pct"/>
            <w:gridSpan w:val="2"/>
            <w:vAlign w:val="center"/>
          </w:tcPr>
          <w:p>
            <w:pPr>
              <w:autoSpaceDE w:val="0"/>
              <w:autoSpaceDN w:val="0"/>
              <w:spacing w:line="0" w:lineRule="atLeast"/>
              <w:ind w:right="-20" w:firstLine="0" w:firstLineChars="0"/>
              <w:jc w:val="center"/>
              <w:rPr>
                <w:rFonts w:eastAsia="仿宋_GB2312"/>
                <w:position w:val="-2"/>
                <w:sz w:val="21"/>
                <w:szCs w:val="21"/>
              </w:rPr>
            </w:pPr>
            <w:r>
              <w:rPr>
                <w:rFonts w:eastAsia="仿宋_GB2312"/>
                <w:position w:val="-2"/>
                <w:sz w:val="21"/>
                <w:szCs w:val="21"/>
              </w:rPr>
              <w:t>建设地点</w:t>
            </w:r>
          </w:p>
        </w:tc>
        <w:tc>
          <w:tcPr>
            <w:tcW w:w="4042" w:type="pct"/>
            <w:gridSpan w:val="16"/>
            <w:vAlign w:val="center"/>
          </w:tcPr>
          <w:p>
            <w:pPr>
              <w:autoSpaceDE w:val="0"/>
              <w:autoSpaceDN w:val="0"/>
              <w:spacing w:line="0" w:lineRule="atLeast"/>
              <w:ind w:right="-20" w:firstLine="0" w:firstLineChars="0"/>
              <w:jc w:val="center"/>
              <w:rPr>
                <w:rFonts w:eastAsia="仿宋_GB2312"/>
                <w:position w:val="-2"/>
                <w:sz w:val="21"/>
                <w:szCs w:val="21"/>
              </w:rPr>
            </w:pPr>
            <w:r>
              <w:rPr>
                <w:rFonts w:eastAsia="仿宋_GB2312"/>
                <w:position w:val="-2"/>
                <w:sz w:val="21"/>
                <w:szCs w:val="21"/>
              </w:rPr>
              <w:t>新疆</w:t>
            </w:r>
            <w:r>
              <w:rPr>
                <w:rFonts w:hint="eastAsia" w:eastAsia="仿宋_GB2312"/>
                <w:position w:val="-2"/>
                <w:sz w:val="21"/>
                <w:szCs w:val="21"/>
              </w:rPr>
              <w:t>生产建设兵团第十四师224团</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58" w:type="pct"/>
            <w:gridSpan w:val="2"/>
            <w:vAlign w:val="center"/>
          </w:tcPr>
          <w:p>
            <w:pPr>
              <w:autoSpaceDE w:val="0"/>
              <w:autoSpaceDN w:val="0"/>
              <w:spacing w:line="0" w:lineRule="atLeast"/>
              <w:ind w:right="-20" w:firstLine="0" w:firstLineChars="0"/>
              <w:jc w:val="center"/>
              <w:rPr>
                <w:rFonts w:eastAsia="仿宋_GB2312"/>
                <w:position w:val="-2"/>
                <w:sz w:val="21"/>
                <w:szCs w:val="21"/>
              </w:rPr>
            </w:pPr>
            <w:r>
              <w:rPr>
                <w:rFonts w:eastAsia="仿宋_GB2312"/>
                <w:position w:val="-2"/>
                <w:sz w:val="21"/>
                <w:szCs w:val="21"/>
              </w:rPr>
              <w:t>建设性质</w:t>
            </w:r>
          </w:p>
        </w:tc>
        <w:tc>
          <w:tcPr>
            <w:tcW w:w="4042" w:type="pct"/>
            <w:gridSpan w:val="16"/>
            <w:vAlign w:val="center"/>
          </w:tcPr>
          <w:p>
            <w:pPr>
              <w:autoSpaceDE w:val="0"/>
              <w:autoSpaceDN w:val="0"/>
              <w:spacing w:line="0" w:lineRule="atLeast"/>
              <w:ind w:right="-20" w:firstLine="0" w:firstLineChars="0"/>
              <w:jc w:val="center"/>
              <w:rPr>
                <w:rFonts w:eastAsia="仿宋_GB2312"/>
                <w:position w:val="-2"/>
                <w:sz w:val="21"/>
                <w:szCs w:val="21"/>
              </w:rPr>
            </w:pPr>
            <w:r>
              <w:rPr>
                <w:rFonts w:eastAsia="仿宋_GB2312"/>
                <w:position w:val="-2"/>
                <w:sz w:val="21"/>
                <w:szCs w:val="21"/>
              </w:rP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58" w:type="pct"/>
            <w:gridSpan w:val="2"/>
            <w:vAlign w:val="center"/>
          </w:tcPr>
          <w:p>
            <w:pPr>
              <w:autoSpaceDE w:val="0"/>
              <w:autoSpaceDN w:val="0"/>
              <w:spacing w:line="0" w:lineRule="atLeast"/>
              <w:ind w:right="-20" w:firstLine="0" w:firstLineChars="0"/>
              <w:jc w:val="center"/>
              <w:rPr>
                <w:rFonts w:eastAsia="仿宋_GB2312"/>
                <w:position w:val="-2"/>
                <w:sz w:val="21"/>
                <w:szCs w:val="21"/>
              </w:rPr>
            </w:pPr>
            <w:r>
              <w:rPr>
                <w:rFonts w:hint="eastAsia" w:eastAsia="仿宋_GB2312"/>
                <w:position w:val="-2"/>
                <w:sz w:val="21"/>
                <w:szCs w:val="21"/>
              </w:rPr>
              <w:t>内容</w:t>
            </w:r>
          </w:p>
        </w:tc>
        <w:tc>
          <w:tcPr>
            <w:tcW w:w="4042" w:type="pct"/>
            <w:gridSpan w:val="16"/>
            <w:vAlign w:val="center"/>
          </w:tcPr>
          <w:p>
            <w:pPr>
              <w:autoSpaceDE w:val="0"/>
              <w:autoSpaceDN w:val="0"/>
              <w:spacing w:line="0" w:lineRule="atLeast"/>
              <w:ind w:right="-20" w:firstLine="0" w:firstLineChars="0"/>
              <w:jc w:val="center"/>
              <w:rPr>
                <w:rFonts w:eastAsia="仿宋_GB2312"/>
                <w:position w:val="-2"/>
                <w:sz w:val="21"/>
                <w:szCs w:val="21"/>
              </w:rPr>
            </w:pPr>
            <w:r>
              <w:rPr>
                <w:rFonts w:eastAsia="仿宋_GB2312"/>
                <w:position w:val="-2"/>
                <w:sz w:val="21"/>
                <w:szCs w:val="21"/>
              </w:rPr>
              <w:t>改</w:t>
            </w:r>
            <w:r>
              <w:rPr>
                <w:rFonts w:hint="eastAsia" w:eastAsia="仿宋_GB2312"/>
                <w:position w:val="-2"/>
                <w:sz w:val="21"/>
                <w:szCs w:val="21"/>
              </w:rPr>
              <w:t>建给水</w:t>
            </w:r>
            <w:r>
              <w:rPr>
                <w:rFonts w:eastAsia="仿宋_GB2312"/>
                <w:position w:val="-2"/>
                <w:sz w:val="21"/>
                <w:szCs w:val="21"/>
              </w:rPr>
              <w:t>管道</w:t>
            </w:r>
            <w:r>
              <w:rPr>
                <w:rFonts w:hint="eastAsia" w:eastAsia="仿宋_GB2312"/>
                <w:position w:val="-2"/>
                <w:sz w:val="21"/>
                <w:szCs w:val="21"/>
              </w:rPr>
              <w:t>5064m，配套室外消火栓28座，给水阀门井82座</w:t>
            </w:r>
            <w:r>
              <w:rPr>
                <w:rFonts w:eastAsia="仿宋_GB2312"/>
                <w:position w:val="-2"/>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58" w:type="pct"/>
            <w:gridSpan w:val="2"/>
            <w:vAlign w:val="center"/>
          </w:tcPr>
          <w:p>
            <w:pPr>
              <w:autoSpaceDE w:val="0"/>
              <w:autoSpaceDN w:val="0"/>
              <w:spacing w:line="0" w:lineRule="atLeast"/>
              <w:ind w:right="-20" w:firstLine="0" w:firstLineChars="0"/>
              <w:jc w:val="center"/>
              <w:rPr>
                <w:rFonts w:eastAsia="仿宋_GB2312"/>
                <w:position w:val="-2"/>
                <w:sz w:val="21"/>
                <w:szCs w:val="21"/>
              </w:rPr>
            </w:pPr>
            <w:r>
              <w:rPr>
                <w:rFonts w:eastAsia="仿宋_GB2312"/>
                <w:position w:val="-2"/>
                <w:sz w:val="21"/>
                <w:szCs w:val="21"/>
              </w:rPr>
              <w:t>投资</w:t>
            </w:r>
          </w:p>
        </w:tc>
        <w:tc>
          <w:tcPr>
            <w:tcW w:w="4042" w:type="pct"/>
            <w:gridSpan w:val="16"/>
            <w:vAlign w:val="center"/>
          </w:tcPr>
          <w:p>
            <w:pPr>
              <w:autoSpaceDE w:val="0"/>
              <w:autoSpaceDN w:val="0"/>
              <w:spacing w:line="0" w:lineRule="atLeast"/>
              <w:ind w:right="-20" w:firstLine="0" w:firstLineChars="0"/>
              <w:jc w:val="center"/>
              <w:rPr>
                <w:rFonts w:eastAsia="仿宋_GB2312"/>
                <w:position w:val="-2"/>
                <w:sz w:val="21"/>
                <w:szCs w:val="21"/>
              </w:rPr>
            </w:pPr>
            <w:r>
              <w:rPr>
                <w:rFonts w:eastAsia="仿宋_GB2312"/>
                <w:position w:val="-2"/>
                <w:sz w:val="21"/>
                <w:szCs w:val="21"/>
              </w:rPr>
              <w:t>建设总资金</w:t>
            </w:r>
            <w:r>
              <w:rPr>
                <w:rFonts w:hint="eastAsia" w:eastAsia="仿宋_GB2312"/>
                <w:position w:val="-2"/>
                <w:sz w:val="21"/>
                <w:szCs w:val="21"/>
              </w:rPr>
              <w:t>430</w:t>
            </w:r>
            <w:r>
              <w:rPr>
                <w:rFonts w:eastAsia="仿宋_GB2312"/>
                <w:position w:val="-2"/>
                <w:sz w:val="21"/>
                <w:szCs w:val="21"/>
              </w:rPr>
              <w:t>万元</w:t>
            </w:r>
            <w:r>
              <w:rPr>
                <w:rFonts w:hint="eastAsia" w:eastAsia="仿宋_GB2312"/>
                <w:position w:val="-2"/>
                <w:sz w:val="21"/>
                <w:szCs w:val="21"/>
              </w:rPr>
              <w:t>，其中土建投资366.97</w:t>
            </w:r>
            <w:r>
              <w:rPr>
                <w:rFonts w:eastAsia="仿宋_GB2312"/>
                <w:position w:val="-2"/>
                <w:sz w:val="21"/>
                <w:szCs w:val="21"/>
              </w:rPr>
              <w:t>万元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58" w:type="pct"/>
            <w:gridSpan w:val="2"/>
            <w:vAlign w:val="center"/>
          </w:tcPr>
          <w:p>
            <w:pPr>
              <w:autoSpaceDE w:val="0"/>
              <w:autoSpaceDN w:val="0"/>
              <w:spacing w:line="0" w:lineRule="atLeast"/>
              <w:ind w:right="-20" w:firstLine="0" w:firstLineChars="0"/>
              <w:jc w:val="center"/>
              <w:rPr>
                <w:rFonts w:eastAsia="仿宋_GB2312"/>
                <w:position w:val="-2"/>
                <w:sz w:val="21"/>
                <w:szCs w:val="21"/>
              </w:rPr>
            </w:pPr>
            <w:r>
              <w:rPr>
                <w:rFonts w:eastAsia="仿宋_GB2312"/>
                <w:position w:val="-2"/>
                <w:sz w:val="21"/>
                <w:szCs w:val="21"/>
              </w:rPr>
              <w:t>工期</w:t>
            </w:r>
          </w:p>
        </w:tc>
        <w:tc>
          <w:tcPr>
            <w:tcW w:w="4042" w:type="pct"/>
            <w:gridSpan w:val="16"/>
            <w:vAlign w:val="center"/>
          </w:tcPr>
          <w:p>
            <w:pPr>
              <w:autoSpaceDE w:val="0"/>
              <w:autoSpaceDN w:val="0"/>
              <w:spacing w:line="0" w:lineRule="atLeast"/>
              <w:ind w:right="-20" w:firstLine="0" w:firstLineChars="0"/>
              <w:jc w:val="center"/>
              <w:rPr>
                <w:rFonts w:eastAsia="仿宋_GB2312"/>
                <w:position w:val="-2"/>
                <w:sz w:val="21"/>
                <w:szCs w:val="21"/>
              </w:rPr>
            </w:pPr>
            <w:r>
              <w:rPr>
                <w:rFonts w:hint="eastAsia" w:eastAsia="仿宋_GB2312"/>
                <w:position w:val="-2"/>
                <w:sz w:val="21"/>
                <w:szCs w:val="21"/>
              </w:rPr>
              <w:t>4</w:t>
            </w:r>
            <w:r>
              <w:rPr>
                <w:rFonts w:eastAsia="仿宋_GB2312"/>
                <w:position w:val="-2"/>
                <w:sz w:val="21"/>
                <w:szCs w:val="21"/>
              </w:rPr>
              <w:t>个月，20</w:t>
            </w:r>
            <w:r>
              <w:rPr>
                <w:rFonts w:hint="eastAsia" w:eastAsia="仿宋_GB2312"/>
                <w:position w:val="-2"/>
                <w:sz w:val="21"/>
                <w:szCs w:val="21"/>
              </w:rPr>
              <w:t>21</w:t>
            </w:r>
            <w:r>
              <w:rPr>
                <w:rFonts w:eastAsia="仿宋_GB2312"/>
                <w:position w:val="-2"/>
                <w:sz w:val="21"/>
                <w:szCs w:val="21"/>
              </w:rPr>
              <w:t>年</w:t>
            </w:r>
            <w:r>
              <w:rPr>
                <w:rFonts w:hint="eastAsia" w:eastAsia="仿宋_GB2312"/>
                <w:position w:val="-2"/>
                <w:sz w:val="21"/>
                <w:szCs w:val="21"/>
              </w:rPr>
              <w:t>9</w:t>
            </w:r>
            <w:r>
              <w:rPr>
                <w:rFonts w:eastAsia="仿宋_GB2312"/>
                <w:position w:val="-2"/>
                <w:sz w:val="21"/>
                <w:szCs w:val="21"/>
              </w:rPr>
              <w:t>月-20</w:t>
            </w:r>
            <w:r>
              <w:rPr>
                <w:rFonts w:hint="eastAsia" w:eastAsia="仿宋_GB2312"/>
                <w:position w:val="-2"/>
                <w:sz w:val="21"/>
                <w:szCs w:val="21"/>
              </w:rPr>
              <w:t>21</w:t>
            </w:r>
            <w:r>
              <w:rPr>
                <w:rFonts w:eastAsia="仿宋_GB2312"/>
                <w:position w:val="-2"/>
                <w:sz w:val="21"/>
                <w:szCs w:val="21"/>
              </w:rPr>
              <w:t>年</w:t>
            </w:r>
            <w:r>
              <w:rPr>
                <w:rFonts w:hint="eastAsia" w:eastAsia="仿宋_GB2312"/>
                <w:position w:val="-2"/>
                <w:sz w:val="21"/>
                <w:szCs w:val="21"/>
              </w:rPr>
              <w:t>12</w:t>
            </w:r>
            <w:r>
              <w:rPr>
                <w:rFonts w:eastAsia="仿宋_GB2312"/>
                <w:position w:val="-2"/>
                <w:sz w:val="21"/>
                <w:szCs w:val="21"/>
              </w:rPr>
              <w:t>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00" w:type="pct"/>
            <w:gridSpan w:val="18"/>
            <w:vAlign w:val="center"/>
          </w:tcPr>
          <w:p>
            <w:pPr>
              <w:autoSpaceDE w:val="0"/>
              <w:autoSpaceDN w:val="0"/>
              <w:spacing w:line="0" w:lineRule="atLeast"/>
              <w:ind w:right="-20" w:firstLine="0" w:firstLineChars="0"/>
              <w:jc w:val="center"/>
              <w:rPr>
                <w:rFonts w:eastAsia="仿宋_GB2312"/>
                <w:b/>
                <w:position w:val="-2"/>
                <w:sz w:val="21"/>
                <w:szCs w:val="21"/>
              </w:rPr>
            </w:pPr>
            <w:r>
              <w:rPr>
                <w:rFonts w:eastAsia="仿宋_GB2312"/>
                <w:b/>
                <w:position w:val="-2"/>
                <w:sz w:val="21"/>
                <w:szCs w:val="21"/>
              </w:rPr>
              <w:t>二、项目组成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2" w:type="pct"/>
            <w:vAlign w:val="center"/>
          </w:tcPr>
          <w:p>
            <w:pPr>
              <w:autoSpaceDE w:val="0"/>
              <w:autoSpaceDN w:val="0"/>
              <w:spacing w:line="0" w:lineRule="atLeast"/>
              <w:ind w:right="-20" w:firstLine="0" w:firstLineChars="0"/>
              <w:jc w:val="center"/>
              <w:rPr>
                <w:rFonts w:eastAsia="仿宋_GB2312"/>
                <w:position w:val="-2"/>
                <w:sz w:val="21"/>
                <w:szCs w:val="21"/>
              </w:rPr>
            </w:pPr>
            <w:r>
              <w:rPr>
                <w:rFonts w:eastAsia="仿宋_GB2312"/>
                <w:position w:val="-2"/>
                <w:sz w:val="21"/>
                <w:szCs w:val="21"/>
              </w:rPr>
              <w:t>序号</w:t>
            </w:r>
          </w:p>
        </w:tc>
        <w:tc>
          <w:tcPr>
            <w:tcW w:w="1016" w:type="pct"/>
            <w:gridSpan w:val="2"/>
            <w:vAlign w:val="center"/>
          </w:tcPr>
          <w:p>
            <w:pPr>
              <w:autoSpaceDE w:val="0"/>
              <w:autoSpaceDN w:val="0"/>
              <w:spacing w:line="0" w:lineRule="atLeast"/>
              <w:ind w:right="-20" w:firstLine="0" w:firstLineChars="0"/>
              <w:jc w:val="center"/>
              <w:rPr>
                <w:rFonts w:eastAsia="仿宋_GB2312"/>
                <w:position w:val="-2"/>
                <w:sz w:val="21"/>
                <w:szCs w:val="21"/>
              </w:rPr>
            </w:pPr>
            <w:r>
              <w:rPr>
                <w:rFonts w:eastAsia="仿宋_GB2312"/>
                <w:position w:val="-2"/>
                <w:sz w:val="21"/>
                <w:szCs w:val="21"/>
              </w:rPr>
              <w:t>项目建设区</w:t>
            </w:r>
          </w:p>
        </w:tc>
        <w:tc>
          <w:tcPr>
            <w:tcW w:w="3593" w:type="pct"/>
            <w:gridSpan w:val="15"/>
            <w:vAlign w:val="center"/>
          </w:tcPr>
          <w:p>
            <w:pPr>
              <w:autoSpaceDE w:val="0"/>
              <w:autoSpaceDN w:val="0"/>
              <w:spacing w:line="0" w:lineRule="atLeast"/>
              <w:ind w:right="-20" w:firstLine="0" w:firstLineChars="0"/>
              <w:jc w:val="center"/>
              <w:rPr>
                <w:rFonts w:eastAsia="仿宋_GB2312"/>
                <w:position w:val="-2"/>
                <w:sz w:val="21"/>
                <w:szCs w:val="21"/>
              </w:rPr>
            </w:pPr>
            <w:r>
              <w:rPr>
                <w:rFonts w:eastAsia="仿宋_GB2312"/>
                <w:position w:val="-2"/>
                <w:sz w:val="21"/>
                <w:szCs w:val="21"/>
              </w:rPr>
              <w:t>建设内容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2" w:type="pct"/>
            <w:vAlign w:val="center"/>
          </w:tcPr>
          <w:p>
            <w:pPr>
              <w:autoSpaceDE w:val="0"/>
              <w:autoSpaceDN w:val="0"/>
              <w:spacing w:line="0" w:lineRule="atLeast"/>
              <w:ind w:right="-20" w:firstLine="0" w:firstLineChars="0"/>
              <w:jc w:val="center"/>
              <w:rPr>
                <w:rFonts w:eastAsia="仿宋_GB2312"/>
                <w:position w:val="-2"/>
                <w:sz w:val="21"/>
                <w:szCs w:val="21"/>
              </w:rPr>
            </w:pPr>
            <w:r>
              <w:rPr>
                <w:rFonts w:hint="eastAsia" w:eastAsia="仿宋_GB2312"/>
                <w:position w:val="-2"/>
                <w:sz w:val="21"/>
                <w:szCs w:val="21"/>
              </w:rPr>
              <w:t>1</w:t>
            </w:r>
          </w:p>
        </w:tc>
        <w:tc>
          <w:tcPr>
            <w:tcW w:w="1016" w:type="pct"/>
            <w:gridSpan w:val="2"/>
            <w:vAlign w:val="center"/>
          </w:tcPr>
          <w:p>
            <w:pPr>
              <w:autoSpaceDE w:val="0"/>
              <w:autoSpaceDN w:val="0"/>
              <w:spacing w:line="0" w:lineRule="atLeast"/>
              <w:ind w:right="-20" w:firstLine="0" w:firstLineChars="0"/>
              <w:jc w:val="center"/>
              <w:rPr>
                <w:rFonts w:eastAsia="仿宋_GB2312"/>
                <w:position w:val="-2"/>
                <w:sz w:val="21"/>
                <w:szCs w:val="21"/>
              </w:rPr>
            </w:pPr>
            <w:r>
              <w:rPr>
                <w:rFonts w:hint="eastAsia" w:eastAsia="仿宋_GB2312"/>
                <w:position w:val="-2"/>
                <w:sz w:val="21"/>
                <w:szCs w:val="21"/>
              </w:rPr>
              <w:t>管道工程区</w:t>
            </w:r>
          </w:p>
        </w:tc>
        <w:tc>
          <w:tcPr>
            <w:tcW w:w="3593" w:type="pct"/>
            <w:gridSpan w:val="15"/>
            <w:vAlign w:val="center"/>
          </w:tcPr>
          <w:p>
            <w:pPr>
              <w:autoSpaceDE w:val="0"/>
              <w:autoSpaceDN w:val="0"/>
              <w:spacing w:line="0" w:lineRule="atLeast"/>
              <w:ind w:right="-20" w:firstLine="0" w:firstLineChars="0"/>
              <w:jc w:val="center"/>
              <w:rPr>
                <w:rFonts w:eastAsia="仿宋_GB2312"/>
                <w:position w:val="-2"/>
                <w:sz w:val="21"/>
                <w:szCs w:val="21"/>
              </w:rPr>
            </w:pPr>
            <w:r>
              <w:rPr>
                <w:rFonts w:eastAsia="仿宋_GB2312"/>
                <w:position w:val="-2"/>
                <w:sz w:val="21"/>
                <w:szCs w:val="21"/>
              </w:rPr>
              <w:t>改</w:t>
            </w:r>
            <w:r>
              <w:rPr>
                <w:rFonts w:hint="eastAsia" w:eastAsia="仿宋_GB2312"/>
                <w:position w:val="-2"/>
                <w:sz w:val="21"/>
                <w:szCs w:val="21"/>
              </w:rPr>
              <w:t>建给水</w:t>
            </w:r>
            <w:r>
              <w:rPr>
                <w:rFonts w:eastAsia="仿宋_GB2312"/>
                <w:position w:val="-2"/>
                <w:sz w:val="21"/>
                <w:szCs w:val="21"/>
              </w:rPr>
              <w:t>管道</w:t>
            </w:r>
            <w:r>
              <w:rPr>
                <w:rFonts w:hint="eastAsia" w:eastAsia="仿宋_GB2312"/>
                <w:position w:val="-2"/>
                <w:sz w:val="21"/>
                <w:szCs w:val="21"/>
              </w:rPr>
              <w:t>5064m</w:t>
            </w:r>
            <w:r>
              <w:rPr>
                <w:rFonts w:eastAsia="仿宋_GB2312"/>
                <w:position w:val="-2"/>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2" w:type="pct"/>
            <w:vAlign w:val="center"/>
          </w:tcPr>
          <w:p>
            <w:pPr>
              <w:autoSpaceDE w:val="0"/>
              <w:autoSpaceDN w:val="0"/>
              <w:spacing w:line="0" w:lineRule="atLeast"/>
              <w:ind w:right="-20" w:firstLine="0" w:firstLineChars="0"/>
              <w:jc w:val="center"/>
              <w:rPr>
                <w:rFonts w:eastAsia="仿宋_GB2312"/>
                <w:position w:val="-2"/>
                <w:sz w:val="21"/>
                <w:szCs w:val="21"/>
              </w:rPr>
            </w:pPr>
            <w:r>
              <w:rPr>
                <w:rFonts w:hint="eastAsia" w:eastAsia="仿宋_GB2312"/>
                <w:position w:val="-2"/>
                <w:sz w:val="21"/>
                <w:szCs w:val="21"/>
              </w:rPr>
              <w:t>2</w:t>
            </w:r>
          </w:p>
        </w:tc>
        <w:tc>
          <w:tcPr>
            <w:tcW w:w="1016" w:type="pct"/>
            <w:gridSpan w:val="2"/>
            <w:vAlign w:val="center"/>
          </w:tcPr>
          <w:p>
            <w:pPr>
              <w:autoSpaceDE w:val="0"/>
              <w:autoSpaceDN w:val="0"/>
              <w:spacing w:line="0" w:lineRule="atLeast"/>
              <w:ind w:right="-20" w:firstLine="0" w:firstLineChars="0"/>
              <w:jc w:val="center"/>
              <w:rPr>
                <w:rFonts w:eastAsia="仿宋_GB2312"/>
                <w:position w:val="-2"/>
                <w:sz w:val="21"/>
                <w:szCs w:val="21"/>
              </w:rPr>
            </w:pPr>
            <w:r>
              <w:rPr>
                <w:rFonts w:hint="eastAsia" w:eastAsia="仿宋_GB2312"/>
                <w:position w:val="-2"/>
                <w:sz w:val="21"/>
                <w:szCs w:val="21"/>
              </w:rPr>
              <w:t>附属构筑物区</w:t>
            </w:r>
          </w:p>
        </w:tc>
        <w:tc>
          <w:tcPr>
            <w:tcW w:w="3593" w:type="pct"/>
            <w:gridSpan w:val="15"/>
            <w:vAlign w:val="center"/>
          </w:tcPr>
          <w:p>
            <w:pPr>
              <w:autoSpaceDE w:val="0"/>
              <w:autoSpaceDN w:val="0"/>
              <w:spacing w:line="0" w:lineRule="atLeast"/>
              <w:ind w:right="-20" w:firstLine="0" w:firstLineChars="0"/>
              <w:jc w:val="center"/>
              <w:rPr>
                <w:rFonts w:eastAsia="仿宋_GB2312"/>
                <w:position w:val="-2"/>
                <w:sz w:val="21"/>
                <w:szCs w:val="21"/>
              </w:rPr>
            </w:pPr>
            <w:r>
              <w:rPr>
                <w:rFonts w:hint="eastAsia" w:eastAsia="仿宋_GB2312"/>
                <w:position w:val="-2"/>
                <w:sz w:val="21"/>
                <w:szCs w:val="21"/>
              </w:rPr>
              <w:t>配套室外消火栓28座，给水阀门井82座</w:t>
            </w:r>
            <w:r>
              <w:rPr>
                <w:rFonts w:eastAsia="仿宋_GB2312"/>
                <w:position w:val="-2"/>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00" w:type="pct"/>
            <w:gridSpan w:val="18"/>
            <w:vAlign w:val="center"/>
          </w:tcPr>
          <w:p>
            <w:pPr>
              <w:autoSpaceDE w:val="0"/>
              <w:autoSpaceDN w:val="0"/>
              <w:spacing w:line="0" w:lineRule="atLeast"/>
              <w:ind w:right="-20" w:firstLine="0" w:firstLineChars="0"/>
              <w:jc w:val="center"/>
              <w:rPr>
                <w:rFonts w:eastAsia="仿宋_GB2312"/>
                <w:b/>
                <w:position w:val="-2"/>
                <w:sz w:val="21"/>
                <w:szCs w:val="21"/>
              </w:rPr>
            </w:pPr>
            <w:r>
              <w:rPr>
                <w:rFonts w:eastAsia="仿宋_GB2312"/>
                <w:b/>
                <w:position w:val="-2"/>
                <w:sz w:val="21"/>
                <w:szCs w:val="21"/>
              </w:rPr>
              <w:t>三、工程占地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2" w:type="pct"/>
            <w:vMerge w:val="restart"/>
            <w:tcBorders>
              <w:bottom w:val="single" w:color="auto" w:sz="4" w:space="0"/>
            </w:tcBorders>
            <w:vAlign w:val="center"/>
          </w:tcPr>
          <w:p>
            <w:pPr>
              <w:autoSpaceDE w:val="0"/>
              <w:autoSpaceDN w:val="0"/>
              <w:spacing w:line="0" w:lineRule="atLeast"/>
              <w:ind w:right="-20" w:firstLine="0" w:firstLineChars="0"/>
              <w:jc w:val="center"/>
              <w:rPr>
                <w:rFonts w:eastAsia="仿宋_GB2312"/>
                <w:position w:val="-2"/>
                <w:sz w:val="21"/>
                <w:szCs w:val="21"/>
              </w:rPr>
            </w:pPr>
            <w:r>
              <w:rPr>
                <w:rFonts w:eastAsia="仿宋_GB2312"/>
                <w:position w:val="-2"/>
                <w:sz w:val="21"/>
                <w:szCs w:val="21"/>
              </w:rPr>
              <w:t>序号</w:t>
            </w:r>
          </w:p>
        </w:tc>
        <w:tc>
          <w:tcPr>
            <w:tcW w:w="1016" w:type="pct"/>
            <w:gridSpan w:val="2"/>
            <w:vMerge w:val="restart"/>
            <w:tcBorders>
              <w:bottom w:val="single" w:color="auto" w:sz="4" w:space="0"/>
            </w:tcBorders>
            <w:vAlign w:val="center"/>
          </w:tcPr>
          <w:p>
            <w:pPr>
              <w:autoSpaceDE w:val="0"/>
              <w:autoSpaceDN w:val="0"/>
              <w:spacing w:line="0" w:lineRule="atLeast"/>
              <w:ind w:right="-20" w:firstLine="0" w:firstLineChars="0"/>
              <w:jc w:val="center"/>
              <w:rPr>
                <w:rFonts w:eastAsia="仿宋_GB2312"/>
                <w:position w:val="-2"/>
                <w:sz w:val="21"/>
                <w:szCs w:val="21"/>
              </w:rPr>
            </w:pPr>
            <w:r>
              <w:rPr>
                <w:rFonts w:eastAsia="仿宋_GB2312"/>
                <w:position w:val="-2"/>
                <w:sz w:val="21"/>
                <w:szCs w:val="21"/>
              </w:rPr>
              <w:t>项目建设区</w:t>
            </w:r>
          </w:p>
        </w:tc>
        <w:tc>
          <w:tcPr>
            <w:tcW w:w="460" w:type="pct"/>
            <w:gridSpan w:val="3"/>
            <w:vMerge w:val="restart"/>
            <w:tcBorders>
              <w:bottom w:val="single" w:color="auto" w:sz="4" w:space="0"/>
            </w:tcBorders>
            <w:vAlign w:val="center"/>
          </w:tcPr>
          <w:p>
            <w:pPr>
              <w:autoSpaceDE w:val="0"/>
              <w:autoSpaceDN w:val="0"/>
              <w:spacing w:line="0" w:lineRule="atLeast"/>
              <w:ind w:right="-20" w:firstLine="0" w:firstLineChars="0"/>
              <w:jc w:val="center"/>
              <w:rPr>
                <w:rFonts w:eastAsia="仿宋_GB2312"/>
                <w:position w:val="-2"/>
                <w:sz w:val="21"/>
                <w:szCs w:val="21"/>
              </w:rPr>
            </w:pPr>
            <w:r>
              <w:rPr>
                <w:rFonts w:eastAsia="仿宋_GB2312"/>
                <w:position w:val="-2"/>
                <w:sz w:val="21"/>
                <w:szCs w:val="21"/>
              </w:rPr>
              <w:t>单位</w:t>
            </w:r>
          </w:p>
        </w:tc>
        <w:tc>
          <w:tcPr>
            <w:tcW w:w="2217" w:type="pct"/>
            <w:gridSpan w:val="9"/>
            <w:tcBorders>
              <w:bottom w:val="single" w:color="auto" w:sz="4" w:space="0"/>
            </w:tcBorders>
            <w:vAlign w:val="center"/>
          </w:tcPr>
          <w:p>
            <w:pPr>
              <w:autoSpaceDE w:val="0"/>
              <w:autoSpaceDN w:val="0"/>
              <w:spacing w:line="0" w:lineRule="atLeast"/>
              <w:ind w:right="-20" w:firstLine="0" w:firstLineChars="0"/>
              <w:jc w:val="center"/>
              <w:rPr>
                <w:rFonts w:eastAsia="仿宋_GB2312"/>
                <w:position w:val="-2"/>
                <w:sz w:val="21"/>
                <w:szCs w:val="21"/>
              </w:rPr>
            </w:pPr>
            <w:r>
              <w:rPr>
                <w:rFonts w:eastAsia="仿宋_GB2312"/>
                <w:position w:val="-2"/>
                <w:sz w:val="21"/>
                <w:szCs w:val="21"/>
              </w:rPr>
              <w:t>占地面积及性质</w:t>
            </w:r>
          </w:p>
        </w:tc>
        <w:tc>
          <w:tcPr>
            <w:tcW w:w="915" w:type="pct"/>
            <w:gridSpan w:val="3"/>
            <w:vMerge w:val="restart"/>
            <w:vAlign w:val="center"/>
          </w:tcPr>
          <w:p>
            <w:pPr>
              <w:autoSpaceDE w:val="0"/>
              <w:autoSpaceDN w:val="0"/>
              <w:spacing w:line="0" w:lineRule="atLeast"/>
              <w:ind w:right="-20" w:firstLine="0" w:firstLineChars="0"/>
              <w:jc w:val="center"/>
              <w:rPr>
                <w:rFonts w:eastAsia="仿宋_GB2312"/>
                <w:position w:val="-2"/>
                <w:sz w:val="21"/>
                <w:szCs w:val="21"/>
              </w:rPr>
            </w:pPr>
            <w:r>
              <w:rPr>
                <w:rFonts w:hint="eastAsia" w:eastAsia="仿宋_GB2312"/>
                <w:position w:val="-2"/>
                <w:sz w:val="21"/>
                <w:szCs w:val="21"/>
              </w:rPr>
              <w:t>占地类型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2" w:type="pct"/>
            <w:vMerge w:val="continue"/>
            <w:vAlign w:val="center"/>
          </w:tcPr>
          <w:p>
            <w:pPr>
              <w:autoSpaceDE w:val="0"/>
              <w:autoSpaceDN w:val="0"/>
              <w:spacing w:line="0" w:lineRule="atLeast"/>
              <w:ind w:right="-20" w:firstLine="0" w:firstLineChars="0"/>
              <w:jc w:val="center"/>
              <w:rPr>
                <w:rFonts w:eastAsia="仿宋_GB2312"/>
                <w:position w:val="-2"/>
                <w:sz w:val="21"/>
                <w:szCs w:val="21"/>
              </w:rPr>
            </w:pPr>
          </w:p>
        </w:tc>
        <w:tc>
          <w:tcPr>
            <w:tcW w:w="1016" w:type="pct"/>
            <w:gridSpan w:val="2"/>
            <w:vMerge w:val="continue"/>
            <w:vAlign w:val="center"/>
          </w:tcPr>
          <w:p>
            <w:pPr>
              <w:autoSpaceDE w:val="0"/>
              <w:autoSpaceDN w:val="0"/>
              <w:spacing w:line="0" w:lineRule="atLeast"/>
              <w:ind w:right="-20" w:firstLine="0" w:firstLineChars="0"/>
              <w:jc w:val="center"/>
              <w:rPr>
                <w:rFonts w:eastAsia="仿宋_GB2312"/>
                <w:position w:val="-2"/>
                <w:sz w:val="21"/>
                <w:szCs w:val="21"/>
              </w:rPr>
            </w:pPr>
          </w:p>
        </w:tc>
        <w:tc>
          <w:tcPr>
            <w:tcW w:w="460" w:type="pct"/>
            <w:gridSpan w:val="3"/>
            <w:vMerge w:val="continue"/>
            <w:vAlign w:val="center"/>
          </w:tcPr>
          <w:p>
            <w:pPr>
              <w:autoSpaceDE w:val="0"/>
              <w:autoSpaceDN w:val="0"/>
              <w:spacing w:line="0" w:lineRule="atLeast"/>
              <w:ind w:right="-20" w:firstLine="0" w:firstLineChars="0"/>
              <w:jc w:val="center"/>
              <w:rPr>
                <w:rFonts w:eastAsia="仿宋_GB2312"/>
                <w:position w:val="-2"/>
                <w:sz w:val="21"/>
                <w:szCs w:val="21"/>
              </w:rPr>
            </w:pPr>
          </w:p>
        </w:tc>
        <w:tc>
          <w:tcPr>
            <w:tcW w:w="746" w:type="pct"/>
            <w:gridSpan w:val="3"/>
            <w:vAlign w:val="center"/>
          </w:tcPr>
          <w:p>
            <w:pPr>
              <w:autoSpaceDE w:val="0"/>
              <w:autoSpaceDN w:val="0"/>
              <w:spacing w:line="0" w:lineRule="atLeast"/>
              <w:ind w:right="-20" w:firstLine="0" w:firstLineChars="0"/>
              <w:jc w:val="center"/>
              <w:rPr>
                <w:rFonts w:eastAsia="仿宋_GB2312"/>
                <w:position w:val="-2"/>
                <w:sz w:val="21"/>
                <w:szCs w:val="21"/>
              </w:rPr>
            </w:pPr>
            <w:r>
              <w:rPr>
                <w:rFonts w:eastAsia="仿宋_GB2312"/>
                <w:position w:val="-2"/>
                <w:sz w:val="21"/>
                <w:szCs w:val="21"/>
              </w:rPr>
              <w:t>永久占地</w:t>
            </w:r>
          </w:p>
        </w:tc>
        <w:tc>
          <w:tcPr>
            <w:tcW w:w="733" w:type="pct"/>
            <w:gridSpan w:val="3"/>
            <w:tcBorders>
              <w:right w:val="single" w:color="auto" w:sz="2" w:space="0"/>
            </w:tcBorders>
            <w:vAlign w:val="center"/>
          </w:tcPr>
          <w:p>
            <w:pPr>
              <w:autoSpaceDE w:val="0"/>
              <w:autoSpaceDN w:val="0"/>
              <w:spacing w:line="0" w:lineRule="atLeast"/>
              <w:ind w:right="-20" w:firstLine="0" w:firstLineChars="0"/>
              <w:jc w:val="center"/>
              <w:rPr>
                <w:rFonts w:eastAsia="仿宋_GB2312"/>
                <w:position w:val="-2"/>
                <w:sz w:val="21"/>
                <w:szCs w:val="21"/>
              </w:rPr>
            </w:pPr>
            <w:r>
              <w:rPr>
                <w:rFonts w:hint="eastAsia" w:eastAsia="仿宋_GB2312"/>
                <w:position w:val="-2"/>
                <w:sz w:val="21"/>
                <w:szCs w:val="21"/>
              </w:rPr>
              <w:t>临时占地</w:t>
            </w:r>
          </w:p>
        </w:tc>
        <w:tc>
          <w:tcPr>
            <w:tcW w:w="738" w:type="pct"/>
            <w:gridSpan w:val="3"/>
            <w:tcBorders>
              <w:left w:val="single" w:color="auto" w:sz="2" w:space="0"/>
            </w:tcBorders>
            <w:vAlign w:val="center"/>
          </w:tcPr>
          <w:p>
            <w:pPr>
              <w:autoSpaceDE w:val="0"/>
              <w:autoSpaceDN w:val="0"/>
              <w:spacing w:line="0" w:lineRule="atLeast"/>
              <w:ind w:right="-20" w:firstLine="0" w:firstLineChars="0"/>
              <w:jc w:val="center"/>
              <w:rPr>
                <w:rFonts w:eastAsia="仿宋_GB2312"/>
                <w:position w:val="-2"/>
                <w:sz w:val="21"/>
                <w:szCs w:val="21"/>
              </w:rPr>
            </w:pPr>
            <w:r>
              <w:rPr>
                <w:rFonts w:eastAsia="仿宋_GB2312"/>
                <w:position w:val="-2"/>
                <w:sz w:val="21"/>
                <w:szCs w:val="21"/>
              </w:rPr>
              <w:t>合计</w:t>
            </w:r>
          </w:p>
        </w:tc>
        <w:tc>
          <w:tcPr>
            <w:tcW w:w="915" w:type="pct"/>
            <w:gridSpan w:val="3"/>
            <w:vMerge w:val="continue"/>
            <w:vAlign w:val="center"/>
          </w:tcPr>
          <w:p>
            <w:pPr>
              <w:autoSpaceDE w:val="0"/>
              <w:autoSpaceDN w:val="0"/>
              <w:spacing w:line="0" w:lineRule="atLeast"/>
              <w:ind w:right="-20" w:firstLine="0" w:firstLineChars="0"/>
              <w:jc w:val="center"/>
              <w:rPr>
                <w:rFonts w:eastAsia="仿宋_GB2312"/>
                <w:position w:val="-2"/>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2" w:type="pct"/>
            <w:vAlign w:val="center"/>
          </w:tcPr>
          <w:p>
            <w:pPr>
              <w:autoSpaceDE w:val="0"/>
              <w:autoSpaceDN w:val="0"/>
              <w:spacing w:line="0" w:lineRule="atLeast"/>
              <w:ind w:right="-20" w:firstLine="0" w:firstLineChars="0"/>
              <w:jc w:val="center"/>
              <w:rPr>
                <w:rFonts w:eastAsia="仿宋_GB2312"/>
                <w:position w:val="-2"/>
                <w:sz w:val="21"/>
                <w:szCs w:val="21"/>
              </w:rPr>
            </w:pPr>
            <w:r>
              <w:rPr>
                <w:rFonts w:hint="eastAsia" w:eastAsia="仿宋_GB2312"/>
                <w:position w:val="-2"/>
                <w:sz w:val="21"/>
                <w:szCs w:val="21"/>
              </w:rPr>
              <w:t>1</w:t>
            </w:r>
          </w:p>
        </w:tc>
        <w:tc>
          <w:tcPr>
            <w:tcW w:w="1016" w:type="pct"/>
            <w:gridSpan w:val="2"/>
            <w:vAlign w:val="center"/>
          </w:tcPr>
          <w:p>
            <w:pPr>
              <w:autoSpaceDE w:val="0"/>
              <w:autoSpaceDN w:val="0"/>
              <w:spacing w:line="0" w:lineRule="atLeast"/>
              <w:ind w:right="-20" w:firstLine="0" w:firstLineChars="0"/>
              <w:jc w:val="center"/>
              <w:rPr>
                <w:rFonts w:eastAsia="仿宋_GB2312"/>
                <w:position w:val="-2"/>
                <w:sz w:val="21"/>
                <w:szCs w:val="21"/>
              </w:rPr>
            </w:pPr>
            <w:r>
              <w:rPr>
                <w:rFonts w:hint="eastAsia" w:eastAsia="仿宋_GB2312"/>
                <w:position w:val="-2"/>
                <w:sz w:val="21"/>
                <w:szCs w:val="21"/>
              </w:rPr>
              <w:t>管道工程区</w:t>
            </w:r>
          </w:p>
        </w:tc>
        <w:tc>
          <w:tcPr>
            <w:tcW w:w="460" w:type="pct"/>
            <w:gridSpan w:val="3"/>
            <w:vAlign w:val="center"/>
          </w:tcPr>
          <w:p>
            <w:pPr>
              <w:autoSpaceDE w:val="0"/>
              <w:autoSpaceDN w:val="0"/>
              <w:spacing w:line="0" w:lineRule="atLeast"/>
              <w:ind w:right="-20" w:firstLine="0" w:firstLineChars="0"/>
              <w:jc w:val="center"/>
              <w:rPr>
                <w:rFonts w:eastAsia="仿宋_GB2312"/>
                <w:position w:val="-2"/>
                <w:sz w:val="21"/>
                <w:szCs w:val="21"/>
              </w:rPr>
            </w:pPr>
            <w:r>
              <w:rPr>
                <w:rFonts w:hint="eastAsia" w:eastAsia="仿宋_GB2312"/>
                <w:position w:val="-2"/>
                <w:sz w:val="21"/>
                <w:szCs w:val="21"/>
              </w:rPr>
              <w:t>hm</w:t>
            </w:r>
            <w:r>
              <w:rPr>
                <w:rFonts w:hint="eastAsia" w:eastAsia="仿宋_GB2312"/>
                <w:position w:val="-2"/>
                <w:sz w:val="21"/>
                <w:szCs w:val="21"/>
                <w:vertAlign w:val="superscript"/>
              </w:rPr>
              <w:t>2</w:t>
            </w:r>
          </w:p>
        </w:tc>
        <w:tc>
          <w:tcPr>
            <w:tcW w:w="746" w:type="pct"/>
            <w:gridSpan w:val="3"/>
            <w:vAlign w:val="center"/>
          </w:tcPr>
          <w:p>
            <w:pPr>
              <w:autoSpaceDE w:val="0"/>
              <w:autoSpaceDN w:val="0"/>
              <w:spacing w:line="0" w:lineRule="atLeast"/>
              <w:ind w:right="-20" w:firstLine="0" w:firstLineChars="0"/>
              <w:jc w:val="center"/>
              <w:rPr>
                <w:rFonts w:eastAsia="仿宋_GB2312"/>
                <w:position w:val="-2"/>
                <w:sz w:val="21"/>
                <w:szCs w:val="21"/>
              </w:rPr>
            </w:pPr>
            <w:r>
              <w:rPr>
                <w:rFonts w:hint="eastAsia" w:eastAsia="仿宋_GB2312"/>
                <w:position w:val="-2"/>
                <w:sz w:val="21"/>
                <w:szCs w:val="21"/>
              </w:rPr>
              <w:t>/</w:t>
            </w:r>
          </w:p>
        </w:tc>
        <w:tc>
          <w:tcPr>
            <w:tcW w:w="733" w:type="pct"/>
            <w:gridSpan w:val="3"/>
            <w:tcBorders>
              <w:right w:val="single" w:color="auto" w:sz="2" w:space="0"/>
            </w:tcBorders>
            <w:vAlign w:val="center"/>
          </w:tcPr>
          <w:p>
            <w:pPr>
              <w:autoSpaceDE w:val="0"/>
              <w:autoSpaceDN w:val="0"/>
              <w:spacing w:line="0" w:lineRule="atLeast"/>
              <w:ind w:right="-20" w:firstLine="0" w:firstLineChars="0"/>
              <w:jc w:val="center"/>
              <w:rPr>
                <w:rFonts w:eastAsia="仿宋_GB2312"/>
                <w:position w:val="-2"/>
                <w:sz w:val="21"/>
                <w:szCs w:val="21"/>
              </w:rPr>
            </w:pPr>
            <w:r>
              <w:rPr>
                <w:rFonts w:hint="eastAsia" w:eastAsia="仿宋_GB2312"/>
                <w:position w:val="-2"/>
                <w:sz w:val="21"/>
                <w:szCs w:val="21"/>
              </w:rPr>
              <w:t>1.73</w:t>
            </w:r>
          </w:p>
        </w:tc>
        <w:tc>
          <w:tcPr>
            <w:tcW w:w="738" w:type="pct"/>
            <w:gridSpan w:val="3"/>
            <w:tcBorders>
              <w:left w:val="single" w:color="auto" w:sz="2" w:space="0"/>
            </w:tcBorders>
            <w:vAlign w:val="center"/>
          </w:tcPr>
          <w:p>
            <w:pPr>
              <w:autoSpaceDE w:val="0"/>
              <w:autoSpaceDN w:val="0"/>
              <w:spacing w:line="0" w:lineRule="atLeast"/>
              <w:ind w:right="-20" w:firstLine="0" w:firstLineChars="0"/>
              <w:jc w:val="center"/>
              <w:rPr>
                <w:rFonts w:eastAsia="仿宋_GB2312"/>
                <w:position w:val="-2"/>
                <w:sz w:val="21"/>
                <w:szCs w:val="21"/>
              </w:rPr>
            </w:pPr>
            <w:r>
              <w:rPr>
                <w:rFonts w:hint="eastAsia" w:eastAsia="仿宋_GB2312"/>
                <w:position w:val="-2"/>
                <w:sz w:val="21"/>
                <w:szCs w:val="21"/>
              </w:rPr>
              <w:t>1.73</w:t>
            </w:r>
          </w:p>
        </w:tc>
        <w:tc>
          <w:tcPr>
            <w:tcW w:w="915" w:type="pct"/>
            <w:gridSpan w:val="3"/>
            <w:vAlign w:val="center"/>
          </w:tcPr>
          <w:p>
            <w:pPr>
              <w:autoSpaceDE w:val="0"/>
              <w:autoSpaceDN w:val="0"/>
              <w:spacing w:line="0" w:lineRule="atLeast"/>
              <w:ind w:right="-20" w:firstLine="0" w:firstLineChars="0"/>
              <w:jc w:val="center"/>
              <w:rPr>
                <w:rFonts w:eastAsia="仿宋_GB2312"/>
                <w:position w:val="-2"/>
                <w:sz w:val="21"/>
                <w:szCs w:val="21"/>
              </w:rPr>
            </w:pPr>
            <w:r>
              <w:rPr>
                <w:rFonts w:hint="eastAsia" w:eastAsia="仿宋_GB2312"/>
                <w:position w:val="-2"/>
                <w:sz w:val="21"/>
                <w:szCs w:val="21"/>
              </w:rPr>
              <w:t>建设用地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2" w:type="pct"/>
            <w:vAlign w:val="center"/>
          </w:tcPr>
          <w:p>
            <w:pPr>
              <w:autoSpaceDE w:val="0"/>
              <w:autoSpaceDN w:val="0"/>
              <w:spacing w:line="0" w:lineRule="atLeast"/>
              <w:ind w:right="-20" w:firstLine="0" w:firstLineChars="0"/>
              <w:jc w:val="center"/>
              <w:rPr>
                <w:rFonts w:eastAsia="仿宋_GB2312"/>
                <w:position w:val="-2"/>
                <w:sz w:val="21"/>
                <w:szCs w:val="21"/>
              </w:rPr>
            </w:pPr>
            <w:r>
              <w:rPr>
                <w:rFonts w:hint="eastAsia" w:eastAsia="仿宋_GB2312"/>
                <w:position w:val="-2"/>
                <w:sz w:val="21"/>
                <w:szCs w:val="21"/>
              </w:rPr>
              <w:t>2</w:t>
            </w:r>
          </w:p>
        </w:tc>
        <w:tc>
          <w:tcPr>
            <w:tcW w:w="1016" w:type="pct"/>
            <w:gridSpan w:val="2"/>
            <w:vAlign w:val="center"/>
          </w:tcPr>
          <w:p>
            <w:pPr>
              <w:autoSpaceDE w:val="0"/>
              <w:autoSpaceDN w:val="0"/>
              <w:spacing w:line="0" w:lineRule="atLeast"/>
              <w:ind w:right="-20" w:firstLine="0" w:firstLineChars="0"/>
              <w:jc w:val="center"/>
              <w:rPr>
                <w:rFonts w:eastAsia="仿宋_GB2312"/>
                <w:position w:val="-2"/>
                <w:sz w:val="21"/>
                <w:szCs w:val="21"/>
              </w:rPr>
            </w:pPr>
            <w:r>
              <w:rPr>
                <w:rFonts w:hint="eastAsia" w:eastAsia="仿宋_GB2312"/>
                <w:position w:val="-2"/>
                <w:sz w:val="21"/>
                <w:szCs w:val="21"/>
              </w:rPr>
              <w:t>附属构筑物区</w:t>
            </w:r>
          </w:p>
        </w:tc>
        <w:tc>
          <w:tcPr>
            <w:tcW w:w="460" w:type="pct"/>
            <w:gridSpan w:val="3"/>
            <w:vAlign w:val="center"/>
          </w:tcPr>
          <w:p>
            <w:pPr>
              <w:autoSpaceDE w:val="0"/>
              <w:autoSpaceDN w:val="0"/>
              <w:spacing w:line="0" w:lineRule="atLeast"/>
              <w:ind w:right="-20" w:firstLine="0" w:firstLineChars="0"/>
              <w:jc w:val="center"/>
              <w:rPr>
                <w:rFonts w:eastAsia="仿宋_GB2312"/>
                <w:position w:val="-2"/>
                <w:sz w:val="21"/>
                <w:szCs w:val="21"/>
              </w:rPr>
            </w:pPr>
            <w:r>
              <w:rPr>
                <w:rFonts w:hint="eastAsia" w:eastAsia="仿宋_GB2312"/>
                <w:position w:val="-2"/>
                <w:sz w:val="21"/>
                <w:szCs w:val="21"/>
              </w:rPr>
              <w:t>hm</w:t>
            </w:r>
            <w:r>
              <w:rPr>
                <w:rFonts w:hint="eastAsia" w:eastAsia="仿宋_GB2312"/>
                <w:position w:val="-2"/>
                <w:sz w:val="21"/>
                <w:szCs w:val="21"/>
                <w:vertAlign w:val="superscript"/>
              </w:rPr>
              <w:t>2</w:t>
            </w:r>
          </w:p>
        </w:tc>
        <w:tc>
          <w:tcPr>
            <w:tcW w:w="746" w:type="pct"/>
            <w:gridSpan w:val="3"/>
            <w:vAlign w:val="center"/>
          </w:tcPr>
          <w:p>
            <w:pPr>
              <w:autoSpaceDE w:val="0"/>
              <w:autoSpaceDN w:val="0"/>
              <w:spacing w:line="0" w:lineRule="atLeast"/>
              <w:ind w:right="-20" w:firstLine="0" w:firstLineChars="0"/>
              <w:jc w:val="center"/>
              <w:rPr>
                <w:rFonts w:eastAsia="仿宋_GB2312"/>
                <w:position w:val="-2"/>
                <w:sz w:val="21"/>
                <w:szCs w:val="21"/>
              </w:rPr>
            </w:pPr>
            <w:r>
              <w:rPr>
                <w:rFonts w:hint="eastAsia" w:eastAsia="仿宋_GB2312"/>
                <w:position w:val="-2"/>
                <w:sz w:val="21"/>
                <w:szCs w:val="21"/>
              </w:rPr>
              <w:t>0.11</w:t>
            </w:r>
          </w:p>
        </w:tc>
        <w:tc>
          <w:tcPr>
            <w:tcW w:w="733" w:type="pct"/>
            <w:gridSpan w:val="3"/>
            <w:tcBorders>
              <w:right w:val="single" w:color="auto" w:sz="2" w:space="0"/>
            </w:tcBorders>
            <w:vAlign w:val="center"/>
          </w:tcPr>
          <w:p>
            <w:pPr>
              <w:autoSpaceDE w:val="0"/>
              <w:autoSpaceDN w:val="0"/>
              <w:spacing w:line="0" w:lineRule="atLeast"/>
              <w:ind w:right="-20" w:firstLine="0" w:firstLineChars="0"/>
              <w:jc w:val="center"/>
              <w:rPr>
                <w:rFonts w:eastAsia="仿宋_GB2312"/>
                <w:position w:val="-2"/>
                <w:sz w:val="21"/>
                <w:szCs w:val="21"/>
              </w:rPr>
            </w:pPr>
            <w:r>
              <w:rPr>
                <w:rFonts w:hint="eastAsia" w:eastAsia="仿宋_GB2312"/>
                <w:position w:val="-2"/>
                <w:sz w:val="21"/>
                <w:szCs w:val="21"/>
              </w:rPr>
              <w:t>/</w:t>
            </w:r>
          </w:p>
        </w:tc>
        <w:tc>
          <w:tcPr>
            <w:tcW w:w="738" w:type="pct"/>
            <w:gridSpan w:val="3"/>
            <w:tcBorders>
              <w:left w:val="single" w:color="auto" w:sz="2" w:space="0"/>
            </w:tcBorders>
            <w:vAlign w:val="center"/>
          </w:tcPr>
          <w:p>
            <w:pPr>
              <w:autoSpaceDE w:val="0"/>
              <w:autoSpaceDN w:val="0"/>
              <w:spacing w:line="0" w:lineRule="atLeast"/>
              <w:ind w:right="-20" w:firstLine="0" w:firstLineChars="0"/>
              <w:jc w:val="center"/>
              <w:rPr>
                <w:rFonts w:eastAsia="仿宋_GB2312"/>
                <w:position w:val="-2"/>
                <w:sz w:val="21"/>
                <w:szCs w:val="21"/>
              </w:rPr>
            </w:pPr>
            <w:r>
              <w:rPr>
                <w:rFonts w:hint="eastAsia" w:eastAsia="仿宋_GB2312"/>
                <w:position w:val="-2"/>
                <w:sz w:val="21"/>
                <w:szCs w:val="21"/>
              </w:rPr>
              <w:t>0.11</w:t>
            </w:r>
          </w:p>
        </w:tc>
        <w:tc>
          <w:tcPr>
            <w:tcW w:w="915" w:type="pct"/>
            <w:gridSpan w:val="3"/>
            <w:vAlign w:val="center"/>
          </w:tcPr>
          <w:p>
            <w:pPr>
              <w:autoSpaceDE w:val="0"/>
              <w:autoSpaceDN w:val="0"/>
              <w:spacing w:line="0" w:lineRule="atLeast"/>
              <w:ind w:right="-20" w:firstLine="0" w:firstLineChars="0"/>
              <w:jc w:val="center"/>
              <w:rPr>
                <w:rFonts w:eastAsia="仿宋_GB2312"/>
                <w:position w:val="-2"/>
                <w:sz w:val="21"/>
                <w:szCs w:val="21"/>
              </w:rPr>
            </w:pPr>
            <w:r>
              <w:rPr>
                <w:rFonts w:hint="eastAsia" w:eastAsia="仿宋_GB2312"/>
                <w:position w:val="-2"/>
                <w:sz w:val="21"/>
                <w:szCs w:val="21"/>
              </w:rPr>
              <w:t>建设用地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2" w:type="pct"/>
            <w:vAlign w:val="center"/>
          </w:tcPr>
          <w:p>
            <w:pPr>
              <w:autoSpaceDE w:val="0"/>
              <w:autoSpaceDN w:val="0"/>
              <w:spacing w:line="0" w:lineRule="atLeast"/>
              <w:ind w:right="-20" w:firstLine="0" w:firstLineChars="0"/>
              <w:jc w:val="center"/>
              <w:rPr>
                <w:rFonts w:eastAsia="仿宋_GB2312"/>
                <w:position w:val="-2"/>
                <w:sz w:val="21"/>
                <w:szCs w:val="21"/>
              </w:rPr>
            </w:pPr>
            <w:r>
              <w:rPr>
                <w:rFonts w:hint="eastAsia" w:eastAsia="仿宋_GB2312"/>
                <w:position w:val="-2"/>
                <w:sz w:val="21"/>
                <w:szCs w:val="21"/>
              </w:rPr>
              <w:t>3</w:t>
            </w:r>
          </w:p>
        </w:tc>
        <w:tc>
          <w:tcPr>
            <w:tcW w:w="1016" w:type="pct"/>
            <w:gridSpan w:val="2"/>
            <w:vAlign w:val="center"/>
          </w:tcPr>
          <w:p>
            <w:pPr>
              <w:autoSpaceDE w:val="0"/>
              <w:autoSpaceDN w:val="0"/>
              <w:spacing w:line="0" w:lineRule="atLeast"/>
              <w:ind w:right="-20" w:firstLine="0" w:firstLineChars="0"/>
              <w:jc w:val="center"/>
              <w:rPr>
                <w:rFonts w:eastAsia="仿宋_GB2312"/>
                <w:position w:val="-2"/>
                <w:sz w:val="21"/>
                <w:szCs w:val="21"/>
              </w:rPr>
            </w:pPr>
            <w:r>
              <w:rPr>
                <w:rFonts w:eastAsia="仿宋_GB2312"/>
                <w:position w:val="-2"/>
                <w:sz w:val="21"/>
                <w:szCs w:val="21"/>
              </w:rPr>
              <w:t>合计</w:t>
            </w:r>
          </w:p>
        </w:tc>
        <w:tc>
          <w:tcPr>
            <w:tcW w:w="460" w:type="pct"/>
            <w:gridSpan w:val="3"/>
            <w:vAlign w:val="center"/>
          </w:tcPr>
          <w:p>
            <w:pPr>
              <w:autoSpaceDE w:val="0"/>
              <w:autoSpaceDN w:val="0"/>
              <w:spacing w:line="240" w:lineRule="auto"/>
              <w:ind w:right="-20" w:firstLine="0" w:firstLineChars="0"/>
              <w:jc w:val="center"/>
              <w:rPr>
                <w:rFonts w:eastAsia="仿宋_GB2312"/>
                <w:position w:val="-2"/>
                <w:sz w:val="21"/>
                <w:szCs w:val="21"/>
              </w:rPr>
            </w:pPr>
          </w:p>
        </w:tc>
        <w:tc>
          <w:tcPr>
            <w:tcW w:w="746" w:type="pct"/>
            <w:gridSpan w:val="3"/>
            <w:vAlign w:val="center"/>
          </w:tcPr>
          <w:p>
            <w:pPr>
              <w:autoSpaceDE w:val="0"/>
              <w:autoSpaceDN w:val="0"/>
              <w:spacing w:line="0" w:lineRule="atLeast"/>
              <w:ind w:right="-20" w:firstLine="0" w:firstLineChars="0"/>
              <w:jc w:val="center"/>
              <w:rPr>
                <w:rFonts w:eastAsia="仿宋_GB2312"/>
                <w:position w:val="-2"/>
                <w:sz w:val="21"/>
                <w:szCs w:val="21"/>
              </w:rPr>
            </w:pPr>
            <w:r>
              <w:rPr>
                <w:rFonts w:hint="eastAsia" w:eastAsia="仿宋_GB2312"/>
                <w:position w:val="-2"/>
                <w:sz w:val="21"/>
                <w:szCs w:val="21"/>
              </w:rPr>
              <w:t>0.11</w:t>
            </w:r>
          </w:p>
        </w:tc>
        <w:tc>
          <w:tcPr>
            <w:tcW w:w="733" w:type="pct"/>
            <w:gridSpan w:val="3"/>
            <w:tcBorders>
              <w:right w:val="single" w:color="auto" w:sz="2" w:space="0"/>
            </w:tcBorders>
            <w:vAlign w:val="center"/>
          </w:tcPr>
          <w:p>
            <w:pPr>
              <w:autoSpaceDE w:val="0"/>
              <w:autoSpaceDN w:val="0"/>
              <w:spacing w:line="0" w:lineRule="atLeast"/>
              <w:ind w:right="-20" w:firstLine="0" w:firstLineChars="0"/>
              <w:jc w:val="center"/>
              <w:rPr>
                <w:rFonts w:eastAsia="仿宋_GB2312"/>
                <w:position w:val="-2"/>
                <w:sz w:val="21"/>
                <w:szCs w:val="21"/>
              </w:rPr>
            </w:pPr>
            <w:r>
              <w:rPr>
                <w:rFonts w:hint="eastAsia" w:eastAsia="仿宋_GB2312"/>
                <w:position w:val="-2"/>
                <w:sz w:val="21"/>
                <w:szCs w:val="21"/>
              </w:rPr>
              <w:t>1.73</w:t>
            </w:r>
          </w:p>
        </w:tc>
        <w:tc>
          <w:tcPr>
            <w:tcW w:w="738" w:type="pct"/>
            <w:gridSpan w:val="3"/>
            <w:tcBorders>
              <w:left w:val="single" w:color="auto" w:sz="2" w:space="0"/>
            </w:tcBorders>
            <w:vAlign w:val="center"/>
          </w:tcPr>
          <w:p>
            <w:pPr>
              <w:autoSpaceDE w:val="0"/>
              <w:autoSpaceDN w:val="0"/>
              <w:spacing w:line="0" w:lineRule="atLeast"/>
              <w:ind w:right="-20" w:firstLine="0" w:firstLineChars="0"/>
              <w:jc w:val="center"/>
              <w:rPr>
                <w:rFonts w:eastAsia="仿宋_GB2312"/>
                <w:position w:val="-2"/>
                <w:sz w:val="21"/>
                <w:szCs w:val="21"/>
              </w:rPr>
            </w:pPr>
            <w:r>
              <w:rPr>
                <w:rFonts w:hint="eastAsia" w:eastAsia="仿宋_GB2312"/>
                <w:position w:val="-2"/>
                <w:sz w:val="21"/>
                <w:szCs w:val="21"/>
              </w:rPr>
              <w:t>1.84</w:t>
            </w:r>
          </w:p>
        </w:tc>
        <w:tc>
          <w:tcPr>
            <w:tcW w:w="915" w:type="pct"/>
            <w:gridSpan w:val="3"/>
            <w:vAlign w:val="center"/>
          </w:tcPr>
          <w:p>
            <w:pPr>
              <w:spacing w:line="240" w:lineRule="auto"/>
              <w:ind w:firstLine="420"/>
              <w:jc w:val="center"/>
              <w:rPr>
                <w:rFonts w:eastAsia="仿宋_GB2312"/>
                <w:position w:val="-2"/>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00" w:type="pct"/>
            <w:gridSpan w:val="18"/>
            <w:vAlign w:val="center"/>
          </w:tcPr>
          <w:p>
            <w:pPr>
              <w:autoSpaceDE w:val="0"/>
              <w:autoSpaceDN w:val="0"/>
              <w:spacing w:line="0" w:lineRule="atLeast"/>
              <w:ind w:right="-20" w:firstLine="0" w:firstLineChars="0"/>
              <w:jc w:val="center"/>
              <w:rPr>
                <w:rFonts w:eastAsia="仿宋_GB2312"/>
                <w:b/>
                <w:position w:val="-2"/>
                <w:sz w:val="21"/>
                <w:szCs w:val="21"/>
              </w:rPr>
            </w:pPr>
            <w:r>
              <w:rPr>
                <w:rFonts w:eastAsia="仿宋_GB2312"/>
                <w:b/>
                <w:position w:val="-2"/>
                <w:sz w:val="21"/>
                <w:szCs w:val="21"/>
              </w:rPr>
              <w:t>四、土石方单位：</w:t>
            </w:r>
            <w:r>
              <w:rPr>
                <w:rFonts w:hint="eastAsia" w:eastAsia="仿宋_GB2312"/>
                <w:b/>
                <w:position w:val="-2"/>
                <w:sz w:val="21"/>
                <w:szCs w:val="21"/>
              </w:rPr>
              <w:t>万</w:t>
            </w:r>
            <w:r>
              <w:rPr>
                <w:rFonts w:eastAsia="仿宋_GB2312"/>
                <w:b/>
                <w:position w:val="-2"/>
                <w:sz w:val="21"/>
                <w:szCs w:val="21"/>
              </w:rPr>
              <w:t>m</w:t>
            </w:r>
            <w:r>
              <w:rPr>
                <w:rFonts w:eastAsia="仿宋_GB2312"/>
                <w:b/>
                <w:position w:val="-2"/>
                <w:sz w:val="21"/>
                <w:szCs w:val="21"/>
                <w:vertAlign w:val="superscript"/>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2" w:type="pct"/>
            <w:vMerge w:val="restart"/>
            <w:vAlign w:val="center"/>
          </w:tcPr>
          <w:p>
            <w:pPr>
              <w:autoSpaceDE w:val="0"/>
              <w:autoSpaceDN w:val="0"/>
              <w:spacing w:line="0" w:lineRule="atLeast"/>
              <w:ind w:right="-20" w:firstLine="0" w:firstLineChars="0"/>
              <w:jc w:val="center"/>
              <w:rPr>
                <w:rFonts w:eastAsia="仿宋_GB2312"/>
                <w:position w:val="-2"/>
                <w:sz w:val="21"/>
                <w:szCs w:val="21"/>
              </w:rPr>
            </w:pPr>
            <w:r>
              <w:rPr>
                <w:rFonts w:eastAsia="仿宋_GB2312"/>
                <w:position w:val="-2"/>
                <w:sz w:val="21"/>
                <w:szCs w:val="21"/>
              </w:rPr>
              <w:t>序号</w:t>
            </w:r>
          </w:p>
        </w:tc>
        <w:tc>
          <w:tcPr>
            <w:tcW w:w="1022" w:type="pct"/>
            <w:gridSpan w:val="3"/>
            <w:vMerge w:val="restart"/>
            <w:vAlign w:val="center"/>
          </w:tcPr>
          <w:p>
            <w:pPr>
              <w:autoSpaceDE w:val="0"/>
              <w:autoSpaceDN w:val="0"/>
              <w:spacing w:line="0" w:lineRule="atLeast"/>
              <w:ind w:right="-20" w:firstLine="0" w:firstLineChars="0"/>
              <w:jc w:val="center"/>
              <w:rPr>
                <w:rFonts w:eastAsia="仿宋_GB2312"/>
                <w:position w:val="-2"/>
                <w:sz w:val="21"/>
                <w:szCs w:val="21"/>
              </w:rPr>
            </w:pPr>
            <w:r>
              <w:rPr>
                <w:rFonts w:eastAsia="仿宋_GB2312"/>
                <w:position w:val="-2"/>
                <w:sz w:val="21"/>
                <w:szCs w:val="21"/>
              </w:rPr>
              <w:t>工程分区</w:t>
            </w:r>
          </w:p>
        </w:tc>
        <w:tc>
          <w:tcPr>
            <w:tcW w:w="412" w:type="pct"/>
            <w:vMerge w:val="restart"/>
            <w:vAlign w:val="center"/>
          </w:tcPr>
          <w:p>
            <w:pPr>
              <w:autoSpaceDE w:val="0"/>
              <w:autoSpaceDN w:val="0"/>
              <w:spacing w:line="0" w:lineRule="atLeast"/>
              <w:ind w:right="-20" w:firstLine="0" w:firstLineChars="0"/>
              <w:jc w:val="center"/>
              <w:rPr>
                <w:rFonts w:eastAsia="仿宋_GB2312"/>
                <w:position w:val="-2"/>
                <w:sz w:val="21"/>
                <w:szCs w:val="21"/>
              </w:rPr>
            </w:pPr>
            <w:r>
              <w:rPr>
                <w:rFonts w:eastAsia="仿宋_GB2312"/>
                <w:position w:val="-2"/>
                <w:sz w:val="21"/>
                <w:szCs w:val="21"/>
              </w:rPr>
              <w:t>开挖</w:t>
            </w:r>
          </w:p>
        </w:tc>
        <w:tc>
          <w:tcPr>
            <w:tcW w:w="426" w:type="pct"/>
            <w:gridSpan w:val="2"/>
            <w:vMerge w:val="restart"/>
            <w:vAlign w:val="center"/>
          </w:tcPr>
          <w:p>
            <w:pPr>
              <w:autoSpaceDE w:val="0"/>
              <w:autoSpaceDN w:val="0"/>
              <w:spacing w:line="0" w:lineRule="atLeast"/>
              <w:ind w:right="-20" w:firstLine="0" w:firstLineChars="0"/>
              <w:jc w:val="center"/>
              <w:rPr>
                <w:rFonts w:eastAsia="仿宋_GB2312"/>
                <w:position w:val="-2"/>
                <w:sz w:val="21"/>
                <w:szCs w:val="21"/>
              </w:rPr>
            </w:pPr>
            <w:r>
              <w:rPr>
                <w:rFonts w:eastAsia="仿宋_GB2312"/>
                <w:position w:val="-2"/>
                <w:sz w:val="21"/>
                <w:szCs w:val="21"/>
              </w:rPr>
              <w:t>回填</w:t>
            </w:r>
          </w:p>
        </w:tc>
        <w:tc>
          <w:tcPr>
            <w:tcW w:w="688" w:type="pct"/>
            <w:gridSpan w:val="3"/>
            <w:vAlign w:val="center"/>
          </w:tcPr>
          <w:p>
            <w:pPr>
              <w:autoSpaceDE w:val="0"/>
              <w:autoSpaceDN w:val="0"/>
              <w:spacing w:line="0" w:lineRule="atLeast"/>
              <w:ind w:right="-20" w:firstLine="0" w:firstLineChars="0"/>
              <w:jc w:val="center"/>
              <w:rPr>
                <w:rFonts w:eastAsia="仿宋_GB2312"/>
                <w:position w:val="-2"/>
                <w:sz w:val="21"/>
                <w:szCs w:val="21"/>
              </w:rPr>
            </w:pPr>
            <w:r>
              <w:rPr>
                <w:rFonts w:eastAsia="仿宋_GB2312"/>
                <w:position w:val="-2"/>
                <w:sz w:val="21"/>
                <w:szCs w:val="21"/>
              </w:rPr>
              <w:t>调入</w:t>
            </w:r>
          </w:p>
        </w:tc>
        <w:tc>
          <w:tcPr>
            <w:tcW w:w="684" w:type="pct"/>
            <w:gridSpan w:val="3"/>
            <w:vAlign w:val="center"/>
          </w:tcPr>
          <w:p>
            <w:pPr>
              <w:autoSpaceDE w:val="0"/>
              <w:autoSpaceDN w:val="0"/>
              <w:spacing w:line="0" w:lineRule="atLeast"/>
              <w:ind w:right="-20" w:firstLine="0" w:firstLineChars="0"/>
              <w:jc w:val="center"/>
              <w:rPr>
                <w:rFonts w:eastAsia="仿宋_GB2312"/>
                <w:position w:val="-2"/>
                <w:sz w:val="21"/>
                <w:szCs w:val="21"/>
              </w:rPr>
            </w:pPr>
            <w:r>
              <w:rPr>
                <w:rFonts w:eastAsia="仿宋_GB2312"/>
                <w:position w:val="-2"/>
                <w:sz w:val="21"/>
                <w:szCs w:val="21"/>
              </w:rPr>
              <w:t>调出</w:t>
            </w:r>
          </w:p>
        </w:tc>
        <w:tc>
          <w:tcPr>
            <w:tcW w:w="685" w:type="pct"/>
            <w:gridSpan w:val="3"/>
            <w:vAlign w:val="center"/>
          </w:tcPr>
          <w:p>
            <w:pPr>
              <w:autoSpaceDE w:val="0"/>
              <w:autoSpaceDN w:val="0"/>
              <w:spacing w:line="0" w:lineRule="atLeast"/>
              <w:ind w:right="-20" w:firstLine="0" w:firstLineChars="0"/>
              <w:jc w:val="center"/>
              <w:rPr>
                <w:rFonts w:eastAsia="仿宋_GB2312"/>
                <w:position w:val="-2"/>
                <w:sz w:val="21"/>
                <w:szCs w:val="21"/>
              </w:rPr>
            </w:pPr>
            <w:r>
              <w:rPr>
                <w:rFonts w:eastAsia="仿宋_GB2312"/>
                <w:position w:val="-2"/>
                <w:sz w:val="21"/>
                <w:szCs w:val="21"/>
              </w:rPr>
              <w:t>外借</w:t>
            </w:r>
          </w:p>
        </w:tc>
        <w:tc>
          <w:tcPr>
            <w:tcW w:w="691" w:type="pct"/>
            <w:gridSpan w:val="2"/>
            <w:vAlign w:val="center"/>
          </w:tcPr>
          <w:p>
            <w:pPr>
              <w:autoSpaceDE w:val="0"/>
              <w:autoSpaceDN w:val="0"/>
              <w:spacing w:line="0" w:lineRule="atLeast"/>
              <w:ind w:right="-20" w:firstLine="0" w:firstLineChars="0"/>
              <w:jc w:val="center"/>
              <w:rPr>
                <w:rFonts w:eastAsia="仿宋_GB2312"/>
                <w:position w:val="-2"/>
                <w:sz w:val="21"/>
                <w:szCs w:val="21"/>
              </w:rPr>
            </w:pPr>
            <w:r>
              <w:rPr>
                <w:rFonts w:hint="eastAsia" w:eastAsia="仿宋_GB2312"/>
                <w:position w:val="-2"/>
                <w:sz w:val="21"/>
                <w:szCs w:val="21"/>
              </w:rPr>
              <w:t>余方利用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2" w:type="pct"/>
            <w:vMerge w:val="continue"/>
            <w:vAlign w:val="center"/>
          </w:tcPr>
          <w:p>
            <w:pPr>
              <w:autoSpaceDE w:val="0"/>
              <w:autoSpaceDN w:val="0"/>
              <w:spacing w:line="0" w:lineRule="atLeast"/>
              <w:ind w:right="-20" w:firstLine="0" w:firstLineChars="0"/>
              <w:jc w:val="center"/>
              <w:rPr>
                <w:rFonts w:eastAsia="仿宋_GB2312"/>
                <w:position w:val="-2"/>
                <w:sz w:val="21"/>
                <w:szCs w:val="21"/>
              </w:rPr>
            </w:pPr>
          </w:p>
        </w:tc>
        <w:tc>
          <w:tcPr>
            <w:tcW w:w="1022" w:type="pct"/>
            <w:gridSpan w:val="3"/>
            <w:vMerge w:val="continue"/>
            <w:vAlign w:val="center"/>
          </w:tcPr>
          <w:p>
            <w:pPr>
              <w:autoSpaceDE w:val="0"/>
              <w:autoSpaceDN w:val="0"/>
              <w:spacing w:line="0" w:lineRule="atLeast"/>
              <w:ind w:right="-20" w:firstLine="0" w:firstLineChars="0"/>
              <w:jc w:val="center"/>
              <w:rPr>
                <w:rFonts w:eastAsia="仿宋_GB2312"/>
                <w:position w:val="-2"/>
                <w:sz w:val="21"/>
                <w:szCs w:val="21"/>
              </w:rPr>
            </w:pPr>
          </w:p>
        </w:tc>
        <w:tc>
          <w:tcPr>
            <w:tcW w:w="412" w:type="pct"/>
            <w:vMerge w:val="continue"/>
            <w:vAlign w:val="center"/>
          </w:tcPr>
          <w:p>
            <w:pPr>
              <w:autoSpaceDE w:val="0"/>
              <w:autoSpaceDN w:val="0"/>
              <w:spacing w:line="0" w:lineRule="atLeast"/>
              <w:ind w:right="-20" w:firstLine="0" w:firstLineChars="0"/>
              <w:jc w:val="center"/>
              <w:rPr>
                <w:rFonts w:eastAsia="仿宋_GB2312"/>
                <w:position w:val="-2"/>
                <w:sz w:val="21"/>
                <w:szCs w:val="21"/>
              </w:rPr>
            </w:pPr>
          </w:p>
        </w:tc>
        <w:tc>
          <w:tcPr>
            <w:tcW w:w="426" w:type="pct"/>
            <w:gridSpan w:val="2"/>
            <w:vMerge w:val="continue"/>
            <w:vAlign w:val="center"/>
          </w:tcPr>
          <w:p>
            <w:pPr>
              <w:autoSpaceDE w:val="0"/>
              <w:autoSpaceDN w:val="0"/>
              <w:spacing w:line="0" w:lineRule="atLeast"/>
              <w:ind w:right="-20" w:firstLine="0" w:firstLineChars="0"/>
              <w:jc w:val="center"/>
              <w:rPr>
                <w:rFonts w:eastAsia="仿宋_GB2312"/>
                <w:position w:val="-2"/>
                <w:sz w:val="21"/>
                <w:szCs w:val="21"/>
              </w:rPr>
            </w:pPr>
          </w:p>
        </w:tc>
        <w:tc>
          <w:tcPr>
            <w:tcW w:w="341" w:type="pct"/>
            <w:vAlign w:val="center"/>
          </w:tcPr>
          <w:p>
            <w:pPr>
              <w:autoSpaceDE w:val="0"/>
              <w:autoSpaceDN w:val="0"/>
              <w:spacing w:line="0" w:lineRule="atLeast"/>
              <w:ind w:right="-20" w:firstLine="0" w:firstLineChars="0"/>
              <w:jc w:val="center"/>
              <w:rPr>
                <w:rFonts w:eastAsia="仿宋_GB2312"/>
                <w:position w:val="-2"/>
                <w:sz w:val="21"/>
                <w:szCs w:val="21"/>
              </w:rPr>
            </w:pPr>
            <w:r>
              <w:rPr>
                <w:rFonts w:eastAsia="仿宋_GB2312"/>
                <w:position w:val="-2"/>
                <w:sz w:val="21"/>
                <w:szCs w:val="21"/>
              </w:rPr>
              <w:t>数量</w:t>
            </w:r>
          </w:p>
        </w:tc>
        <w:tc>
          <w:tcPr>
            <w:tcW w:w="347" w:type="pct"/>
            <w:gridSpan w:val="2"/>
            <w:vAlign w:val="center"/>
          </w:tcPr>
          <w:p>
            <w:pPr>
              <w:autoSpaceDE w:val="0"/>
              <w:autoSpaceDN w:val="0"/>
              <w:spacing w:line="0" w:lineRule="atLeast"/>
              <w:ind w:right="-20" w:firstLine="0" w:firstLineChars="0"/>
              <w:jc w:val="center"/>
              <w:rPr>
                <w:rFonts w:eastAsia="仿宋_GB2312"/>
                <w:position w:val="-2"/>
                <w:sz w:val="21"/>
                <w:szCs w:val="21"/>
              </w:rPr>
            </w:pPr>
            <w:r>
              <w:rPr>
                <w:rFonts w:eastAsia="仿宋_GB2312"/>
                <w:position w:val="-2"/>
                <w:sz w:val="21"/>
                <w:szCs w:val="21"/>
              </w:rPr>
              <w:t>来源</w:t>
            </w:r>
          </w:p>
        </w:tc>
        <w:tc>
          <w:tcPr>
            <w:tcW w:w="341" w:type="pct"/>
            <w:vAlign w:val="center"/>
          </w:tcPr>
          <w:p>
            <w:pPr>
              <w:autoSpaceDE w:val="0"/>
              <w:autoSpaceDN w:val="0"/>
              <w:spacing w:line="0" w:lineRule="atLeast"/>
              <w:ind w:right="-20" w:firstLine="0" w:firstLineChars="0"/>
              <w:jc w:val="center"/>
              <w:rPr>
                <w:rFonts w:eastAsia="仿宋_GB2312"/>
                <w:position w:val="-2"/>
                <w:sz w:val="21"/>
                <w:szCs w:val="21"/>
              </w:rPr>
            </w:pPr>
            <w:r>
              <w:rPr>
                <w:rFonts w:eastAsia="仿宋_GB2312"/>
                <w:position w:val="-2"/>
                <w:sz w:val="21"/>
                <w:szCs w:val="21"/>
              </w:rPr>
              <w:t>数量</w:t>
            </w:r>
          </w:p>
        </w:tc>
        <w:tc>
          <w:tcPr>
            <w:tcW w:w="343" w:type="pct"/>
            <w:gridSpan w:val="2"/>
            <w:vAlign w:val="center"/>
          </w:tcPr>
          <w:p>
            <w:pPr>
              <w:autoSpaceDE w:val="0"/>
              <w:autoSpaceDN w:val="0"/>
              <w:spacing w:line="0" w:lineRule="atLeast"/>
              <w:ind w:right="-20" w:firstLine="0" w:firstLineChars="0"/>
              <w:jc w:val="center"/>
              <w:rPr>
                <w:rFonts w:eastAsia="仿宋_GB2312"/>
                <w:position w:val="-2"/>
                <w:sz w:val="21"/>
                <w:szCs w:val="21"/>
              </w:rPr>
            </w:pPr>
            <w:r>
              <w:rPr>
                <w:rFonts w:eastAsia="仿宋_GB2312"/>
                <w:position w:val="-2"/>
                <w:sz w:val="21"/>
                <w:szCs w:val="21"/>
              </w:rPr>
              <w:t>去向</w:t>
            </w:r>
          </w:p>
        </w:tc>
        <w:tc>
          <w:tcPr>
            <w:tcW w:w="341" w:type="pct"/>
            <w:vAlign w:val="center"/>
          </w:tcPr>
          <w:p>
            <w:pPr>
              <w:autoSpaceDE w:val="0"/>
              <w:autoSpaceDN w:val="0"/>
              <w:spacing w:line="0" w:lineRule="atLeast"/>
              <w:ind w:right="-20" w:firstLine="0" w:firstLineChars="0"/>
              <w:jc w:val="center"/>
              <w:rPr>
                <w:rFonts w:eastAsia="仿宋_GB2312"/>
                <w:position w:val="-2"/>
                <w:sz w:val="21"/>
                <w:szCs w:val="21"/>
              </w:rPr>
            </w:pPr>
            <w:r>
              <w:rPr>
                <w:rFonts w:eastAsia="仿宋_GB2312"/>
                <w:position w:val="-2"/>
                <w:sz w:val="21"/>
                <w:szCs w:val="21"/>
              </w:rPr>
              <w:t>数量</w:t>
            </w:r>
          </w:p>
        </w:tc>
        <w:tc>
          <w:tcPr>
            <w:tcW w:w="344" w:type="pct"/>
            <w:gridSpan w:val="2"/>
            <w:vAlign w:val="center"/>
          </w:tcPr>
          <w:p>
            <w:pPr>
              <w:autoSpaceDE w:val="0"/>
              <w:autoSpaceDN w:val="0"/>
              <w:spacing w:line="0" w:lineRule="atLeast"/>
              <w:ind w:right="-20" w:firstLine="0" w:firstLineChars="0"/>
              <w:jc w:val="center"/>
              <w:rPr>
                <w:rFonts w:eastAsia="仿宋_GB2312"/>
                <w:position w:val="-2"/>
                <w:sz w:val="21"/>
                <w:szCs w:val="21"/>
              </w:rPr>
            </w:pPr>
            <w:r>
              <w:rPr>
                <w:rFonts w:eastAsia="仿宋_GB2312"/>
                <w:position w:val="-2"/>
                <w:sz w:val="21"/>
                <w:szCs w:val="21"/>
              </w:rPr>
              <w:t>来源</w:t>
            </w:r>
          </w:p>
        </w:tc>
        <w:tc>
          <w:tcPr>
            <w:tcW w:w="341" w:type="pct"/>
            <w:vAlign w:val="center"/>
          </w:tcPr>
          <w:p>
            <w:pPr>
              <w:autoSpaceDE w:val="0"/>
              <w:autoSpaceDN w:val="0"/>
              <w:spacing w:line="0" w:lineRule="atLeast"/>
              <w:ind w:right="-20" w:firstLine="0" w:firstLineChars="0"/>
              <w:jc w:val="center"/>
              <w:rPr>
                <w:rFonts w:eastAsia="仿宋_GB2312"/>
                <w:position w:val="-2"/>
                <w:sz w:val="21"/>
                <w:szCs w:val="21"/>
              </w:rPr>
            </w:pPr>
            <w:r>
              <w:rPr>
                <w:rFonts w:eastAsia="仿宋_GB2312"/>
                <w:position w:val="-2"/>
                <w:sz w:val="21"/>
                <w:szCs w:val="21"/>
              </w:rPr>
              <w:t>数量</w:t>
            </w:r>
          </w:p>
        </w:tc>
        <w:tc>
          <w:tcPr>
            <w:tcW w:w="350" w:type="pct"/>
            <w:vAlign w:val="center"/>
          </w:tcPr>
          <w:p>
            <w:pPr>
              <w:autoSpaceDE w:val="0"/>
              <w:autoSpaceDN w:val="0"/>
              <w:spacing w:line="0" w:lineRule="atLeast"/>
              <w:ind w:right="-20" w:firstLine="0" w:firstLineChars="0"/>
              <w:jc w:val="center"/>
              <w:rPr>
                <w:rFonts w:eastAsia="仿宋_GB2312"/>
                <w:position w:val="-2"/>
                <w:sz w:val="21"/>
                <w:szCs w:val="21"/>
              </w:rPr>
            </w:pPr>
            <w:r>
              <w:rPr>
                <w:rFonts w:eastAsia="仿宋_GB2312"/>
                <w:position w:val="-2"/>
                <w:sz w:val="21"/>
                <w:szCs w:val="21"/>
              </w:rPr>
              <w:t>去向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2" w:type="pct"/>
            <w:vAlign w:val="center"/>
          </w:tcPr>
          <w:p>
            <w:pPr>
              <w:autoSpaceDE w:val="0"/>
              <w:autoSpaceDN w:val="0"/>
              <w:spacing w:line="0" w:lineRule="atLeast"/>
              <w:ind w:right="-20" w:firstLine="0" w:firstLineChars="0"/>
              <w:jc w:val="center"/>
              <w:rPr>
                <w:rFonts w:eastAsia="仿宋_GB2312"/>
                <w:position w:val="-2"/>
                <w:sz w:val="21"/>
                <w:szCs w:val="21"/>
              </w:rPr>
            </w:pPr>
            <w:r>
              <w:rPr>
                <w:rFonts w:hint="eastAsia" w:eastAsia="仿宋_GB2312"/>
                <w:position w:val="-2"/>
                <w:sz w:val="21"/>
                <w:szCs w:val="21"/>
              </w:rPr>
              <w:t>1</w:t>
            </w:r>
          </w:p>
        </w:tc>
        <w:tc>
          <w:tcPr>
            <w:tcW w:w="1022" w:type="pct"/>
            <w:gridSpan w:val="3"/>
            <w:vAlign w:val="center"/>
          </w:tcPr>
          <w:p>
            <w:pPr>
              <w:autoSpaceDE w:val="0"/>
              <w:autoSpaceDN w:val="0"/>
              <w:spacing w:line="0" w:lineRule="atLeast"/>
              <w:ind w:right="-20" w:firstLine="0" w:firstLineChars="0"/>
              <w:jc w:val="center"/>
              <w:rPr>
                <w:rFonts w:eastAsia="仿宋_GB2312"/>
                <w:position w:val="-2"/>
                <w:sz w:val="21"/>
                <w:szCs w:val="21"/>
              </w:rPr>
            </w:pPr>
            <w:r>
              <w:rPr>
                <w:rFonts w:hint="eastAsia" w:eastAsia="仿宋_GB2312"/>
                <w:position w:val="-2"/>
                <w:sz w:val="21"/>
                <w:szCs w:val="21"/>
              </w:rPr>
              <w:t>管道工程区</w:t>
            </w:r>
          </w:p>
        </w:tc>
        <w:tc>
          <w:tcPr>
            <w:tcW w:w="412" w:type="pct"/>
            <w:vAlign w:val="center"/>
          </w:tcPr>
          <w:p>
            <w:pPr>
              <w:autoSpaceDE w:val="0"/>
              <w:autoSpaceDN w:val="0"/>
              <w:spacing w:line="0" w:lineRule="atLeast"/>
              <w:ind w:right="-20" w:firstLine="0" w:firstLineChars="0"/>
              <w:jc w:val="center"/>
              <w:rPr>
                <w:rFonts w:eastAsia="仿宋_GB2312"/>
                <w:position w:val="-2"/>
                <w:sz w:val="21"/>
                <w:szCs w:val="21"/>
              </w:rPr>
            </w:pPr>
            <w:r>
              <w:rPr>
                <w:rFonts w:hint="eastAsia" w:eastAsia="仿宋_GB2312"/>
                <w:position w:val="-2"/>
                <w:sz w:val="21"/>
                <w:szCs w:val="21"/>
              </w:rPr>
              <w:t>0.64</w:t>
            </w:r>
          </w:p>
        </w:tc>
        <w:tc>
          <w:tcPr>
            <w:tcW w:w="426" w:type="pct"/>
            <w:gridSpan w:val="2"/>
            <w:vAlign w:val="center"/>
          </w:tcPr>
          <w:p>
            <w:pPr>
              <w:autoSpaceDE w:val="0"/>
              <w:autoSpaceDN w:val="0"/>
              <w:spacing w:line="0" w:lineRule="atLeast"/>
              <w:ind w:right="-20" w:firstLine="0" w:firstLineChars="0"/>
              <w:jc w:val="center"/>
              <w:rPr>
                <w:rFonts w:eastAsia="仿宋_GB2312"/>
                <w:position w:val="-2"/>
                <w:sz w:val="21"/>
                <w:szCs w:val="21"/>
              </w:rPr>
            </w:pPr>
            <w:r>
              <w:rPr>
                <w:rFonts w:hint="eastAsia" w:eastAsia="仿宋_GB2312"/>
                <w:position w:val="-2"/>
                <w:sz w:val="21"/>
                <w:szCs w:val="21"/>
              </w:rPr>
              <w:t>0.64</w:t>
            </w:r>
          </w:p>
        </w:tc>
        <w:tc>
          <w:tcPr>
            <w:tcW w:w="341" w:type="pct"/>
            <w:vAlign w:val="center"/>
          </w:tcPr>
          <w:p>
            <w:pPr>
              <w:autoSpaceDE w:val="0"/>
              <w:autoSpaceDN w:val="0"/>
              <w:spacing w:line="0" w:lineRule="atLeast"/>
              <w:ind w:right="-20" w:firstLine="0" w:firstLineChars="0"/>
              <w:jc w:val="center"/>
              <w:rPr>
                <w:rFonts w:eastAsia="仿宋_GB2312"/>
                <w:position w:val="-2"/>
                <w:sz w:val="21"/>
                <w:szCs w:val="21"/>
              </w:rPr>
            </w:pPr>
          </w:p>
        </w:tc>
        <w:tc>
          <w:tcPr>
            <w:tcW w:w="347" w:type="pct"/>
            <w:gridSpan w:val="2"/>
            <w:vAlign w:val="center"/>
          </w:tcPr>
          <w:p>
            <w:pPr>
              <w:autoSpaceDE w:val="0"/>
              <w:autoSpaceDN w:val="0"/>
              <w:spacing w:line="0" w:lineRule="atLeast"/>
              <w:ind w:right="-20" w:firstLine="0" w:firstLineChars="0"/>
              <w:jc w:val="center"/>
              <w:rPr>
                <w:rFonts w:eastAsia="仿宋_GB2312"/>
                <w:position w:val="-2"/>
                <w:sz w:val="21"/>
                <w:szCs w:val="21"/>
              </w:rPr>
            </w:pPr>
          </w:p>
        </w:tc>
        <w:tc>
          <w:tcPr>
            <w:tcW w:w="341" w:type="pct"/>
            <w:vAlign w:val="center"/>
          </w:tcPr>
          <w:p>
            <w:pPr>
              <w:autoSpaceDE w:val="0"/>
              <w:autoSpaceDN w:val="0"/>
              <w:spacing w:line="0" w:lineRule="atLeast"/>
              <w:ind w:right="-20" w:firstLine="0" w:firstLineChars="0"/>
              <w:jc w:val="center"/>
              <w:rPr>
                <w:rFonts w:eastAsia="仿宋_GB2312"/>
                <w:position w:val="-2"/>
                <w:sz w:val="21"/>
                <w:szCs w:val="21"/>
              </w:rPr>
            </w:pPr>
          </w:p>
        </w:tc>
        <w:tc>
          <w:tcPr>
            <w:tcW w:w="343" w:type="pct"/>
            <w:gridSpan w:val="2"/>
            <w:vAlign w:val="center"/>
          </w:tcPr>
          <w:p>
            <w:pPr>
              <w:autoSpaceDE w:val="0"/>
              <w:autoSpaceDN w:val="0"/>
              <w:spacing w:line="0" w:lineRule="atLeast"/>
              <w:ind w:right="-20" w:firstLine="0" w:firstLineChars="0"/>
              <w:jc w:val="center"/>
              <w:rPr>
                <w:rFonts w:eastAsia="仿宋_GB2312"/>
                <w:position w:val="-2"/>
                <w:sz w:val="21"/>
                <w:szCs w:val="21"/>
              </w:rPr>
            </w:pPr>
          </w:p>
        </w:tc>
        <w:tc>
          <w:tcPr>
            <w:tcW w:w="341" w:type="pct"/>
            <w:vAlign w:val="center"/>
          </w:tcPr>
          <w:p>
            <w:pPr>
              <w:autoSpaceDE w:val="0"/>
              <w:autoSpaceDN w:val="0"/>
              <w:spacing w:line="0" w:lineRule="atLeast"/>
              <w:ind w:right="-20" w:firstLine="0" w:firstLineChars="0"/>
              <w:jc w:val="center"/>
              <w:rPr>
                <w:rFonts w:eastAsia="仿宋_GB2312"/>
                <w:position w:val="-2"/>
                <w:sz w:val="21"/>
                <w:szCs w:val="21"/>
              </w:rPr>
            </w:pPr>
          </w:p>
        </w:tc>
        <w:tc>
          <w:tcPr>
            <w:tcW w:w="344" w:type="pct"/>
            <w:gridSpan w:val="2"/>
            <w:vAlign w:val="center"/>
          </w:tcPr>
          <w:p>
            <w:pPr>
              <w:autoSpaceDE w:val="0"/>
              <w:autoSpaceDN w:val="0"/>
              <w:spacing w:line="0" w:lineRule="atLeast"/>
              <w:ind w:right="-20" w:firstLine="0" w:firstLineChars="0"/>
              <w:jc w:val="center"/>
              <w:rPr>
                <w:rFonts w:eastAsia="仿宋_GB2312"/>
                <w:position w:val="-2"/>
                <w:sz w:val="21"/>
                <w:szCs w:val="21"/>
              </w:rPr>
            </w:pPr>
          </w:p>
        </w:tc>
        <w:tc>
          <w:tcPr>
            <w:tcW w:w="341" w:type="pct"/>
            <w:vAlign w:val="center"/>
          </w:tcPr>
          <w:p>
            <w:pPr>
              <w:autoSpaceDE w:val="0"/>
              <w:autoSpaceDN w:val="0"/>
              <w:spacing w:line="0" w:lineRule="atLeast"/>
              <w:ind w:right="-20" w:firstLine="0" w:firstLineChars="0"/>
              <w:jc w:val="center"/>
              <w:rPr>
                <w:rFonts w:eastAsia="仿宋_GB2312"/>
                <w:position w:val="-2"/>
                <w:sz w:val="21"/>
                <w:szCs w:val="21"/>
              </w:rPr>
            </w:pPr>
          </w:p>
        </w:tc>
        <w:tc>
          <w:tcPr>
            <w:tcW w:w="350" w:type="pct"/>
            <w:vAlign w:val="center"/>
          </w:tcPr>
          <w:p>
            <w:pPr>
              <w:autoSpaceDE w:val="0"/>
              <w:autoSpaceDN w:val="0"/>
              <w:spacing w:line="0" w:lineRule="atLeast"/>
              <w:ind w:right="-20" w:firstLine="0" w:firstLineChars="0"/>
              <w:jc w:val="center"/>
              <w:rPr>
                <w:rFonts w:eastAsia="仿宋_GB2312"/>
                <w:position w:val="-2"/>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2" w:type="pct"/>
            <w:vAlign w:val="center"/>
          </w:tcPr>
          <w:p>
            <w:pPr>
              <w:autoSpaceDE w:val="0"/>
              <w:autoSpaceDN w:val="0"/>
              <w:spacing w:line="0" w:lineRule="atLeast"/>
              <w:ind w:right="-20" w:firstLine="0" w:firstLineChars="0"/>
              <w:jc w:val="center"/>
              <w:rPr>
                <w:rFonts w:eastAsia="仿宋_GB2312"/>
                <w:position w:val="-2"/>
                <w:sz w:val="21"/>
                <w:szCs w:val="21"/>
              </w:rPr>
            </w:pPr>
            <w:r>
              <w:rPr>
                <w:rFonts w:hint="eastAsia" w:eastAsia="仿宋_GB2312"/>
                <w:position w:val="-2"/>
                <w:sz w:val="21"/>
                <w:szCs w:val="21"/>
              </w:rPr>
              <w:t>2</w:t>
            </w:r>
          </w:p>
        </w:tc>
        <w:tc>
          <w:tcPr>
            <w:tcW w:w="1022" w:type="pct"/>
            <w:gridSpan w:val="3"/>
            <w:vAlign w:val="center"/>
          </w:tcPr>
          <w:p>
            <w:pPr>
              <w:autoSpaceDE w:val="0"/>
              <w:autoSpaceDN w:val="0"/>
              <w:spacing w:line="0" w:lineRule="atLeast"/>
              <w:ind w:right="-20" w:firstLine="0" w:firstLineChars="0"/>
              <w:jc w:val="center"/>
              <w:rPr>
                <w:rFonts w:eastAsia="仿宋_GB2312"/>
                <w:position w:val="-2"/>
                <w:sz w:val="21"/>
                <w:szCs w:val="21"/>
              </w:rPr>
            </w:pPr>
            <w:r>
              <w:rPr>
                <w:rFonts w:hint="eastAsia" w:eastAsia="仿宋_GB2312"/>
                <w:position w:val="-2"/>
                <w:sz w:val="21"/>
                <w:szCs w:val="21"/>
              </w:rPr>
              <w:t>附属构筑物区</w:t>
            </w:r>
          </w:p>
        </w:tc>
        <w:tc>
          <w:tcPr>
            <w:tcW w:w="412" w:type="pct"/>
            <w:vAlign w:val="center"/>
          </w:tcPr>
          <w:p>
            <w:pPr>
              <w:autoSpaceDE w:val="0"/>
              <w:autoSpaceDN w:val="0"/>
              <w:spacing w:line="0" w:lineRule="atLeast"/>
              <w:ind w:right="-20" w:firstLine="0" w:firstLineChars="0"/>
              <w:jc w:val="center"/>
              <w:rPr>
                <w:rFonts w:eastAsia="仿宋_GB2312"/>
                <w:position w:val="-2"/>
                <w:sz w:val="21"/>
                <w:szCs w:val="21"/>
              </w:rPr>
            </w:pPr>
            <w:r>
              <w:rPr>
                <w:rFonts w:hint="eastAsia" w:eastAsia="仿宋_GB2312"/>
                <w:position w:val="-2"/>
                <w:sz w:val="21"/>
                <w:szCs w:val="21"/>
              </w:rPr>
              <w:t>0.04</w:t>
            </w:r>
          </w:p>
        </w:tc>
        <w:tc>
          <w:tcPr>
            <w:tcW w:w="426" w:type="pct"/>
            <w:gridSpan w:val="2"/>
            <w:vAlign w:val="center"/>
          </w:tcPr>
          <w:p>
            <w:pPr>
              <w:autoSpaceDE w:val="0"/>
              <w:autoSpaceDN w:val="0"/>
              <w:spacing w:line="0" w:lineRule="atLeast"/>
              <w:ind w:right="-20" w:firstLine="0" w:firstLineChars="0"/>
              <w:jc w:val="center"/>
              <w:rPr>
                <w:rFonts w:eastAsia="仿宋_GB2312"/>
                <w:position w:val="-2"/>
                <w:sz w:val="21"/>
                <w:szCs w:val="21"/>
              </w:rPr>
            </w:pPr>
            <w:r>
              <w:rPr>
                <w:rFonts w:hint="eastAsia" w:eastAsia="仿宋_GB2312"/>
                <w:position w:val="-2"/>
                <w:sz w:val="21"/>
                <w:szCs w:val="21"/>
              </w:rPr>
              <w:t>0.04</w:t>
            </w:r>
          </w:p>
        </w:tc>
        <w:tc>
          <w:tcPr>
            <w:tcW w:w="341" w:type="pct"/>
            <w:vAlign w:val="center"/>
          </w:tcPr>
          <w:p>
            <w:pPr>
              <w:autoSpaceDE w:val="0"/>
              <w:autoSpaceDN w:val="0"/>
              <w:spacing w:line="0" w:lineRule="atLeast"/>
              <w:ind w:right="-20" w:firstLine="0" w:firstLineChars="0"/>
              <w:jc w:val="center"/>
              <w:rPr>
                <w:rFonts w:eastAsia="仿宋_GB2312"/>
                <w:position w:val="-2"/>
                <w:sz w:val="21"/>
                <w:szCs w:val="21"/>
              </w:rPr>
            </w:pPr>
          </w:p>
        </w:tc>
        <w:tc>
          <w:tcPr>
            <w:tcW w:w="347" w:type="pct"/>
            <w:gridSpan w:val="2"/>
            <w:vAlign w:val="center"/>
          </w:tcPr>
          <w:p>
            <w:pPr>
              <w:autoSpaceDE w:val="0"/>
              <w:autoSpaceDN w:val="0"/>
              <w:spacing w:line="0" w:lineRule="atLeast"/>
              <w:ind w:right="-20" w:firstLine="0" w:firstLineChars="0"/>
              <w:jc w:val="center"/>
              <w:rPr>
                <w:rFonts w:eastAsia="仿宋_GB2312"/>
                <w:position w:val="-2"/>
                <w:sz w:val="21"/>
                <w:szCs w:val="21"/>
              </w:rPr>
            </w:pPr>
          </w:p>
        </w:tc>
        <w:tc>
          <w:tcPr>
            <w:tcW w:w="341" w:type="pct"/>
            <w:vAlign w:val="center"/>
          </w:tcPr>
          <w:p>
            <w:pPr>
              <w:autoSpaceDE w:val="0"/>
              <w:autoSpaceDN w:val="0"/>
              <w:spacing w:line="0" w:lineRule="atLeast"/>
              <w:ind w:right="-20" w:firstLine="0" w:firstLineChars="0"/>
              <w:jc w:val="center"/>
              <w:rPr>
                <w:rFonts w:eastAsia="仿宋_GB2312"/>
                <w:position w:val="-2"/>
                <w:sz w:val="21"/>
                <w:szCs w:val="21"/>
              </w:rPr>
            </w:pPr>
          </w:p>
        </w:tc>
        <w:tc>
          <w:tcPr>
            <w:tcW w:w="343" w:type="pct"/>
            <w:gridSpan w:val="2"/>
            <w:vAlign w:val="center"/>
          </w:tcPr>
          <w:p>
            <w:pPr>
              <w:autoSpaceDE w:val="0"/>
              <w:autoSpaceDN w:val="0"/>
              <w:spacing w:line="0" w:lineRule="atLeast"/>
              <w:ind w:right="-20" w:firstLine="0" w:firstLineChars="0"/>
              <w:jc w:val="center"/>
              <w:rPr>
                <w:rFonts w:eastAsia="仿宋_GB2312"/>
                <w:position w:val="-2"/>
                <w:sz w:val="21"/>
                <w:szCs w:val="21"/>
              </w:rPr>
            </w:pPr>
          </w:p>
        </w:tc>
        <w:tc>
          <w:tcPr>
            <w:tcW w:w="341" w:type="pct"/>
            <w:vAlign w:val="center"/>
          </w:tcPr>
          <w:p>
            <w:pPr>
              <w:autoSpaceDE w:val="0"/>
              <w:autoSpaceDN w:val="0"/>
              <w:spacing w:line="0" w:lineRule="atLeast"/>
              <w:ind w:right="-20" w:firstLine="0" w:firstLineChars="0"/>
              <w:jc w:val="center"/>
              <w:rPr>
                <w:rFonts w:eastAsia="仿宋_GB2312"/>
                <w:position w:val="-2"/>
                <w:sz w:val="21"/>
                <w:szCs w:val="21"/>
              </w:rPr>
            </w:pPr>
          </w:p>
        </w:tc>
        <w:tc>
          <w:tcPr>
            <w:tcW w:w="344" w:type="pct"/>
            <w:gridSpan w:val="2"/>
            <w:vAlign w:val="center"/>
          </w:tcPr>
          <w:p>
            <w:pPr>
              <w:autoSpaceDE w:val="0"/>
              <w:autoSpaceDN w:val="0"/>
              <w:spacing w:line="0" w:lineRule="atLeast"/>
              <w:ind w:right="-20" w:firstLine="0" w:firstLineChars="0"/>
              <w:jc w:val="center"/>
              <w:rPr>
                <w:rFonts w:eastAsia="仿宋_GB2312"/>
                <w:position w:val="-2"/>
                <w:sz w:val="21"/>
                <w:szCs w:val="21"/>
              </w:rPr>
            </w:pPr>
          </w:p>
        </w:tc>
        <w:tc>
          <w:tcPr>
            <w:tcW w:w="341" w:type="pct"/>
            <w:vAlign w:val="center"/>
          </w:tcPr>
          <w:p>
            <w:pPr>
              <w:autoSpaceDE w:val="0"/>
              <w:autoSpaceDN w:val="0"/>
              <w:spacing w:line="0" w:lineRule="atLeast"/>
              <w:ind w:right="-20" w:firstLine="0" w:firstLineChars="0"/>
              <w:jc w:val="center"/>
              <w:rPr>
                <w:rFonts w:eastAsia="仿宋_GB2312"/>
                <w:position w:val="-2"/>
                <w:sz w:val="21"/>
                <w:szCs w:val="21"/>
              </w:rPr>
            </w:pPr>
          </w:p>
        </w:tc>
        <w:tc>
          <w:tcPr>
            <w:tcW w:w="350" w:type="pct"/>
            <w:vAlign w:val="center"/>
          </w:tcPr>
          <w:p>
            <w:pPr>
              <w:autoSpaceDE w:val="0"/>
              <w:autoSpaceDN w:val="0"/>
              <w:spacing w:line="0" w:lineRule="atLeast"/>
              <w:ind w:right="-20" w:firstLine="0" w:firstLineChars="0"/>
              <w:jc w:val="center"/>
              <w:rPr>
                <w:rFonts w:eastAsia="仿宋_GB2312"/>
                <w:position w:val="-2"/>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2" w:type="pct"/>
            <w:noWrap/>
            <w:vAlign w:val="center"/>
          </w:tcPr>
          <w:p>
            <w:pPr>
              <w:autoSpaceDE w:val="0"/>
              <w:autoSpaceDN w:val="0"/>
              <w:spacing w:line="0" w:lineRule="atLeast"/>
              <w:ind w:right="-20" w:firstLine="0" w:firstLineChars="0"/>
              <w:jc w:val="center"/>
              <w:rPr>
                <w:rFonts w:eastAsia="仿宋_GB2312"/>
                <w:position w:val="-2"/>
                <w:sz w:val="21"/>
                <w:szCs w:val="21"/>
              </w:rPr>
            </w:pPr>
            <w:r>
              <w:rPr>
                <w:rFonts w:hint="eastAsia" w:eastAsia="仿宋_GB2312"/>
                <w:position w:val="-2"/>
                <w:sz w:val="21"/>
                <w:szCs w:val="21"/>
              </w:rPr>
              <w:t>3</w:t>
            </w:r>
          </w:p>
        </w:tc>
        <w:tc>
          <w:tcPr>
            <w:tcW w:w="1022" w:type="pct"/>
            <w:gridSpan w:val="3"/>
            <w:noWrap/>
            <w:vAlign w:val="center"/>
          </w:tcPr>
          <w:p>
            <w:pPr>
              <w:autoSpaceDE w:val="0"/>
              <w:autoSpaceDN w:val="0"/>
              <w:spacing w:line="240" w:lineRule="auto"/>
              <w:ind w:right="-20" w:firstLine="0" w:firstLineChars="0"/>
              <w:jc w:val="center"/>
              <w:rPr>
                <w:rFonts w:eastAsia="仿宋_GB2312"/>
                <w:position w:val="-2"/>
                <w:sz w:val="21"/>
                <w:szCs w:val="21"/>
              </w:rPr>
            </w:pPr>
            <w:r>
              <w:rPr>
                <w:rFonts w:eastAsia="仿宋_GB2312"/>
                <w:position w:val="-2"/>
                <w:sz w:val="21"/>
                <w:szCs w:val="21"/>
              </w:rPr>
              <w:t>合计</w:t>
            </w:r>
          </w:p>
        </w:tc>
        <w:tc>
          <w:tcPr>
            <w:tcW w:w="412" w:type="pct"/>
            <w:noWrap/>
            <w:vAlign w:val="center"/>
          </w:tcPr>
          <w:p>
            <w:pPr>
              <w:autoSpaceDE w:val="0"/>
              <w:autoSpaceDN w:val="0"/>
              <w:spacing w:line="0" w:lineRule="atLeast"/>
              <w:ind w:right="-20" w:firstLine="0" w:firstLineChars="0"/>
              <w:jc w:val="center"/>
              <w:rPr>
                <w:rFonts w:eastAsia="仿宋_GB2312"/>
                <w:position w:val="-2"/>
                <w:sz w:val="21"/>
                <w:szCs w:val="21"/>
              </w:rPr>
            </w:pPr>
            <w:r>
              <w:rPr>
                <w:rFonts w:hint="eastAsia" w:eastAsia="仿宋_GB2312"/>
                <w:position w:val="-2"/>
                <w:sz w:val="21"/>
                <w:szCs w:val="21"/>
              </w:rPr>
              <w:t>0.68</w:t>
            </w:r>
          </w:p>
        </w:tc>
        <w:tc>
          <w:tcPr>
            <w:tcW w:w="426" w:type="pct"/>
            <w:gridSpan w:val="2"/>
            <w:noWrap/>
            <w:vAlign w:val="center"/>
          </w:tcPr>
          <w:p>
            <w:pPr>
              <w:autoSpaceDE w:val="0"/>
              <w:autoSpaceDN w:val="0"/>
              <w:spacing w:line="0" w:lineRule="atLeast"/>
              <w:ind w:right="-20" w:firstLine="0" w:firstLineChars="0"/>
              <w:jc w:val="center"/>
              <w:rPr>
                <w:rFonts w:eastAsia="仿宋_GB2312"/>
                <w:position w:val="-2"/>
                <w:sz w:val="21"/>
                <w:szCs w:val="21"/>
              </w:rPr>
            </w:pPr>
            <w:r>
              <w:rPr>
                <w:rFonts w:hint="eastAsia" w:eastAsia="仿宋_GB2312"/>
                <w:position w:val="-2"/>
                <w:sz w:val="21"/>
                <w:szCs w:val="21"/>
              </w:rPr>
              <w:t>0.68</w:t>
            </w:r>
          </w:p>
        </w:tc>
        <w:tc>
          <w:tcPr>
            <w:tcW w:w="341" w:type="pct"/>
            <w:noWrap/>
            <w:vAlign w:val="center"/>
          </w:tcPr>
          <w:p>
            <w:pPr>
              <w:spacing w:line="240" w:lineRule="auto"/>
              <w:ind w:firstLine="0" w:firstLineChars="0"/>
              <w:jc w:val="center"/>
              <w:rPr>
                <w:rFonts w:eastAsia="仿宋_GB2312"/>
                <w:sz w:val="21"/>
                <w:szCs w:val="21"/>
              </w:rPr>
            </w:pPr>
          </w:p>
        </w:tc>
        <w:tc>
          <w:tcPr>
            <w:tcW w:w="347" w:type="pct"/>
            <w:gridSpan w:val="2"/>
            <w:noWrap/>
            <w:vAlign w:val="center"/>
          </w:tcPr>
          <w:p>
            <w:pPr>
              <w:pStyle w:val="73"/>
              <w:widowControl w:val="0"/>
              <w:topLinePunct/>
              <w:adjustRightInd w:val="0"/>
              <w:snapToGrid w:val="0"/>
              <w:spacing w:line="240" w:lineRule="auto"/>
              <w:ind w:firstLine="1680"/>
              <w:jc w:val="center"/>
              <w:textAlignment w:val="center"/>
              <w:rPr>
                <w:rFonts w:cs="Times New Roman"/>
                <w:color w:val="auto"/>
                <w:kern w:val="0"/>
              </w:rPr>
            </w:pPr>
          </w:p>
        </w:tc>
        <w:tc>
          <w:tcPr>
            <w:tcW w:w="341" w:type="pct"/>
            <w:noWrap/>
            <w:vAlign w:val="center"/>
          </w:tcPr>
          <w:p>
            <w:pPr>
              <w:autoSpaceDE w:val="0"/>
              <w:autoSpaceDN w:val="0"/>
              <w:spacing w:line="240" w:lineRule="auto"/>
              <w:ind w:right="-20" w:firstLine="0" w:firstLineChars="0"/>
              <w:jc w:val="center"/>
              <w:rPr>
                <w:rFonts w:eastAsia="仿宋_GB2312"/>
                <w:sz w:val="21"/>
                <w:szCs w:val="21"/>
              </w:rPr>
            </w:pPr>
          </w:p>
        </w:tc>
        <w:tc>
          <w:tcPr>
            <w:tcW w:w="343" w:type="pct"/>
            <w:gridSpan w:val="2"/>
            <w:noWrap/>
            <w:vAlign w:val="center"/>
          </w:tcPr>
          <w:p>
            <w:pPr>
              <w:pStyle w:val="73"/>
              <w:widowControl w:val="0"/>
              <w:topLinePunct/>
              <w:adjustRightInd w:val="0"/>
              <w:snapToGrid w:val="0"/>
              <w:spacing w:line="240" w:lineRule="auto"/>
              <w:ind w:firstLine="1680"/>
              <w:jc w:val="center"/>
              <w:textAlignment w:val="center"/>
              <w:rPr>
                <w:rFonts w:cs="Times New Roman"/>
                <w:color w:val="auto"/>
                <w:kern w:val="0"/>
              </w:rPr>
            </w:pPr>
          </w:p>
        </w:tc>
        <w:tc>
          <w:tcPr>
            <w:tcW w:w="341" w:type="pct"/>
            <w:noWrap/>
            <w:vAlign w:val="center"/>
          </w:tcPr>
          <w:p>
            <w:pPr>
              <w:pStyle w:val="73"/>
              <w:widowControl w:val="0"/>
              <w:topLinePunct/>
              <w:adjustRightInd w:val="0"/>
              <w:snapToGrid w:val="0"/>
              <w:spacing w:line="240" w:lineRule="auto"/>
              <w:ind w:firstLine="1680"/>
              <w:jc w:val="center"/>
              <w:textAlignment w:val="center"/>
              <w:rPr>
                <w:rFonts w:cs="Times New Roman"/>
                <w:color w:val="auto"/>
                <w:kern w:val="0"/>
              </w:rPr>
            </w:pPr>
          </w:p>
        </w:tc>
        <w:tc>
          <w:tcPr>
            <w:tcW w:w="344" w:type="pct"/>
            <w:gridSpan w:val="2"/>
            <w:noWrap/>
            <w:vAlign w:val="center"/>
          </w:tcPr>
          <w:p>
            <w:pPr>
              <w:pStyle w:val="73"/>
              <w:widowControl w:val="0"/>
              <w:topLinePunct/>
              <w:adjustRightInd w:val="0"/>
              <w:snapToGrid w:val="0"/>
              <w:spacing w:line="240" w:lineRule="auto"/>
              <w:ind w:firstLine="1680"/>
              <w:jc w:val="center"/>
              <w:textAlignment w:val="center"/>
              <w:rPr>
                <w:rFonts w:cs="Times New Roman"/>
                <w:color w:val="auto"/>
                <w:kern w:val="0"/>
              </w:rPr>
            </w:pPr>
          </w:p>
        </w:tc>
        <w:tc>
          <w:tcPr>
            <w:tcW w:w="341" w:type="pct"/>
            <w:noWrap/>
            <w:vAlign w:val="center"/>
          </w:tcPr>
          <w:p>
            <w:pPr>
              <w:autoSpaceDE w:val="0"/>
              <w:autoSpaceDN w:val="0"/>
              <w:spacing w:line="240" w:lineRule="auto"/>
              <w:ind w:right="-20" w:firstLine="0" w:firstLineChars="0"/>
              <w:jc w:val="center"/>
              <w:rPr>
                <w:rFonts w:eastAsia="仿宋_GB2312"/>
                <w:sz w:val="21"/>
                <w:szCs w:val="21"/>
              </w:rPr>
            </w:pPr>
          </w:p>
        </w:tc>
        <w:tc>
          <w:tcPr>
            <w:tcW w:w="350" w:type="pct"/>
            <w:noWrap/>
            <w:vAlign w:val="center"/>
          </w:tcPr>
          <w:p>
            <w:pPr>
              <w:pStyle w:val="73"/>
              <w:widowControl w:val="0"/>
              <w:topLinePunct/>
              <w:adjustRightInd w:val="0"/>
              <w:snapToGrid w:val="0"/>
              <w:spacing w:line="240" w:lineRule="auto"/>
              <w:ind w:firstLine="1680"/>
              <w:jc w:val="center"/>
              <w:textAlignment w:val="center"/>
              <w:rPr>
                <w:rFonts w:cs="Times New Roman"/>
                <w:color w:val="auto"/>
                <w:kern w:val="0"/>
              </w:rPr>
            </w:pPr>
          </w:p>
        </w:tc>
      </w:tr>
    </w:tbl>
    <w:p>
      <w:pPr>
        <w:pStyle w:val="4"/>
        <w:keepLines/>
        <w:widowControl/>
        <w:numPr>
          <w:ilvl w:val="2"/>
          <w:numId w:val="1"/>
        </w:numPr>
        <w:tabs>
          <w:tab w:val="clear" w:pos="432"/>
          <w:tab w:val="clear" w:pos="960"/>
        </w:tabs>
        <w:kinsoku/>
        <w:overflowPunct/>
        <w:topLinePunct w:val="0"/>
        <w:autoSpaceDE/>
        <w:autoSpaceDN/>
        <w:adjustRightInd/>
        <w:snapToGrid/>
        <w:spacing w:beforeLines="100"/>
        <w:ind w:left="0" w:firstLine="0"/>
        <w:jc w:val="both"/>
        <w:rPr>
          <w:rFonts w:eastAsia="仿宋_GB2312"/>
        </w:rPr>
      </w:pPr>
      <w:r>
        <w:rPr>
          <w:rFonts w:hint="eastAsia" w:ascii="宋体" w:hAnsi="Calibri" w:eastAsia="宋体" w:cs="宋体"/>
        </w:rPr>
        <w:t>供水</w:t>
      </w:r>
      <w:r>
        <w:rPr>
          <w:rFonts w:hint="eastAsia" w:eastAsia="仿宋_GB2312"/>
        </w:rPr>
        <w:t>管网现状</w:t>
      </w:r>
    </w:p>
    <w:p>
      <w:pPr>
        <w:tabs>
          <w:tab w:val="left" w:pos="840"/>
          <w:tab w:val="left" w:pos="1485"/>
        </w:tabs>
        <w:ind w:firstLine="480"/>
        <w:rPr>
          <w:rFonts w:eastAsia="仿宋_GB2312"/>
        </w:rPr>
      </w:pPr>
      <w:r>
        <w:rPr>
          <w:rFonts w:hint="eastAsia" w:eastAsia="仿宋_GB2312"/>
        </w:rPr>
        <w:t>现状城市老旧居住小区大多建成于上世纪</w:t>
      </w:r>
      <w:r>
        <w:rPr>
          <w:rFonts w:eastAsia="仿宋_GB2312"/>
        </w:rPr>
        <w:t>90</w:t>
      </w:r>
      <w:r>
        <w:rPr>
          <w:rFonts w:hint="eastAsia" w:eastAsia="仿宋_GB2312"/>
        </w:rPr>
        <w:t>年代末至</w:t>
      </w:r>
      <w:r>
        <w:rPr>
          <w:rFonts w:eastAsia="仿宋_GB2312"/>
        </w:rPr>
        <w:t>2000</w:t>
      </w:r>
      <w:r>
        <w:rPr>
          <w:rFonts w:hint="eastAsia" w:eastAsia="仿宋_GB2312"/>
        </w:rPr>
        <w:t>年初期，小区现状凸显的问题归类为建设标准较低、配套基础设施落后、功能配套不全、未建立长效管理机四个方面，主要表现如下：</w:t>
      </w:r>
    </w:p>
    <w:p>
      <w:pPr>
        <w:tabs>
          <w:tab w:val="left" w:pos="840"/>
          <w:tab w:val="left" w:pos="1485"/>
        </w:tabs>
        <w:ind w:firstLine="480"/>
        <w:rPr>
          <w:rFonts w:eastAsia="仿宋_GB2312"/>
        </w:rPr>
      </w:pPr>
      <w:r>
        <w:rPr>
          <w:rFonts w:eastAsia="仿宋_GB2312"/>
        </w:rPr>
        <w:t>1</w:t>
      </w:r>
      <w:r>
        <w:rPr>
          <w:rFonts w:hint="eastAsia" w:eastAsia="仿宋_GB2312"/>
        </w:rPr>
        <w:t>、现状小区给水管网使用时间较久，管材材质较差，致使部分管段渗漏较为严重。</w:t>
      </w:r>
    </w:p>
    <w:p>
      <w:pPr>
        <w:tabs>
          <w:tab w:val="left" w:pos="840"/>
          <w:tab w:val="left" w:pos="1485"/>
        </w:tabs>
        <w:ind w:firstLine="480"/>
        <w:rPr>
          <w:rFonts w:eastAsia="仿宋_GB2312"/>
        </w:rPr>
      </w:pPr>
      <w:r>
        <w:rPr>
          <w:rFonts w:eastAsia="仿宋_GB2312"/>
        </w:rPr>
        <w:t>2</w:t>
      </w:r>
      <w:r>
        <w:rPr>
          <w:rFonts w:hint="eastAsia" w:eastAsia="仿宋_GB2312"/>
        </w:rPr>
        <w:t>、由于管网老化、生锈，造成自来水在输送过程中被污染，导致居民用水杂质多、浑浊，等问题。</w:t>
      </w:r>
    </w:p>
    <w:p>
      <w:pPr>
        <w:tabs>
          <w:tab w:val="left" w:pos="840"/>
          <w:tab w:val="left" w:pos="1485"/>
        </w:tabs>
        <w:ind w:firstLine="480"/>
        <w:rPr>
          <w:rFonts w:eastAsia="仿宋_GB2312"/>
        </w:rPr>
      </w:pPr>
      <w:r>
        <w:rPr>
          <w:rFonts w:eastAsia="仿宋_GB2312"/>
        </w:rPr>
        <w:t>3</w:t>
      </w:r>
      <w:r>
        <w:rPr>
          <w:rFonts w:hint="eastAsia" w:eastAsia="仿宋_GB2312"/>
        </w:rPr>
        <w:t>、部分阀门井位于小区道路上，路面过车、井壁渗水等问题使阀门井坍塌、井盖遭到破坏，阀门井内管道与阀门接口处出现漏水情况较多，致使水质遭到破坏，造成用水浪费。</w:t>
      </w:r>
    </w:p>
    <w:p>
      <w:pPr>
        <w:tabs>
          <w:tab w:val="left" w:pos="840"/>
          <w:tab w:val="left" w:pos="1485"/>
        </w:tabs>
        <w:ind w:firstLine="480"/>
        <w:rPr>
          <w:rFonts w:eastAsia="仿宋_GB2312"/>
        </w:rPr>
      </w:pPr>
      <w:r>
        <w:rPr>
          <w:rFonts w:eastAsia="仿宋_GB2312"/>
        </w:rPr>
        <w:t>4</w:t>
      </w:r>
      <w:r>
        <w:rPr>
          <w:rFonts w:hint="eastAsia" w:eastAsia="仿宋_GB2312"/>
        </w:rPr>
        <w:t>、小区内供水管线老化，经常发生爆管事故，对整个小区供水系统管理的影响是最直接也是最重要的，不仅使水资源白白浪费，而且小区居民的正常生活也受到影响。</w:t>
      </w:r>
    </w:p>
    <w:p>
      <w:pPr>
        <w:tabs>
          <w:tab w:val="left" w:pos="840"/>
          <w:tab w:val="left" w:pos="1485"/>
        </w:tabs>
        <w:ind w:firstLine="480"/>
        <w:rPr>
          <w:rFonts w:eastAsia="仿宋_GB2312"/>
        </w:rPr>
      </w:pPr>
      <w:r>
        <w:rPr>
          <w:rFonts w:hint="eastAsia" w:eastAsia="仿宋_GB2312"/>
        </w:rPr>
        <w:t>5、天翔小区现状市政接管管径为</w:t>
      </w:r>
      <w:r>
        <w:rPr>
          <w:rFonts w:eastAsia="仿宋_GB2312"/>
        </w:rPr>
        <w:t>DN160</w:t>
      </w:r>
      <w:r>
        <w:rPr>
          <w:rFonts w:hint="eastAsia" w:eastAsia="仿宋_GB2312"/>
        </w:rPr>
        <w:t>和</w:t>
      </w:r>
      <w:r>
        <w:rPr>
          <w:rFonts w:eastAsia="仿宋_GB2312"/>
        </w:rPr>
        <w:t>DN250</w:t>
      </w:r>
      <w:r>
        <w:rPr>
          <w:rFonts w:hint="eastAsia" w:eastAsia="仿宋_GB2312"/>
        </w:rPr>
        <w:t>，水压</w:t>
      </w:r>
      <w:r>
        <w:rPr>
          <w:rFonts w:eastAsia="仿宋_GB2312"/>
        </w:rPr>
        <w:t>0.8MPa</w:t>
      </w:r>
      <w:r>
        <w:rPr>
          <w:rFonts w:hint="eastAsia" w:eastAsia="仿宋_GB2312"/>
        </w:rPr>
        <w:t>；明珠小区现状市政接管管径为</w:t>
      </w:r>
      <w:r>
        <w:rPr>
          <w:rFonts w:eastAsia="仿宋_GB2312"/>
        </w:rPr>
        <w:t>DN200</w:t>
      </w:r>
      <w:r>
        <w:rPr>
          <w:rFonts w:hint="eastAsia" w:eastAsia="仿宋_GB2312"/>
        </w:rPr>
        <w:t>和</w:t>
      </w:r>
      <w:r>
        <w:rPr>
          <w:rFonts w:eastAsia="仿宋_GB2312"/>
        </w:rPr>
        <w:t>DN315</w:t>
      </w:r>
      <w:r>
        <w:rPr>
          <w:rFonts w:hint="eastAsia" w:eastAsia="仿宋_GB2312"/>
        </w:rPr>
        <w:t>，水压</w:t>
      </w:r>
      <w:r>
        <w:rPr>
          <w:rFonts w:eastAsia="仿宋_GB2312"/>
        </w:rPr>
        <w:t>0.8MPa</w:t>
      </w:r>
      <w:r>
        <w:rPr>
          <w:rFonts w:hint="eastAsia" w:eastAsia="仿宋_GB2312"/>
        </w:rPr>
        <w:t>。</w:t>
      </w:r>
    </w:p>
    <w:p>
      <w:pPr>
        <w:pStyle w:val="4"/>
        <w:keepLines/>
        <w:widowControl/>
        <w:numPr>
          <w:ilvl w:val="2"/>
          <w:numId w:val="1"/>
        </w:numPr>
        <w:tabs>
          <w:tab w:val="clear" w:pos="432"/>
          <w:tab w:val="clear" w:pos="960"/>
        </w:tabs>
        <w:kinsoku/>
        <w:overflowPunct/>
        <w:topLinePunct w:val="0"/>
        <w:autoSpaceDE/>
        <w:autoSpaceDN/>
        <w:adjustRightInd/>
        <w:snapToGrid/>
        <w:ind w:left="0" w:firstLine="0"/>
        <w:jc w:val="both"/>
        <w:rPr>
          <w:rFonts w:eastAsia="仿宋_GB2312"/>
        </w:rPr>
      </w:pPr>
      <w:r>
        <w:rPr>
          <w:rFonts w:eastAsia="仿宋_GB2312"/>
        </w:rPr>
        <w:t>项目组成及布置</w:t>
      </w:r>
    </w:p>
    <w:p>
      <w:pPr>
        <w:tabs>
          <w:tab w:val="left" w:pos="840"/>
          <w:tab w:val="left" w:pos="1485"/>
        </w:tabs>
        <w:ind w:firstLine="480"/>
        <w:rPr>
          <w:rFonts w:eastAsia="仿宋_GB2312"/>
        </w:rPr>
      </w:pPr>
      <w:r>
        <w:rPr>
          <w:rFonts w:hint="eastAsia" w:eastAsia="仿宋_GB2312"/>
        </w:rPr>
        <w:t>第十四师224团小区给水管网改造项目</w:t>
      </w:r>
      <w:r>
        <w:rPr>
          <w:rFonts w:eastAsia="仿宋_GB2312"/>
        </w:rPr>
        <w:t>改</w:t>
      </w:r>
      <w:r>
        <w:rPr>
          <w:rFonts w:hint="eastAsia" w:eastAsia="仿宋_GB2312"/>
        </w:rPr>
        <w:t>建给水</w:t>
      </w:r>
      <w:r>
        <w:rPr>
          <w:rFonts w:eastAsia="仿宋_GB2312"/>
        </w:rPr>
        <w:t>管道</w:t>
      </w:r>
      <w:r>
        <w:rPr>
          <w:rFonts w:hint="eastAsia" w:eastAsia="仿宋_GB2312"/>
        </w:rPr>
        <w:t>5064m</w:t>
      </w:r>
      <w:r>
        <w:rPr>
          <w:rFonts w:eastAsia="仿宋_GB2312"/>
        </w:rPr>
        <w:t>，</w:t>
      </w:r>
      <w:r>
        <w:rPr>
          <w:rFonts w:hint="eastAsia" w:eastAsia="仿宋_GB2312"/>
        </w:rPr>
        <w:t>配套室外消火栓28座，给水阀门井82座。本项目主要由管道工程区、附属构筑物区组成。项目组成统计表，见表</w:t>
      </w:r>
      <w:r>
        <w:rPr>
          <w:rFonts w:eastAsia="仿宋_GB2312"/>
        </w:rPr>
        <w:t>2.1-2</w:t>
      </w:r>
      <w:r>
        <w:rPr>
          <w:rFonts w:hint="eastAsia" w:eastAsia="仿宋_GB2312"/>
        </w:rPr>
        <w:t>。</w:t>
      </w:r>
    </w:p>
    <w:p>
      <w:pPr>
        <w:topLinePunct w:val="0"/>
        <w:spacing w:line="240" w:lineRule="auto"/>
        <w:ind w:firstLine="0" w:firstLineChars="0"/>
        <w:jc w:val="center"/>
        <w:rPr>
          <w:rFonts w:eastAsia="仿宋_GB2312"/>
          <w:b/>
        </w:rPr>
      </w:pPr>
      <w:r>
        <w:rPr>
          <w:rFonts w:hint="eastAsia" w:eastAsia="仿宋_GB2312"/>
          <w:b/>
        </w:rPr>
        <w:t>表</w:t>
      </w:r>
      <w:r>
        <w:rPr>
          <w:rFonts w:eastAsia="仿宋_GB2312"/>
          <w:b/>
        </w:rPr>
        <w:t xml:space="preserve">2.1-2   </w:t>
      </w:r>
      <w:r>
        <w:rPr>
          <w:rFonts w:hint="eastAsia" w:eastAsia="仿宋_GB2312"/>
          <w:b/>
        </w:rPr>
        <w:t>项目组成统计表</w:t>
      </w:r>
    </w:p>
    <w:tbl>
      <w:tblPr>
        <w:tblStyle w:val="40"/>
        <w:tblW w:w="5000" w:type="pct"/>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0" w:type="dxa"/>
          <w:bottom w:w="0" w:type="dxa"/>
          <w:right w:w="0" w:type="dxa"/>
        </w:tblCellMar>
      </w:tblPr>
      <w:tblGrid>
        <w:gridCol w:w="1839"/>
        <w:gridCol w:w="6491"/>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1104" w:type="pct"/>
            <w:vAlign w:val="center"/>
          </w:tcPr>
          <w:p>
            <w:pPr>
              <w:autoSpaceDE w:val="0"/>
              <w:autoSpaceDN w:val="0"/>
              <w:spacing w:line="0" w:lineRule="atLeast"/>
              <w:ind w:right="-20" w:firstLine="0" w:firstLineChars="0"/>
              <w:jc w:val="center"/>
              <w:rPr>
                <w:rFonts w:eastAsia="仿宋_GB2312"/>
                <w:position w:val="-2"/>
                <w:sz w:val="21"/>
                <w:szCs w:val="21"/>
              </w:rPr>
            </w:pPr>
            <w:r>
              <w:rPr>
                <w:rFonts w:hint="eastAsia" w:eastAsia="仿宋_GB2312"/>
                <w:position w:val="-2"/>
                <w:sz w:val="21"/>
                <w:szCs w:val="21"/>
              </w:rPr>
              <w:t>项目组成名称</w:t>
            </w:r>
          </w:p>
        </w:tc>
        <w:tc>
          <w:tcPr>
            <w:tcW w:w="3896" w:type="pct"/>
            <w:vAlign w:val="center"/>
          </w:tcPr>
          <w:p>
            <w:pPr>
              <w:autoSpaceDE w:val="0"/>
              <w:autoSpaceDN w:val="0"/>
              <w:spacing w:line="0" w:lineRule="atLeast"/>
              <w:ind w:right="-20" w:firstLine="0" w:firstLineChars="0"/>
              <w:jc w:val="center"/>
              <w:rPr>
                <w:rFonts w:eastAsia="仿宋_GB2312"/>
                <w:sz w:val="21"/>
                <w:szCs w:val="21"/>
              </w:rPr>
            </w:pPr>
            <w:r>
              <w:rPr>
                <w:rFonts w:hint="eastAsia" w:eastAsia="仿宋_GB2312"/>
                <w:sz w:val="21"/>
                <w:szCs w:val="21"/>
              </w:rPr>
              <w:t>建设内容</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1104" w:type="pct"/>
            <w:vAlign w:val="center"/>
          </w:tcPr>
          <w:p>
            <w:pPr>
              <w:autoSpaceDE w:val="0"/>
              <w:autoSpaceDN w:val="0"/>
              <w:spacing w:line="0" w:lineRule="atLeast"/>
              <w:ind w:right="-20" w:firstLine="0" w:firstLineChars="0"/>
              <w:jc w:val="center"/>
              <w:rPr>
                <w:rFonts w:eastAsia="仿宋_GB2312"/>
                <w:position w:val="-2"/>
                <w:sz w:val="21"/>
                <w:szCs w:val="21"/>
              </w:rPr>
            </w:pPr>
            <w:r>
              <w:rPr>
                <w:rFonts w:hint="eastAsia" w:eastAsia="仿宋_GB2312"/>
                <w:position w:val="-2"/>
                <w:sz w:val="21"/>
                <w:szCs w:val="21"/>
              </w:rPr>
              <w:t>管道工程区</w:t>
            </w:r>
          </w:p>
        </w:tc>
        <w:tc>
          <w:tcPr>
            <w:tcW w:w="3896" w:type="pct"/>
            <w:vAlign w:val="center"/>
          </w:tcPr>
          <w:p>
            <w:pPr>
              <w:autoSpaceDE w:val="0"/>
              <w:autoSpaceDN w:val="0"/>
              <w:spacing w:line="0" w:lineRule="atLeast"/>
              <w:ind w:right="-20" w:firstLine="0" w:firstLineChars="0"/>
              <w:jc w:val="center"/>
              <w:rPr>
                <w:rFonts w:eastAsia="仿宋_GB2312"/>
                <w:position w:val="-2"/>
                <w:sz w:val="21"/>
                <w:szCs w:val="21"/>
              </w:rPr>
            </w:pPr>
            <w:r>
              <w:rPr>
                <w:rFonts w:eastAsia="仿宋_GB2312"/>
                <w:position w:val="-2"/>
                <w:sz w:val="21"/>
                <w:szCs w:val="21"/>
              </w:rPr>
              <w:t>改</w:t>
            </w:r>
            <w:r>
              <w:rPr>
                <w:rFonts w:hint="eastAsia" w:eastAsia="仿宋_GB2312"/>
                <w:position w:val="-2"/>
                <w:sz w:val="21"/>
                <w:szCs w:val="21"/>
              </w:rPr>
              <w:t>建给水</w:t>
            </w:r>
            <w:r>
              <w:rPr>
                <w:rFonts w:eastAsia="仿宋_GB2312"/>
                <w:position w:val="-2"/>
                <w:sz w:val="21"/>
                <w:szCs w:val="21"/>
              </w:rPr>
              <w:t>管道</w:t>
            </w:r>
            <w:r>
              <w:rPr>
                <w:rFonts w:hint="eastAsia" w:eastAsia="仿宋_GB2312"/>
                <w:position w:val="-2"/>
                <w:sz w:val="21"/>
                <w:szCs w:val="21"/>
              </w:rPr>
              <w:t>5064m</w:t>
            </w:r>
            <w:r>
              <w:rPr>
                <w:rFonts w:eastAsia="仿宋_GB2312"/>
                <w:position w:val="-2"/>
                <w:sz w:val="21"/>
                <w:szCs w:val="21"/>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1104" w:type="pct"/>
            <w:vAlign w:val="center"/>
          </w:tcPr>
          <w:p>
            <w:pPr>
              <w:autoSpaceDE w:val="0"/>
              <w:autoSpaceDN w:val="0"/>
              <w:spacing w:line="0" w:lineRule="atLeast"/>
              <w:ind w:right="-20" w:firstLine="0" w:firstLineChars="0"/>
              <w:jc w:val="center"/>
              <w:rPr>
                <w:rFonts w:eastAsia="仿宋_GB2312"/>
                <w:position w:val="-2"/>
                <w:sz w:val="21"/>
                <w:szCs w:val="21"/>
              </w:rPr>
            </w:pPr>
            <w:r>
              <w:rPr>
                <w:rFonts w:hint="eastAsia" w:eastAsia="仿宋_GB2312"/>
                <w:position w:val="-2"/>
                <w:sz w:val="21"/>
                <w:szCs w:val="21"/>
              </w:rPr>
              <w:t>附属构筑物区</w:t>
            </w:r>
          </w:p>
        </w:tc>
        <w:tc>
          <w:tcPr>
            <w:tcW w:w="3896" w:type="pct"/>
            <w:vAlign w:val="center"/>
          </w:tcPr>
          <w:p>
            <w:pPr>
              <w:autoSpaceDE w:val="0"/>
              <w:autoSpaceDN w:val="0"/>
              <w:spacing w:line="0" w:lineRule="atLeast"/>
              <w:ind w:right="-20" w:firstLine="0" w:firstLineChars="0"/>
              <w:jc w:val="center"/>
              <w:rPr>
                <w:rFonts w:eastAsia="仿宋_GB2312"/>
                <w:position w:val="-2"/>
                <w:sz w:val="21"/>
                <w:szCs w:val="21"/>
              </w:rPr>
            </w:pPr>
            <w:r>
              <w:rPr>
                <w:rFonts w:hint="eastAsia" w:eastAsia="仿宋_GB2312"/>
                <w:position w:val="-2"/>
                <w:sz w:val="21"/>
                <w:szCs w:val="21"/>
              </w:rPr>
              <w:t>配套室外消火栓28座，给水阀门井82座</w:t>
            </w:r>
            <w:r>
              <w:rPr>
                <w:rFonts w:eastAsia="仿宋_GB2312"/>
                <w:position w:val="-2"/>
                <w:sz w:val="21"/>
                <w:szCs w:val="21"/>
              </w:rPr>
              <w:t>。</w:t>
            </w:r>
          </w:p>
        </w:tc>
      </w:tr>
    </w:tbl>
    <w:p>
      <w:pPr>
        <w:pStyle w:val="5"/>
        <w:spacing w:beforeLines="100"/>
      </w:pPr>
      <w:bookmarkStart w:id="147" w:name="_Toc7801549"/>
      <w:bookmarkStart w:id="148" w:name="_Toc7801389"/>
      <w:bookmarkStart w:id="149" w:name="_Toc7801456"/>
      <w:r>
        <w:rPr>
          <w:rFonts w:hint="eastAsia"/>
        </w:rPr>
        <w:t>平面布置</w:t>
      </w:r>
    </w:p>
    <w:p>
      <w:pPr>
        <w:tabs>
          <w:tab w:val="left" w:pos="840"/>
          <w:tab w:val="left" w:pos="1485"/>
        </w:tabs>
        <w:ind w:firstLine="480"/>
        <w:rPr>
          <w:rFonts w:eastAsia="仿宋_GB2312"/>
        </w:rPr>
      </w:pPr>
      <w:r>
        <w:rPr>
          <w:rFonts w:hint="eastAsia" w:eastAsia="仿宋_GB2312"/>
        </w:rPr>
        <w:t>根据224团天翔、明珠小区已建供水管道铺设情况，本次工程沿用原工程布置，管网布置采用树枝状形式，根据地形现状和小区现状，给水管道沿小区内道路一侧的布置到每栋单元楼。</w:t>
      </w:r>
    </w:p>
    <w:p>
      <w:pPr>
        <w:pStyle w:val="5"/>
      </w:pPr>
      <w:r>
        <w:rPr>
          <w:rFonts w:hint="eastAsia"/>
        </w:rPr>
        <w:t>管道工程区</w:t>
      </w:r>
    </w:p>
    <w:p>
      <w:pPr>
        <w:tabs>
          <w:tab w:val="left" w:pos="840"/>
          <w:tab w:val="left" w:pos="1485"/>
        </w:tabs>
        <w:ind w:firstLine="480"/>
        <w:rPr>
          <w:rFonts w:eastAsia="仿宋_GB2312"/>
        </w:rPr>
      </w:pPr>
      <w:r>
        <w:rPr>
          <w:rFonts w:hint="eastAsia" w:eastAsia="仿宋_GB2312"/>
        </w:rPr>
        <w:t>本项目</w:t>
      </w:r>
      <w:r>
        <w:rPr>
          <w:rFonts w:eastAsia="仿宋_GB2312"/>
        </w:rPr>
        <w:t>改造</w:t>
      </w:r>
      <w:r>
        <w:rPr>
          <w:rFonts w:hint="eastAsia" w:eastAsia="仿宋_GB2312"/>
        </w:rPr>
        <w:t>给水</w:t>
      </w:r>
      <w:r>
        <w:rPr>
          <w:rFonts w:eastAsia="仿宋_GB2312"/>
        </w:rPr>
        <w:t>管道</w:t>
      </w:r>
      <w:r>
        <w:rPr>
          <w:rFonts w:hint="eastAsia" w:eastAsia="仿宋_GB2312"/>
        </w:rPr>
        <w:t>5064</w:t>
      </w:r>
      <w:r>
        <w:rPr>
          <w:rFonts w:eastAsia="仿宋_GB2312"/>
        </w:rPr>
        <w:t>m，其中</w:t>
      </w:r>
      <w:r>
        <w:rPr>
          <w:rFonts w:hint="eastAsia" w:eastAsia="仿宋_GB2312"/>
        </w:rPr>
        <w:t>改造天翔小区</w:t>
      </w:r>
      <w:r>
        <w:rPr>
          <w:rFonts w:eastAsia="仿宋_GB2312"/>
        </w:rPr>
        <w:t>管道</w:t>
      </w:r>
      <w:r>
        <w:rPr>
          <w:rFonts w:hint="eastAsia" w:eastAsia="仿宋_GB2312"/>
        </w:rPr>
        <w:t>2574</w:t>
      </w:r>
      <w:r>
        <w:rPr>
          <w:rFonts w:eastAsia="仿宋_GB2312"/>
        </w:rPr>
        <w:t>m，</w:t>
      </w:r>
      <w:r>
        <w:rPr>
          <w:rFonts w:hint="eastAsia" w:eastAsia="仿宋_GB2312"/>
        </w:rPr>
        <w:t>改造明珠小区</w:t>
      </w:r>
      <w:r>
        <w:rPr>
          <w:rFonts w:eastAsia="仿宋_GB2312"/>
        </w:rPr>
        <w:t>管道</w:t>
      </w:r>
      <w:r>
        <w:rPr>
          <w:rFonts w:hint="eastAsia" w:eastAsia="仿宋_GB2312"/>
        </w:rPr>
        <w:t>2490</w:t>
      </w:r>
      <w:r>
        <w:rPr>
          <w:rFonts w:eastAsia="仿宋_GB2312"/>
        </w:rPr>
        <w:t>m。</w:t>
      </w:r>
      <w:r>
        <w:rPr>
          <w:rFonts w:hint="eastAsia" w:eastAsia="仿宋_GB2312"/>
        </w:rPr>
        <w:t>总占地面积为1.73hm</w:t>
      </w:r>
      <w:r>
        <w:rPr>
          <w:rFonts w:hint="eastAsia" w:eastAsia="仿宋_GB2312"/>
          <w:vertAlign w:val="superscript"/>
        </w:rPr>
        <w:t>2</w:t>
      </w:r>
      <w:r>
        <w:rPr>
          <w:rFonts w:hint="eastAsia" w:eastAsia="仿宋_GB2312"/>
        </w:rPr>
        <w:t>（DN</w:t>
      </w:r>
      <w:r>
        <w:rPr>
          <w:rFonts w:eastAsia="仿宋_GB2312"/>
        </w:rPr>
        <w:t>70</w:t>
      </w:r>
      <w:r>
        <w:rPr>
          <w:rFonts w:hint="eastAsia" w:eastAsia="仿宋_GB2312"/>
        </w:rPr>
        <w:t>、DN4</w:t>
      </w:r>
      <w:r>
        <w:rPr>
          <w:rFonts w:eastAsia="仿宋_GB2312"/>
        </w:rPr>
        <w:t>0</w:t>
      </w:r>
      <w:r>
        <w:rPr>
          <w:rFonts w:hint="eastAsia" w:eastAsia="仿宋_GB2312"/>
        </w:rPr>
        <w:t>为室内管网，面积不纳入本项目），全部为临时占地。</w:t>
      </w:r>
    </w:p>
    <w:p>
      <w:pPr>
        <w:tabs>
          <w:tab w:val="left" w:pos="840"/>
          <w:tab w:val="left" w:pos="1485"/>
        </w:tabs>
        <w:ind w:firstLine="480"/>
        <w:rPr>
          <w:rFonts w:eastAsia="仿宋_GB2312"/>
          <w:b/>
        </w:rPr>
      </w:pPr>
      <w:r>
        <w:rPr>
          <w:rFonts w:hint="eastAsia" w:eastAsia="仿宋_GB2312"/>
          <w:b/>
        </w:rPr>
        <w:t>1、供水管道管材的选择</w:t>
      </w:r>
    </w:p>
    <w:p>
      <w:pPr>
        <w:tabs>
          <w:tab w:val="left" w:pos="840"/>
          <w:tab w:val="left" w:pos="1485"/>
        </w:tabs>
        <w:ind w:firstLine="480"/>
        <w:rPr>
          <w:rFonts w:eastAsia="仿宋_GB2312"/>
        </w:rPr>
      </w:pPr>
      <w:r>
        <w:rPr>
          <w:rFonts w:hint="eastAsia" w:eastAsia="仿宋_GB2312"/>
        </w:rPr>
        <w:t>根据本工程的供水规模，供水管径为</w:t>
      </w:r>
      <w:r>
        <w:rPr>
          <w:rFonts w:eastAsia="仿宋_GB2312"/>
        </w:rPr>
        <w:t>DN100~DN300</w:t>
      </w:r>
      <w:r>
        <w:rPr>
          <w:rFonts w:hint="eastAsia" w:eastAsia="仿宋_GB2312"/>
        </w:rPr>
        <w:t>之间，通过对不同管材技术经济比较，本工程推荐供水管道选用钢丝网骨架塑料复合管（</w:t>
      </w:r>
      <w:r>
        <w:rPr>
          <w:rFonts w:eastAsia="仿宋_GB2312"/>
        </w:rPr>
        <w:t>srtp</w:t>
      </w:r>
      <w:r>
        <w:rPr>
          <w:rFonts w:hint="eastAsia" w:eastAsia="仿宋_GB2312"/>
        </w:rPr>
        <w:t>管），公称压力为</w:t>
      </w:r>
      <w:r>
        <w:rPr>
          <w:rFonts w:eastAsia="仿宋_GB2312"/>
        </w:rPr>
        <w:t>1.0MPa</w:t>
      </w:r>
      <w:r>
        <w:rPr>
          <w:rFonts w:hint="eastAsia" w:eastAsia="仿宋_GB2312"/>
        </w:rPr>
        <w:t>。</w:t>
      </w:r>
    </w:p>
    <w:p>
      <w:pPr>
        <w:tabs>
          <w:tab w:val="left" w:pos="840"/>
          <w:tab w:val="left" w:pos="1485"/>
        </w:tabs>
        <w:ind w:firstLine="480"/>
        <w:rPr>
          <w:rFonts w:eastAsia="仿宋_GB2312"/>
          <w:b/>
        </w:rPr>
      </w:pPr>
      <w:r>
        <w:rPr>
          <w:rFonts w:hint="eastAsia" w:eastAsia="仿宋_GB2312"/>
          <w:b/>
        </w:rPr>
        <w:t>2、管道埋深、基础及接口设计</w:t>
      </w:r>
    </w:p>
    <w:p>
      <w:pPr>
        <w:tabs>
          <w:tab w:val="left" w:pos="840"/>
          <w:tab w:val="left" w:pos="1485"/>
        </w:tabs>
        <w:ind w:firstLine="480"/>
        <w:rPr>
          <w:rFonts w:eastAsia="仿宋_GB2312"/>
        </w:rPr>
      </w:pPr>
      <w:r>
        <w:rPr>
          <w:rFonts w:hint="eastAsia" w:ascii="宋体" w:hAnsi="宋体" w:eastAsia="宋体" w:cs="宋体"/>
        </w:rPr>
        <w:t>①</w:t>
      </w:r>
      <w:r>
        <w:rPr>
          <w:rFonts w:hint="eastAsia" w:eastAsia="仿宋_GB2312"/>
        </w:rPr>
        <w:t>管道埋深</w:t>
      </w:r>
    </w:p>
    <w:p>
      <w:pPr>
        <w:tabs>
          <w:tab w:val="left" w:pos="840"/>
          <w:tab w:val="left" w:pos="1485"/>
        </w:tabs>
        <w:ind w:firstLine="480"/>
        <w:rPr>
          <w:rFonts w:eastAsia="仿宋_GB2312"/>
        </w:rPr>
      </w:pPr>
      <w:r>
        <w:rPr>
          <w:rFonts w:hint="eastAsia" w:eastAsia="仿宋_GB2312"/>
        </w:rPr>
        <w:t>根据当地气象条件，在保证供水安全性的前提下，还要考虑埋设深度对工程造价的影响，本工程供水管网管顶覆土埋深在</w:t>
      </w:r>
      <w:r>
        <w:rPr>
          <w:rFonts w:eastAsia="仿宋_GB2312"/>
        </w:rPr>
        <w:t>1.2m</w:t>
      </w:r>
      <w:r>
        <w:rPr>
          <w:rFonts w:hint="eastAsia" w:eastAsia="仿宋_GB2312"/>
        </w:rPr>
        <w:t>左右，管道铺设采用直埋方式，开挖断面为梯形断面，其中管径DN200开挖底宽为1.2m，深度为1.4m，边坡0.25；管径DN160开挖底宽为1.1m，深度为1.36m，边坡0.25；管径DN110开挖底宽为1.0m，深度为1.31m，边坡0.25。</w:t>
      </w:r>
    </w:p>
    <w:p>
      <w:pPr>
        <w:tabs>
          <w:tab w:val="left" w:pos="840"/>
          <w:tab w:val="left" w:pos="1485"/>
        </w:tabs>
        <w:ind w:firstLine="0" w:firstLineChars="0"/>
        <w:jc w:val="center"/>
      </w:pPr>
      <w:r>
        <w:drawing>
          <wp:inline distT="0" distB="0" distL="114300" distR="114300">
            <wp:extent cx="3682365" cy="2474595"/>
            <wp:effectExtent l="0" t="0" r="5715" b="9525"/>
            <wp:docPr id="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6"/>
                    <pic:cNvPicPr>
                      <a:picLocks noChangeAspect="1"/>
                    </pic:cNvPicPr>
                  </pic:nvPicPr>
                  <pic:blipFill>
                    <a:blip r:embed="rId31"/>
                    <a:stretch>
                      <a:fillRect/>
                    </a:stretch>
                  </pic:blipFill>
                  <pic:spPr>
                    <a:xfrm>
                      <a:off x="0" y="0"/>
                      <a:ext cx="3682365" cy="2474595"/>
                    </a:xfrm>
                    <a:prstGeom prst="rect">
                      <a:avLst/>
                    </a:prstGeom>
                    <a:noFill/>
                    <a:ln>
                      <a:noFill/>
                    </a:ln>
                  </pic:spPr>
                </pic:pic>
              </a:graphicData>
            </a:graphic>
          </wp:inline>
        </w:drawing>
      </w:r>
    </w:p>
    <w:p>
      <w:pPr>
        <w:tabs>
          <w:tab w:val="left" w:pos="840"/>
          <w:tab w:val="left" w:pos="1485"/>
        </w:tabs>
        <w:ind w:firstLine="0" w:firstLineChars="0"/>
        <w:jc w:val="center"/>
      </w:pPr>
      <w:r>
        <w:rPr>
          <w:rFonts w:eastAsia="仿宋_GB2312"/>
          <w:b/>
        </w:rPr>
        <w:t>图2.</w:t>
      </w:r>
      <w:r>
        <w:rPr>
          <w:rFonts w:hint="eastAsia" w:eastAsia="仿宋_GB2312"/>
          <w:b/>
        </w:rPr>
        <w:t>1</w:t>
      </w:r>
      <w:r>
        <w:rPr>
          <w:rFonts w:eastAsia="仿宋_GB2312"/>
          <w:b/>
        </w:rPr>
        <w:t>-</w:t>
      </w:r>
      <w:r>
        <w:rPr>
          <w:rFonts w:hint="eastAsia" w:eastAsia="仿宋_GB2312"/>
          <w:b/>
        </w:rPr>
        <w:t>2管沟开挖断面图</w:t>
      </w:r>
    </w:p>
    <w:p>
      <w:pPr>
        <w:tabs>
          <w:tab w:val="left" w:pos="840"/>
          <w:tab w:val="left" w:pos="1485"/>
        </w:tabs>
        <w:ind w:firstLine="480"/>
        <w:rPr>
          <w:rFonts w:eastAsia="仿宋_GB2312"/>
        </w:rPr>
      </w:pPr>
      <w:r>
        <w:rPr>
          <w:rFonts w:hint="eastAsia" w:ascii="宋体" w:hAnsi="宋体" w:eastAsia="宋体" w:cs="宋体"/>
        </w:rPr>
        <w:t>②</w:t>
      </w:r>
      <w:r>
        <w:rPr>
          <w:rFonts w:hint="eastAsia" w:eastAsia="仿宋_GB2312"/>
        </w:rPr>
        <w:t>管道基础</w:t>
      </w:r>
    </w:p>
    <w:p>
      <w:pPr>
        <w:tabs>
          <w:tab w:val="left" w:pos="840"/>
          <w:tab w:val="left" w:pos="1485"/>
        </w:tabs>
        <w:ind w:firstLine="480"/>
        <w:rPr>
          <w:rFonts w:eastAsia="仿宋_GB2312"/>
        </w:rPr>
      </w:pPr>
      <w:r>
        <w:rPr>
          <w:rFonts w:hint="eastAsia" w:eastAsia="仿宋_GB2312"/>
        </w:rPr>
        <w:t>钢丝网骨架塑料复合管：管道基础采用</w:t>
      </w:r>
      <w:r>
        <w:rPr>
          <w:rFonts w:eastAsia="仿宋_GB2312"/>
        </w:rPr>
        <w:t>135</w:t>
      </w:r>
      <w:r>
        <w:rPr>
          <w:rFonts w:hint="eastAsia" w:eastAsia="仿宋_GB2312"/>
        </w:rPr>
        <w:t>°砂垫层基础，砂垫层压实密度不低于</w:t>
      </w:r>
      <w:r>
        <w:rPr>
          <w:rFonts w:eastAsia="仿宋_GB2312"/>
        </w:rPr>
        <w:t>95%</w:t>
      </w:r>
      <w:r>
        <w:rPr>
          <w:rFonts w:hint="eastAsia" w:eastAsia="仿宋_GB2312"/>
        </w:rPr>
        <w:t>，砂垫层基础厚度</w:t>
      </w:r>
      <w:r>
        <w:rPr>
          <w:rFonts w:eastAsia="仿宋_GB2312"/>
        </w:rPr>
        <w:t>100mm</w:t>
      </w:r>
      <w:r>
        <w:rPr>
          <w:rFonts w:hint="eastAsia" w:eastAsia="仿宋_GB2312"/>
        </w:rPr>
        <w:t>。</w:t>
      </w:r>
    </w:p>
    <w:p>
      <w:pPr>
        <w:tabs>
          <w:tab w:val="left" w:pos="840"/>
          <w:tab w:val="left" w:pos="1485"/>
        </w:tabs>
        <w:ind w:firstLine="480"/>
        <w:rPr>
          <w:rFonts w:eastAsia="仿宋_GB2312"/>
        </w:rPr>
      </w:pPr>
      <w:r>
        <w:rPr>
          <w:rFonts w:hint="eastAsia" w:ascii="宋体" w:hAnsi="宋体" w:eastAsia="宋体" w:cs="宋体"/>
        </w:rPr>
        <w:t>③</w:t>
      </w:r>
      <w:r>
        <w:rPr>
          <w:rFonts w:hint="eastAsia" w:eastAsia="仿宋_GB2312"/>
        </w:rPr>
        <w:t>管道接口</w:t>
      </w:r>
    </w:p>
    <w:p>
      <w:pPr>
        <w:tabs>
          <w:tab w:val="left" w:pos="840"/>
          <w:tab w:val="left" w:pos="1485"/>
        </w:tabs>
        <w:ind w:firstLine="480"/>
        <w:rPr>
          <w:rFonts w:eastAsia="仿宋_GB2312"/>
        </w:rPr>
      </w:pPr>
      <w:r>
        <w:rPr>
          <w:rFonts w:hint="eastAsia" w:eastAsia="仿宋_GB2312"/>
        </w:rPr>
        <w:t>本次设计采用电熔连接。</w:t>
      </w:r>
    </w:p>
    <w:p>
      <w:pPr>
        <w:tabs>
          <w:tab w:val="left" w:pos="840"/>
          <w:tab w:val="left" w:pos="1485"/>
        </w:tabs>
        <w:ind w:firstLine="480"/>
        <w:rPr>
          <w:rFonts w:eastAsia="仿宋_GB2312"/>
        </w:rPr>
      </w:pPr>
      <w:r>
        <w:rPr>
          <w:rFonts w:hint="eastAsia" w:ascii="宋体" w:hAnsi="宋体" w:eastAsia="宋体" w:cs="宋体"/>
        </w:rPr>
        <w:t>④</w:t>
      </w:r>
      <w:r>
        <w:rPr>
          <w:rFonts w:hint="eastAsia" w:eastAsia="仿宋_GB2312"/>
        </w:rPr>
        <w:t>管道施工</w:t>
      </w:r>
    </w:p>
    <w:p>
      <w:pPr>
        <w:tabs>
          <w:tab w:val="left" w:pos="840"/>
          <w:tab w:val="left" w:pos="1485"/>
        </w:tabs>
        <w:ind w:firstLine="480"/>
        <w:rPr>
          <w:rFonts w:eastAsia="仿宋_GB2312"/>
          <w:color w:val="FF0000"/>
        </w:rPr>
      </w:pPr>
      <w:r>
        <w:rPr>
          <w:rFonts w:hint="eastAsia" w:eastAsia="仿宋_GB2312"/>
          <w:color w:val="FF0000"/>
        </w:rPr>
        <w:t>施工采用沿小区硬化路面和绿化带敷设，施工完成后进行路面恢复。管道开挖作业带宽度为5m。项目建设过程，管沟开挖的土方，堆置在施工作业带一侧，为减少堆置期间水土流失，方案设计对临时堆土采取防尘网苫盖措施。</w:t>
      </w:r>
    </w:p>
    <w:p>
      <w:pPr>
        <w:tabs>
          <w:tab w:val="left" w:pos="840"/>
          <w:tab w:val="left" w:pos="1485"/>
        </w:tabs>
        <w:ind w:firstLine="480"/>
        <w:rPr>
          <w:rFonts w:eastAsia="仿宋_GB2312"/>
          <w:b/>
        </w:rPr>
      </w:pPr>
      <w:r>
        <w:rPr>
          <w:rFonts w:hint="eastAsia" w:eastAsia="仿宋_GB2312"/>
          <w:b/>
        </w:rPr>
        <w:t>3、主要工程量</w:t>
      </w:r>
    </w:p>
    <w:p>
      <w:pPr>
        <w:ind w:firstLine="480"/>
        <w:rPr>
          <w:rFonts w:eastAsia="仿宋_GB2312"/>
        </w:rPr>
      </w:pPr>
      <w:r>
        <w:rPr>
          <w:rFonts w:hint="eastAsia" w:eastAsia="仿宋_GB2312"/>
        </w:rPr>
        <w:t>①天翔小区</w:t>
      </w:r>
    </w:p>
    <w:p>
      <w:pPr>
        <w:ind w:firstLine="480"/>
        <w:rPr>
          <w:rFonts w:eastAsia="仿宋_GB2312"/>
        </w:rPr>
      </w:pPr>
      <w:r>
        <w:rPr>
          <w:rFonts w:hint="eastAsia" w:eastAsia="仿宋_GB2312"/>
        </w:rPr>
        <w:t>改建给水管道总长2574m（DN</w:t>
      </w:r>
      <w:r>
        <w:rPr>
          <w:rFonts w:eastAsia="仿宋_GB2312"/>
        </w:rPr>
        <w:t>70</w:t>
      </w:r>
      <w:r>
        <w:rPr>
          <w:rFonts w:hint="eastAsia" w:eastAsia="仿宋_GB2312"/>
        </w:rPr>
        <w:t>、DN4</w:t>
      </w:r>
      <w:r>
        <w:rPr>
          <w:rFonts w:eastAsia="仿宋_GB2312"/>
        </w:rPr>
        <w:t>0</w:t>
      </w:r>
      <w:r>
        <w:rPr>
          <w:rFonts w:hint="eastAsia" w:eastAsia="仿宋_GB2312"/>
        </w:rPr>
        <w:t>为室内管网），其中DN</w:t>
      </w:r>
      <w:r>
        <w:rPr>
          <w:rFonts w:eastAsia="仿宋_GB2312"/>
        </w:rPr>
        <w:t>200</w:t>
      </w:r>
      <w:r>
        <w:rPr>
          <w:rFonts w:hint="eastAsia" w:eastAsia="仿宋_GB2312"/>
        </w:rPr>
        <w:t>，</w:t>
      </w:r>
      <w:r>
        <w:rPr>
          <w:rFonts w:eastAsia="仿宋_GB2312"/>
        </w:rPr>
        <w:t>L=4m</w:t>
      </w:r>
      <w:r>
        <w:rPr>
          <w:rFonts w:hint="eastAsia" w:eastAsia="仿宋_GB2312"/>
        </w:rPr>
        <w:t>；DN</w:t>
      </w:r>
      <w:r>
        <w:rPr>
          <w:rFonts w:eastAsia="仿宋_GB2312"/>
        </w:rPr>
        <w:t>160</w:t>
      </w:r>
      <w:r>
        <w:rPr>
          <w:rFonts w:hint="eastAsia" w:eastAsia="仿宋_GB2312"/>
        </w:rPr>
        <w:t>，</w:t>
      </w:r>
      <w:r>
        <w:rPr>
          <w:rFonts w:eastAsia="仿宋_GB2312"/>
        </w:rPr>
        <w:t>L=290m</w:t>
      </w:r>
      <w:r>
        <w:rPr>
          <w:rFonts w:hint="eastAsia" w:eastAsia="仿宋_GB2312"/>
        </w:rPr>
        <w:t>；DN</w:t>
      </w:r>
      <w:r>
        <w:rPr>
          <w:rFonts w:eastAsia="仿宋_GB2312"/>
        </w:rPr>
        <w:t>110</w:t>
      </w:r>
      <w:r>
        <w:rPr>
          <w:rFonts w:hint="eastAsia" w:eastAsia="仿宋_GB2312"/>
        </w:rPr>
        <w:t>，L</w:t>
      </w:r>
      <w:r>
        <w:rPr>
          <w:rFonts w:eastAsia="仿宋_GB2312"/>
        </w:rPr>
        <w:t>=680</w:t>
      </w:r>
      <w:r>
        <w:rPr>
          <w:rFonts w:hint="eastAsia" w:eastAsia="仿宋_GB2312"/>
        </w:rPr>
        <w:t>；DN</w:t>
      </w:r>
      <w:r>
        <w:rPr>
          <w:rFonts w:eastAsia="仿宋_GB2312"/>
        </w:rPr>
        <w:t>70</w:t>
      </w:r>
      <w:r>
        <w:rPr>
          <w:rFonts w:hint="eastAsia" w:eastAsia="仿宋_GB2312"/>
        </w:rPr>
        <w:t>，L</w:t>
      </w:r>
      <w:r>
        <w:rPr>
          <w:rFonts w:eastAsia="仿宋_GB2312"/>
        </w:rPr>
        <w:t>=1500m</w:t>
      </w:r>
      <w:r>
        <w:rPr>
          <w:rFonts w:hint="eastAsia" w:eastAsia="仿宋_GB2312"/>
        </w:rPr>
        <w:t>；DN</w:t>
      </w:r>
      <w:r>
        <w:rPr>
          <w:rFonts w:eastAsia="仿宋_GB2312"/>
        </w:rPr>
        <w:t>40</w:t>
      </w:r>
      <w:r>
        <w:rPr>
          <w:rFonts w:hint="eastAsia" w:eastAsia="仿宋_GB2312"/>
        </w:rPr>
        <w:t>，L</w:t>
      </w:r>
      <w:r>
        <w:rPr>
          <w:rFonts w:eastAsia="仿宋_GB2312"/>
        </w:rPr>
        <w:t>=100m</w:t>
      </w:r>
      <w:r>
        <w:rPr>
          <w:rFonts w:hint="eastAsia" w:eastAsia="仿宋_GB2312"/>
        </w:rPr>
        <w:t>。管材采用钢丝网骨架塑料复合管。</w:t>
      </w:r>
    </w:p>
    <w:p>
      <w:pPr>
        <w:ind w:firstLine="480"/>
        <w:rPr>
          <w:rFonts w:eastAsia="仿宋_GB2312"/>
        </w:rPr>
      </w:pPr>
      <w:r>
        <w:rPr>
          <w:rFonts w:hint="eastAsia" w:eastAsia="仿宋_GB2312"/>
        </w:rPr>
        <w:t>②明珠小区</w:t>
      </w:r>
    </w:p>
    <w:p>
      <w:pPr>
        <w:ind w:firstLine="480"/>
        <w:rPr>
          <w:rFonts w:eastAsia="仿宋_GB2312"/>
        </w:rPr>
      </w:pPr>
      <w:r>
        <w:rPr>
          <w:rFonts w:hint="eastAsia" w:eastAsia="仿宋_GB2312"/>
        </w:rPr>
        <w:t>改建给水管道总长2490m（DN4</w:t>
      </w:r>
      <w:r>
        <w:rPr>
          <w:rFonts w:eastAsia="仿宋_GB2312"/>
        </w:rPr>
        <w:t>0</w:t>
      </w:r>
      <w:r>
        <w:rPr>
          <w:rFonts w:hint="eastAsia" w:eastAsia="仿宋_GB2312"/>
        </w:rPr>
        <w:t>为室内管网），其中DN</w:t>
      </w:r>
      <w:r>
        <w:rPr>
          <w:rFonts w:eastAsia="仿宋_GB2312"/>
        </w:rPr>
        <w:t>200</w:t>
      </w:r>
      <w:r>
        <w:rPr>
          <w:rFonts w:hint="eastAsia" w:eastAsia="仿宋_GB2312"/>
        </w:rPr>
        <w:t>，</w:t>
      </w:r>
      <w:r>
        <w:rPr>
          <w:rFonts w:eastAsia="仿宋_GB2312"/>
        </w:rPr>
        <w:t>L=300m</w:t>
      </w:r>
      <w:r>
        <w:rPr>
          <w:rFonts w:hint="eastAsia" w:eastAsia="仿宋_GB2312"/>
        </w:rPr>
        <w:t>；DN</w:t>
      </w:r>
      <w:r>
        <w:rPr>
          <w:rFonts w:eastAsia="仿宋_GB2312"/>
        </w:rPr>
        <w:t>160</w:t>
      </w:r>
      <w:r>
        <w:rPr>
          <w:rFonts w:hint="eastAsia" w:eastAsia="仿宋_GB2312"/>
        </w:rPr>
        <w:t>，</w:t>
      </w:r>
      <w:r>
        <w:rPr>
          <w:rFonts w:eastAsia="仿宋_GB2312"/>
        </w:rPr>
        <w:t>L=680m</w:t>
      </w:r>
      <w:r>
        <w:rPr>
          <w:rFonts w:hint="eastAsia" w:eastAsia="仿宋_GB2312"/>
        </w:rPr>
        <w:t>；DN</w:t>
      </w:r>
      <w:r>
        <w:rPr>
          <w:rFonts w:eastAsia="仿宋_GB2312"/>
        </w:rPr>
        <w:t>110</w:t>
      </w:r>
      <w:r>
        <w:rPr>
          <w:rFonts w:hint="eastAsia" w:eastAsia="仿宋_GB2312"/>
        </w:rPr>
        <w:t>，</w:t>
      </w:r>
      <w:r>
        <w:rPr>
          <w:rFonts w:eastAsia="仿宋_GB2312"/>
        </w:rPr>
        <w:t>L=1500m</w:t>
      </w:r>
      <w:r>
        <w:rPr>
          <w:rFonts w:hint="eastAsia" w:eastAsia="仿宋_GB2312"/>
        </w:rPr>
        <w:t>；DN</w:t>
      </w:r>
      <w:r>
        <w:rPr>
          <w:rFonts w:eastAsia="仿宋_GB2312"/>
        </w:rPr>
        <w:t>40</w:t>
      </w:r>
      <w:r>
        <w:rPr>
          <w:rFonts w:hint="eastAsia" w:eastAsia="仿宋_GB2312"/>
        </w:rPr>
        <w:t>，</w:t>
      </w:r>
      <w:r>
        <w:rPr>
          <w:rFonts w:eastAsia="仿宋_GB2312"/>
        </w:rPr>
        <w:t>L=10m</w:t>
      </w:r>
      <w:r>
        <w:rPr>
          <w:rFonts w:hint="eastAsia" w:eastAsia="仿宋_GB2312"/>
        </w:rPr>
        <w:t>。管材采用钢丝网骨架塑料复合管。</w:t>
      </w:r>
    </w:p>
    <w:p>
      <w:pPr>
        <w:ind w:firstLine="480"/>
        <w:rPr>
          <w:rFonts w:eastAsia="仿宋_GB2312"/>
        </w:rPr>
      </w:pPr>
      <w:r>
        <w:rPr>
          <w:rFonts w:hint="eastAsia" w:eastAsia="仿宋_GB2312"/>
        </w:rPr>
        <w:t>③道路恢复：本次管道改造中有</w:t>
      </w:r>
      <w:r>
        <w:rPr>
          <w:rFonts w:eastAsia="仿宋_GB2312"/>
        </w:rPr>
        <w:t>2294.5m</w:t>
      </w:r>
      <w:r>
        <w:rPr>
          <w:rFonts w:hint="eastAsia" w:eastAsia="仿宋_GB2312"/>
        </w:rPr>
        <w:t>需要破路施工，道路恢复的面积约为</w:t>
      </w:r>
      <w:r>
        <w:rPr>
          <w:rFonts w:eastAsia="仿宋_GB2312"/>
        </w:rPr>
        <w:t>11778m</w:t>
      </w:r>
      <w:r>
        <w:rPr>
          <w:rFonts w:eastAsia="仿宋_GB2312"/>
          <w:vertAlign w:val="superscript"/>
        </w:rPr>
        <w:t>2</w:t>
      </w:r>
      <w:r>
        <w:rPr>
          <w:rFonts w:hint="eastAsia" w:eastAsia="仿宋_GB2312"/>
        </w:rPr>
        <w:t>。做法：</w:t>
      </w:r>
      <w:r>
        <w:rPr>
          <w:rFonts w:eastAsia="仿宋_GB2312"/>
        </w:rPr>
        <w:t>30mm</w:t>
      </w:r>
      <w:r>
        <w:rPr>
          <w:rFonts w:hint="eastAsia" w:eastAsia="仿宋_GB2312"/>
        </w:rPr>
        <w:t>厚天然级配砂垫层，其上铺设</w:t>
      </w:r>
      <w:r>
        <w:rPr>
          <w:rFonts w:eastAsia="仿宋_GB2312"/>
        </w:rPr>
        <w:t>20mm</w:t>
      </w:r>
      <w:r>
        <w:rPr>
          <w:rFonts w:hint="eastAsia" w:eastAsia="仿宋_GB2312"/>
        </w:rPr>
        <w:t>厚的</w:t>
      </w:r>
      <w:r>
        <w:rPr>
          <w:rFonts w:eastAsia="仿宋_GB2312"/>
        </w:rPr>
        <w:t>5%</w:t>
      </w:r>
      <w:r>
        <w:rPr>
          <w:rFonts w:hint="eastAsia" w:eastAsia="仿宋_GB2312"/>
        </w:rPr>
        <w:t>水泥稳定砂砾，面层采用中粒式沥青混凝土（</w:t>
      </w:r>
      <w:r>
        <w:rPr>
          <w:rFonts w:eastAsia="仿宋_GB2312"/>
        </w:rPr>
        <w:t>AC-16</w:t>
      </w:r>
      <w:r>
        <w:rPr>
          <w:rFonts w:hint="eastAsia" w:eastAsia="仿宋_GB2312"/>
        </w:rPr>
        <w:t>）。</w:t>
      </w:r>
    </w:p>
    <w:p>
      <w:pPr>
        <w:pStyle w:val="5"/>
      </w:pPr>
      <w:r>
        <w:rPr>
          <w:rFonts w:hint="eastAsia"/>
        </w:rPr>
        <w:t>附属构筑物区</w:t>
      </w:r>
    </w:p>
    <w:p>
      <w:pPr>
        <w:ind w:firstLine="480"/>
        <w:rPr>
          <w:rFonts w:eastAsia="仿宋_GB2312"/>
        </w:rPr>
      </w:pPr>
      <w:r>
        <w:rPr>
          <w:rFonts w:hint="eastAsia" w:eastAsia="仿宋_GB2312"/>
        </w:rPr>
        <w:t>本次管道改造中需配套室外消火栓28座，给水阀门井82座</w:t>
      </w:r>
      <w:r>
        <w:rPr>
          <w:rFonts w:eastAsia="仿宋_GB2312"/>
        </w:rPr>
        <w:t>。</w:t>
      </w:r>
      <w:r>
        <w:rPr>
          <w:rFonts w:hint="eastAsia" w:eastAsia="仿宋_GB2312"/>
        </w:rPr>
        <w:t>附属构筑物区总占地面积为0.11hm</w:t>
      </w:r>
      <w:r>
        <w:rPr>
          <w:rFonts w:hint="eastAsia" w:eastAsia="仿宋_GB2312"/>
          <w:vertAlign w:val="superscript"/>
        </w:rPr>
        <w:t>2</w:t>
      </w:r>
      <w:r>
        <w:rPr>
          <w:rFonts w:hint="eastAsia" w:eastAsia="仿宋_GB2312"/>
        </w:rPr>
        <w:t>，全部为永久占地。</w:t>
      </w:r>
    </w:p>
    <w:p>
      <w:pPr>
        <w:ind w:firstLine="480"/>
        <w:rPr>
          <w:rFonts w:eastAsia="仿宋_GB2312"/>
          <w:b/>
        </w:rPr>
      </w:pPr>
      <w:r>
        <w:rPr>
          <w:rFonts w:hint="eastAsia" w:eastAsia="仿宋_GB2312"/>
          <w:b/>
        </w:rPr>
        <w:t>1、消火栓井</w:t>
      </w:r>
    </w:p>
    <w:p>
      <w:pPr>
        <w:ind w:firstLine="480"/>
        <w:rPr>
          <w:rFonts w:eastAsia="仿宋_GB2312"/>
        </w:rPr>
      </w:pPr>
      <w:r>
        <w:rPr>
          <w:rFonts w:hint="eastAsia" w:eastAsia="仿宋_GB2312"/>
        </w:rPr>
        <w:t>为了满足消防要求，必须设置消火栓井，其最大间距为</w:t>
      </w:r>
      <w:r>
        <w:rPr>
          <w:rFonts w:eastAsia="仿宋_GB2312"/>
        </w:rPr>
        <w:t>120m</w:t>
      </w:r>
      <w:r>
        <w:rPr>
          <w:rFonts w:hint="eastAsia" w:eastAsia="仿宋_GB2312"/>
        </w:rPr>
        <w:t>，并尽量靠近十字路口，消火栓最小压力为</w:t>
      </w:r>
      <w:r>
        <w:rPr>
          <w:rFonts w:eastAsia="仿宋_GB2312"/>
        </w:rPr>
        <w:t>0.10Mpa</w:t>
      </w:r>
      <w:r>
        <w:rPr>
          <w:rFonts w:hint="eastAsia" w:eastAsia="仿宋_GB2312"/>
        </w:rPr>
        <w:t>，消火栓的接管管径不小于</w:t>
      </w:r>
      <w:r>
        <w:rPr>
          <w:rFonts w:eastAsia="仿宋_GB2312"/>
        </w:rPr>
        <w:t>DN100</w:t>
      </w:r>
      <w:r>
        <w:rPr>
          <w:rFonts w:hint="eastAsia" w:eastAsia="仿宋_GB2312"/>
        </w:rPr>
        <w:t>（</w:t>
      </w:r>
      <w:r>
        <w:rPr>
          <w:rFonts w:eastAsia="仿宋_GB2312"/>
        </w:rPr>
        <w:t>mm</w:t>
      </w:r>
      <w:r>
        <w:rPr>
          <w:rFonts w:hint="eastAsia" w:eastAsia="仿宋_GB2312"/>
        </w:rPr>
        <w:t>），每座消火栓井附近需设置消火栓井标志牌。</w:t>
      </w:r>
    </w:p>
    <w:p>
      <w:pPr>
        <w:ind w:firstLine="480"/>
        <w:rPr>
          <w:rFonts w:eastAsia="仿宋_GB2312"/>
          <w:b/>
        </w:rPr>
      </w:pPr>
      <w:r>
        <w:rPr>
          <w:rFonts w:hint="eastAsia" w:eastAsia="仿宋_GB2312"/>
          <w:b/>
        </w:rPr>
        <w:t>2、阀门井</w:t>
      </w:r>
    </w:p>
    <w:p>
      <w:pPr>
        <w:ind w:firstLine="480"/>
        <w:rPr>
          <w:rFonts w:eastAsia="仿宋_GB2312"/>
        </w:rPr>
      </w:pPr>
      <w:r>
        <w:rPr>
          <w:rFonts w:hint="eastAsia" w:eastAsia="仿宋_GB2312"/>
        </w:rPr>
        <w:t>供水管道上阀门的设置必须满足管道运行、配水和检修的需要。在配水干管适当位置上设阀门井，每单元进水位置设阀门井，管道阀门设在阀门井内。阀门井设置为不超过</w:t>
      </w:r>
      <w:r>
        <w:rPr>
          <w:rFonts w:eastAsia="仿宋_GB2312"/>
        </w:rPr>
        <w:t>5</w:t>
      </w:r>
      <w:r>
        <w:rPr>
          <w:rFonts w:hint="eastAsia" w:eastAsia="仿宋_GB2312"/>
        </w:rPr>
        <w:t>个消火栓的间距。</w:t>
      </w:r>
    </w:p>
    <w:p>
      <w:pPr>
        <w:ind w:firstLine="480"/>
        <w:rPr>
          <w:rFonts w:eastAsia="仿宋_GB2312"/>
          <w:b/>
        </w:rPr>
      </w:pPr>
      <w:r>
        <w:rPr>
          <w:rFonts w:hint="eastAsia" w:eastAsia="仿宋_GB2312"/>
          <w:b/>
        </w:rPr>
        <w:t>3、排气阀井</w:t>
      </w:r>
    </w:p>
    <w:p>
      <w:pPr>
        <w:ind w:firstLine="480"/>
        <w:rPr>
          <w:rFonts w:eastAsia="仿宋_GB2312"/>
        </w:rPr>
      </w:pPr>
      <w:r>
        <w:rPr>
          <w:rFonts w:hint="eastAsia" w:eastAsia="仿宋_GB2312"/>
        </w:rPr>
        <w:t>在小区供水管道最高点位置和其他必要的位置上设排气阀，排气阀应设在排气阀井内，平直管段平均为</w:t>
      </w:r>
      <w:r>
        <w:rPr>
          <w:rFonts w:eastAsia="仿宋_GB2312"/>
        </w:rPr>
        <w:t>1km</w:t>
      </w:r>
      <w:r>
        <w:rPr>
          <w:rFonts w:hint="eastAsia" w:eastAsia="仿宋_GB2312"/>
        </w:rPr>
        <w:t>设置一个排气阀井。</w:t>
      </w:r>
    </w:p>
    <w:p>
      <w:pPr>
        <w:ind w:firstLine="480"/>
        <w:rPr>
          <w:rFonts w:eastAsia="仿宋_GB2312"/>
          <w:b/>
        </w:rPr>
      </w:pPr>
      <w:r>
        <w:rPr>
          <w:rFonts w:hint="eastAsia" w:eastAsia="仿宋_GB2312"/>
          <w:b/>
        </w:rPr>
        <w:t>4、阀门井标识</w:t>
      </w:r>
    </w:p>
    <w:p>
      <w:pPr>
        <w:ind w:firstLine="480"/>
        <w:rPr>
          <w:rFonts w:eastAsia="仿宋_GB2312"/>
        </w:rPr>
      </w:pPr>
      <w:r>
        <w:rPr>
          <w:rFonts w:hint="eastAsia" w:eastAsia="仿宋_GB2312"/>
        </w:rPr>
        <w:t>为便于管道后期维护检修，设计供水阀门井井盖均应有明确标识，并印刷供水公司应急抢修电话。</w:t>
      </w:r>
    </w:p>
    <w:p>
      <w:pPr>
        <w:ind w:firstLine="480"/>
        <w:rPr>
          <w:rFonts w:eastAsia="仿宋_GB2312"/>
          <w:b/>
        </w:rPr>
      </w:pPr>
      <w:r>
        <w:rPr>
          <w:rFonts w:hint="eastAsia" w:eastAsia="仿宋_GB2312"/>
          <w:b/>
        </w:rPr>
        <w:t>5、主要工程量</w:t>
      </w:r>
    </w:p>
    <w:p>
      <w:pPr>
        <w:ind w:firstLine="480"/>
        <w:rPr>
          <w:rFonts w:eastAsia="仿宋_GB2312"/>
        </w:rPr>
      </w:pPr>
      <w:r>
        <w:rPr>
          <w:rFonts w:eastAsia="仿宋_GB2312"/>
        </w:rPr>
        <w:t>本供水工程根据管线安全运行需要共设有</w:t>
      </w:r>
      <w:r>
        <w:rPr>
          <w:rFonts w:hint="eastAsia" w:eastAsia="仿宋_GB2312"/>
        </w:rPr>
        <w:t>室外消火栓28座，给水阀门井82座</w:t>
      </w:r>
      <w:r>
        <w:rPr>
          <w:rFonts w:eastAsia="仿宋_GB2312"/>
        </w:rPr>
        <w:t>，</w:t>
      </w:r>
      <w:r>
        <w:rPr>
          <w:rFonts w:hint="eastAsia" w:eastAsia="仿宋_GB2312"/>
        </w:rPr>
        <w:t>其中天翔小区配套室外消火栓9座，给水阀门井34座；明珠小区配套室外消火栓19座，给水阀门井48座。</w:t>
      </w:r>
    </w:p>
    <w:p>
      <w:pPr>
        <w:ind w:firstLine="480"/>
        <w:rPr>
          <w:rFonts w:eastAsia="仿宋_GB2312"/>
        </w:rPr>
      </w:pPr>
      <w:r>
        <w:rPr>
          <w:rFonts w:hint="eastAsia" w:eastAsia="仿宋_GB2312"/>
        </w:rPr>
        <w:t>本项目28座消火栓井均为φ1500</w:t>
      </w:r>
      <w:r>
        <w:rPr>
          <w:rFonts w:eastAsia="仿宋_GB2312"/>
        </w:rPr>
        <w:t>钢筋砼</w:t>
      </w:r>
      <w:r>
        <w:rPr>
          <w:rFonts w:hint="eastAsia" w:eastAsia="仿宋_GB2312"/>
        </w:rPr>
        <w:t>圆形</w:t>
      </w:r>
      <w:r>
        <w:rPr>
          <w:rFonts w:eastAsia="仿宋_GB2312"/>
        </w:rPr>
        <w:t>井</w:t>
      </w:r>
      <w:r>
        <w:rPr>
          <w:rFonts w:hint="eastAsia" w:eastAsia="仿宋_GB2312"/>
        </w:rPr>
        <w:t>，井内径1.5m，井室深1.8m，井深2.05m；给水阀门井82座，其中φ1400阀门井4座，井内径1.4m，井室深1.8m，井深2.05m；φ1200阀门井30座，井内径1.2m，井室深1.5m，井深1.75m；φ2000阀门井16座，井内径2.0m，井室深2m，井深2.3m；φ1200排气井2座，井内径1.2m，井室深1.5m，井深1.75m；φ1600阀门井30座，井内径1.6m，井室深1.8m，井深2.05m。</w:t>
      </w:r>
    </w:p>
    <w:p>
      <w:pPr>
        <w:pStyle w:val="3"/>
        <w:widowControl/>
        <w:numPr>
          <w:ilvl w:val="1"/>
          <w:numId w:val="1"/>
        </w:numPr>
        <w:tabs>
          <w:tab w:val="clear" w:pos="1002"/>
        </w:tabs>
        <w:topLinePunct w:val="0"/>
        <w:adjustRightInd/>
        <w:snapToGrid/>
        <w:ind w:left="0" w:firstLine="0"/>
        <w:jc w:val="both"/>
        <w:rPr>
          <w:rFonts w:eastAsia="仿宋_GB2312"/>
        </w:rPr>
      </w:pPr>
      <w:bookmarkStart w:id="150" w:name="_Toc47381528"/>
      <w:r>
        <w:rPr>
          <w:rFonts w:eastAsia="仿宋_GB2312"/>
        </w:rPr>
        <w:t>施工组织</w:t>
      </w:r>
      <w:bookmarkEnd w:id="147"/>
      <w:bookmarkEnd w:id="148"/>
      <w:bookmarkEnd w:id="149"/>
      <w:bookmarkEnd w:id="150"/>
    </w:p>
    <w:p>
      <w:pPr>
        <w:pStyle w:val="4"/>
        <w:keepLines/>
        <w:widowControl/>
        <w:numPr>
          <w:ilvl w:val="2"/>
          <w:numId w:val="1"/>
        </w:numPr>
        <w:tabs>
          <w:tab w:val="clear" w:pos="432"/>
          <w:tab w:val="clear" w:pos="960"/>
        </w:tabs>
        <w:kinsoku/>
        <w:overflowPunct/>
        <w:topLinePunct w:val="0"/>
        <w:autoSpaceDE/>
        <w:autoSpaceDN/>
        <w:adjustRightInd/>
        <w:snapToGrid/>
        <w:ind w:left="0" w:firstLine="0"/>
        <w:jc w:val="both"/>
        <w:rPr>
          <w:rFonts w:eastAsia="仿宋_GB2312"/>
        </w:rPr>
      </w:pPr>
      <w:r>
        <w:rPr>
          <w:rFonts w:eastAsia="仿宋_GB2312"/>
        </w:rPr>
        <w:t>施工</w:t>
      </w:r>
      <w:r>
        <w:rPr>
          <w:rFonts w:hint="eastAsia" w:eastAsia="仿宋_GB2312"/>
        </w:rPr>
        <w:t>生产生活区</w:t>
      </w:r>
    </w:p>
    <w:p>
      <w:pPr>
        <w:pStyle w:val="196"/>
        <w:adjustRightInd w:val="0"/>
        <w:rPr>
          <w:rFonts w:ascii="Times New Roman" w:hAnsi="Times New Roman" w:eastAsia="仿宋_GB2312" w:cs="Times New Roman"/>
          <w:spacing w:val="-2"/>
        </w:rPr>
      </w:pPr>
      <w:r>
        <w:rPr>
          <w:rFonts w:ascii="Times New Roman" w:hAnsi="Times New Roman" w:eastAsia="仿宋_GB2312" w:cs="Times New Roman"/>
        </w:rPr>
        <w:t>由于本项目位于第十四师224团境内，建设区周边均有</w:t>
      </w:r>
      <w:r>
        <w:rPr>
          <w:rFonts w:hint="eastAsia" w:ascii="Times New Roman" w:hAnsi="Times New Roman" w:eastAsia="仿宋_GB2312" w:cs="Times New Roman"/>
        </w:rPr>
        <w:t>城镇</w:t>
      </w:r>
      <w:r>
        <w:rPr>
          <w:rFonts w:ascii="Times New Roman" w:hAnsi="Times New Roman" w:eastAsia="仿宋_GB2312" w:cs="Times New Roman"/>
        </w:rPr>
        <w:t>居民住宅，故本项目施工生产生活区租用当地民宅，可以减少地表扰动面积。</w:t>
      </w:r>
    </w:p>
    <w:p>
      <w:pPr>
        <w:pStyle w:val="4"/>
        <w:keepLines/>
        <w:widowControl/>
        <w:numPr>
          <w:ilvl w:val="2"/>
          <w:numId w:val="1"/>
        </w:numPr>
        <w:tabs>
          <w:tab w:val="clear" w:pos="432"/>
          <w:tab w:val="clear" w:pos="960"/>
        </w:tabs>
        <w:kinsoku/>
        <w:overflowPunct/>
        <w:topLinePunct w:val="0"/>
        <w:autoSpaceDE/>
        <w:autoSpaceDN/>
        <w:adjustRightInd/>
        <w:snapToGrid/>
        <w:ind w:left="0" w:firstLine="0"/>
        <w:jc w:val="both"/>
        <w:rPr>
          <w:rFonts w:eastAsia="仿宋_GB2312"/>
        </w:rPr>
      </w:pPr>
      <w:r>
        <w:rPr>
          <w:rFonts w:hint="eastAsia" w:eastAsia="仿宋_GB2312"/>
        </w:rPr>
        <w:t>施工交通</w:t>
      </w:r>
    </w:p>
    <w:p>
      <w:pPr>
        <w:tabs>
          <w:tab w:val="left" w:pos="840"/>
          <w:tab w:val="left" w:pos="1485"/>
        </w:tabs>
        <w:ind w:firstLine="480"/>
        <w:rPr>
          <w:rFonts w:eastAsia="仿宋_GB2312"/>
        </w:rPr>
      </w:pPr>
      <w:r>
        <w:rPr>
          <w:rFonts w:hint="eastAsia" w:eastAsia="仿宋_GB2312"/>
        </w:rPr>
        <w:t>兵团第十四师</w:t>
      </w:r>
      <w:r>
        <w:rPr>
          <w:rFonts w:eastAsia="仿宋_GB2312"/>
        </w:rPr>
        <w:t>224</w:t>
      </w:r>
      <w:r>
        <w:rPr>
          <w:rFonts w:hint="eastAsia" w:eastAsia="仿宋_GB2312"/>
        </w:rPr>
        <w:t>团对外有较好的交通条件，其南部临</w:t>
      </w:r>
      <w:r>
        <w:rPr>
          <w:rFonts w:eastAsia="仿宋_GB2312"/>
        </w:rPr>
        <w:t>G315</w:t>
      </w:r>
      <w:r>
        <w:rPr>
          <w:rFonts w:hint="eastAsia" w:eastAsia="仿宋_GB2312"/>
        </w:rPr>
        <w:t>国道，喀和铁路从团部中间穿过，向西通往皮山、喀什，向东到达墨玉县城及和田市。二二四团内部通过近三年的开发建设骨干道路网已基本形成，南北向贯穿垦区的主干道已建成，向南与</w:t>
      </w:r>
      <w:r>
        <w:rPr>
          <w:rFonts w:eastAsia="仿宋_GB2312"/>
        </w:rPr>
        <w:t>G315</w:t>
      </w:r>
      <w:r>
        <w:rPr>
          <w:rFonts w:hint="eastAsia" w:eastAsia="仿宋_GB2312"/>
        </w:rPr>
        <w:t>国道相接，向北可至英阿瓦提村，垦区外有土质路通往墨玉县的雅瓦乡，接沥青公路可到达</w:t>
      </w:r>
      <w:r>
        <w:rPr>
          <w:rFonts w:eastAsia="仿宋_GB2312"/>
        </w:rPr>
        <w:t>47</w:t>
      </w:r>
      <w:r>
        <w:rPr>
          <w:rFonts w:hint="eastAsia" w:eastAsia="仿宋_GB2312"/>
        </w:rPr>
        <w:t>团和墨玉县城。垦区中部规划的六次干道以南南北向和东西向的道路网已建成，路面均为砂石路面，以上道路网的形成为垦区后续的开发建设提供了便利的交通条件。</w:t>
      </w:r>
    </w:p>
    <w:p>
      <w:pPr>
        <w:tabs>
          <w:tab w:val="left" w:pos="840"/>
          <w:tab w:val="left" w:pos="1485"/>
        </w:tabs>
        <w:ind w:firstLine="480"/>
        <w:rPr>
          <w:rFonts w:eastAsia="仿宋_GB2312"/>
        </w:rPr>
      </w:pPr>
      <w:r>
        <w:rPr>
          <w:rFonts w:hint="eastAsia" w:eastAsia="仿宋_GB2312"/>
        </w:rPr>
        <w:t>该工程给水管线均布置在住宅小区内道路一侧，可满足施工期施工机械通行要求，对内交通便利。</w:t>
      </w:r>
      <w:r>
        <w:rPr>
          <w:rFonts w:eastAsia="仿宋_GB2312"/>
        </w:rPr>
        <w:t>工程外来器材物资及建筑材料运输均可采用公路运输，其运输能力完全能够满足本工程的要求。</w:t>
      </w:r>
    </w:p>
    <w:p>
      <w:pPr>
        <w:pStyle w:val="4"/>
        <w:keepLines/>
        <w:widowControl/>
        <w:numPr>
          <w:ilvl w:val="2"/>
          <w:numId w:val="1"/>
        </w:numPr>
        <w:tabs>
          <w:tab w:val="clear" w:pos="432"/>
          <w:tab w:val="clear" w:pos="960"/>
        </w:tabs>
        <w:kinsoku/>
        <w:overflowPunct/>
        <w:topLinePunct w:val="0"/>
        <w:autoSpaceDE/>
        <w:autoSpaceDN/>
        <w:adjustRightInd/>
        <w:snapToGrid/>
        <w:ind w:left="0" w:firstLine="0"/>
        <w:jc w:val="both"/>
        <w:rPr>
          <w:rFonts w:eastAsia="仿宋_GB2312"/>
        </w:rPr>
      </w:pPr>
      <w:r>
        <w:rPr>
          <w:rFonts w:eastAsia="仿宋_GB2312"/>
        </w:rPr>
        <w:t>施工用水、用电</w:t>
      </w:r>
    </w:p>
    <w:p>
      <w:pPr>
        <w:tabs>
          <w:tab w:val="left" w:pos="840"/>
          <w:tab w:val="left" w:pos="1485"/>
        </w:tabs>
        <w:ind w:firstLine="480"/>
        <w:rPr>
          <w:rFonts w:eastAsia="仿宋_GB2312"/>
        </w:rPr>
      </w:pPr>
      <w:r>
        <w:rPr>
          <w:rFonts w:hint="eastAsia" w:eastAsia="仿宋_GB2312"/>
        </w:rPr>
        <w:t>施工用水：本项目施工用水量较小，施工用水及生活用水直接利用居民区的生活用水</w:t>
      </w:r>
      <w:r>
        <w:rPr>
          <w:rFonts w:eastAsia="仿宋_GB2312"/>
        </w:rPr>
        <w:t>。</w:t>
      </w:r>
    </w:p>
    <w:p>
      <w:pPr>
        <w:pStyle w:val="196"/>
        <w:adjustRightInd w:val="0"/>
        <w:rPr>
          <w:rFonts w:ascii="Times New Roman" w:hAnsi="Times New Roman" w:eastAsia="仿宋_GB2312"/>
          <w:spacing w:val="-2"/>
        </w:rPr>
      </w:pPr>
      <w:r>
        <w:rPr>
          <w:rFonts w:hint="eastAsia" w:eastAsia="仿宋_GB2312"/>
        </w:rPr>
        <w:t>施工用电：本项目施工用电来自</w:t>
      </w:r>
      <w:r>
        <w:rPr>
          <w:rFonts w:eastAsia="仿宋_GB2312"/>
        </w:rPr>
        <w:t>施工现场</w:t>
      </w:r>
      <w:r>
        <w:rPr>
          <w:rFonts w:hint="eastAsia" w:eastAsia="仿宋_GB2312"/>
        </w:rPr>
        <w:t>配备</w:t>
      </w:r>
      <w:r>
        <w:rPr>
          <w:rFonts w:eastAsia="仿宋_GB2312"/>
        </w:rPr>
        <w:t>移动式柴油发电机发电。</w:t>
      </w:r>
    </w:p>
    <w:p>
      <w:pPr>
        <w:pStyle w:val="4"/>
        <w:keepLines/>
        <w:widowControl/>
        <w:numPr>
          <w:ilvl w:val="2"/>
          <w:numId w:val="1"/>
        </w:numPr>
        <w:tabs>
          <w:tab w:val="clear" w:pos="432"/>
          <w:tab w:val="clear" w:pos="960"/>
        </w:tabs>
        <w:kinsoku/>
        <w:overflowPunct/>
        <w:topLinePunct w:val="0"/>
        <w:autoSpaceDE/>
        <w:autoSpaceDN/>
        <w:adjustRightInd/>
        <w:snapToGrid/>
        <w:ind w:left="0" w:firstLine="0"/>
        <w:jc w:val="both"/>
        <w:rPr>
          <w:rFonts w:eastAsia="仿宋_GB2312"/>
        </w:rPr>
      </w:pPr>
      <w:r>
        <w:rPr>
          <w:rFonts w:eastAsia="仿宋_GB2312"/>
        </w:rPr>
        <w:t>取土（石、砂）场</w:t>
      </w:r>
    </w:p>
    <w:p>
      <w:pPr>
        <w:tabs>
          <w:tab w:val="left" w:pos="840"/>
          <w:tab w:val="left" w:pos="1485"/>
        </w:tabs>
        <w:ind w:firstLine="480"/>
        <w:rPr>
          <w:rFonts w:eastAsia="仿宋_GB2312"/>
        </w:rPr>
      </w:pPr>
      <w:r>
        <w:rPr>
          <w:rFonts w:eastAsia="仿宋_GB2312"/>
        </w:rPr>
        <w:t>本项目所需混凝土主要是购买成品混凝土，部分现场加工混凝土所需砂石料均从附近证照齐全的砂石料场购买，水土流失防治责任由相应的砂石料场业主负责。</w:t>
      </w:r>
    </w:p>
    <w:p>
      <w:pPr>
        <w:pStyle w:val="4"/>
        <w:keepLines/>
        <w:widowControl/>
        <w:numPr>
          <w:ilvl w:val="2"/>
          <w:numId w:val="1"/>
        </w:numPr>
        <w:tabs>
          <w:tab w:val="clear" w:pos="432"/>
          <w:tab w:val="clear" w:pos="960"/>
        </w:tabs>
        <w:kinsoku/>
        <w:overflowPunct/>
        <w:topLinePunct w:val="0"/>
        <w:autoSpaceDE/>
        <w:autoSpaceDN/>
        <w:adjustRightInd/>
        <w:snapToGrid/>
        <w:ind w:left="0" w:firstLine="0"/>
        <w:jc w:val="both"/>
        <w:rPr>
          <w:rFonts w:eastAsia="仿宋_GB2312"/>
        </w:rPr>
      </w:pPr>
      <w:r>
        <w:rPr>
          <w:rFonts w:eastAsia="仿宋_GB2312"/>
        </w:rPr>
        <w:t>弃土（石、渣）场</w:t>
      </w:r>
    </w:p>
    <w:p>
      <w:pPr>
        <w:pStyle w:val="196"/>
        <w:adjustRightInd w:val="0"/>
        <w:rPr>
          <w:rFonts w:eastAsia="仿宋_GB2312"/>
          <w:color w:val="FF0000"/>
        </w:rPr>
      </w:pPr>
      <w:r>
        <w:rPr>
          <w:rFonts w:eastAsia="仿宋_GB2312"/>
        </w:rPr>
        <w:t>本项目不涉及弃渣场，项目建设期土方主要来源于</w:t>
      </w:r>
      <w:r>
        <w:rPr>
          <w:rFonts w:hint="eastAsia" w:eastAsia="仿宋_GB2312"/>
        </w:rPr>
        <w:t>各管沟开挖回填、建筑物基础开挖回填、场地平整</w:t>
      </w:r>
      <w:r>
        <w:rPr>
          <w:rFonts w:eastAsia="仿宋_GB2312"/>
        </w:rPr>
        <w:t>，通过合理调配利用，土方</w:t>
      </w:r>
      <w:r>
        <w:rPr>
          <w:rFonts w:hint="eastAsia" w:eastAsia="仿宋_GB2312"/>
        </w:rPr>
        <w:t>全部</w:t>
      </w:r>
      <w:r>
        <w:rPr>
          <w:rFonts w:eastAsia="仿宋_GB2312"/>
        </w:rPr>
        <w:t>回用于</w:t>
      </w:r>
      <w:r>
        <w:rPr>
          <w:rFonts w:hint="eastAsia" w:eastAsia="仿宋_GB2312"/>
        </w:rPr>
        <w:t>项目</w:t>
      </w:r>
      <w:r>
        <w:rPr>
          <w:rFonts w:eastAsia="仿宋_GB2312"/>
        </w:rPr>
        <w:t>建设区</w:t>
      </w:r>
      <w:r>
        <w:rPr>
          <w:rFonts w:hint="eastAsia" w:eastAsia="仿宋_GB2312"/>
        </w:rPr>
        <w:t>内，无永久弃渣</w:t>
      </w:r>
      <w:r>
        <w:rPr>
          <w:rFonts w:eastAsia="仿宋_GB2312"/>
        </w:rPr>
        <w:t>。</w:t>
      </w:r>
      <w:r>
        <w:rPr>
          <w:rFonts w:hint="eastAsia" w:eastAsia="仿宋_GB2312"/>
        </w:rPr>
        <w:t>本项目仅有少量路面拆除垃圾运至垃圾场处理。</w:t>
      </w:r>
    </w:p>
    <w:p>
      <w:pPr>
        <w:pStyle w:val="4"/>
        <w:keepLines/>
        <w:widowControl/>
        <w:numPr>
          <w:ilvl w:val="2"/>
          <w:numId w:val="1"/>
        </w:numPr>
        <w:tabs>
          <w:tab w:val="clear" w:pos="432"/>
          <w:tab w:val="clear" w:pos="960"/>
        </w:tabs>
        <w:kinsoku/>
        <w:overflowPunct/>
        <w:topLinePunct w:val="0"/>
        <w:autoSpaceDE/>
        <w:autoSpaceDN/>
        <w:adjustRightInd/>
        <w:snapToGrid/>
        <w:ind w:left="0" w:firstLine="0"/>
        <w:jc w:val="both"/>
        <w:rPr>
          <w:rFonts w:eastAsia="仿宋_GB2312"/>
        </w:rPr>
      </w:pPr>
      <w:r>
        <w:rPr>
          <w:rFonts w:eastAsia="仿宋_GB2312"/>
        </w:rPr>
        <w:t>施工方法与施工工艺</w:t>
      </w:r>
    </w:p>
    <w:p>
      <w:pPr>
        <w:pStyle w:val="5"/>
      </w:pPr>
      <w:r>
        <w:rPr>
          <w:rFonts w:hint="eastAsia"/>
        </w:rPr>
        <w:t>管道工程施工</w:t>
      </w:r>
    </w:p>
    <w:p>
      <w:pPr>
        <w:tabs>
          <w:tab w:val="left" w:pos="840"/>
          <w:tab w:val="left" w:pos="1485"/>
        </w:tabs>
        <w:ind w:firstLine="480"/>
        <w:rPr>
          <w:rFonts w:eastAsia="仿宋_GB2312"/>
        </w:rPr>
      </w:pPr>
      <w:r>
        <w:rPr>
          <w:rFonts w:hint="eastAsia" w:eastAsia="仿宋_GB2312"/>
        </w:rPr>
        <w:t>（</w:t>
      </w:r>
      <w:r>
        <w:rPr>
          <w:rFonts w:eastAsia="仿宋_GB2312"/>
        </w:rPr>
        <w:t>1</w:t>
      </w:r>
      <w:r>
        <w:rPr>
          <w:rFonts w:hint="eastAsia" w:eastAsia="仿宋_GB2312"/>
        </w:rPr>
        <w:t>）管沟开挖和回填</w:t>
      </w:r>
    </w:p>
    <w:p>
      <w:pPr>
        <w:tabs>
          <w:tab w:val="left" w:pos="840"/>
          <w:tab w:val="left" w:pos="1485"/>
        </w:tabs>
        <w:ind w:firstLine="480"/>
        <w:rPr>
          <w:rFonts w:eastAsia="仿宋_GB2312"/>
        </w:rPr>
      </w:pPr>
      <w:r>
        <w:rPr>
          <w:rFonts w:hint="eastAsia" w:eastAsia="仿宋_GB2312"/>
        </w:rPr>
        <w:t>管沟开挖前应进行复测和引桩拐点，每隔</w:t>
      </w:r>
      <w:r>
        <w:rPr>
          <w:rFonts w:eastAsia="仿宋_GB2312"/>
        </w:rPr>
        <w:t>200m</w:t>
      </w:r>
      <w:r>
        <w:rPr>
          <w:rFonts w:hint="eastAsia" w:eastAsia="仿宋_GB2312"/>
        </w:rPr>
        <w:t>处应设中心控制桩，并注明桩号，里程、高程。管沟开挖采用</w:t>
      </w:r>
      <w:r>
        <w:rPr>
          <w:rFonts w:eastAsia="仿宋_GB2312"/>
        </w:rPr>
        <w:t>0.6m</w:t>
      </w:r>
      <w:r>
        <w:rPr>
          <w:rFonts w:eastAsia="仿宋_GB2312"/>
          <w:vertAlign w:val="superscript"/>
        </w:rPr>
        <w:t>3</w:t>
      </w:r>
      <w:r>
        <w:rPr>
          <w:rFonts w:hint="eastAsia" w:eastAsia="仿宋_GB2312"/>
        </w:rPr>
        <w:t>挖掘机分段开挖，管沟底部设计高程以上</w:t>
      </w:r>
      <w:r>
        <w:rPr>
          <w:rFonts w:eastAsia="仿宋_GB2312"/>
        </w:rPr>
        <w:t>0.1-0.2m</w:t>
      </w:r>
      <w:r>
        <w:rPr>
          <w:rFonts w:hint="eastAsia" w:eastAsia="仿宋_GB2312"/>
        </w:rPr>
        <w:t>的原状土应予以保留，不宜挖至管沟底设计标高以下，铺设管道前用人工辅助找平，管沟底部要求平整，无石块、瓦砾、树梗等硬杂物。如局部超挖，需用砂土或符合要求的原状土填补并分层夯实，并使其达到天然密实度。开挖土方堆置在沟槽一侧，不得影响建筑物、各种管线和其他设施的安全和下管施工。堆土高度不宜超过</w:t>
      </w:r>
      <w:r>
        <w:rPr>
          <w:rFonts w:eastAsia="仿宋_GB2312"/>
        </w:rPr>
        <w:t>1.5m</w:t>
      </w:r>
      <w:r>
        <w:rPr>
          <w:rFonts w:hint="eastAsia" w:eastAsia="仿宋_GB2312"/>
        </w:rPr>
        <w:t>，且距沟槽边缘不宜小于</w:t>
      </w:r>
      <w:r>
        <w:rPr>
          <w:rFonts w:eastAsia="仿宋_GB2312"/>
        </w:rPr>
        <w:t>1m</w:t>
      </w:r>
      <w:r>
        <w:rPr>
          <w:rFonts w:hint="eastAsia" w:eastAsia="仿宋_GB2312"/>
        </w:rPr>
        <w:t>。配合人工修整开挖断面，管沟应顺直，沟底应平整坚实。</w:t>
      </w:r>
    </w:p>
    <w:p>
      <w:pPr>
        <w:tabs>
          <w:tab w:val="left" w:pos="840"/>
          <w:tab w:val="left" w:pos="1485"/>
        </w:tabs>
        <w:ind w:firstLine="480"/>
        <w:rPr>
          <w:rFonts w:eastAsia="仿宋_GB2312"/>
        </w:rPr>
      </w:pPr>
      <w:r>
        <w:rPr>
          <w:rFonts w:hint="eastAsia" w:eastAsia="仿宋_GB2312"/>
        </w:rPr>
        <w:t>管道工程区应对称分层回填，严禁单侧回填，每次回填厚度为</w:t>
      </w:r>
      <w:r>
        <w:rPr>
          <w:rFonts w:eastAsia="仿宋_GB2312"/>
        </w:rPr>
        <w:t>30cm</w:t>
      </w:r>
      <w:r>
        <w:rPr>
          <w:rFonts w:hint="eastAsia" w:eastAsia="仿宋_GB2312"/>
        </w:rPr>
        <w:t>。管底以下</w:t>
      </w:r>
      <w:r>
        <w:rPr>
          <w:rFonts w:eastAsia="仿宋_GB2312"/>
        </w:rPr>
        <w:t>10cm</w:t>
      </w:r>
      <w:r>
        <w:rPr>
          <w:rFonts w:hint="eastAsia" w:eastAsia="仿宋_GB2312"/>
        </w:rPr>
        <w:t>至管顶以上</w:t>
      </w:r>
      <w:r>
        <w:rPr>
          <w:rFonts w:eastAsia="仿宋_GB2312"/>
        </w:rPr>
        <w:t>20cm</w:t>
      </w:r>
      <w:r>
        <w:rPr>
          <w:rFonts w:hint="eastAsia" w:eastAsia="仿宋_GB2312"/>
        </w:rPr>
        <w:t>应人工回填细粒料，砂砾石段细砂砾料采用开挖原状土筛分回填，除管底以下</w:t>
      </w:r>
      <w:r>
        <w:rPr>
          <w:rFonts w:eastAsia="仿宋_GB2312"/>
        </w:rPr>
        <w:t>10cm</w:t>
      </w:r>
      <w:r>
        <w:rPr>
          <w:rFonts w:hint="eastAsia" w:eastAsia="仿宋_GB2312"/>
        </w:rPr>
        <w:t>至管顶以上</w:t>
      </w:r>
      <w:r>
        <w:rPr>
          <w:rFonts w:eastAsia="仿宋_GB2312"/>
        </w:rPr>
        <w:t>20cm</w:t>
      </w:r>
      <w:r>
        <w:rPr>
          <w:rFonts w:hint="eastAsia" w:eastAsia="仿宋_GB2312"/>
        </w:rPr>
        <w:t>范围内回填细砂砾料，最大粒径不超</w:t>
      </w:r>
      <w:r>
        <w:rPr>
          <w:rFonts w:eastAsia="仿宋_GB2312"/>
        </w:rPr>
        <w:t>2.0cm,</w:t>
      </w:r>
      <w:r>
        <w:rPr>
          <w:rFonts w:hint="eastAsia" w:eastAsia="仿宋_GB2312"/>
        </w:rPr>
        <w:t>采用人工回填；回填料中不应有机杂物和垃圾。其余部分采用</w:t>
      </w:r>
      <w:r>
        <w:rPr>
          <w:rFonts w:eastAsia="仿宋_GB2312"/>
        </w:rPr>
        <w:t>59KW</w:t>
      </w:r>
      <w:r>
        <w:rPr>
          <w:rFonts w:hint="eastAsia" w:eastAsia="仿宋_GB2312"/>
        </w:rPr>
        <w:t>机械回填。镇墩、阀井开挖宜与管沟开挖同时进行。</w:t>
      </w:r>
    </w:p>
    <w:p>
      <w:pPr>
        <w:tabs>
          <w:tab w:val="left" w:pos="840"/>
          <w:tab w:val="left" w:pos="1485"/>
        </w:tabs>
        <w:ind w:firstLine="480"/>
        <w:rPr>
          <w:rFonts w:eastAsia="仿宋_GB2312"/>
        </w:rPr>
      </w:pPr>
      <w:r>
        <w:rPr>
          <w:rFonts w:hint="eastAsia" w:eastAsia="仿宋_GB2312"/>
        </w:rPr>
        <w:t>（</w:t>
      </w:r>
      <w:r>
        <w:rPr>
          <w:rFonts w:eastAsia="仿宋_GB2312"/>
        </w:rPr>
        <w:t>2</w:t>
      </w:r>
      <w:r>
        <w:rPr>
          <w:rFonts w:hint="eastAsia" w:eastAsia="仿宋_GB2312"/>
        </w:rPr>
        <w:t>）管道的铺设</w:t>
      </w:r>
    </w:p>
    <w:p>
      <w:pPr>
        <w:tabs>
          <w:tab w:val="left" w:pos="840"/>
          <w:tab w:val="left" w:pos="1485"/>
        </w:tabs>
        <w:ind w:firstLine="480"/>
        <w:rPr>
          <w:rFonts w:eastAsia="仿宋_GB2312"/>
        </w:rPr>
      </w:pPr>
      <w:r>
        <w:rPr>
          <w:rFonts w:hint="eastAsia" w:eastAsia="仿宋_GB2312"/>
        </w:rPr>
        <w:t>本次工程管材直径在</w:t>
      </w:r>
      <w:r>
        <w:rPr>
          <w:rFonts w:eastAsia="仿宋_GB2312"/>
        </w:rPr>
        <w:t>110-200mm</w:t>
      </w:r>
      <w:r>
        <w:rPr>
          <w:rFonts w:hint="eastAsia" w:eastAsia="仿宋_GB2312"/>
        </w:rPr>
        <w:t>之间，在管道施工中，可以采用人工下管的施工方法。人工下管一般以</w:t>
      </w:r>
      <w:r>
        <w:rPr>
          <w:rFonts w:eastAsia="仿宋_GB2312"/>
        </w:rPr>
        <w:t>2-4</w:t>
      </w:r>
      <w:r>
        <w:rPr>
          <w:rFonts w:hint="eastAsia" w:eastAsia="仿宋_GB2312"/>
        </w:rPr>
        <w:t>人为一组，施工人员分两侧排开，用大绳将管材吊起，缓慢地将管材放入管沟中，下管时应匀速缓放，严禁直接将管材推入管沟中。</w:t>
      </w:r>
    </w:p>
    <w:p>
      <w:pPr>
        <w:pStyle w:val="5"/>
      </w:pPr>
      <w:r>
        <w:rPr>
          <w:rFonts w:hint="eastAsia"/>
        </w:rPr>
        <w:t>附属构筑物施工</w:t>
      </w:r>
    </w:p>
    <w:p>
      <w:pPr>
        <w:tabs>
          <w:tab w:val="left" w:pos="840"/>
          <w:tab w:val="left" w:pos="1485"/>
        </w:tabs>
        <w:ind w:firstLine="480"/>
        <w:rPr>
          <w:rFonts w:eastAsia="仿宋_GB2312"/>
        </w:rPr>
      </w:pPr>
      <w:r>
        <w:rPr>
          <w:rFonts w:hint="eastAsia" w:eastAsia="仿宋_GB2312"/>
        </w:rPr>
        <w:t>考虑管线线路长，附属建筑物施工分散，构筑物施工可与管道施工同步进行。采用</w:t>
      </w:r>
      <w:r>
        <w:rPr>
          <w:rFonts w:eastAsia="仿宋_GB2312"/>
        </w:rPr>
        <w:t>10t</w:t>
      </w:r>
      <w:r>
        <w:rPr>
          <w:rFonts w:hint="eastAsia" w:eastAsia="仿宋_GB2312"/>
        </w:rPr>
        <w:t>自卸车运输砼骨料，平均拉运</w:t>
      </w:r>
      <w:r>
        <w:rPr>
          <w:rFonts w:eastAsia="仿宋_GB2312"/>
        </w:rPr>
        <w:t>77km</w:t>
      </w:r>
      <w:r>
        <w:rPr>
          <w:rFonts w:hint="eastAsia" w:eastAsia="仿宋_GB2312"/>
        </w:rPr>
        <w:t>至临时砼骨料堆放点，采用</w:t>
      </w:r>
      <w:r>
        <w:rPr>
          <w:rFonts w:eastAsia="仿宋_GB2312"/>
        </w:rPr>
        <w:t>0.4m</w:t>
      </w:r>
      <w:r>
        <w:rPr>
          <w:rFonts w:eastAsia="仿宋_GB2312"/>
          <w:vertAlign w:val="superscript"/>
        </w:rPr>
        <w:t>3</w:t>
      </w:r>
      <w:r>
        <w:rPr>
          <w:rFonts w:hint="eastAsia" w:eastAsia="仿宋_GB2312"/>
        </w:rPr>
        <w:t>搅拌机搅拌，手推胶轮车推送，溜槽入仓</w:t>
      </w:r>
      <w:r>
        <w:rPr>
          <w:rFonts w:eastAsia="仿宋_GB2312"/>
        </w:rPr>
        <w:t>1.1kw</w:t>
      </w:r>
      <w:r>
        <w:rPr>
          <w:rFonts w:hint="eastAsia" w:eastAsia="仿宋_GB2312"/>
        </w:rPr>
        <w:t>插入式振捣器振捣。砼应随拌、随运、随用，运输中不应有分离、漏浆和严重泌水现象，机械和人工捣固的时间，应以砼开始泛浆时为准。混凝土的下落高度不应超过</w:t>
      </w:r>
      <w:r>
        <w:rPr>
          <w:rFonts w:eastAsia="仿宋_GB2312"/>
        </w:rPr>
        <w:t>2m</w:t>
      </w:r>
      <w:r>
        <w:rPr>
          <w:rFonts w:hint="eastAsia" w:eastAsia="仿宋_GB2312"/>
        </w:rPr>
        <w:t>，混凝土必须分层浇注，浇注层的厚度应满足规范的要求，混凝土应连续浇注，以保证结构良好的整体性，如必须间歇，在</w:t>
      </w:r>
      <w:r>
        <w:rPr>
          <w:rFonts w:eastAsia="仿宋_GB2312"/>
        </w:rPr>
        <w:t>25</w:t>
      </w:r>
      <w:r>
        <w:rPr>
          <w:rFonts w:hint="eastAsia" w:eastAsia="仿宋_GB2312"/>
        </w:rPr>
        <w:t>℃以下间歇时间最长不超过</w:t>
      </w:r>
      <w:r>
        <w:rPr>
          <w:rFonts w:eastAsia="仿宋_GB2312"/>
        </w:rPr>
        <w:t>210</w:t>
      </w:r>
      <w:r>
        <w:rPr>
          <w:rFonts w:hint="eastAsia" w:eastAsia="仿宋_GB2312"/>
        </w:rPr>
        <w:t>分钟。砼配合比应进行配合比试验确定，其选用配合比应满足强度、抗渗、抗冻、和易性的设计要求，在砼浇筑完毕后</w:t>
      </w:r>
      <w:r>
        <w:rPr>
          <w:rFonts w:eastAsia="仿宋_GB2312"/>
        </w:rPr>
        <w:t>12</w:t>
      </w:r>
      <w:r>
        <w:rPr>
          <w:rFonts w:hint="eastAsia" w:eastAsia="仿宋_GB2312"/>
        </w:rPr>
        <w:t>－</w:t>
      </w:r>
      <w:r>
        <w:rPr>
          <w:rFonts w:eastAsia="仿宋_GB2312"/>
        </w:rPr>
        <w:t>28h</w:t>
      </w:r>
      <w:r>
        <w:rPr>
          <w:rFonts w:hint="eastAsia" w:eastAsia="仿宋_GB2312"/>
        </w:rPr>
        <w:t>内开始洒水养护，其养护期时间应在</w:t>
      </w:r>
      <w:r>
        <w:rPr>
          <w:rFonts w:eastAsia="仿宋_GB2312"/>
        </w:rPr>
        <w:t>14</w:t>
      </w:r>
      <w:r>
        <w:rPr>
          <w:rFonts w:hint="eastAsia" w:eastAsia="仿宋_GB2312"/>
        </w:rPr>
        <w:t>天以上，在干燥、炎热气候条件下，应养护</w:t>
      </w:r>
      <w:r>
        <w:rPr>
          <w:rFonts w:eastAsia="仿宋_GB2312"/>
        </w:rPr>
        <w:t>28</w:t>
      </w:r>
      <w:r>
        <w:rPr>
          <w:rFonts w:hint="eastAsia" w:eastAsia="仿宋_GB2312"/>
        </w:rPr>
        <w:t>天以上。混凝土与土体接触面应人工刷沥青防腐。</w:t>
      </w:r>
    </w:p>
    <w:p>
      <w:pPr>
        <w:pStyle w:val="3"/>
        <w:widowControl/>
        <w:numPr>
          <w:ilvl w:val="1"/>
          <w:numId w:val="1"/>
        </w:numPr>
        <w:tabs>
          <w:tab w:val="clear" w:pos="1002"/>
        </w:tabs>
        <w:topLinePunct w:val="0"/>
        <w:adjustRightInd/>
        <w:snapToGrid/>
        <w:ind w:left="0" w:firstLine="0"/>
        <w:jc w:val="both"/>
        <w:rPr>
          <w:rFonts w:eastAsia="仿宋_GB2312"/>
        </w:rPr>
      </w:pPr>
      <w:bookmarkStart w:id="151" w:name="_Toc7801550"/>
      <w:bookmarkStart w:id="152" w:name="_Toc255304525"/>
      <w:bookmarkStart w:id="153" w:name="_Toc7801390"/>
      <w:bookmarkStart w:id="154" w:name="_Toc47381529"/>
      <w:bookmarkStart w:id="155" w:name="_Toc7801457"/>
      <w:r>
        <w:rPr>
          <w:rFonts w:eastAsia="仿宋_GB2312"/>
        </w:rPr>
        <w:t>工程占地</w:t>
      </w:r>
      <w:bookmarkEnd w:id="151"/>
      <w:bookmarkEnd w:id="152"/>
      <w:bookmarkEnd w:id="153"/>
      <w:bookmarkEnd w:id="154"/>
      <w:bookmarkEnd w:id="155"/>
    </w:p>
    <w:p>
      <w:pPr>
        <w:tabs>
          <w:tab w:val="left" w:pos="840"/>
          <w:tab w:val="left" w:pos="1485"/>
        </w:tabs>
        <w:ind w:firstLine="480"/>
        <w:rPr>
          <w:rFonts w:eastAsia="仿宋_GB2312"/>
          <w:color w:val="FF0000"/>
        </w:rPr>
      </w:pPr>
      <w:r>
        <w:rPr>
          <w:rFonts w:hint="eastAsia" w:eastAsia="仿宋_GB2312"/>
        </w:rPr>
        <w:t>第十四师224团小区给水管网改造项目</w:t>
      </w:r>
      <w:r>
        <w:rPr>
          <w:rFonts w:eastAsia="仿宋_GB2312"/>
        </w:rPr>
        <w:t>总占地面积为</w:t>
      </w:r>
      <w:r>
        <w:rPr>
          <w:rFonts w:hint="eastAsia" w:eastAsia="仿宋_GB2312"/>
        </w:rPr>
        <w:t>1.84h</w:t>
      </w:r>
      <w:r>
        <w:rPr>
          <w:rFonts w:eastAsia="仿宋_GB2312"/>
        </w:rPr>
        <w:t>m²，</w:t>
      </w:r>
      <w:r>
        <w:rPr>
          <w:rFonts w:hint="eastAsia" w:eastAsia="仿宋_GB2312"/>
        </w:rPr>
        <w:t>其中</w:t>
      </w:r>
      <w:r>
        <w:rPr>
          <w:rFonts w:eastAsia="仿宋_GB2312"/>
        </w:rPr>
        <w:t>永久占地</w:t>
      </w:r>
      <w:r>
        <w:rPr>
          <w:rFonts w:hint="eastAsia" w:eastAsia="仿宋_GB2312"/>
        </w:rPr>
        <w:t>0.11h</w:t>
      </w:r>
      <w:r>
        <w:rPr>
          <w:rFonts w:eastAsia="仿宋_GB2312"/>
        </w:rPr>
        <w:t>m²，</w:t>
      </w:r>
      <w:r>
        <w:rPr>
          <w:rFonts w:hint="eastAsia" w:eastAsia="仿宋_GB2312"/>
        </w:rPr>
        <w:t>临时占地1.73h</w:t>
      </w:r>
      <w:r>
        <w:rPr>
          <w:rFonts w:eastAsia="仿宋_GB2312"/>
        </w:rPr>
        <w:t>m²，项目占地范围内土地</w:t>
      </w:r>
      <w:r>
        <w:rPr>
          <w:rFonts w:hint="eastAsia" w:eastAsia="仿宋_GB2312"/>
        </w:rPr>
        <w:t>类型</w:t>
      </w:r>
      <w:r>
        <w:rPr>
          <w:rFonts w:eastAsia="仿宋_GB2312"/>
        </w:rPr>
        <w:t>为</w:t>
      </w:r>
      <w:r>
        <w:rPr>
          <w:rFonts w:hint="eastAsia" w:eastAsia="仿宋_GB2312"/>
        </w:rPr>
        <w:t>建设用地</w:t>
      </w:r>
      <w:r>
        <w:rPr>
          <w:rFonts w:eastAsia="仿宋_GB2312"/>
        </w:rPr>
        <w:t>。</w:t>
      </w:r>
    </w:p>
    <w:p>
      <w:pPr>
        <w:tabs>
          <w:tab w:val="left" w:pos="840"/>
          <w:tab w:val="left" w:pos="1485"/>
        </w:tabs>
        <w:ind w:firstLine="480"/>
        <w:rPr>
          <w:rFonts w:eastAsia="仿宋_GB2312"/>
        </w:rPr>
      </w:pPr>
      <w:r>
        <w:rPr>
          <w:rFonts w:hint="eastAsia" w:eastAsia="仿宋_GB2312"/>
        </w:rPr>
        <w:t>其中管道工程区改造管道5064m，作业带宽度为5m，占地1.73</w:t>
      </w:r>
      <w:r>
        <w:rPr>
          <w:rFonts w:eastAsia="仿宋_GB2312"/>
        </w:rPr>
        <w:t>hm</w:t>
      </w:r>
      <w:r>
        <w:rPr>
          <w:rFonts w:eastAsia="仿宋_GB2312"/>
          <w:vertAlign w:val="superscript"/>
        </w:rPr>
        <w:t>2</w:t>
      </w:r>
      <w:r>
        <w:rPr>
          <w:rFonts w:hint="eastAsia" w:eastAsia="仿宋_GB2312"/>
        </w:rPr>
        <w:t>，全部为临时占地；附属构筑物区主要为新建各类阀井占地，共新建阀井110座，合计0.11</w:t>
      </w:r>
      <w:r>
        <w:rPr>
          <w:rFonts w:eastAsia="仿宋_GB2312"/>
        </w:rPr>
        <w:t>hm</w:t>
      </w:r>
      <w:r>
        <w:rPr>
          <w:rFonts w:eastAsia="仿宋_GB2312"/>
          <w:vertAlign w:val="superscript"/>
        </w:rPr>
        <w:t>2</w:t>
      </w:r>
      <w:r>
        <w:rPr>
          <w:rFonts w:hint="eastAsia" w:eastAsia="仿宋_GB2312"/>
        </w:rPr>
        <w:t>，全部为永久占地。</w:t>
      </w:r>
    </w:p>
    <w:p>
      <w:pPr>
        <w:tabs>
          <w:tab w:val="left" w:pos="840"/>
          <w:tab w:val="left" w:pos="1485"/>
        </w:tabs>
        <w:ind w:firstLine="480"/>
        <w:rPr>
          <w:rFonts w:eastAsia="仿宋_GB2312"/>
        </w:rPr>
      </w:pPr>
      <w:r>
        <w:rPr>
          <w:rFonts w:eastAsia="仿宋_GB2312"/>
        </w:rPr>
        <w:t>工程占地面积统计表，见表2.</w:t>
      </w:r>
      <w:r>
        <w:rPr>
          <w:rFonts w:hint="eastAsia" w:eastAsia="仿宋_GB2312"/>
        </w:rPr>
        <w:t>3</w:t>
      </w:r>
      <w:r>
        <w:rPr>
          <w:rFonts w:eastAsia="仿宋_GB2312"/>
        </w:rPr>
        <w:t>-1。</w:t>
      </w:r>
    </w:p>
    <w:p>
      <w:pPr>
        <w:tabs>
          <w:tab w:val="left" w:pos="840"/>
          <w:tab w:val="left" w:pos="1485"/>
        </w:tabs>
        <w:spacing w:line="240" w:lineRule="auto"/>
        <w:ind w:firstLine="480"/>
        <w:jc w:val="center"/>
        <w:rPr>
          <w:rFonts w:eastAsia="仿宋_GB2312"/>
          <w:b/>
          <w:vertAlign w:val="superscript"/>
        </w:rPr>
      </w:pPr>
      <w:r>
        <w:rPr>
          <w:rFonts w:eastAsia="仿宋_GB2312"/>
          <w:b/>
        </w:rPr>
        <w:t>表2.</w:t>
      </w:r>
      <w:r>
        <w:rPr>
          <w:rFonts w:hint="eastAsia" w:eastAsia="仿宋_GB2312"/>
          <w:b/>
        </w:rPr>
        <w:t>3</w:t>
      </w:r>
      <w:r>
        <w:rPr>
          <w:rFonts w:eastAsia="仿宋_GB2312"/>
          <w:b/>
        </w:rPr>
        <w:t>-1  工程占地面积统计表单位：</w:t>
      </w:r>
      <w:r>
        <w:rPr>
          <w:rFonts w:hint="eastAsia" w:eastAsia="仿宋_GB2312"/>
          <w:b/>
        </w:rPr>
        <w:t>h</w:t>
      </w:r>
      <w:r>
        <w:rPr>
          <w:rFonts w:eastAsia="仿宋_GB2312"/>
          <w:b/>
        </w:rPr>
        <w:t>m</w:t>
      </w:r>
      <w:r>
        <w:rPr>
          <w:rFonts w:eastAsia="仿宋_GB2312"/>
          <w:b/>
          <w:vertAlign w:val="superscript"/>
        </w:rPr>
        <w:t>2</w:t>
      </w:r>
    </w:p>
    <w:tbl>
      <w:tblPr>
        <w:tblStyle w:val="40"/>
        <w:tblW w:w="5000" w:type="pct"/>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108" w:type="dxa"/>
          <w:bottom w:w="0" w:type="dxa"/>
          <w:right w:w="108" w:type="dxa"/>
        </w:tblCellMar>
      </w:tblPr>
      <w:tblGrid>
        <w:gridCol w:w="1812"/>
        <w:gridCol w:w="1276"/>
        <w:gridCol w:w="1134"/>
        <w:gridCol w:w="1134"/>
        <w:gridCol w:w="1134"/>
        <w:gridCol w:w="1134"/>
        <w:gridCol w:w="892"/>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064" w:type="pct"/>
            <w:vMerge w:val="restart"/>
            <w:tcBorders>
              <w:top w:val="single" w:color="000000" w:sz="12" w:space="0"/>
              <w:left w:val="single" w:color="000000" w:sz="12" w:space="0"/>
              <w:bottom w:val="single" w:color="000000" w:sz="6" w:space="0"/>
              <w:right w:val="single" w:color="000000" w:sz="6" w:space="0"/>
            </w:tcBorders>
            <w:shd w:val="clear" w:color="auto" w:fill="FFFFFF"/>
            <w:vAlign w:val="center"/>
          </w:tcPr>
          <w:p>
            <w:pPr>
              <w:spacing w:line="240" w:lineRule="auto"/>
              <w:ind w:firstLine="0" w:firstLineChars="0"/>
              <w:jc w:val="center"/>
              <w:rPr>
                <w:rFonts w:eastAsia="仿宋_GB2312"/>
                <w:sz w:val="21"/>
                <w:szCs w:val="21"/>
              </w:rPr>
            </w:pPr>
            <w:r>
              <w:rPr>
                <w:rFonts w:hint="eastAsia" w:eastAsia="仿宋_GB2312"/>
                <w:sz w:val="21"/>
                <w:szCs w:val="21"/>
              </w:rPr>
              <w:t>工程名称</w:t>
            </w:r>
          </w:p>
        </w:tc>
        <w:tc>
          <w:tcPr>
            <w:tcW w:w="749" w:type="pct"/>
            <w:vMerge w:val="restart"/>
            <w:tcBorders>
              <w:top w:val="single" w:color="000000" w:sz="12" w:space="0"/>
              <w:left w:val="single" w:color="000000" w:sz="6" w:space="0"/>
              <w:bottom w:val="single" w:color="000000" w:sz="6" w:space="0"/>
              <w:right w:val="single" w:color="000000" w:sz="6" w:space="0"/>
            </w:tcBorders>
            <w:shd w:val="clear" w:color="auto" w:fill="FFFFFF"/>
            <w:vAlign w:val="center"/>
          </w:tcPr>
          <w:p>
            <w:pPr>
              <w:spacing w:line="240" w:lineRule="auto"/>
              <w:ind w:firstLine="0" w:firstLineChars="0"/>
              <w:jc w:val="center"/>
              <w:rPr>
                <w:rFonts w:eastAsia="仿宋_GB2312"/>
                <w:color w:val="FF0000"/>
                <w:sz w:val="21"/>
                <w:szCs w:val="21"/>
              </w:rPr>
            </w:pPr>
            <w:r>
              <w:rPr>
                <w:rFonts w:hint="eastAsia" w:eastAsia="仿宋_GB2312"/>
                <w:sz w:val="21"/>
                <w:szCs w:val="21"/>
              </w:rPr>
              <w:t>边界条件</w:t>
            </w:r>
          </w:p>
        </w:tc>
        <w:tc>
          <w:tcPr>
            <w:tcW w:w="1997" w:type="pct"/>
            <w:gridSpan w:val="3"/>
            <w:tcBorders>
              <w:top w:val="single" w:color="000000" w:sz="12" w:space="0"/>
              <w:left w:val="single" w:color="000000" w:sz="6" w:space="0"/>
              <w:bottom w:val="single" w:color="000000" w:sz="6" w:space="0"/>
              <w:right w:val="single" w:color="000000" w:sz="6" w:space="0"/>
            </w:tcBorders>
            <w:shd w:val="clear" w:color="auto" w:fill="FFFFFF"/>
            <w:vAlign w:val="center"/>
          </w:tcPr>
          <w:p>
            <w:pPr>
              <w:spacing w:line="240" w:lineRule="auto"/>
              <w:ind w:firstLine="0" w:firstLineChars="0"/>
              <w:jc w:val="center"/>
              <w:rPr>
                <w:rFonts w:eastAsia="仿宋_GB2312"/>
                <w:sz w:val="21"/>
                <w:szCs w:val="21"/>
              </w:rPr>
            </w:pPr>
            <w:r>
              <w:rPr>
                <w:rFonts w:hint="eastAsia" w:eastAsia="仿宋_GB2312"/>
                <w:sz w:val="21"/>
                <w:szCs w:val="21"/>
              </w:rPr>
              <w:t>面积</w:t>
            </w:r>
            <w:r>
              <w:rPr>
                <w:rFonts w:eastAsia="仿宋_GB2312"/>
                <w:sz w:val="21"/>
                <w:szCs w:val="21"/>
              </w:rPr>
              <w:t>(hm</w:t>
            </w:r>
            <w:r>
              <w:rPr>
                <w:rFonts w:eastAsia="仿宋_GB2312"/>
                <w:sz w:val="21"/>
                <w:szCs w:val="21"/>
                <w:vertAlign w:val="superscript"/>
              </w:rPr>
              <w:t>2</w:t>
            </w:r>
            <w:r>
              <w:rPr>
                <w:rFonts w:eastAsia="仿宋_GB2312"/>
                <w:sz w:val="21"/>
                <w:szCs w:val="21"/>
              </w:rPr>
              <w:t>)</w:t>
            </w:r>
          </w:p>
        </w:tc>
        <w:tc>
          <w:tcPr>
            <w:tcW w:w="666" w:type="pct"/>
            <w:vMerge w:val="restart"/>
            <w:tcBorders>
              <w:top w:val="single" w:color="000000" w:sz="12" w:space="0"/>
              <w:left w:val="single" w:color="000000" w:sz="6" w:space="0"/>
              <w:bottom w:val="single" w:color="000000" w:sz="6" w:space="0"/>
              <w:right w:val="single" w:color="000000" w:sz="6" w:space="0"/>
            </w:tcBorders>
            <w:shd w:val="clear" w:color="auto" w:fill="FFFFFF"/>
            <w:vAlign w:val="center"/>
          </w:tcPr>
          <w:p>
            <w:pPr>
              <w:spacing w:line="240" w:lineRule="auto"/>
              <w:ind w:firstLine="0" w:firstLineChars="0"/>
              <w:jc w:val="center"/>
              <w:rPr>
                <w:rFonts w:eastAsia="仿宋_GB2312"/>
                <w:sz w:val="21"/>
                <w:szCs w:val="21"/>
              </w:rPr>
            </w:pPr>
            <w:r>
              <w:rPr>
                <w:rFonts w:hint="eastAsia" w:eastAsia="仿宋_GB2312"/>
                <w:sz w:val="21"/>
                <w:szCs w:val="21"/>
              </w:rPr>
              <w:t>行政</w:t>
            </w:r>
          </w:p>
          <w:p>
            <w:pPr>
              <w:spacing w:line="240" w:lineRule="auto"/>
              <w:ind w:firstLine="0" w:firstLineChars="0"/>
              <w:jc w:val="center"/>
              <w:rPr>
                <w:rFonts w:eastAsia="仿宋_GB2312"/>
                <w:sz w:val="21"/>
                <w:szCs w:val="21"/>
              </w:rPr>
            </w:pPr>
            <w:r>
              <w:rPr>
                <w:rFonts w:hint="eastAsia" w:eastAsia="仿宋_GB2312"/>
                <w:sz w:val="21"/>
                <w:szCs w:val="21"/>
              </w:rPr>
              <w:t>区划</w:t>
            </w:r>
          </w:p>
        </w:tc>
        <w:tc>
          <w:tcPr>
            <w:tcW w:w="523" w:type="pct"/>
            <w:vMerge w:val="restart"/>
            <w:tcBorders>
              <w:top w:val="single" w:color="000000" w:sz="12" w:space="0"/>
              <w:left w:val="single" w:color="000000" w:sz="6" w:space="0"/>
              <w:bottom w:val="single" w:color="000000" w:sz="6" w:space="0"/>
              <w:right w:val="single" w:color="000000" w:sz="12" w:space="0"/>
            </w:tcBorders>
            <w:shd w:val="clear" w:color="auto" w:fill="FFFFFF"/>
            <w:vAlign w:val="center"/>
          </w:tcPr>
          <w:p>
            <w:pPr>
              <w:spacing w:line="240" w:lineRule="auto"/>
              <w:ind w:firstLine="0" w:firstLineChars="0"/>
              <w:jc w:val="center"/>
              <w:rPr>
                <w:rFonts w:eastAsia="仿宋_GB2312"/>
                <w:sz w:val="21"/>
                <w:szCs w:val="21"/>
              </w:rPr>
            </w:pPr>
            <w:r>
              <w:rPr>
                <w:rFonts w:hint="eastAsia" w:eastAsia="仿宋_GB2312"/>
                <w:sz w:val="21"/>
                <w:szCs w:val="21"/>
              </w:rPr>
              <w:t>占地</w:t>
            </w:r>
          </w:p>
          <w:p>
            <w:pPr>
              <w:spacing w:line="240" w:lineRule="auto"/>
              <w:ind w:firstLine="0" w:firstLineChars="0"/>
              <w:jc w:val="center"/>
              <w:rPr>
                <w:rFonts w:eastAsia="仿宋_GB2312"/>
                <w:sz w:val="21"/>
                <w:szCs w:val="21"/>
              </w:rPr>
            </w:pPr>
            <w:r>
              <w:rPr>
                <w:rFonts w:hint="eastAsia" w:eastAsia="仿宋_GB2312"/>
                <w:sz w:val="21"/>
                <w:szCs w:val="21"/>
              </w:rPr>
              <w:t>类型</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064" w:type="pct"/>
            <w:vMerge w:val="continue"/>
            <w:tcBorders>
              <w:top w:val="single" w:color="000000" w:sz="12" w:space="0"/>
              <w:left w:val="single" w:color="000000" w:sz="12" w:space="0"/>
              <w:bottom w:val="single" w:color="000000" w:sz="6" w:space="0"/>
              <w:right w:val="single" w:color="000000" w:sz="6" w:space="0"/>
            </w:tcBorders>
            <w:vAlign w:val="center"/>
          </w:tcPr>
          <w:p>
            <w:pPr>
              <w:widowControl/>
              <w:topLinePunct w:val="0"/>
              <w:adjustRightInd/>
              <w:snapToGrid/>
              <w:spacing w:line="240" w:lineRule="auto"/>
              <w:ind w:firstLine="0" w:firstLineChars="0"/>
              <w:jc w:val="left"/>
              <w:rPr>
                <w:rFonts w:eastAsia="仿宋_GB2312"/>
                <w:sz w:val="21"/>
                <w:szCs w:val="21"/>
              </w:rPr>
            </w:pPr>
          </w:p>
        </w:tc>
        <w:tc>
          <w:tcPr>
            <w:tcW w:w="749" w:type="pct"/>
            <w:vMerge w:val="continue"/>
            <w:tcBorders>
              <w:top w:val="single" w:color="000000" w:sz="12" w:space="0"/>
              <w:left w:val="single" w:color="000000" w:sz="6" w:space="0"/>
              <w:bottom w:val="single" w:color="000000" w:sz="6" w:space="0"/>
              <w:right w:val="single" w:color="000000" w:sz="6" w:space="0"/>
            </w:tcBorders>
            <w:vAlign w:val="center"/>
          </w:tcPr>
          <w:p>
            <w:pPr>
              <w:widowControl/>
              <w:topLinePunct w:val="0"/>
              <w:adjustRightInd/>
              <w:snapToGrid/>
              <w:spacing w:line="240" w:lineRule="auto"/>
              <w:ind w:firstLine="0" w:firstLineChars="0"/>
              <w:jc w:val="left"/>
              <w:rPr>
                <w:rFonts w:eastAsia="仿宋_GB2312"/>
                <w:color w:val="FF0000"/>
                <w:sz w:val="21"/>
                <w:szCs w:val="21"/>
              </w:rPr>
            </w:pPr>
          </w:p>
        </w:tc>
        <w:tc>
          <w:tcPr>
            <w:tcW w:w="666" w:type="pct"/>
            <w:tcBorders>
              <w:top w:val="single" w:color="000000" w:sz="6" w:space="0"/>
              <w:left w:val="single" w:color="000000" w:sz="6" w:space="0"/>
              <w:bottom w:val="single" w:color="000000" w:sz="6" w:space="0"/>
              <w:right w:val="single" w:color="000000" w:sz="6" w:space="0"/>
            </w:tcBorders>
            <w:shd w:val="clear" w:color="auto" w:fill="FFFFFF"/>
            <w:vAlign w:val="center"/>
          </w:tcPr>
          <w:p>
            <w:pPr>
              <w:spacing w:line="240" w:lineRule="auto"/>
              <w:ind w:firstLine="0" w:firstLineChars="0"/>
              <w:jc w:val="center"/>
              <w:rPr>
                <w:rFonts w:eastAsia="仿宋_GB2312"/>
                <w:sz w:val="21"/>
                <w:szCs w:val="21"/>
              </w:rPr>
            </w:pPr>
            <w:r>
              <w:rPr>
                <w:rFonts w:hint="eastAsia" w:eastAsia="仿宋_GB2312"/>
                <w:sz w:val="21"/>
                <w:szCs w:val="21"/>
              </w:rPr>
              <w:t>永久占地</w:t>
            </w:r>
          </w:p>
        </w:tc>
        <w:tc>
          <w:tcPr>
            <w:tcW w:w="666" w:type="pct"/>
            <w:tcBorders>
              <w:top w:val="single" w:color="000000" w:sz="6" w:space="0"/>
              <w:left w:val="single" w:color="000000" w:sz="6" w:space="0"/>
              <w:bottom w:val="single" w:color="000000" w:sz="6" w:space="0"/>
              <w:right w:val="single" w:color="000000" w:sz="6" w:space="0"/>
            </w:tcBorders>
            <w:shd w:val="clear" w:color="auto" w:fill="FFFFFF"/>
            <w:vAlign w:val="center"/>
          </w:tcPr>
          <w:p>
            <w:pPr>
              <w:spacing w:line="240" w:lineRule="auto"/>
              <w:ind w:firstLine="0" w:firstLineChars="0"/>
              <w:jc w:val="center"/>
              <w:rPr>
                <w:rFonts w:eastAsia="仿宋_GB2312"/>
                <w:sz w:val="21"/>
                <w:szCs w:val="21"/>
              </w:rPr>
            </w:pPr>
            <w:r>
              <w:rPr>
                <w:rFonts w:hint="eastAsia" w:eastAsia="仿宋_GB2312"/>
                <w:sz w:val="21"/>
                <w:szCs w:val="21"/>
              </w:rPr>
              <w:t>临时占地</w:t>
            </w:r>
          </w:p>
        </w:tc>
        <w:tc>
          <w:tcPr>
            <w:tcW w:w="666" w:type="pct"/>
            <w:tcBorders>
              <w:top w:val="single" w:color="000000" w:sz="6" w:space="0"/>
              <w:left w:val="single" w:color="000000" w:sz="6" w:space="0"/>
              <w:bottom w:val="single" w:color="000000" w:sz="6" w:space="0"/>
              <w:right w:val="single" w:color="000000" w:sz="6" w:space="0"/>
            </w:tcBorders>
            <w:shd w:val="clear" w:color="auto" w:fill="FFFFFF"/>
            <w:vAlign w:val="center"/>
          </w:tcPr>
          <w:p>
            <w:pPr>
              <w:spacing w:line="240" w:lineRule="auto"/>
              <w:ind w:firstLine="0" w:firstLineChars="0"/>
              <w:jc w:val="center"/>
              <w:rPr>
                <w:rFonts w:eastAsia="仿宋_GB2312"/>
                <w:sz w:val="21"/>
                <w:szCs w:val="21"/>
              </w:rPr>
            </w:pPr>
            <w:r>
              <w:rPr>
                <w:rFonts w:hint="eastAsia" w:eastAsia="仿宋_GB2312"/>
                <w:sz w:val="21"/>
                <w:szCs w:val="21"/>
              </w:rPr>
              <w:t>小计</w:t>
            </w:r>
          </w:p>
        </w:tc>
        <w:tc>
          <w:tcPr>
            <w:tcW w:w="666" w:type="pct"/>
            <w:vMerge w:val="continue"/>
            <w:tcBorders>
              <w:top w:val="single" w:color="000000" w:sz="12" w:space="0"/>
              <w:left w:val="single" w:color="000000" w:sz="6" w:space="0"/>
              <w:bottom w:val="single" w:color="000000" w:sz="6" w:space="0"/>
              <w:right w:val="single" w:color="000000" w:sz="6" w:space="0"/>
            </w:tcBorders>
            <w:vAlign w:val="center"/>
          </w:tcPr>
          <w:p>
            <w:pPr>
              <w:widowControl/>
              <w:topLinePunct w:val="0"/>
              <w:adjustRightInd/>
              <w:snapToGrid/>
              <w:spacing w:line="240" w:lineRule="auto"/>
              <w:ind w:firstLine="0" w:firstLineChars="0"/>
              <w:jc w:val="left"/>
              <w:rPr>
                <w:rFonts w:eastAsia="仿宋_GB2312"/>
                <w:sz w:val="21"/>
                <w:szCs w:val="21"/>
              </w:rPr>
            </w:pPr>
          </w:p>
        </w:tc>
        <w:tc>
          <w:tcPr>
            <w:tcW w:w="523" w:type="pct"/>
            <w:vMerge w:val="continue"/>
            <w:tcBorders>
              <w:top w:val="single" w:color="000000" w:sz="12" w:space="0"/>
              <w:left w:val="single" w:color="000000" w:sz="6" w:space="0"/>
              <w:bottom w:val="single" w:color="000000" w:sz="6" w:space="0"/>
              <w:right w:val="single" w:color="000000" w:sz="12" w:space="0"/>
            </w:tcBorders>
            <w:vAlign w:val="center"/>
          </w:tcPr>
          <w:p>
            <w:pPr>
              <w:widowControl/>
              <w:topLinePunct w:val="0"/>
              <w:adjustRightInd/>
              <w:snapToGrid/>
              <w:spacing w:line="240" w:lineRule="auto"/>
              <w:ind w:firstLine="0" w:firstLineChars="0"/>
              <w:jc w:val="left"/>
              <w:rPr>
                <w:rFonts w:eastAsia="仿宋_GB2312"/>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064" w:type="pct"/>
            <w:tcBorders>
              <w:top w:val="single" w:color="000000" w:sz="6" w:space="0"/>
              <w:left w:val="single" w:color="000000" w:sz="12" w:space="0"/>
              <w:bottom w:val="single" w:color="000000" w:sz="6" w:space="0"/>
              <w:right w:val="single" w:color="000000" w:sz="6" w:space="0"/>
            </w:tcBorders>
            <w:shd w:val="clear" w:color="auto" w:fill="FFFFFF"/>
            <w:vAlign w:val="center"/>
          </w:tcPr>
          <w:p>
            <w:pPr>
              <w:spacing w:line="240" w:lineRule="auto"/>
              <w:ind w:firstLine="0" w:firstLineChars="0"/>
              <w:jc w:val="center"/>
              <w:rPr>
                <w:rFonts w:eastAsia="仿宋_GB2312"/>
                <w:sz w:val="21"/>
                <w:szCs w:val="21"/>
              </w:rPr>
            </w:pPr>
            <w:r>
              <w:rPr>
                <w:rFonts w:hint="eastAsia" w:eastAsia="仿宋_GB2312"/>
                <w:sz w:val="21"/>
                <w:szCs w:val="21"/>
              </w:rPr>
              <w:t>管道工程区</w:t>
            </w:r>
          </w:p>
        </w:tc>
        <w:tc>
          <w:tcPr>
            <w:tcW w:w="749" w:type="pct"/>
            <w:tcBorders>
              <w:top w:val="single" w:color="000000" w:sz="6" w:space="0"/>
              <w:left w:val="single" w:color="000000" w:sz="6" w:space="0"/>
              <w:bottom w:val="single" w:color="000000" w:sz="6" w:space="0"/>
              <w:right w:val="single" w:color="000000" w:sz="6" w:space="0"/>
            </w:tcBorders>
            <w:shd w:val="clear" w:color="auto" w:fill="FFFFFF"/>
            <w:vAlign w:val="center"/>
          </w:tcPr>
          <w:p>
            <w:pPr>
              <w:spacing w:line="240" w:lineRule="auto"/>
              <w:ind w:firstLine="0" w:firstLineChars="0"/>
              <w:jc w:val="center"/>
              <w:rPr>
                <w:rFonts w:eastAsia="仿宋_GB2312"/>
                <w:sz w:val="21"/>
                <w:szCs w:val="21"/>
              </w:rPr>
            </w:pPr>
            <w:r>
              <w:rPr>
                <w:rFonts w:hint="eastAsia" w:eastAsia="仿宋_GB2312"/>
                <w:sz w:val="21"/>
                <w:szCs w:val="21"/>
              </w:rPr>
              <w:t>实际占地</w:t>
            </w:r>
          </w:p>
        </w:tc>
        <w:tc>
          <w:tcPr>
            <w:tcW w:w="666" w:type="pct"/>
            <w:tcBorders>
              <w:top w:val="single" w:color="000000" w:sz="6" w:space="0"/>
              <w:left w:val="single" w:color="000000" w:sz="6" w:space="0"/>
              <w:bottom w:val="single" w:color="000000" w:sz="6" w:space="0"/>
              <w:right w:val="single" w:color="000000" w:sz="6" w:space="0"/>
            </w:tcBorders>
            <w:shd w:val="clear" w:color="auto" w:fill="FFFFFF"/>
            <w:vAlign w:val="center"/>
          </w:tcPr>
          <w:p>
            <w:pPr>
              <w:spacing w:line="240" w:lineRule="auto"/>
              <w:ind w:firstLine="0" w:firstLineChars="0"/>
              <w:jc w:val="center"/>
              <w:rPr>
                <w:rFonts w:eastAsia="仿宋_GB2312"/>
                <w:sz w:val="21"/>
                <w:szCs w:val="21"/>
              </w:rPr>
            </w:pPr>
            <w:r>
              <w:rPr>
                <w:rFonts w:hint="eastAsia" w:eastAsia="仿宋_GB2312"/>
                <w:sz w:val="21"/>
                <w:szCs w:val="21"/>
              </w:rPr>
              <w:t>/</w:t>
            </w:r>
          </w:p>
        </w:tc>
        <w:tc>
          <w:tcPr>
            <w:tcW w:w="666" w:type="pct"/>
            <w:tcBorders>
              <w:top w:val="single" w:color="000000" w:sz="6" w:space="0"/>
              <w:left w:val="single" w:color="000000" w:sz="6" w:space="0"/>
              <w:bottom w:val="single" w:color="000000" w:sz="6" w:space="0"/>
              <w:right w:val="single" w:color="000000" w:sz="6" w:space="0"/>
            </w:tcBorders>
            <w:shd w:val="clear" w:color="auto" w:fill="FFFFFF"/>
            <w:vAlign w:val="center"/>
          </w:tcPr>
          <w:p>
            <w:pPr>
              <w:spacing w:line="240" w:lineRule="auto"/>
              <w:ind w:firstLine="0" w:firstLineChars="0"/>
              <w:jc w:val="center"/>
              <w:rPr>
                <w:rFonts w:eastAsia="仿宋_GB2312"/>
                <w:sz w:val="21"/>
                <w:szCs w:val="21"/>
              </w:rPr>
            </w:pPr>
            <w:r>
              <w:rPr>
                <w:rFonts w:hint="eastAsia" w:eastAsia="仿宋_GB2312"/>
                <w:sz w:val="21"/>
                <w:szCs w:val="21"/>
              </w:rPr>
              <w:t>1.73</w:t>
            </w:r>
          </w:p>
        </w:tc>
        <w:tc>
          <w:tcPr>
            <w:tcW w:w="666" w:type="pct"/>
            <w:tcBorders>
              <w:top w:val="single" w:color="000000" w:sz="6" w:space="0"/>
              <w:left w:val="single" w:color="000000" w:sz="6" w:space="0"/>
              <w:bottom w:val="single" w:color="000000" w:sz="6" w:space="0"/>
              <w:right w:val="single" w:color="000000" w:sz="6" w:space="0"/>
            </w:tcBorders>
            <w:shd w:val="clear" w:color="auto" w:fill="FFFFFF"/>
            <w:vAlign w:val="center"/>
          </w:tcPr>
          <w:p>
            <w:pPr>
              <w:spacing w:line="240" w:lineRule="auto"/>
              <w:ind w:firstLine="0" w:firstLineChars="0"/>
              <w:jc w:val="center"/>
              <w:rPr>
                <w:rFonts w:eastAsia="仿宋_GB2312"/>
                <w:sz w:val="21"/>
                <w:szCs w:val="21"/>
              </w:rPr>
            </w:pPr>
            <w:r>
              <w:rPr>
                <w:rFonts w:hint="eastAsia" w:eastAsia="仿宋_GB2312"/>
                <w:sz w:val="21"/>
                <w:szCs w:val="21"/>
              </w:rPr>
              <w:t>1.73</w:t>
            </w:r>
          </w:p>
        </w:tc>
        <w:tc>
          <w:tcPr>
            <w:tcW w:w="666" w:type="pct"/>
            <w:vMerge w:val="restart"/>
            <w:tcBorders>
              <w:top w:val="single" w:color="000000" w:sz="6" w:space="0"/>
              <w:left w:val="single" w:color="000000" w:sz="6" w:space="0"/>
              <w:right w:val="single" w:color="000000" w:sz="6" w:space="0"/>
            </w:tcBorders>
            <w:shd w:val="clear" w:color="auto" w:fill="FFFFFF"/>
            <w:vAlign w:val="center"/>
          </w:tcPr>
          <w:p>
            <w:pPr>
              <w:spacing w:line="240" w:lineRule="auto"/>
              <w:ind w:firstLine="0" w:firstLineChars="0"/>
              <w:jc w:val="center"/>
              <w:rPr>
                <w:rFonts w:eastAsia="仿宋_GB2312"/>
                <w:sz w:val="21"/>
                <w:szCs w:val="21"/>
              </w:rPr>
            </w:pPr>
            <w:r>
              <w:rPr>
                <w:rFonts w:hint="eastAsia" w:eastAsia="仿宋_GB2312"/>
                <w:sz w:val="21"/>
                <w:szCs w:val="21"/>
              </w:rPr>
              <w:t>第十四师224团</w:t>
            </w:r>
          </w:p>
        </w:tc>
        <w:tc>
          <w:tcPr>
            <w:tcW w:w="523" w:type="pct"/>
            <w:vMerge w:val="restart"/>
            <w:tcBorders>
              <w:top w:val="single" w:color="000000" w:sz="6" w:space="0"/>
              <w:left w:val="single" w:color="000000" w:sz="6" w:space="0"/>
              <w:right w:val="single" w:color="000000" w:sz="12" w:space="0"/>
            </w:tcBorders>
            <w:shd w:val="clear" w:color="auto" w:fill="FFFFFF"/>
            <w:vAlign w:val="center"/>
          </w:tcPr>
          <w:p>
            <w:pPr>
              <w:spacing w:line="240" w:lineRule="auto"/>
              <w:ind w:firstLine="0" w:firstLineChars="0"/>
              <w:jc w:val="center"/>
              <w:rPr>
                <w:rFonts w:eastAsia="仿宋_GB2312"/>
                <w:sz w:val="21"/>
                <w:szCs w:val="21"/>
              </w:rPr>
            </w:pPr>
            <w:r>
              <w:rPr>
                <w:rFonts w:hint="eastAsia" w:eastAsia="仿宋_GB2312"/>
                <w:sz w:val="21"/>
                <w:szCs w:val="21"/>
              </w:rPr>
              <w:t>住宅</w:t>
            </w:r>
          </w:p>
          <w:p>
            <w:pPr>
              <w:spacing w:line="240" w:lineRule="auto"/>
              <w:ind w:firstLine="0" w:firstLineChars="0"/>
              <w:jc w:val="center"/>
              <w:rPr>
                <w:rFonts w:eastAsia="仿宋_GB2312"/>
                <w:sz w:val="21"/>
                <w:szCs w:val="21"/>
              </w:rPr>
            </w:pPr>
            <w:r>
              <w:rPr>
                <w:rFonts w:hint="eastAsia" w:eastAsia="仿宋_GB2312"/>
                <w:sz w:val="21"/>
                <w:szCs w:val="21"/>
              </w:rPr>
              <w:t>用地</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064" w:type="pct"/>
            <w:tcBorders>
              <w:top w:val="single" w:color="000000" w:sz="6" w:space="0"/>
              <w:left w:val="single" w:color="000000" w:sz="12" w:space="0"/>
              <w:bottom w:val="single" w:color="000000" w:sz="6" w:space="0"/>
              <w:right w:val="single" w:color="000000" w:sz="6" w:space="0"/>
            </w:tcBorders>
            <w:shd w:val="clear" w:color="auto" w:fill="FFFFFF"/>
            <w:vAlign w:val="center"/>
          </w:tcPr>
          <w:p>
            <w:pPr>
              <w:spacing w:line="240" w:lineRule="auto"/>
              <w:ind w:firstLine="0" w:firstLineChars="0"/>
              <w:jc w:val="center"/>
              <w:rPr>
                <w:rFonts w:eastAsia="仿宋_GB2312"/>
                <w:sz w:val="21"/>
                <w:szCs w:val="21"/>
              </w:rPr>
            </w:pPr>
            <w:r>
              <w:rPr>
                <w:rFonts w:hint="eastAsia" w:eastAsia="仿宋_GB2312"/>
                <w:sz w:val="21"/>
                <w:szCs w:val="21"/>
              </w:rPr>
              <w:t>附属构筑物区</w:t>
            </w:r>
          </w:p>
        </w:tc>
        <w:tc>
          <w:tcPr>
            <w:tcW w:w="749" w:type="pct"/>
            <w:tcBorders>
              <w:top w:val="single" w:color="000000" w:sz="6" w:space="0"/>
              <w:left w:val="single" w:color="000000" w:sz="6" w:space="0"/>
              <w:bottom w:val="single" w:color="000000" w:sz="6" w:space="0"/>
              <w:right w:val="single" w:color="000000" w:sz="6" w:space="0"/>
            </w:tcBorders>
            <w:shd w:val="clear" w:color="auto" w:fill="FFFFFF"/>
            <w:vAlign w:val="center"/>
          </w:tcPr>
          <w:p>
            <w:pPr>
              <w:spacing w:line="240" w:lineRule="auto"/>
              <w:ind w:firstLine="0" w:firstLineChars="0"/>
              <w:jc w:val="center"/>
              <w:rPr>
                <w:rFonts w:eastAsia="仿宋_GB2312"/>
                <w:sz w:val="21"/>
                <w:szCs w:val="21"/>
              </w:rPr>
            </w:pPr>
            <w:r>
              <w:rPr>
                <w:rFonts w:hint="eastAsia" w:eastAsia="仿宋_GB2312"/>
                <w:sz w:val="21"/>
                <w:szCs w:val="21"/>
              </w:rPr>
              <w:t>实际占地</w:t>
            </w:r>
          </w:p>
        </w:tc>
        <w:tc>
          <w:tcPr>
            <w:tcW w:w="666" w:type="pct"/>
            <w:tcBorders>
              <w:top w:val="single" w:color="000000" w:sz="6" w:space="0"/>
              <w:left w:val="single" w:color="000000" w:sz="6" w:space="0"/>
              <w:bottom w:val="single" w:color="000000" w:sz="6" w:space="0"/>
              <w:right w:val="single" w:color="000000" w:sz="6" w:space="0"/>
            </w:tcBorders>
            <w:shd w:val="clear" w:color="auto" w:fill="FFFFFF"/>
            <w:vAlign w:val="center"/>
          </w:tcPr>
          <w:p>
            <w:pPr>
              <w:spacing w:line="240" w:lineRule="auto"/>
              <w:ind w:firstLine="0" w:firstLineChars="0"/>
              <w:jc w:val="center"/>
              <w:rPr>
                <w:rFonts w:eastAsia="仿宋_GB2312"/>
                <w:sz w:val="21"/>
                <w:szCs w:val="21"/>
              </w:rPr>
            </w:pPr>
            <w:r>
              <w:rPr>
                <w:rFonts w:hint="eastAsia" w:eastAsia="仿宋_GB2312"/>
                <w:sz w:val="21"/>
                <w:szCs w:val="21"/>
              </w:rPr>
              <w:t>0.11</w:t>
            </w:r>
          </w:p>
        </w:tc>
        <w:tc>
          <w:tcPr>
            <w:tcW w:w="666" w:type="pct"/>
            <w:tcBorders>
              <w:top w:val="single" w:color="000000" w:sz="6" w:space="0"/>
              <w:left w:val="single" w:color="000000" w:sz="6" w:space="0"/>
              <w:bottom w:val="single" w:color="000000" w:sz="6" w:space="0"/>
              <w:right w:val="single" w:color="000000" w:sz="6" w:space="0"/>
            </w:tcBorders>
            <w:shd w:val="clear" w:color="auto" w:fill="FFFFFF"/>
            <w:vAlign w:val="center"/>
          </w:tcPr>
          <w:p>
            <w:pPr>
              <w:spacing w:line="240" w:lineRule="auto"/>
              <w:ind w:firstLine="0" w:firstLineChars="0"/>
              <w:jc w:val="center"/>
              <w:rPr>
                <w:rFonts w:eastAsia="仿宋_GB2312"/>
                <w:sz w:val="21"/>
                <w:szCs w:val="21"/>
              </w:rPr>
            </w:pPr>
            <w:r>
              <w:rPr>
                <w:rFonts w:hint="eastAsia" w:eastAsia="仿宋_GB2312"/>
                <w:sz w:val="21"/>
                <w:szCs w:val="21"/>
              </w:rPr>
              <w:t>/</w:t>
            </w:r>
          </w:p>
        </w:tc>
        <w:tc>
          <w:tcPr>
            <w:tcW w:w="666" w:type="pct"/>
            <w:tcBorders>
              <w:top w:val="single" w:color="000000" w:sz="6" w:space="0"/>
              <w:left w:val="single" w:color="000000" w:sz="6" w:space="0"/>
              <w:bottom w:val="single" w:color="000000" w:sz="6" w:space="0"/>
              <w:right w:val="single" w:color="000000" w:sz="6" w:space="0"/>
            </w:tcBorders>
            <w:shd w:val="clear" w:color="auto" w:fill="FFFFFF"/>
            <w:vAlign w:val="center"/>
          </w:tcPr>
          <w:p>
            <w:pPr>
              <w:spacing w:line="240" w:lineRule="auto"/>
              <w:ind w:firstLine="0" w:firstLineChars="0"/>
              <w:jc w:val="center"/>
              <w:rPr>
                <w:rFonts w:eastAsia="仿宋_GB2312"/>
                <w:sz w:val="21"/>
                <w:szCs w:val="21"/>
              </w:rPr>
            </w:pPr>
            <w:r>
              <w:rPr>
                <w:rFonts w:hint="eastAsia" w:eastAsia="仿宋_GB2312"/>
                <w:sz w:val="21"/>
                <w:szCs w:val="21"/>
              </w:rPr>
              <w:t>0.11</w:t>
            </w:r>
          </w:p>
        </w:tc>
        <w:tc>
          <w:tcPr>
            <w:tcW w:w="666" w:type="pct"/>
            <w:vMerge w:val="continue"/>
            <w:tcBorders>
              <w:left w:val="single" w:color="000000" w:sz="6" w:space="0"/>
              <w:right w:val="single" w:color="000000" w:sz="6" w:space="0"/>
            </w:tcBorders>
            <w:vAlign w:val="center"/>
          </w:tcPr>
          <w:p>
            <w:pPr>
              <w:widowControl/>
              <w:topLinePunct w:val="0"/>
              <w:adjustRightInd/>
              <w:snapToGrid/>
              <w:spacing w:line="240" w:lineRule="auto"/>
              <w:ind w:firstLine="0" w:firstLineChars="0"/>
              <w:jc w:val="left"/>
              <w:rPr>
                <w:rFonts w:eastAsia="仿宋_GB2312"/>
                <w:sz w:val="21"/>
                <w:szCs w:val="21"/>
              </w:rPr>
            </w:pPr>
          </w:p>
        </w:tc>
        <w:tc>
          <w:tcPr>
            <w:tcW w:w="523" w:type="pct"/>
            <w:vMerge w:val="continue"/>
            <w:tcBorders>
              <w:left w:val="single" w:color="000000" w:sz="6" w:space="0"/>
              <w:right w:val="single" w:color="000000" w:sz="12" w:space="0"/>
            </w:tcBorders>
            <w:vAlign w:val="center"/>
          </w:tcPr>
          <w:p>
            <w:pPr>
              <w:widowControl/>
              <w:topLinePunct w:val="0"/>
              <w:adjustRightInd/>
              <w:snapToGrid/>
              <w:spacing w:line="240" w:lineRule="auto"/>
              <w:ind w:firstLine="0" w:firstLineChars="0"/>
              <w:jc w:val="left"/>
              <w:rPr>
                <w:rFonts w:eastAsia="仿宋_GB2312"/>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064" w:type="pct"/>
            <w:tcBorders>
              <w:top w:val="single" w:color="000000" w:sz="6" w:space="0"/>
              <w:left w:val="single" w:color="000000" w:sz="12" w:space="0"/>
              <w:bottom w:val="single" w:color="000000" w:sz="12" w:space="0"/>
              <w:right w:val="single" w:color="auto" w:sz="4" w:space="0"/>
            </w:tcBorders>
            <w:shd w:val="clear" w:color="auto" w:fill="FFFFFF"/>
            <w:vAlign w:val="center"/>
          </w:tcPr>
          <w:p>
            <w:pPr>
              <w:spacing w:line="240" w:lineRule="auto"/>
              <w:ind w:firstLine="0" w:firstLineChars="0"/>
              <w:jc w:val="center"/>
              <w:rPr>
                <w:rFonts w:eastAsia="仿宋_GB2312"/>
                <w:sz w:val="21"/>
                <w:szCs w:val="21"/>
              </w:rPr>
            </w:pPr>
            <w:r>
              <w:rPr>
                <w:rFonts w:hint="eastAsia" w:eastAsia="仿宋_GB2312"/>
                <w:sz w:val="21"/>
                <w:szCs w:val="21"/>
              </w:rPr>
              <w:t>合计</w:t>
            </w:r>
          </w:p>
        </w:tc>
        <w:tc>
          <w:tcPr>
            <w:tcW w:w="749" w:type="pct"/>
            <w:tcBorders>
              <w:top w:val="single" w:color="000000" w:sz="6" w:space="0"/>
              <w:left w:val="single" w:color="auto" w:sz="4" w:space="0"/>
              <w:bottom w:val="single" w:color="000000" w:sz="12" w:space="0"/>
              <w:right w:val="single" w:color="000000" w:sz="6" w:space="0"/>
            </w:tcBorders>
            <w:shd w:val="clear" w:color="auto" w:fill="FFFFFF"/>
            <w:vAlign w:val="center"/>
          </w:tcPr>
          <w:p>
            <w:pPr>
              <w:spacing w:line="240" w:lineRule="auto"/>
              <w:ind w:firstLine="0" w:firstLineChars="0"/>
              <w:jc w:val="center"/>
              <w:rPr>
                <w:rFonts w:eastAsia="仿宋_GB2312"/>
                <w:sz w:val="21"/>
                <w:szCs w:val="21"/>
              </w:rPr>
            </w:pPr>
          </w:p>
        </w:tc>
        <w:tc>
          <w:tcPr>
            <w:tcW w:w="666" w:type="pct"/>
            <w:tcBorders>
              <w:top w:val="single" w:color="000000" w:sz="6" w:space="0"/>
              <w:left w:val="single" w:color="000000" w:sz="6" w:space="0"/>
              <w:bottom w:val="single" w:color="000000" w:sz="12" w:space="0"/>
              <w:right w:val="single" w:color="000000" w:sz="6" w:space="0"/>
            </w:tcBorders>
            <w:shd w:val="clear" w:color="auto" w:fill="FFFFFF"/>
            <w:vAlign w:val="center"/>
          </w:tcPr>
          <w:p>
            <w:pPr>
              <w:spacing w:line="240" w:lineRule="auto"/>
              <w:ind w:firstLine="0" w:firstLineChars="0"/>
              <w:jc w:val="center"/>
              <w:rPr>
                <w:rFonts w:eastAsia="仿宋_GB2312"/>
                <w:sz w:val="21"/>
                <w:szCs w:val="21"/>
              </w:rPr>
            </w:pPr>
            <w:r>
              <w:rPr>
                <w:rFonts w:hint="eastAsia" w:eastAsia="仿宋_GB2312"/>
                <w:sz w:val="21"/>
                <w:szCs w:val="21"/>
              </w:rPr>
              <w:t>0.11</w:t>
            </w:r>
          </w:p>
        </w:tc>
        <w:tc>
          <w:tcPr>
            <w:tcW w:w="666" w:type="pct"/>
            <w:tcBorders>
              <w:top w:val="single" w:color="000000" w:sz="6" w:space="0"/>
              <w:left w:val="single" w:color="000000" w:sz="6" w:space="0"/>
              <w:bottom w:val="single" w:color="000000" w:sz="12" w:space="0"/>
              <w:right w:val="single" w:color="000000" w:sz="6" w:space="0"/>
            </w:tcBorders>
            <w:shd w:val="clear" w:color="auto" w:fill="FFFFFF"/>
            <w:vAlign w:val="center"/>
          </w:tcPr>
          <w:p>
            <w:pPr>
              <w:spacing w:line="240" w:lineRule="auto"/>
              <w:ind w:firstLine="0" w:firstLineChars="0"/>
              <w:jc w:val="center"/>
              <w:rPr>
                <w:rFonts w:eastAsia="仿宋_GB2312"/>
                <w:sz w:val="21"/>
                <w:szCs w:val="21"/>
              </w:rPr>
            </w:pPr>
            <w:r>
              <w:rPr>
                <w:rFonts w:hint="eastAsia" w:eastAsia="仿宋_GB2312"/>
                <w:sz w:val="21"/>
                <w:szCs w:val="21"/>
              </w:rPr>
              <w:t>1.73</w:t>
            </w:r>
          </w:p>
        </w:tc>
        <w:tc>
          <w:tcPr>
            <w:tcW w:w="666" w:type="pct"/>
            <w:tcBorders>
              <w:top w:val="single" w:color="000000" w:sz="6" w:space="0"/>
              <w:left w:val="single" w:color="000000" w:sz="6" w:space="0"/>
              <w:bottom w:val="single" w:color="000000" w:sz="12" w:space="0"/>
              <w:right w:val="single" w:color="000000" w:sz="6" w:space="0"/>
            </w:tcBorders>
            <w:shd w:val="clear" w:color="auto" w:fill="FFFFFF"/>
            <w:vAlign w:val="center"/>
          </w:tcPr>
          <w:p>
            <w:pPr>
              <w:spacing w:line="240" w:lineRule="auto"/>
              <w:ind w:firstLine="0" w:firstLineChars="0"/>
              <w:jc w:val="center"/>
              <w:rPr>
                <w:rFonts w:eastAsia="仿宋_GB2312"/>
                <w:sz w:val="21"/>
                <w:szCs w:val="21"/>
              </w:rPr>
            </w:pPr>
            <w:r>
              <w:rPr>
                <w:rFonts w:hint="eastAsia" w:eastAsia="仿宋_GB2312"/>
                <w:sz w:val="21"/>
                <w:szCs w:val="21"/>
              </w:rPr>
              <w:t>1.84</w:t>
            </w:r>
          </w:p>
        </w:tc>
        <w:tc>
          <w:tcPr>
            <w:tcW w:w="666" w:type="pct"/>
            <w:tcBorders>
              <w:top w:val="single" w:color="000000" w:sz="6" w:space="0"/>
              <w:left w:val="single" w:color="000000" w:sz="6" w:space="0"/>
              <w:bottom w:val="single" w:color="000000" w:sz="12" w:space="0"/>
              <w:right w:val="single" w:color="000000" w:sz="6" w:space="0"/>
            </w:tcBorders>
            <w:shd w:val="clear" w:color="auto" w:fill="FFFFFF"/>
            <w:vAlign w:val="center"/>
          </w:tcPr>
          <w:p>
            <w:pPr>
              <w:autoSpaceDE w:val="0"/>
              <w:autoSpaceDN w:val="0"/>
              <w:spacing w:line="0" w:lineRule="atLeast"/>
              <w:ind w:right="-20" w:firstLine="0" w:firstLineChars="0"/>
              <w:jc w:val="center"/>
              <w:rPr>
                <w:rFonts w:eastAsia="仿宋_GB2312"/>
                <w:position w:val="-2"/>
                <w:sz w:val="21"/>
                <w:szCs w:val="21"/>
              </w:rPr>
            </w:pPr>
            <w:r>
              <w:rPr>
                <w:rFonts w:hint="eastAsia" w:eastAsia="仿宋_GB2312"/>
                <w:sz w:val="21"/>
                <w:szCs w:val="21"/>
              </w:rPr>
              <w:t>－</w:t>
            </w:r>
          </w:p>
        </w:tc>
        <w:tc>
          <w:tcPr>
            <w:tcW w:w="523" w:type="pct"/>
            <w:tcBorders>
              <w:top w:val="single" w:color="000000" w:sz="6" w:space="0"/>
              <w:left w:val="single" w:color="000000" w:sz="6" w:space="0"/>
              <w:bottom w:val="single" w:color="000000" w:sz="12" w:space="0"/>
              <w:right w:val="single" w:color="000000" w:sz="12" w:space="0"/>
            </w:tcBorders>
            <w:shd w:val="clear" w:color="auto" w:fill="FFFFFF"/>
            <w:vAlign w:val="center"/>
          </w:tcPr>
          <w:p>
            <w:pPr>
              <w:spacing w:line="240" w:lineRule="auto"/>
              <w:ind w:firstLine="0" w:firstLineChars="0"/>
              <w:jc w:val="center"/>
              <w:rPr>
                <w:rFonts w:eastAsia="仿宋_GB2312"/>
                <w:sz w:val="21"/>
                <w:szCs w:val="21"/>
              </w:rPr>
            </w:pPr>
            <w:r>
              <w:rPr>
                <w:rFonts w:hint="eastAsia" w:eastAsia="仿宋_GB2312"/>
                <w:sz w:val="21"/>
                <w:szCs w:val="21"/>
              </w:rPr>
              <w:t>－</w:t>
            </w:r>
          </w:p>
        </w:tc>
      </w:tr>
    </w:tbl>
    <w:p>
      <w:pPr>
        <w:pStyle w:val="3"/>
        <w:widowControl/>
        <w:numPr>
          <w:ilvl w:val="1"/>
          <w:numId w:val="1"/>
        </w:numPr>
        <w:tabs>
          <w:tab w:val="clear" w:pos="1002"/>
        </w:tabs>
        <w:topLinePunct w:val="0"/>
        <w:adjustRightInd/>
        <w:snapToGrid/>
        <w:spacing w:beforeLines="100"/>
        <w:ind w:left="0" w:firstLine="0"/>
        <w:jc w:val="both"/>
        <w:rPr>
          <w:rFonts w:eastAsia="仿宋_GB2312"/>
        </w:rPr>
      </w:pPr>
      <w:bookmarkStart w:id="156" w:name="_Toc47381530"/>
      <w:bookmarkStart w:id="157" w:name="_Toc7801458"/>
      <w:bookmarkStart w:id="158" w:name="_Toc7801551"/>
      <w:bookmarkStart w:id="159" w:name="_Toc7801391"/>
      <w:r>
        <w:rPr>
          <w:rFonts w:eastAsia="仿宋_GB2312"/>
        </w:rPr>
        <w:t>土石方平衡</w:t>
      </w:r>
      <w:bookmarkEnd w:id="156"/>
      <w:bookmarkEnd w:id="157"/>
      <w:bookmarkEnd w:id="158"/>
      <w:bookmarkEnd w:id="159"/>
    </w:p>
    <w:p>
      <w:pPr>
        <w:ind w:firstLine="480"/>
        <w:rPr>
          <w:rFonts w:eastAsia="仿宋_GB2312"/>
        </w:rPr>
      </w:pPr>
      <w:bookmarkStart w:id="160" w:name="_Toc255304527"/>
      <w:r>
        <w:rPr>
          <w:rFonts w:hint="eastAsia" w:eastAsia="仿宋_GB2312"/>
        </w:rPr>
        <w:t>本项目土石方主要产生于施工期各建筑物基础开挖回填、管沟开挖回填、场地平整。</w:t>
      </w:r>
    </w:p>
    <w:p>
      <w:pPr>
        <w:ind w:firstLine="480"/>
        <w:rPr>
          <w:rFonts w:eastAsia="仿宋_GB2312"/>
        </w:rPr>
      </w:pPr>
      <w:r>
        <w:rPr>
          <w:rFonts w:hint="eastAsia" w:eastAsia="仿宋_GB2312"/>
        </w:rPr>
        <w:t>本工程开挖总量为0.68万</w:t>
      </w:r>
      <w:r>
        <w:rPr>
          <w:rFonts w:eastAsia="仿宋_GB2312"/>
        </w:rPr>
        <w:t>m</w:t>
      </w:r>
      <w:r>
        <w:rPr>
          <w:rFonts w:eastAsia="仿宋_GB2312"/>
          <w:vertAlign w:val="superscript"/>
        </w:rPr>
        <w:t>3</w:t>
      </w:r>
      <w:r>
        <w:rPr>
          <w:rFonts w:hint="eastAsia" w:eastAsia="仿宋_GB2312"/>
        </w:rPr>
        <w:t>，土方填筑总量为0.68万</w:t>
      </w:r>
      <w:r>
        <w:rPr>
          <w:rFonts w:eastAsia="仿宋_GB2312"/>
        </w:rPr>
        <w:t>m</w:t>
      </w:r>
      <w:r>
        <w:rPr>
          <w:rFonts w:eastAsia="仿宋_GB2312"/>
          <w:vertAlign w:val="superscript"/>
        </w:rPr>
        <w:t>3</w:t>
      </w:r>
      <w:r>
        <w:rPr>
          <w:rFonts w:hint="eastAsia" w:eastAsia="仿宋_GB2312"/>
        </w:rPr>
        <w:t>，通过内部调运大部分土方回填利用，剩余土方平摊至施工范围内</w:t>
      </w:r>
      <w:r>
        <w:rPr>
          <w:rFonts w:hint="eastAsia" w:ascii="仿宋_GB2312" w:hAnsi="仿宋_GB2312" w:eastAsia="仿宋_GB2312" w:cs="仿宋_GB2312"/>
        </w:rPr>
        <w:t>，</w:t>
      </w:r>
      <w:r>
        <w:rPr>
          <w:rFonts w:hint="eastAsia" w:eastAsia="仿宋_GB2312"/>
        </w:rPr>
        <w:t>无外借，无永久弃方。</w:t>
      </w:r>
    </w:p>
    <w:p>
      <w:pPr>
        <w:ind w:firstLine="480"/>
        <w:rPr>
          <w:rFonts w:eastAsia="仿宋_GB2312"/>
        </w:rPr>
      </w:pPr>
      <w:r>
        <w:rPr>
          <w:rFonts w:hint="eastAsia" w:eastAsia="仿宋_GB2312"/>
        </w:rPr>
        <w:t>本着开挖土方尽量就近利用并减少占地的原则，进行工程的土石方平衡。土石方挖填、调运详见表</w:t>
      </w:r>
      <w:r>
        <w:rPr>
          <w:rFonts w:eastAsia="仿宋_GB2312"/>
        </w:rPr>
        <w:t>2.4-1</w:t>
      </w:r>
      <w:r>
        <w:rPr>
          <w:rFonts w:hint="eastAsia" w:eastAsia="仿宋_GB2312"/>
        </w:rPr>
        <w:t>和图</w:t>
      </w:r>
      <w:r>
        <w:rPr>
          <w:rFonts w:eastAsia="仿宋_GB2312"/>
        </w:rPr>
        <w:t>2.4-1</w:t>
      </w:r>
      <w:r>
        <w:rPr>
          <w:rFonts w:hint="eastAsia" w:eastAsia="仿宋_GB2312"/>
        </w:rPr>
        <w:t>。</w:t>
      </w:r>
    </w:p>
    <w:p>
      <w:pPr>
        <w:tabs>
          <w:tab w:val="left" w:pos="840"/>
          <w:tab w:val="left" w:pos="1485"/>
        </w:tabs>
        <w:spacing w:line="240" w:lineRule="auto"/>
        <w:ind w:firstLine="480"/>
        <w:jc w:val="center"/>
        <w:rPr>
          <w:rFonts w:eastAsia="仿宋_GB2312"/>
          <w:b/>
        </w:rPr>
      </w:pPr>
      <w:r>
        <w:rPr>
          <w:rFonts w:eastAsia="仿宋_GB2312"/>
          <w:b/>
        </w:rPr>
        <w:t xml:space="preserve">2.4-1    </w:t>
      </w:r>
      <w:r>
        <w:rPr>
          <w:rFonts w:hint="eastAsia" w:eastAsia="仿宋_GB2312"/>
          <w:b/>
        </w:rPr>
        <w:t>土石方平衡表单位：万</w:t>
      </w:r>
      <w:r>
        <w:rPr>
          <w:rFonts w:eastAsia="仿宋_GB2312"/>
          <w:b/>
        </w:rPr>
        <w:t>m</w:t>
      </w:r>
      <w:r>
        <w:rPr>
          <w:rFonts w:eastAsia="仿宋_GB2312"/>
          <w:b/>
          <w:vertAlign w:val="superscript"/>
        </w:rPr>
        <w:t>3</w:t>
      </w:r>
    </w:p>
    <w:tbl>
      <w:tblPr>
        <w:tblStyle w:val="40"/>
        <w:tblW w:w="5103"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844"/>
        <w:gridCol w:w="772"/>
        <w:gridCol w:w="772"/>
        <w:gridCol w:w="664"/>
        <w:gridCol w:w="664"/>
        <w:gridCol w:w="664"/>
        <w:gridCol w:w="664"/>
        <w:gridCol w:w="664"/>
        <w:gridCol w:w="664"/>
        <w:gridCol w:w="664"/>
        <w:gridCol w:w="65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trPr>
        <w:tc>
          <w:tcPr>
            <w:tcW w:w="1061" w:type="pct"/>
            <w:vMerge w:val="restart"/>
            <w:tcBorders>
              <w:top w:val="single" w:color="auto" w:sz="12" w:space="0"/>
              <w:left w:val="single" w:color="auto" w:sz="12" w:space="0"/>
              <w:bottom w:val="single" w:color="auto" w:sz="6" w:space="0"/>
              <w:right w:val="single" w:color="auto" w:sz="6" w:space="0"/>
            </w:tcBorders>
            <w:vAlign w:val="center"/>
          </w:tcPr>
          <w:p>
            <w:pPr>
              <w:widowControl/>
              <w:spacing w:line="0" w:lineRule="atLeast"/>
              <w:ind w:firstLine="0" w:firstLineChars="0"/>
              <w:jc w:val="center"/>
              <w:rPr>
                <w:rFonts w:eastAsia="仿宋_GB2312"/>
                <w:sz w:val="21"/>
                <w:szCs w:val="21"/>
              </w:rPr>
            </w:pPr>
            <w:r>
              <w:rPr>
                <w:rFonts w:hint="eastAsia" w:eastAsia="仿宋_GB2312"/>
                <w:sz w:val="21"/>
                <w:szCs w:val="21"/>
              </w:rPr>
              <w:t>工程分区</w:t>
            </w:r>
          </w:p>
        </w:tc>
        <w:tc>
          <w:tcPr>
            <w:tcW w:w="444" w:type="pct"/>
            <w:vMerge w:val="restart"/>
            <w:tcBorders>
              <w:top w:val="single" w:color="auto" w:sz="12" w:space="0"/>
              <w:left w:val="single" w:color="auto" w:sz="6" w:space="0"/>
              <w:bottom w:val="single" w:color="auto" w:sz="6" w:space="0"/>
              <w:right w:val="single" w:color="auto" w:sz="6" w:space="0"/>
            </w:tcBorders>
            <w:vAlign w:val="center"/>
          </w:tcPr>
          <w:p>
            <w:pPr>
              <w:spacing w:line="240" w:lineRule="auto"/>
              <w:ind w:firstLine="0" w:firstLineChars="0"/>
              <w:jc w:val="center"/>
              <w:rPr>
                <w:rFonts w:eastAsia="仿宋_GB2312"/>
                <w:sz w:val="21"/>
                <w:szCs w:val="21"/>
              </w:rPr>
            </w:pPr>
            <w:r>
              <w:rPr>
                <w:rFonts w:hint="eastAsia" w:eastAsia="仿宋_GB2312"/>
                <w:sz w:val="21"/>
                <w:szCs w:val="21"/>
              </w:rPr>
              <w:t>开挖</w:t>
            </w:r>
          </w:p>
        </w:tc>
        <w:tc>
          <w:tcPr>
            <w:tcW w:w="444" w:type="pct"/>
            <w:vMerge w:val="restart"/>
            <w:tcBorders>
              <w:top w:val="single" w:color="auto" w:sz="12" w:space="0"/>
              <w:left w:val="single" w:color="auto" w:sz="6" w:space="0"/>
              <w:bottom w:val="single" w:color="auto" w:sz="6" w:space="0"/>
              <w:right w:val="single" w:color="auto" w:sz="6" w:space="0"/>
            </w:tcBorders>
            <w:vAlign w:val="center"/>
          </w:tcPr>
          <w:p>
            <w:pPr>
              <w:spacing w:line="240" w:lineRule="auto"/>
              <w:ind w:firstLine="0" w:firstLineChars="0"/>
              <w:jc w:val="center"/>
              <w:rPr>
                <w:rFonts w:eastAsia="仿宋_GB2312"/>
                <w:sz w:val="21"/>
                <w:szCs w:val="21"/>
              </w:rPr>
            </w:pPr>
            <w:r>
              <w:rPr>
                <w:rFonts w:hint="eastAsia" w:eastAsia="仿宋_GB2312"/>
                <w:sz w:val="21"/>
                <w:szCs w:val="21"/>
              </w:rPr>
              <w:t>回填</w:t>
            </w:r>
          </w:p>
        </w:tc>
        <w:tc>
          <w:tcPr>
            <w:tcW w:w="764" w:type="pct"/>
            <w:gridSpan w:val="2"/>
            <w:tcBorders>
              <w:top w:val="single" w:color="auto" w:sz="12" w:space="0"/>
              <w:left w:val="single" w:color="auto" w:sz="6" w:space="0"/>
              <w:bottom w:val="single" w:color="auto" w:sz="6" w:space="0"/>
              <w:right w:val="single" w:color="auto" w:sz="6" w:space="0"/>
            </w:tcBorders>
            <w:vAlign w:val="center"/>
          </w:tcPr>
          <w:p>
            <w:pPr>
              <w:widowControl/>
              <w:spacing w:line="0" w:lineRule="atLeast"/>
              <w:ind w:firstLine="0" w:firstLineChars="0"/>
              <w:jc w:val="center"/>
              <w:rPr>
                <w:rFonts w:eastAsia="仿宋_GB2312"/>
                <w:sz w:val="21"/>
                <w:szCs w:val="21"/>
              </w:rPr>
            </w:pPr>
            <w:r>
              <w:rPr>
                <w:rFonts w:hint="eastAsia" w:eastAsia="仿宋_GB2312"/>
                <w:sz w:val="21"/>
                <w:szCs w:val="21"/>
              </w:rPr>
              <w:t>调入</w:t>
            </w:r>
          </w:p>
        </w:tc>
        <w:tc>
          <w:tcPr>
            <w:tcW w:w="764" w:type="pct"/>
            <w:gridSpan w:val="2"/>
            <w:tcBorders>
              <w:top w:val="single" w:color="auto" w:sz="12" w:space="0"/>
              <w:left w:val="single" w:color="auto" w:sz="6" w:space="0"/>
              <w:bottom w:val="single" w:color="auto" w:sz="6" w:space="0"/>
              <w:right w:val="single" w:color="auto" w:sz="6" w:space="0"/>
            </w:tcBorders>
            <w:vAlign w:val="center"/>
          </w:tcPr>
          <w:p>
            <w:pPr>
              <w:widowControl/>
              <w:spacing w:line="0" w:lineRule="atLeast"/>
              <w:ind w:firstLine="0" w:firstLineChars="0"/>
              <w:jc w:val="center"/>
              <w:rPr>
                <w:rFonts w:eastAsia="仿宋_GB2312"/>
                <w:sz w:val="21"/>
                <w:szCs w:val="21"/>
              </w:rPr>
            </w:pPr>
            <w:r>
              <w:rPr>
                <w:rFonts w:hint="eastAsia" w:eastAsia="仿宋_GB2312"/>
                <w:sz w:val="21"/>
                <w:szCs w:val="21"/>
              </w:rPr>
              <w:t>调出</w:t>
            </w:r>
          </w:p>
        </w:tc>
        <w:tc>
          <w:tcPr>
            <w:tcW w:w="764" w:type="pct"/>
            <w:gridSpan w:val="2"/>
            <w:tcBorders>
              <w:top w:val="single" w:color="auto" w:sz="12" w:space="0"/>
              <w:left w:val="single" w:color="auto" w:sz="6" w:space="0"/>
              <w:bottom w:val="single" w:color="auto" w:sz="6" w:space="0"/>
              <w:right w:val="single" w:color="auto" w:sz="6" w:space="0"/>
            </w:tcBorders>
            <w:vAlign w:val="center"/>
          </w:tcPr>
          <w:p>
            <w:pPr>
              <w:widowControl/>
              <w:spacing w:line="0" w:lineRule="atLeast"/>
              <w:ind w:firstLine="0" w:firstLineChars="0"/>
              <w:jc w:val="center"/>
              <w:rPr>
                <w:rFonts w:eastAsia="仿宋_GB2312"/>
                <w:sz w:val="21"/>
                <w:szCs w:val="21"/>
              </w:rPr>
            </w:pPr>
            <w:r>
              <w:rPr>
                <w:rFonts w:hint="eastAsia" w:eastAsia="仿宋_GB2312"/>
                <w:sz w:val="21"/>
                <w:szCs w:val="21"/>
              </w:rPr>
              <w:t>外借</w:t>
            </w:r>
          </w:p>
        </w:tc>
        <w:tc>
          <w:tcPr>
            <w:tcW w:w="759" w:type="pct"/>
            <w:gridSpan w:val="2"/>
            <w:tcBorders>
              <w:top w:val="single" w:color="auto" w:sz="12" w:space="0"/>
              <w:left w:val="single" w:color="auto" w:sz="6" w:space="0"/>
              <w:bottom w:val="single" w:color="auto" w:sz="6" w:space="0"/>
              <w:right w:val="single" w:color="auto" w:sz="12" w:space="0"/>
            </w:tcBorders>
            <w:vAlign w:val="center"/>
          </w:tcPr>
          <w:p>
            <w:pPr>
              <w:widowControl/>
              <w:spacing w:line="0" w:lineRule="atLeast"/>
              <w:ind w:firstLine="0" w:firstLineChars="0"/>
              <w:jc w:val="center"/>
              <w:rPr>
                <w:rFonts w:eastAsia="仿宋_GB2312"/>
                <w:sz w:val="21"/>
                <w:szCs w:val="21"/>
              </w:rPr>
            </w:pPr>
            <w:r>
              <w:rPr>
                <w:rFonts w:hint="eastAsia" w:eastAsia="仿宋_GB2312"/>
                <w:sz w:val="21"/>
                <w:szCs w:val="21"/>
              </w:rPr>
              <w:t>废弃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trPr>
        <w:tc>
          <w:tcPr>
            <w:tcW w:w="1061" w:type="pct"/>
            <w:vMerge w:val="continue"/>
            <w:tcBorders>
              <w:top w:val="single" w:color="auto" w:sz="12" w:space="0"/>
              <w:left w:val="single" w:color="auto" w:sz="12" w:space="0"/>
              <w:bottom w:val="single" w:color="auto" w:sz="6" w:space="0"/>
              <w:right w:val="single" w:color="auto" w:sz="6" w:space="0"/>
            </w:tcBorders>
            <w:vAlign w:val="center"/>
          </w:tcPr>
          <w:p>
            <w:pPr>
              <w:widowControl/>
              <w:topLinePunct w:val="0"/>
              <w:adjustRightInd/>
              <w:snapToGrid/>
              <w:spacing w:line="240" w:lineRule="auto"/>
              <w:ind w:firstLine="0" w:firstLineChars="0"/>
              <w:jc w:val="center"/>
              <w:rPr>
                <w:rFonts w:eastAsia="仿宋_GB2312"/>
                <w:sz w:val="21"/>
                <w:szCs w:val="21"/>
              </w:rPr>
            </w:pPr>
          </w:p>
        </w:tc>
        <w:tc>
          <w:tcPr>
            <w:tcW w:w="444" w:type="pct"/>
            <w:vMerge w:val="continue"/>
            <w:tcBorders>
              <w:top w:val="single" w:color="auto" w:sz="12" w:space="0"/>
              <w:left w:val="single" w:color="auto" w:sz="6" w:space="0"/>
              <w:bottom w:val="single" w:color="auto" w:sz="6" w:space="0"/>
              <w:right w:val="single" w:color="auto" w:sz="6" w:space="0"/>
            </w:tcBorders>
            <w:vAlign w:val="center"/>
          </w:tcPr>
          <w:p>
            <w:pPr>
              <w:widowControl/>
              <w:topLinePunct w:val="0"/>
              <w:adjustRightInd/>
              <w:snapToGrid/>
              <w:spacing w:line="240" w:lineRule="auto"/>
              <w:ind w:firstLine="0" w:firstLineChars="0"/>
              <w:jc w:val="center"/>
              <w:rPr>
                <w:rFonts w:eastAsia="仿宋_GB2312"/>
                <w:sz w:val="21"/>
                <w:szCs w:val="21"/>
              </w:rPr>
            </w:pPr>
          </w:p>
        </w:tc>
        <w:tc>
          <w:tcPr>
            <w:tcW w:w="444" w:type="pct"/>
            <w:vMerge w:val="continue"/>
            <w:tcBorders>
              <w:top w:val="single" w:color="auto" w:sz="12" w:space="0"/>
              <w:left w:val="single" w:color="auto" w:sz="6" w:space="0"/>
              <w:bottom w:val="single" w:color="auto" w:sz="6" w:space="0"/>
              <w:right w:val="single" w:color="auto" w:sz="6" w:space="0"/>
            </w:tcBorders>
            <w:vAlign w:val="center"/>
          </w:tcPr>
          <w:p>
            <w:pPr>
              <w:widowControl/>
              <w:topLinePunct w:val="0"/>
              <w:adjustRightInd/>
              <w:snapToGrid/>
              <w:spacing w:line="240" w:lineRule="auto"/>
              <w:ind w:firstLine="0" w:firstLineChars="0"/>
              <w:jc w:val="center"/>
              <w:rPr>
                <w:rFonts w:eastAsia="仿宋_GB2312"/>
                <w:sz w:val="21"/>
                <w:szCs w:val="21"/>
              </w:rPr>
            </w:pPr>
          </w:p>
        </w:tc>
        <w:tc>
          <w:tcPr>
            <w:tcW w:w="382" w:type="pct"/>
            <w:tcBorders>
              <w:top w:val="single" w:color="auto" w:sz="6" w:space="0"/>
              <w:left w:val="single" w:color="auto" w:sz="6" w:space="0"/>
              <w:bottom w:val="single" w:color="auto" w:sz="6" w:space="0"/>
              <w:right w:val="single" w:color="auto" w:sz="6" w:space="0"/>
            </w:tcBorders>
            <w:vAlign w:val="center"/>
          </w:tcPr>
          <w:p>
            <w:pPr>
              <w:widowControl/>
              <w:spacing w:line="0" w:lineRule="atLeast"/>
              <w:ind w:firstLine="0" w:firstLineChars="0"/>
              <w:jc w:val="center"/>
              <w:rPr>
                <w:rFonts w:eastAsia="仿宋_GB2312"/>
                <w:sz w:val="21"/>
                <w:szCs w:val="21"/>
              </w:rPr>
            </w:pPr>
            <w:r>
              <w:rPr>
                <w:rFonts w:hint="eastAsia" w:eastAsia="仿宋_GB2312"/>
                <w:sz w:val="21"/>
                <w:szCs w:val="21"/>
              </w:rPr>
              <w:t>数量</w:t>
            </w:r>
          </w:p>
        </w:tc>
        <w:tc>
          <w:tcPr>
            <w:tcW w:w="382" w:type="pct"/>
            <w:tcBorders>
              <w:top w:val="single" w:color="auto" w:sz="6" w:space="0"/>
              <w:left w:val="single" w:color="auto" w:sz="6" w:space="0"/>
              <w:bottom w:val="single" w:color="auto" w:sz="6" w:space="0"/>
              <w:right w:val="single" w:color="auto" w:sz="6" w:space="0"/>
            </w:tcBorders>
            <w:vAlign w:val="center"/>
          </w:tcPr>
          <w:p>
            <w:pPr>
              <w:widowControl/>
              <w:spacing w:line="0" w:lineRule="atLeast"/>
              <w:ind w:firstLine="0" w:firstLineChars="0"/>
              <w:jc w:val="center"/>
              <w:rPr>
                <w:rFonts w:eastAsia="仿宋_GB2312"/>
                <w:sz w:val="21"/>
                <w:szCs w:val="21"/>
              </w:rPr>
            </w:pPr>
            <w:r>
              <w:rPr>
                <w:rFonts w:hint="eastAsia" w:eastAsia="仿宋_GB2312"/>
                <w:sz w:val="21"/>
                <w:szCs w:val="21"/>
              </w:rPr>
              <w:t>来源</w:t>
            </w:r>
          </w:p>
        </w:tc>
        <w:tc>
          <w:tcPr>
            <w:tcW w:w="382" w:type="pct"/>
            <w:tcBorders>
              <w:top w:val="single" w:color="auto" w:sz="6" w:space="0"/>
              <w:left w:val="single" w:color="auto" w:sz="6" w:space="0"/>
              <w:bottom w:val="single" w:color="auto" w:sz="6" w:space="0"/>
              <w:right w:val="single" w:color="auto" w:sz="6" w:space="0"/>
            </w:tcBorders>
            <w:vAlign w:val="center"/>
          </w:tcPr>
          <w:p>
            <w:pPr>
              <w:widowControl/>
              <w:spacing w:line="0" w:lineRule="atLeast"/>
              <w:ind w:firstLine="0" w:firstLineChars="0"/>
              <w:jc w:val="center"/>
              <w:rPr>
                <w:rFonts w:eastAsia="仿宋_GB2312"/>
                <w:sz w:val="21"/>
                <w:szCs w:val="21"/>
              </w:rPr>
            </w:pPr>
            <w:r>
              <w:rPr>
                <w:rFonts w:hint="eastAsia" w:eastAsia="仿宋_GB2312"/>
                <w:sz w:val="21"/>
                <w:szCs w:val="21"/>
              </w:rPr>
              <w:t>数量</w:t>
            </w:r>
          </w:p>
        </w:tc>
        <w:tc>
          <w:tcPr>
            <w:tcW w:w="382" w:type="pct"/>
            <w:tcBorders>
              <w:top w:val="single" w:color="auto" w:sz="6" w:space="0"/>
              <w:left w:val="single" w:color="auto" w:sz="6" w:space="0"/>
              <w:bottom w:val="single" w:color="auto" w:sz="6" w:space="0"/>
              <w:right w:val="single" w:color="auto" w:sz="6" w:space="0"/>
            </w:tcBorders>
            <w:vAlign w:val="center"/>
          </w:tcPr>
          <w:p>
            <w:pPr>
              <w:widowControl/>
              <w:spacing w:line="0" w:lineRule="atLeast"/>
              <w:ind w:firstLine="0" w:firstLineChars="0"/>
              <w:jc w:val="center"/>
              <w:rPr>
                <w:rFonts w:eastAsia="仿宋_GB2312"/>
                <w:sz w:val="21"/>
                <w:szCs w:val="21"/>
              </w:rPr>
            </w:pPr>
            <w:r>
              <w:rPr>
                <w:rFonts w:hint="eastAsia" w:eastAsia="仿宋_GB2312"/>
                <w:sz w:val="21"/>
                <w:szCs w:val="21"/>
              </w:rPr>
              <w:t>去向</w:t>
            </w:r>
          </w:p>
        </w:tc>
        <w:tc>
          <w:tcPr>
            <w:tcW w:w="382" w:type="pct"/>
            <w:tcBorders>
              <w:top w:val="single" w:color="auto" w:sz="6" w:space="0"/>
              <w:left w:val="single" w:color="auto" w:sz="6" w:space="0"/>
              <w:bottom w:val="single" w:color="auto" w:sz="6" w:space="0"/>
              <w:right w:val="single" w:color="auto" w:sz="6" w:space="0"/>
            </w:tcBorders>
            <w:vAlign w:val="center"/>
          </w:tcPr>
          <w:p>
            <w:pPr>
              <w:widowControl/>
              <w:spacing w:line="0" w:lineRule="atLeast"/>
              <w:ind w:firstLine="0" w:firstLineChars="0"/>
              <w:jc w:val="center"/>
              <w:rPr>
                <w:rFonts w:eastAsia="仿宋_GB2312"/>
                <w:sz w:val="21"/>
                <w:szCs w:val="21"/>
              </w:rPr>
            </w:pPr>
            <w:r>
              <w:rPr>
                <w:rFonts w:hint="eastAsia" w:eastAsia="仿宋_GB2312"/>
                <w:sz w:val="21"/>
                <w:szCs w:val="21"/>
              </w:rPr>
              <w:t>数量</w:t>
            </w:r>
          </w:p>
        </w:tc>
        <w:tc>
          <w:tcPr>
            <w:tcW w:w="382" w:type="pct"/>
            <w:tcBorders>
              <w:top w:val="single" w:color="auto" w:sz="6" w:space="0"/>
              <w:left w:val="single" w:color="auto" w:sz="6" w:space="0"/>
              <w:bottom w:val="single" w:color="auto" w:sz="6" w:space="0"/>
              <w:right w:val="single" w:color="auto" w:sz="6" w:space="0"/>
            </w:tcBorders>
            <w:vAlign w:val="center"/>
          </w:tcPr>
          <w:p>
            <w:pPr>
              <w:widowControl/>
              <w:spacing w:line="0" w:lineRule="atLeast"/>
              <w:ind w:firstLine="0" w:firstLineChars="0"/>
              <w:jc w:val="center"/>
              <w:rPr>
                <w:rFonts w:eastAsia="仿宋_GB2312"/>
                <w:sz w:val="21"/>
                <w:szCs w:val="21"/>
              </w:rPr>
            </w:pPr>
            <w:r>
              <w:rPr>
                <w:rFonts w:hint="eastAsia" w:eastAsia="仿宋_GB2312"/>
                <w:sz w:val="21"/>
                <w:szCs w:val="21"/>
              </w:rPr>
              <w:t>来源</w:t>
            </w:r>
          </w:p>
        </w:tc>
        <w:tc>
          <w:tcPr>
            <w:tcW w:w="382" w:type="pct"/>
            <w:tcBorders>
              <w:top w:val="single" w:color="auto" w:sz="6" w:space="0"/>
              <w:left w:val="single" w:color="auto" w:sz="6" w:space="0"/>
              <w:bottom w:val="single" w:color="auto" w:sz="6" w:space="0"/>
              <w:right w:val="single" w:color="auto" w:sz="6" w:space="0"/>
            </w:tcBorders>
            <w:vAlign w:val="center"/>
          </w:tcPr>
          <w:p>
            <w:pPr>
              <w:widowControl/>
              <w:spacing w:line="0" w:lineRule="atLeast"/>
              <w:ind w:firstLine="0" w:firstLineChars="0"/>
              <w:jc w:val="center"/>
              <w:rPr>
                <w:rFonts w:eastAsia="仿宋_GB2312"/>
                <w:sz w:val="21"/>
                <w:szCs w:val="21"/>
              </w:rPr>
            </w:pPr>
            <w:r>
              <w:rPr>
                <w:rFonts w:hint="eastAsia" w:eastAsia="仿宋_GB2312"/>
                <w:sz w:val="21"/>
                <w:szCs w:val="21"/>
              </w:rPr>
              <w:t>数量</w:t>
            </w:r>
          </w:p>
        </w:tc>
        <w:tc>
          <w:tcPr>
            <w:tcW w:w="377" w:type="pct"/>
            <w:tcBorders>
              <w:top w:val="single" w:color="auto" w:sz="6" w:space="0"/>
              <w:left w:val="single" w:color="auto" w:sz="6" w:space="0"/>
              <w:bottom w:val="single" w:color="auto" w:sz="6" w:space="0"/>
              <w:right w:val="single" w:color="auto" w:sz="12" w:space="0"/>
            </w:tcBorders>
            <w:vAlign w:val="center"/>
          </w:tcPr>
          <w:p>
            <w:pPr>
              <w:widowControl/>
              <w:spacing w:line="0" w:lineRule="atLeast"/>
              <w:ind w:firstLine="0" w:firstLineChars="0"/>
              <w:jc w:val="center"/>
              <w:rPr>
                <w:rFonts w:eastAsia="仿宋_GB2312"/>
                <w:sz w:val="21"/>
                <w:szCs w:val="21"/>
              </w:rPr>
            </w:pPr>
            <w:r>
              <w:rPr>
                <w:rFonts w:hint="eastAsia" w:eastAsia="仿宋_GB2312"/>
                <w:sz w:val="21"/>
                <w:szCs w:val="21"/>
              </w:rPr>
              <w:t>去向</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trPr>
        <w:tc>
          <w:tcPr>
            <w:tcW w:w="1061" w:type="pct"/>
            <w:tcBorders>
              <w:top w:val="single" w:color="auto" w:sz="6" w:space="0"/>
              <w:left w:val="single" w:color="auto" w:sz="12" w:space="0"/>
              <w:bottom w:val="single" w:color="auto" w:sz="6" w:space="0"/>
              <w:right w:val="single" w:color="auto" w:sz="6" w:space="0"/>
            </w:tcBorders>
            <w:vAlign w:val="center"/>
          </w:tcPr>
          <w:p>
            <w:pPr>
              <w:spacing w:line="240" w:lineRule="auto"/>
              <w:ind w:firstLine="0" w:firstLineChars="0"/>
              <w:jc w:val="center"/>
              <w:rPr>
                <w:rFonts w:eastAsia="仿宋_GB2312"/>
                <w:sz w:val="21"/>
                <w:szCs w:val="21"/>
              </w:rPr>
            </w:pPr>
            <w:r>
              <w:rPr>
                <w:rFonts w:hint="eastAsia" w:eastAsia="仿宋_GB2312"/>
                <w:sz w:val="21"/>
                <w:szCs w:val="21"/>
              </w:rPr>
              <w:t>管道工程区</w:t>
            </w:r>
          </w:p>
        </w:tc>
        <w:tc>
          <w:tcPr>
            <w:tcW w:w="444" w:type="pct"/>
            <w:tcBorders>
              <w:top w:val="single" w:color="auto" w:sz="6" w:space="0"/>
              <w:left w:val="single" w:color="auto" w:sz="6" w:space="0"/>
              <w:bottom w:val="single" w:color="auto" w:sz="6" w:space="0"/>
              <w:right w:val="single" w:color="auto" w:sz="6" w:space="0"/>
            </w:tcBorders>
            <w:vAlign w:val="center"/>
          </w:tcPr>
          <w:p>
            <w:pPr>
              <w:spacing w:line="240" w:lineRule="auto"/>
              <w:ind w:firstLine="0" w:firstLineChars="0"/>
              <w:jc w:val="center"/>
              <w:rPr>
                <w:rFonts w:eastAsia="仿宋_GB2312"/>
                <w:sz w:val="21"/>
                <w:szCs w:val="21"/>
              </w:rPr>
            </w:pPr>
            <w:r>
              <w:rPr>
                <w:rFonts w:hint="eastAsia" w:eastAsia="仿宋_GB2312"/>
                <w:sz w:val="21"/>
                <w:szCs w:val="21"/>
              </w:rPr>
              <w:t>0.64</w:t>
            </w:r>
          </w:p>
        </w:tc>
        <w:tc>
          <w:tcPr>
            <w:tcW w:w="444" w:type="pct"/>
            <w:tcBorders>
              <w:top w:val="single" w:color="auto" w:sz="6" w:space="0"/>
              <w:left w:val="single" w:color="auto" w:sz="6" w:space="0"/>
              <w:bottom w:val="single" w:color="auto" w:sz="6" w:space="0"/>
              <w:right w:val="single" w:color="auto" w:sz="6" w:space="0"/>
            </w:tcBorders>
            <w:vAlign w:val="center"/>
          </w:tcPr>
          <w:p>
            <w:pPr>
              <w:spacing w:line="240" w:lineRule="auto"/>
              <w:ind w:firstLine="0" w:firstLineChars="0"/>
              <w:jc w:val="center"/>
              <w:rPr>
                <w:rFonts w:eastAsia="仿宋_GB2312"/>
                <w:sz w:val="21"/>
                <w:szCs w:val="21"/>
              </w:rPr>
            </w:pPr>
            <w:r>
              <w:rPr>
                <w:rFonts w:hint="eastAsia" w:eastAsia="仿宋_GB2312"/>
                <w:sz w:val="21"/>
                <w:szCs w:val="21"/>
              </w:rPr>
              <w:t>0.64</w:t>
            </w:r>
          </w:p>
        </w:tc>
        <w:tc>
          <w:tcPr>
            <w:tcW w:w="382" w:type="pct"/>
            <w:tcBorders>
              <w:top w:val="single" w:color="auto" w:sz="6" w:space="0"/>
              <w:left w:val="single" w:color="auto" w:sz="6" w:space="0"/>
              <w:bottom w:val="single" w:color="auto" w:sz="6" w:space="0"/>
              <w:right w:val="single" w:color="auto" w:sz="6" w:space="0"/>
            </w:tcBorders>
            <w:vAlign w:val="center"/>
          </w:tcPr>
          <w:p>
            <w:pPr>
              <w:widowControl/>
              <w:spacing w:line="0" w:lineRule="atLeast"/>
              <w:ind w:firstLine="0" w:firstLineChars="0"/>
              <w:jc w:val="center"/>
              <w:rPr>
                <w:rFonts w:eastAsia="仿宋_GB2312"/>
                <w:sz w:val="21"/>
                <w:szCs w:val="21"/>
              </w:rPr>
            </w:pPr>
          </w:p>
        </w:tc>
        <w:tc>
          <w:tcPr>
            <w:tcW w:w="382" w:type="pct"/>
            <w:tcBorders>
              <w:top w:val="single" w:color="auto" w:sz="6" w:space="0"/>
              <w:left w:val="single" w:color="auto" w:sz="6" w:space="0"/>
              <w:bottom w:val="single" w:color="auto" w:sz="6" w:space="0"/>
              <w:right w:val="single" w:color="auto" w:sz="6" w:space="0"/>
            </w:tcBorders>
            <w:vAlign w:val="center"/>
          </w:tcPr>
          <w:p>
            <w:pPr>
              <w:widowControl/>
              <w:spacing w:line="0" w:lineRule="atLeast"/>
              <w:ind w:firstLine="0" w:firstLineChars="0"/>
              <w:jc w:val="center"/>
              <w:rPr>
                <w:rFonts w:eastAsia="仿宋_GB2312"/>
                <w:sz w:val="21"/>
                <w:szCs w:val="21"/>
              </w:rPr>
            </w:pPr>
          </w:p>
        </w:tc>
        <w:tc>
          <w:tcPr>
            <w:tcW w:w="382" w:type="pct"/>
            <w:tcBorders>
              <w:top w:val="single" w:color="auto" w:sz="6" w:space="0"/>
              <w:left w:val="single" w:color="auto" w:sz="6" w:space="0"/>
              <w:bottom w:val="single" w:color="auto" w:sz="6" w:space="0"/>
              <w:right w:val="single" w:color="auto" w:sz="6" w:space="0"/>
            </w:tcBorders>
            <w:vAlign w:val="center"/>
          </w:tcPr>
          <w:p>
            <w:pPr>
              <w:widowControl/>
              <w:spacing w:line="0" w:lineRule="atLeast"/>
              <w:ind w:firstLine="0" w:firstLineChars="0"/>
              <w:jc w:val="center"/>
              <w:rPr>
                <w:rFonts w:eastAsia="仿宋_GB2312"/>
                <w:sz w:val="21"/>
                <w:szCs w:val="21"/>
              </w:rPr>
            </w:pPr>
          </w:p>
        </w:tc>
        <w:tc>
          <w:tcPr>
            <w:tcW w:w="382" w:type="pct"/>
            <w:tcBorders>
              <w:top w:val="single" w:color="auto" w:sz="6" w:space="0"/>
              <w:left w:val="single" w:color="auto" w:sz="6" w:space="0"/>
              <w:bottom w:val="single" w:color="auto" w:sz="6" w:space="0"/>
              <w:right w:val="single" w:color="auto" w:sz="6" w:space="0"/>
            </w:tcBorders>
            <w:vAlign w:val="center"/>
          </w:tcPr>
          <w:p>
            <w:pPr>
              <w:widowControl/>
              <w:spacing w:line="0" w:lineRule="atLeast"/>
              <w:ind w:firstLine="0" w:firstLineChars="0"/>
              <w:jc w:val="center"/>
              <w:rPr>
                <w:rFonts w:eastAsia="仿宋_GB2312"/>
                <w:sz w:val="21"/>
                <w:szCs w:val="21"/>
              </w:rPr>
            </w:pPr>
          </w:p>
        </w:tc>
        <w:tc>
          <w:tcPr>
            <w:tcW w:w="382" w:type="pct"/>
            <w:tcBorders>
              <w:top w:val="single" w:color="auto" w:sz="6" w:space="0"/>
              <w:left w:val="single" w:color="auto" w:sz="6" w:space="0"/>
              <w:bottom w:val="single" w:color="auto" w:sz="6" w:space="0"/>
              <w:right w:val="single" w:color="auto" w:sz="6" w:space="0"/>
            </w:tcBorders>
            <w:vAlign w:val="center"/>
          </w:tcPr>
          <w:p>
            <w:pPr>
              <w:widowControl/>
              <w:spacing w:line="0" w:lineRule="atLeast"/>
              <w:ind w:firstLine="0" w:firstLineChars="0"/>
              <w:jc w:val="center"/>
              <w:rPr>
                <w:rFonts w:eastAsia="仿宋_GB2312"/>
                <w:sz w:val="21"/>
                <w:szCs w:val="21"/>
              </w:rPr>
            </w:pPr>
          </w:p>
        </w:tc>
        <w:tc>
          <w:tcPr>
            <w:tcW w:w="382" w:type="pct"/>
            <w:tcBorders>
              <w:top w:val="single" w:color="auto" w:sz="6" w:space="0"/>
              <w:left w:val="single" w:color="auto" w:sz="6" w:space="0"/>
              <w:bottom w:val="single" w:color="auto" w:sz="6" w:space="0"/>
              <w:right w:val="single" w:color="auto" w:sz="6" w:space="0"/>
            </w:tcBorders>
            <w:vAlign w:val="center"/>
          </w:tcPr>
          <w:p>
            <w:pPr>
              <w:widowControl/>
              <w:spacing w:line="0" w:lineRule="atLeast"/>
              <w:ind w:firstLine="0" w:firstLineChars="0"/>
              <w:jc w:val="center"/>
              <w:rPr>
                <w:rFonts w:eastAsia="仿宋_GB2312"/>
                <w:sz w:val="21"/>
                <w:szCs w:val="21"/>
              </w:rPr>
            </w:pPr>
          </w:p>
        </w:tc>
        <w:tc>
          <w:tcPr>
            <w:tcW w:w="382" w:type="pct"/>
            <w:tcBorders>
              <w:top w:val="single" w:color="auto" w:sz="6" w:space="0"/>
              <w:left w:val="single" w:color="auto" w:sz="6" w:space="0"/>
              <w:bottom w:val="single" w:color="auto" w:sz="6" w:space="0"/>
              <w:right w:val="single" w:color="auto" w:sz="6" w:space="0"/>
            </w:tcBorders>
            <w:vAlign w:val="center"/>
          </w:tcPr>
          <w:p>
            <w:pPr>
              <w:widowControl/>
              <w:spacing w:line="0" w:lineRule="atLeast"/>
              <w:ind w:firstLine="0" w:firstLineChars="0"/>
              <w:jc w:val="center"/>
              <w:rPr>
                <w:rFonts w:eastAsia="仿宋_GB2312"/>
                <w:sz w:val="21"/>
                <w:szCs w:val="21"/>
              </w:rPr>
            </w:pPr>
          </w:p>
        </w:tc>
        <w:tc>
          <w:tcPr>
            <w:tcW w:w="377" w:type="pct"/>
            <w:tcBorders>
              <w:top w:val="single" w:color="auto" w:sz="6" w:space="0"/>
              <w:left w:val="single" w:color="auto" w:sz="6" w:space="0"/>
              <w:bottom w:val="single" w:color="auto" w:sz="6" w:space="0"/>
              <w:right w:val="single" w:color="auto" w:sz="12" w:space="0"/>
            </w:tcBorders>
            <w:vAlign w:val="center"/>
          </w:tcPr>
          <w:p>
            <w:pPr>
              <w:widowControl/>
              <w:spacing w:line="0" w:lineRule="atLeast"/>
              <w:ind w:firstLine="0" w:firstLineChars="0"/>
              <w:jc w:val="center"/>
              <w:rPr>
                <w:rFonts w:eastAsia="仿宋_GB2312"/>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trPr>
        <w:tc>
          <w:tcPr>
            <w:tcW w:w="1061" w:type="pct"/>
            <w:tcBorders>
              <w:top w:val="single" w:color="auto" w:sz="6" w:space="0"/>
              <w:left w:val="single" w:color="auto" w:sz="12" w:space="0"/>
              <w:bottom w:val="single" w:color="auto" w:sz="6" w:space="0"/>
              <w:right w:val="single" w:color="auto" w:sz="6" w:space="0"/>
            </w:tcBorders>
            <w:vAlign w:val="center"/>
          </w:tcPr>
          <w:p>
            <w:pPr>
              <w:spacing w:line="240" w:lineRule="auto"/>
              <w:ind w:firstLine="0" w:firstLineChars="0"/>
              <w:jc w:val="center"/>
              <w:rPr>
                <w:rFonts w:eastAsia="仿宋_GB2312"/>
                <w:sz w:val="21"/>
                <w:szCs w:val="21"/>
              </w:rPr>
            </w:pPr>
            <w:r>
              <w:rPr>
                <w:rFonts w:hint="eastAsia" w:eastAsia="仿宋_GB2312"/>
                <w:sz w:val="21"/>
                <w:szCs w:val="21"/>
              </w:rPr>
              <w:t>附属构筑物区</w:t>
            </w:r>
          </w:p>
        </w:tc>
        <w:tc>
          <w:tcPr>
            <w:tcW w:w="444" w:type="pct"/>
            <w:tcBorders>
              <w:top w:val="single" w:color="auto" w:sz="6" w:space="0"/>
              <w:left w:val="single" w:color="auto" w:sz="6" w:space="0"/>
              <w:bottom w:val="single" w:color="auto" w:sz="6" w:space="0"/>
              <w:right w:val="single" w:color="auto" w:sz="6" w:space="0"/>
            </w:tcBorders>
            <w:vAlign w:val="center"/>
          </w:tcPr>
          <w:p>
            <w:pPr>
              <w:spacing w:line="240" w:lineRule="auto"/>
              <w:ind w:firstLine="0" w:firstLineChars="0"/>
              <w:jc w:val="center"/>
              <w:rPr>
                <w:rFonts w:eastAsia="仿宋_GB2312"/>
                <w:sz w:val="21"/>
                <w:szCs w:val="21"/>
              </w:rPr>
            </w:pPr>
            <w:r>
              <w:rPr>
                <w:rFonts w:hint="eastAsia" w:eastAsia="仿宋_GB2312"/>
                <w:sz w:val="21"/>
                <w:szCs w:val="21"/>
              </w:rPr>
              <w:t>0.04</w:t>
            </w:r>
          </w:p>
        </w:tc>
        <w:tc>
          <w:tcPr>
            <w:tcW w:w="444" w:type="pct"/>
            <w:tcBorders>
              <w:top w:val="single" w:color="auto" w:sz="6" w:space="0"/>
              <w:left w:val="single" w:color="auto" w:sz="6" w:space="0"/>
              <w:bottom w:val="single" w:color="auto" w:sz="6" w:space="0"/>
              <w:right w:val="single" w:color="auto" w:sz="6" w:space="0"/>
            </w:tcBorders>
            <w:vAlign w:val="center"/>
          </w:tcPr>
          <w:p>
            <w:pPr>
              <w:spacing w:line="240" w:lineRule="auto"/>
              <w:ind w:firstLine="0" w:firstLineChars="0"/>
              <w:jc w:val="center"/>
              <w:rPr>
                <w:rFonts w:eastAsia="仿宋_GB2312"/>
                <w:sz w:val="21"/>
                <w:szCs w:val="21"/>
              </w:rPr>
            </w:pPr>
            <w:r>
              <w:rPr>
                <w:rFonts w:hint="eastAsia" w:eastAsia="仿宋_GB2312"/>
                <w:sz w:val="21"/>
                <w:szCs w:val="21"/>
              </w:rPr>
              <w:t>0.04</w:t>
            </w:r>
          </w:p>
        </w:tc>
        <w:tc>
          <w:tcPr>
            <w:tcW w:w="382" w:type="pct"/>
            <w:tcBorders>
              <w:top w:val="single" w:color="auto" w:sz="6" w:space="0"/>
              <w:left w:val="single" w:color="auto" w:sz="6" w:space="0"/>
              <w:bottom w:val="single" w:color="auto" w:sz="6" w:space="0"/>
              <w:right w:val="single" w:color="auto" w:sz="6" w:space="0"/>
            </w:tcBorders>
            <w:vAlign w:val="center"/>
          </w:tcPr>
          <w:p>
            <w:pPr>
              <w:widowControl/>
              <w:spacing w:line="0" w:lineRule="atLeast"/>
              <w:ind w:firstLine="0" w:firstLineChars="0"/>
              <w:jc w:val="center"/>
              <w:rPr>
                <w:rFonts w:eastAsia="仿宋_GB2312"/>
                <w:sz w:val="21"/>
                <w:szCs w:val="21"/>
              </w:rPr>
            </w:pPr>
          </w:p>
        </w:tc>
        <w:tc>
          <w:tcPr>
            <w:tcW w:w="382" w:type="pct"/>
            <w:tcBorders>
              <w:top w:val="single" w:color="auto" w:sz="6" w:space="0"/>
              <w:left w:val="single" w:color="auto" w:sz="6" w:space="0"/>
              <w:bottom w:val="single" w:color="auto" w:sz="6" w:space="0"/>
              <w:right w:val="single" w:color="auto" w:sz="6" w:space="0"/>
            </w:tcBorders>
            <w:vAlign w:val="center"/>
          </w:tcPr>
          <w:p>
            <w:pPr>
              <w:widowControl/>
              <w:spacing w:line="0" w:lineRule="atLeast"/>
              <w:ind w:firstLine="0" w:firstLineChars="0"/>
              <w:jc w:val="center"/>
              <w:rPr>
                <w:rFonts w:eastAsia="仿宋_GB2312"/>
                <w:sz w:val="21"/>
                <w:szCs w:val="21"/>
              </w:rPr>
            </w:pPr>
          </w:p>
        </w:tc>
        <w:tc>
          <w:tcPr>
            <w:tcW w:w="382" w:type="pct"/>
            <w:tcBorders>
              <w:top w:val="single" w:color="auto" w:sz="6" w:space="0"/>
              <w:left w:val="single" w:color="auto" w:sz="6" w:space="0"/>
              <w:bottom w:val="single" w:color="auto" w:sz="6" w:space="0"/>
              <w:right w:val="single" w:color="auto" w:sz="6" w:space="0"/>
            </w:tcBorders>
            <w:vAlign w:val="center"/>
          </w:tcPr>
          <w:p>
            <w:pPr>
              <w:widowControl/>
              <w:spacing w:line="0" w:lineRule="atLeast"/>
              <w:ind w:firstLine="0" w:firstLineChars="0"/>
              <w:jc w:val="center"/>
              <w:rPr>
                <w:rFonts w:eastAsia="仿宋_GB2312"/>
                <w:sz w:val="21"/>
                <w:szCs w:val="21"/>
              </w:rPr>
            </w:pPr>
          </w:p>
        </w:tc>
        <w:tc>
          <w:tcPr>
            <w:tcW w:w="382" w:type="pct"/>
            <w:tcBorders>
              <w:top w:val="single" w:color="auto" w:sz="6" w:space="0"/>
              <w:left w:val="single" w:color="auto" w:sz="6" w:space="0"/>
              <w:bottom w:val="single" w:color="auto" w:sz="6" w:space="0"/>
              <w:right w:val="single" w:color="auto" w:sz="6" w:space="0"/>
            </w:tcBorders>
            <w:vAlign w:val="center"/>
          </w:tcPr>
          <w:p>
            <w:pPr>
              <w:widowControl/>
              <w:spacing w:line="0" w:lineRule="atLeast"/>
              <w:ind w:firstLine="0" w:firstLineChars="0"/>
              <w:jc w:val="center"/>
              <w:rPr>
                <w:rFonts w:eastAsia="仿宋_GB2312"/>
                <w:sz w:val="21"/>
                <w:szCs w:val="21"/>
              </w:rPr>
            </w:pPr>
          </w:p>
        </w:tc>
        <w:tc>
          <w:tcPr>
            <w:tcW w:w="382" w:type="pct"/>
            <w:tcBorders>
              <w:top w:val="single" w:color="auto" w:sz="6" w:space="0"/>
              <w:left w:val="single" w:color="auto" w:sz="6" w:space="0"/>
              <w:bottom w:val="single" w:color="auto" w:sz="6" w:space="0"/>
              <w:right w:val="single" w:color="auto" w:sz="6" w:space="0"/>
            </w:tcBorders>
            <w:vAlign w:val="center"/>
          </w:tcPr>
          <w:p>
            <w:pPr>
              <w:widowControl/>
              <w:spacing w:line="0" w:lineRule="atLeast"/>
              <w:ind w:firstLine="0" w:firstLineChars="0"/>
              <w:jc w:val="center"/>
              <w:rPr>
                <w:rFonts w:eastAsia="仿宋_GB2312"/>
                <w:sz w:val="21"/>
                <w:szCs w:val="21"/>
              </w:rPr>
            </w:pPr>
          </w:p>
        </w:tc>
        <w:tc>
          <w:tcPr>
            <w:tcW w:w="382" w:type="pct"/>
            <w:tcBorders>
              <w:top w:val="single" w:color="auto" w:sz="6" w:space="0"/>
              <w:left w:val="single" w:color="auto" w:sz="6" w:space="0"/>
              <w:bottom w:val="single" w:color="auto" w:sz="6" w:space="0"/>
              <w:right w:val="single" w:color="auto" w:sz="6" w:space="0"/>
            </w:tcBorders>
            <w:vAlign w:val="center"/>
          </w:tcPr>
          <w:p>
            <w:pPr>
              <w:widowControl/>
              <w:spacing w:line="0" w:lineRule="atLeast"/>
              <w:ind w:firstLine="0" w:firstLineChars="0"/>
              <w:jc w:val="center"/>
              <w:rPr>
                <w:rFonts w:eastAsia="仿宋_GB2312"/>
                <w:sz w:val="21"/>
                <w:szCs w:val="21"/>
              </w:rPr>
            </w:pPr>
          </w:p>
        </w:tc>
        <w:tc>
          <w:tcPr>
            <w:tcW w:w="382" w:type="pct"/>
            <w:tcBorders>
              <w:top w:val="single" w:color="auto" w:sz="6" w:space="0"/>
              <w:left w:val="single" w:color="auto" w:sz="6" w:space="0"/>
              <w:bottom w:val="single" w:color="auto" w:sz="6" w:space="0"/>
              <w:right w:val="single" w:color="auto" w:sz="6" w:space="0"/>
            </w:tcBorders>
            <w:vAlign w:val="center"/>
          </w:tcPr>
          <w:p>
            <w:pPr>
              <w:widowControl/>
              <w:spacing w:line="0" w:lineRule="atLeast"/>
              <w:ind w:firstLine="0" w:firstLineChars="0"/>
              <w:jc w:val="center"/>
              <w:rPr>
                <w:rFonts w:eastAsia="仿宋_GB2312"/>
                <w:sz w:val="21"/>
                <w:szCs w:val="21"/>
              </w:rPr>
            </w:pPr>
          </w:p>
        </w:tc>
        <w:tc>
          <w:tcPr>
            <w:tcW w:w="377" w:type="pct"/>
            <w:tcBorders>
              <w:top w:val="single" w:color="auto" w:sz="6" w:space="0"/>
              <w:left w:val="single" w:color="auto" w:sz="6" w:space="0"/>
              <w:bottom w:val="single" w:color="auto" w:sz="6" w:space="0"/>
              <w:right w:val="single" w:color="auto" w:sz="12" w:space="0"/>
            </w:tcBorders>
            <w:vAlign w:val="center"/>
          </w:tcPr>
          <w:p>
            <w:pPr>
              <w:widowControl/>
              <w:spacing w:line="0" w:lineRule="atLeast"/>
              <w:ind w:firstLine="0" w:firstLineChars="0"/>
              <w:jc w:val="center"/>
              <w:rPr>
                <w:rFonts w:eastAsia="仿宋_GB2312"/>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trPr>
        <w:tc>
          <w:tcPr>
            <w:tcW w:w="1061" w:type="pct"/>
            <w:tcBorders>
              <w:top w:val="single" w:color="auto" w:sz="6" w:space="0"/>
              <w:left w:val="single" w:color="auto" w:sz="12" w:space="0"/>
              <w:bottom w:val="single" w:color="auto" w:sz="12" w:space="0"/>
              <w:right w:val="single" w:color="auto" w:sz="6" w:space="0"/>
            </w:tcBorders>
            <w:vAlign w:val="center"/>
          </w:tcPr>
          <w:p>
            <w:pPr>
              <w:spacing w:line="240" w:lineRule="auto"/>
              <w:ind w:firstLine="0" w:firstLineChars="0"/>
              <w:jc w:val="center"/>
              <w:rPr>
                <w:rFonts w:eastAsia="仿宋_GB2312"/>
                <w:sz w:val="21"/>
                <w:szCs w:val="21"/>
              </w:rPr>
            </w:pPr>
            <w:r>
              <w:rPr>
                <w:rFonts w:hint="eastAsia" w:eastAsia="仿宋_GB2312"/>
                <w:sz w:val="21"/>
                <w:szCs w:val="21"/>
              </w:rPr>
              <w:t>合计</w:t>
            </w:r>
          </w:p>
        </w:tc>
        <w:tc>
          <w:tcPr>
            <w:tcW w:w="444" w:type="pct"/>
            <w:tcBorders>
              <w:top w:val="single" w:color="auto" w:sz="6" w:space="0"/>
              <w:left w:val="single" w:color="auto" w:sz="6" w:space="0"/>
              <w:bottom w:val="single" w:color="auto" w:sz="12" w:space="0"/>
              <w:right w:val="single" w:color="auto" w:sz="6" w:space="0"/>
            </w:tcBorders>
            <w:vAlign w:val="center"/>
          </w:tcPr>
          <w:p>
            <w:pPr>
              <w:spacing w:line="240" w:lineRule="auto"/>
              <w:ind w:firstLine="0" w:firstLineChars="0"/>
              <w:jc w:val="center"/>
              <w:rPr>
                <w:rFonts w:eastAsia="仿宋_GB2312"/>
                <w:sz w:val="21"/>
                <w:szCs w:val="21"/>
              </w:rPr>
            </w:pPr>
            <w:r>
              <w:rPr>
                <w:rFonts w:hint="eastAsia" w:eastAsia="仿宋_GB2312"/>
                <w:sz w:val="21"/>
                <w:szCs w:val="21"/>
              </w:rPr>
              <w:t>0.68</w:t>
            </w:r>
          </w:p>
        </w:tc>
        <w:tc>
          <w:tcPr>
            <w:tcW w:w="444" w:type="pct"/>
            <w:tcBorders>
              <w:top w:val="single" w:color="auto" w:sz="6" w:space="0"/>
              <w:left w:val="single" w:color="auto" w:sz="6" w:space="0"/>
              <w:bottom w:val="single" w:color="auto" w:sz="12" w:space="0"/>
              <w:right w:val="single" w:color="auto" w:sz="6" w:space="0"/>
            </w:tcBorders>
            <w:vAlign w:val="center"/>
          </w:tcPr>
          <w:p>
            <w:pPr>
              <w:spacing w:line="240" w:lineRule="auto"/>
              <w:ind w:firstLine="0" w:firstLineChars="0"/>
              <w:jc w:val="center"/>
              <w:rPr>
                <w:rFonts w:eastAsia="仿宋_GB2312"/>
                <w:sz w:val="21"/>
                <w:szCs w:val="21"/>
              </w:rPr>
            </w:pPr>
            <w:r>
              <w:rPr>
                <w:rFonts w:hint="eastAsia" w:eastAsia="仿宋_GB2312"/>
                <w:sz w:val="21"/>
                <w:szCs w:val="21"/>
              </w:rPr>
              <w:t>0.68</w:t>
            </w:r>
          </w:p>
        </w:tc>
        <w:tc>
          <w:tcPr>
            <w:tcW w:w="382" w:type="pct"/>
            <w:tcBorders>
              <w:top w:val="single" w:color="auto" w:sz="6" w:space="0"/>
              <w:left w:val="single" w:color="auto" w:sz="6" w:space="0"/>
              <w:bottom w:val="single" w:color="auto" w:sz="12" w:space="0"/>
              <w:right w:val="single" w:color="auto" w:sz="6" w:space="0"/>
            </w:tcBorders>
            <w:vAlign w:val="center"/>
          </w:tcPr>
          <w:p>
            <w:pPr>
              <w:widowControl/>
              <w:spacing w:line="240" w:lineRule="auto"/>
              <w:ind w:firstLine="0" w:firstLineChars="0"/>
              <w:jc w:val="center"/>
              <w:rPr>
                <w:rFonts w:eastAsia="仿宋_GB2312"/>
                <w:sz w:val="21"/>
                <w:szCs w:val="21"/>
              </w:rPr>
            </w:pPr>
          </w:p>
        </w:tc>
        <w:tc>
          <w:tcPr>
            <w:tcW w:w="382" w:type="pct"/>
            <w:tcBorders>
              <w:top w:val="single" w:color="auto" w:sz="6" w:space="0"/>
              <w:left w:val="single" w:color="auto" w:sz="6" w:space="0"/>
              <w:bottom w:val="single" w:color="auto" w:sz="12" w:space="0"/>
              <w:right w:val="single" w:color="auto" w:sz="6" w:space="0"/>
            </w:tcBorders>
            <w:vAlign w:val="center"/>
          </w:tcPr>
          <w:p>
            <w:pPr>
              <w:widowControl/>
              <w:spacing w:line="240" w:lineRule="auto"/>
              <w:ind w:firstLine="0" w:firstLineChars="0"/>
              <w:jc w:val="center"/>
              <w:rPr>
                <w:rFonts w:eastAsia="仿宋_GB2312"/>
                <w:sz w:val="21"/>
                <w:szCs w:val="21"/>
              </w:rPr>
            </w:pPr>
          </w:p>
        </w:tc>
        <w:tc>
          <w:tcPr>
            <w:tcW w:w="382" w:type="pct"/>
            <w:tcBorders>
              <w:top w:val="single" w:color="auto" w:sz="6" w:space="0"/>
              <w:left w:val="single" w:color="auto" w:sz="6" w:space="0"/>
              <w:bottom w:val="single" w:color="auto" w:sz="12" w:space="0"/>
              <w:right w:val="single" w:color="auto" w:sz="6" w:space="0"/>
            </w:tcBorders>
            <w:vAlign w:val="center"/>
          </w:tcPr>
          <w:p>
            <w:pPr>
              <w:widowControl/>
              <w:spacing w:line="240" w:lineRule="auto"/>
              <w:ind w:firstLine="0" w:firstLineChars="0"/>
              <w:jc w:val="center"/>
              <w:rPr>
                <w:rFonts w:eastAsia="仿宋_GB2312"/>
                <w:sz w:val="21"/>
                <w:szCs w:val="21"/>
              </w:rPr>
            </w:pPr>
          </w:p>
        </w:tc>
        <w:tc>
          <w:tcPr>
            <w:tcW w:w="382" w:type="pct"/>
            <w:tcBorders>
              <w:top w:val="single" w:color="auto" w:sz="6" w:space="0"/>
              <w:left w:val="single" w:color="auto" w:sz="6" w:space="0"/>
              <w:bottom w:val="single" w:color="auto" w:sz="12" w:space="0"/>
              <w:right w:val="single" w:color="auto" w:sz="6" w:space="0"/>
            </w:tcBorders>
            <w:vAlign w:val="center"/>
          </w:tcPr>
          <w:p>
            <w:pPr>
              <w:widowControl/>
              <w:spacing w:line="240" w:lineRule="auto"/>
              <w:ind w:firstLine="0" w:firstLineChars="0"/>
              <w:jc w:val="center"/>
              <w:rPr>
                <w:rFonts w:eastAsia="仿宋_GB2312"/>
                <w:sz w:val="21"/>
                <w:szCs w:val="21"/>
              </w:rPr>
            </w:pPr>
          </w:p>
        </w:tc>
        <w:tc>
          <w:tcPr>
            <w:tcW w:w="382" w:type="pct"/>
            <w:tcBorders>
              <w:top w:val="single" w:color="auto" w:sz="6" w:space="0"/>
              <w:left w:val="single" w:color="auto" w:sz="6" w:space="0"/>
              <w:bottom w:val="single" w:color="auto" w:sz="12" w:space="0"/>
              <w:right w:val="single" w:color="auto" w:sz="6" w:space="0"/>
            </w:tcBorders>
            <w:vAlign w:val="center"/>
          </w:tcPr>
          <w:p>
            <w:pPr>
              <w:widowControl/>
              <w:spacing w:line="240" w:lineRule="auto"/>
              <w:ind w:firstLine="0" w:firstLineChars="0"/>
              <w:jc w:val="center"/>
              <w:rPr>
                <w:rFonts w:eastAsia="仿宋_GB2312"/>
                <w:sz w:val="21"/>
                <w:szCs w:val="21"/>
              </w:rPr>
            </w:pPr>
          </w:p>
        </w:tc>
        <w:tc>
          <w:tcPr>
            <w:tcW w:w="382" w:type="pct"/>
            <w:tcBorders>
              <w:top w:val="single" w:color="auto" w:sz="6" w:space="0"/>
              <w:left w:val="single" w:color="auto" w:sz="6" w:space="0"/>
              <w:bottom w:val="single" w:color="auto" w:sz="12" w:space="0"/>
              <w:right w:val="single" w:color="auto" w:sz="6" w:space="0"/>
            </w:tcBorders>
            <w:vAlign w:val="center"/>
          </w:tcPr>
          <w:p>
            <w:pPr>
              <w:widowControl/>
              <w:spacing w:line="0" w:lineRule="atLeast"/>
              <w:ind w:firstLine="0" w:firstLineChars="0"/>
              <w:jc w:val="center"/>
              <w:rPr>
                <w:rFonts w:eastAsia="仿宋_GB2312"/>
                <w:sz w:val="21"/>
                <w:szCs w:val="21"/>
              </w:rPr>
            </w:pPr>
          </w:p>
        </w:tc>
        <w:tc>
          <w:tcPr>
            <w:tcW w:w="382" w:type="pct"/>
            <w:tcBorders>
              <w:top w:val="single" w:color="auto" w:sz="6" w:space="0"/>
              <w:left w:val="single" w:color="auto" w:sz="6" w:space="0"/>
              <w:bottom w:val="single" w:color="auto" w:sz="12" w:space="0"/>
              <w:right w:val="single" w:color="auto" w:sz="6" w:space="0"/>
            </w:tcBorders>
            <w:vAlign w:val="center"/>
          </w:tcPr>
          <w:p>
            <w:pPr>
              <w:spacing w:line="240" w:lineRule="auto"/>
              <w:ind w:firstLine="0" w:firstLineChars="0"/>
              <w:jc w:val="center"/>
              <w:rPr>
                <w:rFonts w:eastAsia="仿宋_GB2312"/>
                <w:sz w:val="21"/>
                <w:szCs w:val="21"/>
              </w:rPr>
            </w:pPr>
          </w:p>
        </w:tc>
        <w:tc>
          <w:tcPr>
            <w:tcW w:w="377" w:type="pct"/>
            <w:tcBorders>
              <w:top w:val="single" w:color="auto" w:sz="6" w:space="0"/>
              <w:left w:val="single" w:color="auto" w:sz="6" w:space="0"/>
              <w:bottom w:val="single" w:color="auto" w:sz="12" w:space="0"/>
              <w:right w:val="single" w:color="auto" w:sz="12" w:space="0"/>
            </w:tcBorders>
            <w:vAlign w:val="center"/>
          </w:tcPr>
          <w:p>
            <w:pPr>
              <w:widowControl/>
              <w:spacing w:line="0" w:lineRule="atLeast"/>
              <w:ind w:firstLine="0" w:firstLineChars="0"/>
              <w:jc w:val="center"/>
              <w:rPr>
                <w:rFonts w:eastAsia="仿宋_GB2312"/>
                <w:sz w:val="21"/>
                <w:szCs w:val="21"/>
              </w:rPr>
            </w:pPr>
          </w:p>
        </w:tc>
      </w:tr>
    </w:tbl>
    <w:p>
      <w:pPr>
        <w:pStyle w:val="15"/>
        <w:ind w:firstLine="0" w:firstLineChars="0"/>
        <w:jc w:val="center"/>
        <w:rPr>
          <w:rFonts w:eastAsia="仿宋_GB2312"/>
          <w:b/>
          <w:color w:val="000000"/>
        </w:rPr>
      </w:pPr>
      <w:r>
        <w:object>
          <v:shape id="_x0000_i1025" o:spt="75" alt="" type="#_x0000_t75" style="height:141pt;width:421.5pt;" o:ole="t" filled="f" o:preferrelative="t" stroked="f" coordsize="21600,21600">
            <v:path/>
            <v:fill on="f" focussize="0,0"/>
            <v:stroke on="f"/>
            <v:imagedata r:id="rId33" o:title=""/>
            <o:lock v:ext="edit" aspectratio="t"/>
            <w10:wrap type="none"/>
            <w10:anchorlock/>
          </v:shape>
          <o:OLEObject Type="Embed" ProgID="Visio.Drawing.11" ShapeID="_x0000_i1025" DrawAspect="Content" ObjectID="_1468075725" r:id="rId32">
            <o:LockedField>false</o:LockedField>
          </o:OLEObject>
        </w:object>
      </w:r>
      <w:r>
        <w:rPr>
          <w:rFonts w:eastAsia="仿宋_GB2312"/>
          <w:b/>
          <w:color w:val="000000"/>
        </w:rPr>
        <w:t>图2.4-1    土石方流向</w:t>
      </w:r>
      <w:r>
        <w:rPr>
          <w:rFonts w:hint="eastAsia" w:eastAsia="仿宋_GB2312"/>
          <w:b/>
          <w:color w:val="000000"/>
        </w:rPr>
        <w:t>框</w:t>
      </w:r>
      <w:r>
        <w:rPr>
          <w:rFonts w:eastAsia="仿宋_GB2312"/>
          <w:b/>
          <w:color w:val="000000"/>
        </w:rPr>
        <w:t>图单位：</w:t>
      </w:r>
      <w:r>
        <w:rPr>
          <w:rFonts w:hint="eastAsia" w:eastAsia="仿宋_GB2312"/>
          <w:b/>
          <w:color w:val="000000"/>
        </w:rPr>
        <w:t>万</w:t>
      </w:r>
      <w:r>
        <w:rPr>
          <w:rFonts w:eastAsia="仿宋_GB2312"/>
          <w:b/>
          <w:color w:val="000000"/>
        </w:rPr>
        <w:t>m³</w:t>
      </w:r>
    </w:p>
    <w:bookmarkEnd w:id="160"/>
    <w:p>
      <w:pPr>
        <w:pStyle w:val="3"/>
        <w:widowControl/>
        <w:numPr>
          <w:ilvl w:val="1"/>
          <w:numId w:val="1"/>
        </w:numPr>
        <w:tabs>
          <w:tab w:val="clear" w:pos="1002"/>
        </w:tabs>
        <w:topLinePunct w:val="0"/>
        <w:adjustRightInd/>
        <w:snapToGrid/>
        <w:ind w:left="0" w:firstLine="0"/>
        <w:jc w:val="both"/>
        <w:rPr>
          <w:rFonts w:eastAsia="仿宋_GB2312"/>
        </w:rPr>
      </w:pPr>
      <w:bookmarkStart w:id="161" w:name="_Toc255304532"/>
      <w:bookmarkStart w:id="162" w:name="_Toc7801459"/>
      <w:bookmarkStart w:id="163" w:name="_Toc7801392"/>
      <w:bookmarkStart w:id="164" w:name="_Toc7801552"/>
      <w:bookmarkStart w:id="165" w:name="_Toc47381531"/>
      <w:bookmarkStart w:id="166" w:name="_Toc255304535"/>
      <w:r>
        <w:rPr>
          <w:rFonts w:eastAsia="仿宋_GB2312"/>
        </w:rPr>
        <w:t>拆迁（移民）安置</w:t>
      </w:r>
      <w:bookmarkEnd w:id="161"/>
      <w:r>
        <w:rPr>
          <w:rFonts w:eastAsia="仿宋_GB2312"/>
        </w:rPr>
        <w:t>与专项设施改(迁)建</w:t>
      </w:r>
      <w:bookmarkEnd w:id="162"/>
      <w:bookmarkEnd w:id="163"/>
      <w:bookmarkEnd w:id="164"/>
      <w:bookmarkEnd w:id="165"/>
    </w:p>
    <w:p>
      <w:pPr>
        <w:ind w:firstLine="480"/>
        <w:rPr>
          <w:rFonts w:eastAsia="仿宋_GB2312"/>
        </w:rPr>
      </w:pPr>
      <w:r>
        <w:rPr>
          <w:rFonts w:hint="eastAsia" w:eastAsia="仿宋_GB2312"/>
        </w:rPr>
        <w:t>本项目新建的管道及阀井位于建设用地。目前项目规划占地范围内基本无当地居民的生产和生活设施，也不涉及当地的水利工程、供电线路、交通道路等基础设施，所以工程建设不涉及移民安置及专向设施改建。</w:t>
      </w:r>
    </w:p>
    <w:p>
      <w:pPr>
        <w:pStyle w:val="3"/>
        <w:widowControl/>
        <w:numPr>
          <w:ilvl w:val="1"/>
          <w:numId w:val="1"/>
        </w:numPr>
        <w:tabs>
          <w:tab w:val="clear" w:pos="1002"/>
        </w:tabs>
        <w:topLinePunct w:val="0"/>
        <w:adjustRightInd/>
        <w:snapToGrid/>
        <w:ind w:left="0" w:firstLine="0"/>
        <w:jc w:val="both"/>
        <w:rPr>
          <w:rFonts w:eastAsia="仿宋_GB2312"/>
        </w:rPr>
      </w:pPr>
      <w:bookmarkStart w:id="167" w:name="_Toc47381532"/>
      <w:bookmarkStart w:id="168" w:name="_Toc7801460"/>
      <w:bookmarkStart w:id="169" w:name="_Toc7801553"/>
      <w:bookmarkStart w:id="170" w:name="_Toc7801393"/>
      <w:r>
        <w:rPr>
          <w:rFonts w:eastAsia="仿宋_GB2312"/>
        </w:rPr>
        <w:t>施工进度</w:t>
      </w:r>
      <w:bookmarkEnd w:id="166"/>
      <w:bookmarkEnd w:id="167"/>
      <w:bookmarkEnd w:id="168"/>
      <w:bookmarkEnd w:id="169"/>
      <w:bookmarkEnd w:id="170"/>
    </w:p>
    <w:p>
      <w:pPr>
        <w:ind w:firstLine="480"/>
        <w:rPr>
          <w:rFonts w:eastAsia="仿宋_GB2312"/>
        </w:rPr>
      </w:pPr>
      <w:r>
        <w:rPr>
          <w:rFonts w:eastAsia="仿宋_GB2312"/>
        </w:rPr>
        <w:t>项目计划于20</w:t>
      </w:r>
      <w:r>
        <w:rPr>
          <w:rFonts w:hint="eastAsia" w:eastAsia="仿宋_GB2312"/>
        </w:rPr>
        <w:t>21</w:t>
      </w:r>
      <w:r>
        <w:rPr>
          <w:rFonts w:eastAsia="仿宋_GB2312"/>
        </w:rPr>
        <w:t>年</w:t>
      </w:r>
      <w:r>
        <w:rPr>
          <w:rFonts w:hint="eastAsia" w:eastAsia="仿宋_GB2312"/>
        </w:rPr>
        <w:t>9</w:t>
      </w:r>
      <w:r>
        <w:rPr>
          <w:rFonts w:eastAsia="仿宋_GB2312"/>
        </w:rPr>
        <w:t>月开始施工，20</w:t>
      </w:r>
      <w:r>
        <w:rPr>
          <w:rFonts w:hint="eastAsia" w:eastAsia="仿宋_GB2312"/>
        </w:rPr>
        <w:t>21</w:t>
      </w:r>
      <w:r>
        <w:rPr>
          <w:rFonts w:eastAsia="仿宋_GB2312"/>
        </w:rPr>
        <w:t>年</w:t>
      </w:r>
      <w:r>
        <w:rPr>
          <w:rFonts w:hint="eastAsia" w:eastAsia="仿宋_GB2312"/>
        </w:rPr>
        <w:t>12</w:t>
      </w:r>
      <w:r>
        <w:rPr>
          <w:rFonts w:eastAsia="仿宋_GB2312"/>
        </w:rPr>
        <w:t>月完工，总工期</w:t>
      </w:r>
      <w:r>
        <w:rPr>
          <w:rFonts w:hint="eastAsia" w:eastAsia="仿宋_GB2312"/>
        </w:rPr>
        <w:t>4</w:t>
      </w:r>
      <w:r>
        <w:rPr>
          <w:rFonts w:eastAsia="仿宋_GB2312"/>
        </w:rPr>
        <w:t>个月</w:t>
      </w:r>
      <w:r>
        <w:rPr>
          <w:rFonts w:hint="eastAsia" w:eastAsia="仿宋_GB2312"/>
        </w:rPr>
        <w:t>，</w:t>
      </w:r>
      <w:r>
        <w:rPr>
          <w:rFonts w:eastAsia="仿宋_GB2312"/>
        </w:rPr>
        <w:t>施工进度见表2.6-1所示。</w:t>
      </w:r>
    </w:p>
    <w:p>
      <w:pPr>
        <w:tabs>
          <w:tab w:val="left" w:pos="840"/>
          <w:tab w:val="left" w:pos="1485"/>
        </w:tabs>
        <w:spacing w:line="240" w:lineRule="auto"/>
        <w:ind w:firstLine="480"/>
        <w:jc w:val="center"/>
        <w:rPr>
          <w:rFonts w:eastAsia="仿宋_GB2312"/>
          <w:b/>
        </w:rPr>
      </w:pPr>
      <w:r>
        <w:rPr>
          <w:rFonts w:eastAsia="仿宋_GB2312"/>
          <w:b/>
        </w:rPr>
        <w:t>2.6-1    主体工程施工进度表</w:t>
      </w:r>
    </w:p>
    <w:tbl>
      <w:tblPr>
        <w:tblStyle w:val="40"/>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667"/>
        <w:gridCol w:w="1712"/>
        <w:gridCol w:w="1712"/>
        <w:gridCol w:w="1712"/>
        <w:gridCol w:w="171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79" w:type="pct"/>
            <w:vMerge w:val="restart"/>
            <w:vAlign w:val="center"/>
          </w:tcPr>
          <w:p>
            <w:pPr>
              <w:widowControl/>
              <w:spacing w:line="0" w:lineRule="atLeast"/>
              <w:ind w:firstLine="0" w:firstLineChars="0"/>
              <w:jc w:val="center"/>
              <w:rPr>
                <w:rFonts w:eastAsia="仿宋_GB2312"/>
                <w:sz w:val="21"/>
                <w:szCs w:val="21"/>
              </w:rPr>
            </w:pPr>
            <w:bookmarkStart w:id="171" w:name="_Toc4951124"/>
            <w:r>
              <w:rPr>
                <w:rFonts w:hint="eastAsia" w:eastAsia="仿宋_GB2312"/>
                <w:sz w:val="21"/>
                <w:szCs w:val="21"/>
              </w:rPr>
              <w:t>任务名称</w:t>
            </w:r>
          </w:p>
        </w:tc>
        <w:tc>
          <w:tcPr>
            <w:tcW w:w="4021" w:type="pct"/>
            <w:gridSpan w:val="4"/>
            <w:vAlign w:val="center"/>
          </w:tcPr>
          <w:p>
            <w:pPr>
              <w:spacing w:line="240" w:lineRule="auto"/>
              <w:ind w:firstLine="0" w:firstLineChars="0"/>
              <w:jc w:val="center"/>
              <w:rPr>
                <w:rFonts w:eastAsia="仿宋_GB2312"/>
                <w:sz w:val="21"/>
                <w:szCs w:val="21"/>
              </w:rPr>
            </w:pPr>
            <w:r>
              <w:rPr>
                <w:rFonts w:eastAsia="仿宋_GB2312"/>
                <w:sz w:val="21"/>
                <w:szCs w:val="21"/>
              </w:rPr>
              <w:t>202</w:t>
            </w:r>
            <w:r>
              <w:rPr>
                <w:rFonts w:hint="eastAsia" w:eastAsia="仿宋_GB2312"/>
                <w:sz w:val="21"/>
                <w:szCs w:val="21"/>
              </w:rPr>
              <w:t>1年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79" w:type="pct"/>
            <w:vMerge w:val="continue"/>
            <w:vAlign w:val="center"/>
          </w:tcPr>
          <w:p>
            <w:pPr>
              <w:widowControl/>
              <w:topLinePunct w:val="0"/>
              <w:adjustRightInd/>
              <w:snapToGrid/>
              <w:spacing w:line="240" w:lineRule="auto"/>
              <w:ind w:firstLine="0" w:firstLineChars="0"/>
              <w:jc w:val="center"/>
              <w:rPr>
                <w:rFonts w:eastAsia="仿宋_GB2312"/>
                <w:sz w:val="21"/>
                <w:szCs w:val="21"/>
              </w:rPr>
            </w:pPr>
          </w:p>
        </w:tc>
        <w:tc>
          <w:tcPr>
            <w:tcW w:w="1005" w:type="pct"/>
            <w:vAlign w:val="center"/>
          </w:tcPr>
          <w:p>
            <w:pPr>
              <w:widowControl/>
              <w:spacing w:line="240" w:lineRule="auto"/>
              <w:ind w:firstLine="0" w:firstLineChars="0"/>
              <w:jc w:val="center"/>
              <w:rPr>
                <w:rFonts w:eastAsia="仿宋_GB2312"/>
                <w:sz w:val="21"/>
                <w:szCs w:val="21"/>
              </w:rPr>
            </w:pPr>
            <w:r>
              <w:rPr>
                <w:rFonts w:hint="eastAsia" w:eastAsia="仿宋_GB2312"/>
                <w:sz w:val="21"/>
                <w:szCs w:val="21"/>
              </w:rPr>
              <w:t>9</w:t>
            </w:r>
          </w:p>
        </w:tc>
        <w:tc>
          <w:tcPr>
            <w:tcW w:w="1005" w:type="pct"/>
            <w:vAlign w:val="center"/>
          </w:tcPr>
          <w:p>
            <w:pPr>
              <w:widowControl/>
              <w:spacing w:line="240" w:lineRule="auto"/>
              <w:ind w:firstLine="0" w:firstLineChars="0"/>
              <w:jc w:val="center"/>
              <w:rPr>
                <w:rFonts w:eastAsia="仿宋_GB2312"/>
                <w:sz w:val="21"/>
                <w:szCs w:val="21"/>
              </w:rPr>
            </w:pPr>
            <w:r>
              <w:rPr>
                <w:rFonts w:hint="eastAsia" w:eastAsia="仿宋_GB2312"/>
                <w:sz w:val="21"/>
                <w:szCs w:val="21"/>
              </w:rPr>
              <w:t>10</w:t>
            </w:r>
          </w:p>
        </w:tc>
        <w:tc>
          <w:tcPr>
            <w:tcW w:w="1005" w:type="pct"/>
            <w:vAlign w:val="center"/>
          </w:tcPr>
          <w:p>
            <w:pPr>
              <w:widowControl/>
              <w:spacing w:line="240" w:lineRule="auto"/>
              <w:ind w:firstLine="0" w:firstLineChars="0"/>
              <w:jc w:val="center"/>
              <w:rPr>
                <w:rFonts w:eastAsia="仿宋_GB2312"/>
                <w:sz w:val="21"/>
                <w:szCs w:val="21"/>
              </w:rPr>
            </w:pPr>
            <w:r>
              <w:rPr>
                <w:rFonts w:hint="eastAsia" w:eastAsia="仿宋_GB2312"/>
                <w:sz w:val="21"/>
                <w:szCs w:val="21"/>
              </w:rPr>
              <w:t>11</w:t>
            </w:r>
          </w:p>
        </w:tc>
        <w:tc>
          <w:tcPr>
            <w:tcW w:w="1005" w:type="pct"/>
            <w:vAlign w:val="center"/>
          </w:tcPr>
          <w:p>
            <w:pPr>
              <w:widowControl/>
              <w:spacing w:line="240" w:lineRule="auto"/>
              <w:ind w:firstLine="0" w:firstLineChars="0"/>
              <w:jc w:val="center"/>
              <w:rPr>
                <w:rFonts w:eastAsia="仿宋_GB2312"/>
                <w:sz w:val="21"/>
                <w:szCs w:val="21"/>
              </w:rPr>
            </w:pPr>
            <w:r>
              <w:rPr>
                <w:rFonts w:hint="eastAsia" w:eastAsia="仿宋_GB2312"/>
                <w:sz w:val="21"/>
                <w:szCs w:val="21"/>
              </w:rPr>
              <w:t>12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79" w:type="pct"/>
            <w:vAlign w:val="center"/>
          </w:tcPr>
          <w:p>
            <w:pPr>
              <w:spacing w:line="240" w:lineRule="auto"/>
              <w:ind w:firstLine="0" w:firstLineChars="0"/>
              <w:jc w:val="center"/>
              <w:rPr>
                <w:rFonts w:eastAsia="仿宋_GB2312"/>
                <w:sz w:val="21"/>
                <w:szCs w:val="21"/>
              </w:rPr>
            </w:pPr>
            <w:r>
              <w:rPr>
                <w:rFonts w:hint="eastAsia" w:eastAsia="仿宋_GB2312"/>
                <w:sz w:val="21"/>
                <w:szCs w:val="21"/>
              </w:rPr>
              <w:t>施工准备期</w:t>
            </w:r>
          </w:p>
        </w:tc>
        <w:tc>
          <w:tcPr>
            <w:tcW w:w="1005" w:type="pct"/>
            <w:vAlign w:val="center"/>
          </w:tcPr>
          <w:p>
            <w:pPr>
              <w:widowControl/>
              <w:ind w:firstLine="480"/>
              <w:jc w:val="center"/>
              <w:rPr>
                <w:rFonts w:eastAsia="仿宋_GB2312"/>
                <w:sz w:val="21"/>
                <w:szCs w:val="21"/>
              </w:rPr>
            </w:pPr>
            <w:r>
              <w:pict>
                <v:shape id="_x0000_s1050" o:spid="_x0000_s1050" o:spt="32" type="#_x0000_t32" style="position:absolute;left:0pt;margin-left:-4.15pt;margin-top:8.65pt;height:0pt;width:18pt;z-index:254214144;mso-width-relative:page;mso-height-relative:page;" filled="f" coordsize="21600,21600" o:gfxdata="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P0VFqnSAAAA&#10;BQEAAA8AAAAAAAAAAQAgAAAAIgAAAGRycy9kb3ducmV2LnhtbFBLAQIUABQAAAAIAIdO4kDkLyoH&#10;6gEAAJgDAAAOAAAAAAAAAAEAIAAAACEBAABkcnMvZTJvRG9jLnhtbFBLBQYAAAAABgAGAFkBAAB9&#10;BQAAAAA=&#10;">
                  <v:path arrowok="t"/>
                  <v:fill on="f" focussize="0,0"/>
                  <v:stroke weight="2.25pt" dashstyle="dash"/>
                  <v:imagedata o:title=""/>
                  <o:lock v:ext="edit"/>
                </v:shape>
              </w:pict>
            </w:r>
          </w:p>
        </w:tc>
        <w:tc>
          <w:tcPr>
            <w:tcW w:w="1005" w:type="pct"/>
            <w:vAlign w:val="center"/>
          </w:tcPr>
          <w:p>
            <w:pPr>
              <w:widowControl/>
              <w:ind w:firstLine="420"/>
              <w:jc w:val="center"/>
              <w:rPr>
                <w:rFonts w:eastAsia="仿宋_GB2312"/>
                <w:sz w:val="21"/>
                <w:szCs w:val="21"/>
              </w:rPr>
            </w:pPr>
          </w:p>
        </w:tc>
        <w:tc>
          <w:tcPr>
            <w:tcW w:w="1005" w:type="pct"/>
            <w:vAlign w:val="center"/>
          </w:tcPr>
          <w:p>
            <w:pPr>
              <w:widowControl/>
              <w:ind w:firstLine="420"/>
              <w:jc w:val="center"/>
              <w:rPr>
                <w:rFonts w:eastAsia="仿宋_GB2312"/>
                <w:sz w:val="21"/>
                <w:szCs w:val="21"/>
              </w:rPr>
            </w:pPr>
          </w:p>
        </w:tc>
        <w:tc>
          <w:tcPr>
            <w:tcW w:w="1005" w:type="pct"/>
            <w:vAlign w:val="center"/>
          </w:tcPr>
          <w:p>
            <w:pPr>
              <w:widowControl/>
              <w:ind w:firstLine="420"/>
              <w:jc w:val="center"/>
              <w:rPr>
                <w:rFonts w:eastAsia="仿宋_GB2312"/>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79" w:type="pct"/>
            <w:vAlign w:val="center"/>
          </w:tcPr>
          <w:p>
            <w:pPr>
              <w:spacing w:line="240" w:lineRule="auto"/>
              <w:ind w:firstLine="0" w:firstLineChars="0"/>
              <w:jc w:val="center"/>
              <w:rPr>
                <w:rFonts w:eastAsia="仿宋_GB2312"/>
                <w:sz w:val="21"/>
                <w:szCs w:val="21"/>
              </w:rPr>
            </w:pPr>
            <w:r>
              <w:rPr>
                <w:rFonts w:hint="eastAsia" w:eastAsia="仿宋_GB2312"/>
                <w:sz w:val="21"/>
                <w:szCs w:val="21"/>
              </w:rPr>
              <w:t>管沟开挖</w:t>
            </w:r>
          </w:p>
        </w:tc>
        <w:tc>
          <w:tcPr>
            <w:tcW w:w="1005" w:type="pct"/>
            <w:vAlign w:val="center"/>
          </w:tcPr>
          <w:p>
            <w:pPr>
              <w:widowControl/>
              <w:ind w:firstLine="480"/>
              <w:jc w:val="center"/>
              <w:rPr>
                <w:rFonts w:eastAsia="仿宋_GB2312"/>
                <w:sz w:val="21"/>
                <w:szCs w:val="21"/>
              </w:rPr>
            </w:pPr>
            <w:r>
              <w:pict>
                <v:shape id="_x0000_s1049" o:spid="_x0000_s1049" o:spt="32" type="#_x0000_t32" style="position:absolute;left:0pt;margin-left:16.85pt;margin-top:8.65pt;height:0pt;width:222.75pt;z-index:254216192;mso-width-relative:page;mso-height-relative:page;" filled="f" coordsize="21600,21600" o:gfxdata="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ycA83NQA&#10;AAAGAQAADwAAAAAAAAABACAAAAAiAAAAZHJzL2Rvd25yZXYueG1sUEsBAhQAFAAAAAgAh07iQILs&#10;AJzqAQAAmQMAAA4AAAAAAAAAAQAgAAAAIwEAAGRycy9lMm9Eb2MueG1sUEsFBgAAAAAGAAYAWQEA&#10;AH8FAAAAAA==&#10;">
                  <v:path arrowok="t"/>
                  <v:fill on="f" focussize="0,0"/>
                  <v:stroke weight="2.25pt" dashstyle="dash"/>
                  <v:imagedata o:title=""/>
                  <o:lock v:ext="edit"/>
                </v:shape>
              </w:pict>
            </w:r>
          </w:p>
        </w:tc>
        <w:tc>
          <w:tcPr>
            <w:tcW w:w="1005" w:type="pct"/>
            <w:vAlign w:val="center"/>
          </w:tcPr>
          <w:p>
            <w:pPr>
              <w:widowControl/>
              <w:ind w:firstLine="420"/>
              <w:jc w:val="center"/>
              <w:rPr>
                <w:rFonts w:eastAsia="仿宋_GB2312"/>
                <w:sz w:val="21"/>
                <w:szCs w:val="21"/>
              </w:rPr>
            </w:pPr>
          </w:p>
        </w:tc>
        <w:tc>
          <w:tcPr>
            <w:tcW w:w="1005" w:type="pct"/>
            <w:vAlign w:val="center"/>
          </w:tcPr>
          <w:p>
            <w:pPr>
              <w:widowControl/>
              <w:ind w:firstLine="420"/>
              <w:jc w:val="center"/>
              <w:rPr>
                <w:rFonts w:eastAsia="仿宋_GB2312"/>
                <w:sz w:val="21"/>
                <w:szCs w:val="21"/>
              </w:rPr>
            </w:pPr>
          </w:p>
        </w:tc>
        <w:tc>
          <w:tcPr>
            <w:tcW w:w="1005" w:type="pct"/>
            <w:vAlign w:val="center"/>
          </w:tcPr>
          <w:p>
            <w:pPr>
              <w:widowControl/>
              <w:ind w:firstLine="420"/>
              <w:jc w:val="center"/>
              <w:rPr>
                <w:rFonts w:eastAsia="仿宋_GB2312"/>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79" w:type="pct"/>
            <w:vAlign w:val="center"/>
          </w:tcPr>
          <w:p>
            <w:pPr>
              <w:spacing w:line="240" w:lineRule="auto"/>
              <w:ind w:firstLine="0" w:firstLineChars="0"/>
              <w:jc w:val="center"/>
              <w:rPr>
                <w:rFonts w:eastAsia="仿宋_GB2312"/>
                <w:sz w:val="21"/>
                <w:szCs w:val="21"/>
              </w:rPr>
            </w:pPr>
            <w:r>
              <w:rPr>
                <w:rFonts w:hint="eastAsia" w:eastAsia="仿宋_GB2312"/>
                <w:sz w:val="21"/>
                <w:szCs w:val="21"/>
              </w:rPr>
              <w:t>管道安装</w:t>
            </w:r>
          </w:p>
        </w:tc>
        <w:tc>
          <w:tcPr>
            <w:tcW w:w="1005" w:type="pct"/>
            <w:vAlign w:val="center"/>
          </w:tcPr>
          <w:p>
            <w:pPr>
              <w:widowControl/>
              <w:ind w:firstLine="480"/>
              <w:jc w:val="center"/>
              <w:rPr>
                <w:rFonts w:eastAsia="仿宋_GB2312"/>
                <w:sz w:val="21"/>
                <w:szCs w:val="21"/>
              </w:rPr>
            </w:pPr>
            <w:r>
              <w:pict>
                <v:shape id="_x0000_s1048" o:spid="_x0000_s1048" o:spt="32" type="#_x0000_t32" style="position:absolute;left:0pt;margin-left:76.05pt;margin-top:8.65pt;height:0pt;width:183pt;z-index:254218240;mso-width-relative:page;mso-height-relative:page;" filled="f" coordsize="21600,21600" o:gfxdata="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CeQ0Sd0gAA&#10;AAcBAAAPAAAAAAAAAAEAIAAAACIAAABkcnMvZG93bnJldi54bWxQSwECFAAUAAAACACHTuJAj8uW&#10;DesBAACZAwAADgAAAAAAAAABACAAAAAhAQAAZHJzL2Uyb0RvYy54bWxQSwUGAAAAAAYABgBZAQAA&#10;fgUAAAAA&#10;">
                  <v:path arrowok="t"/>
                  <v:fill on="f" focussize="0,0"/>
                  <v:stroke weight="2.25pt" dashstyle="dash"/>
                  <v:imagedata o:title=""/>
                  <o:lock v:ext="edit"/>
                </v:shape>
              </w:pict>
            </w:r>
          </w:p>
        </w:tc>
        <w:tc>
          <w:tcPr>
            <w:tcW w:w="1005" w:type="pct"/>
            <w:vAlign w:val="center"/>
          </w:tcPr>
          <w:p>
            <w:pPr>
              <w:widowControl/>
              <w:ind w:firstLine="420"/>
              <w:jc w:val="center"/>
              <w:rPr>
                <w:rFonts w:eastAsia="仿宋_GB2312"/>
                <w:sz w:val="21"/>
                <w:szCs w:val="21"/>
              </w:rPr>
            </w:pPr>
          </w:p>
        </w:tc>
        <w:tc>
          <w:tcPr>
            <w:tcW w:w="1005" w:type="pct"/>
            <w:vAlign w:val="center"/>
          </w:tcPr>
          <w:p>
            <w:pPr>
              <w:widowControl/>
              <w:ind w:firstLine="420"/>
              <w:jc w:val="center"/>
              <w:rPr>
                <w:rFonts w:eastAsia="仿宋_GB2312"/>
                <w:sz w:val="21"/>
                <w:szCs w:val="21"/>
              </w:rPr>
            </w:pPr>
          </w:p>
        </w:tc>
        <w:tc>
          <w:tcPr>
            <w:tcW w:w="1005" w:type="pct"/>
            <w:vAlign w:val="center"/>
          </w:tcPr>
          <w:p>
            <w:pPr>
              <w:widowControl/>
              <w:ind w:firstLine="420"/>
              <w:jc w:val="center"/>
              <w:rPr>
                <w:rFonts w:eastAsia="仿宋_GB2312"/>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79" w:type="pct"/>
            <w:vAlign w:val="center"/>
          </w:tcPr>
          <w:p>
            <w:pPr>
              <w:spacing w:line="240" w:lineRule="auto"/>
              <w:ind w:firstLine="0" w:firstLineChars="0"/>
              <w:jc w:val="center"/>
              <w:rPr>
                <w:rFonts w:eastAsia="仿宋_GB2312"/>
                <w:sz w:val="21"/>
                <w:szCs w:val="21"/>
              </w:rPr>
            </w:pPr>
            <w:r>
              <w:rPr>
                <w:rFonts w:hint="eastAsia" w:eastAsia="仿宋_GB2312"/>
                <w:sz w:val="21"/>
                <w:szCs w:val="21"/>
              </w:rPr>
              <w:t>闸阀井工程</w:t>
            </w:r>
          </w:p>
        </w:tc>
        <w:tc>
          <w:tcPr>
            <w:tcW w:w="1005" w:type="pct"/>
            <w:vAlign w:val="center"/>
          </w:tcPr>
          <w:p>
            <w:pPr>
              <w:widowControl/>
              <w:ind w:firstLine="480"/>
              <w:jc w:val="center"/>
              <w:rPr>
                <w:rFonts w:eastAsia="仿宋_GB2312"/>
                <w:sz w:val="21"/>
                <w:szCs w:val="21"/>
              </w:rPr>
            </w:pPr>
            <w:r>
              <w:pict>
                <v:shape id="_x0000_s1047" o:spid="_x0000_s1047" o:spt="32" type="#_x0000_t32" style="position:absolute;left:0pt;margin-left:62pt;margin-top:7.9pt;height:0pt;width:150.75pt;z-index:254220288;mso-width-relative:page;mso-height-relative:page;" filled="f" coordsize="21600,21600" o:gfxdata="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nk7mk0wAA&#10;AAcBAAAPAAAAAAAAAAEAIAAAACIAAABkcnMvZG93bnJldi54bWxQSwECFAAUAAAACACHTuJAwy7W&#10;tuoBAACbAwAADgAAAAAAAAABACAAAAAiAQAAZHJzL2Uyb0RvYy54bWxQSwUGAAAAAAYABgBZAQAA&#10;fgUAAAAA&#10;">
                  <v:path arrowok="t"/>
                  <v:fill on="f" focussize="0,0"/>
                  <v:stroke weight="2.25pt" dashstyle="dash"/>
                  <v:imagedata o:title=""/>
                  <o:lock v:ext="edit"/>
                </v:shape>
              </w:pict>
            </w:r>
          </w:p>
        </w:tc>
        <w:tc>
          <w:tcPr>
            <w:tcW w:w="1005" w:type="pct"/>
            <w:vAlign w:val="center"/>
          </w:tcPr>
          <w:p>
            <w:pPr>
              <w:widowControl/>
              <w:ind w:firstLine="420"/>
              <w:jc w:val="center"/>
              <w:rPr>
                <w:rFonts w:eastAsia="仿宋_GB2312"/>
                <w:sz w:val="21"/>
                <w:szCs w:val="21"/>
              </w:rPr>
            </w:pPr>
          </w:p>
        </w:tc>
        <w:tc>
          <w:tcPr>
            <w:tcW w:w="1005" w:type="pct"/>
            <w:vAlign w:val="center"/>
          </w:tcPr>
          <w:p>
            <w:pPr>
              <w:widowControl/>
              <w:ind w:firstLine="420"/>
              <w:jc w:val="center"/>
              <w:rPr>
                <w:rFonts w:eastAsia="仿宋_GB2312"/>
                <w:sz w:val="21"/>
                <w:szCs w:val="21"/>
              </w:rPr>
            </w:pPr>
          </w:p>
        </w:tc>
        <w:tc>
          <w:tcPr>
            <w:tcW w:w="1005" w:type="pct"/>
            <w:vAlign w:val="center"/>
          </w:tcPr>
          <w:p>
            <w:pPr>
              <w:widowControl/>
              <w:ind w:firstLine="420"/>
              <w:jc w:val="center"/>
              <w:rPr>
                <w:rFonts w:eastAsia="仿宋_GB2312"/>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79" w:type="pct"/>
            <w:vAlign w:val="center"/>
          </w:tcPr>
          <w:p>
            <w:pPr>
              <w:spacing w:line="240" w:lineRule="auto"/>
              <w:ind w:firstLine="0" w:firstLineChars="0"/>
              <w:jc w:val="center"/>
              <w:rPr>
                <w:rFonts w:eastAsia="仿宋_GB2312"/>
                <w:sz w:val="21"/>
                <w:szCs w:val="21"/>
              </w:rPr>
            </w:pPr>
            <w:r>
              <w:rPr>
                <w:rFonts w:hint="eastAsia" w:eastAsia="仿宋_GB2312"/>
                <w:sz w:val="21"/>
                <w:szCs w:val="21"/>
              </w:rPr>
              <w:t>管沟回填</w:t>
            </w:r>
          </w:p>
        </w:tc>
        <w:tc>
          <w:tcPr>
            <w:tcW w:w="1005" w:type="pct"/>
            <w:vAlign w:val="center"/>
          </w:tcPr>
          <w:p>
            <w:pPr>
              <w:widowControl/>
              <w:ind w:firstLine="420"/>
              <w:jc w:val="center"/>
              <w:rPr>
                <w:rFonts w:eastAsia="仿宋_GB2312"/>
                <w:sz w:val="21"/>
                <w:szCs w:val="21"/>
              </w:rPr>
            </w:pPr>
          </w:p>
        </w:tc>
        <w:tc>
          <w:tcPr>
            <w:tcW w:w="1005" w:type="pct"/>
            <w:vAlign w:val="center"/>
          </w:tcPr>
          <w:p>
            <w:pPr>
              <w:widowControl/>
              <w:ind w:firstLine="480"/>
              <w:jc w:val="center"/>
              <w:rPr>
                <w:rFonts w:eastAsia="仿宋_GB2312"/>
                <w:sz w:val="21"/>
                <w:szCs w:val="21"/>
              </w:rPr>
            </w:pPr>
            <w:r>
              <w:pict>
                <v:shape id="_x0000_s1046" o:spid="_x0000_s1046" o:spt="32" type="#_x0000_t32" style="position:absolute;left:0pt;margin-left:18.75pt;margin-top:7.5pt;height:0pt;width:162.75pt;z-index:254222336;mso-width-relative:page;mso-height-relative:page;" filled="f" coordsize="21600,21600" o:gfxdata="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Bvwtl7T&#10;AAAACAEAAA8AAAAAAAAAAQAgAAAAIgAAAGRycy9kb3ducmV2LnhtbFBLAQIUABQAAAAIAIdO4kCT&#10;Sqze7AEAAJsDAAAOAAAAAAAAAAEAIAAAACIBAABkcnMvZTJvRG9jLnhtbFBLBQYAAAAABgAGAFkB&#10;AACABQAAAAA=&#10;">
                  <v:path arrowok="t"/>
                  <v:fill on="f" focussize="0,0"/>
                  <v:stroke weight="2.25pt" dashstyle="dash"/>
                  <v:imagedata o:title=""/>
                  <o:lock v:ext="edit"/>
                </v:shape>
              </w:pict>
            </w:r>
          </w:p>
        </w:tc>
        <w:tc>
          <w:tcPr>
            <w:tcW w:w="1005" w:type="pct"/>
            <w:vAlign w:val="center"/>
          </w:tcPr>
          <w:p>
            <w:pPr>
              <w:widowControl/>
              <w:ind w:firstLine="420"/>
              <w:jc w:val="center"/>
              <w:rPr>
                <w:rFonts w:eastAsia="仿宋_GB2312"/>
                <w:sz w:val="21"/>
                <w:szCs w:val="21"/>
              </w:rPr>
            </w:pPr>
          </w:p>
        </w:tc>
        <w:tc>
          <w:tcPr>
            <w:tcW w:w="1005" w:type="pct"/>
            <w:vAlign w:val="center"/>
          </w:tcPr>
          <w:p>
            <w:pPr>
              <w:widowControl/>
              <w:ind w:firstLine="420"/>
              <w:jc w:val="center"/>
              <w:rPr>
                <w:rFonts w:eastAsia="仿宋_GB2312"/>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79" w:type="pct"/>
            <w:vAlign w:val="center"/>
          </w:tcPr>
          <w:p>
            <w:pPr>
              <w:spacing w:line="240" w:lineRule="auto"/>
              <w:ind w:firstLine="0" w:firstLineChars="0"/>
              <w:jc w:val="center"/>
              <w:rPr>
                <w:rFonts w:eastAsia="仿宋_GB2312"/>
                <w:sz w:val="21"/>
                <w:szCs w:val="21"/>
              </w:rPr>
            </w:pPr>
            <w:r>
              <w:rPr>
                <w:rFonts w:hint="eastAsia" w:eastAsia="仿宋_GB2312"/>
                <w:sz w:val="21"/>
                <w:szCs w:val="21"/>
              </w:rPr>
              <w:t>设备安装</w:t>
            </w:r>
          </w:p>
        </w:tc>
        <w:tc>
          <w:tcPr>
            <w:tcW w:w="1005" w:type="pct"/>
            <w:vAlign w:val="center"/>
          </w:tcPr>
          <w:p>
            <w:pPr>
              <w:widowControl/>
              <w:ind w:firstLine="420"/>
              <w:jc w:val="center"/>
              <w:rPr>
                <w:rFonts w:eastAsia="仿宋_GB2312"/>
                <w:sz w:val="21"/>
                <w:szCs w:val="21"/>
              </w:rPr>
            </w:pPr>
          </w:p>
        </w:tc>
        <w:tc>
          <w:tcPr>
            <w:tcW w:w="1005" w:type="pct"/>
            <w:vAlign w:val="center"/>
          </w:tcPr>
          <w:p>
            <w:pPr>
              <w:widowControl/>
              <w:ind w:firstLine="480"/>
              <w:jc w:val="center"/>
            </w:pPr>
            <w:r>
              <w:pict>
                <v:shape id="_x0000_s1045" o:spid="_x0000_s1045" o:spt="32" type="#_x0000_t32" style="position:absolute;left:0pt;margin-left:48.75pt;margin-top:10.25pt;height:0pt;width:93.75pt;z-index:254224384;mso-width-relative:page;mso-height-relative:page;" filled="f" coordsize="21600,21600" o:gfxdata="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Z/Z+P&#10;1QAAAAgBAAAPAAAAAAAAAAEAIAAAACIAAABkcnMvZG93bnJldi54bWxQSwECFAAUAAAACACHTuJA&#10;CLS1nOsBAACXAwAADgAAAAAAAAABACAAAAAkAQAAZHJzL2Uyb0RvYy54bWxQSwUGAAAAAAYABgBZ&#10;AQAAgQUAAAAA&#10;">
                  <v:path arrowok="t"/>
                  <v:fill on="f" focussize="0,0"/>
                  <v:stroke weight="2.25pt" dashstyle="dash"/>
                  <v:imagedata o:title=""/>
                  <o:lock v:ext="edit"/>
                </v:shape>
              </w:pict>
            </w:r>
          </w:p>
        </w:tc>
        <w:tc>
          <w:tcPr>
            <w:tcW w:w="1005" w:type="pct"/>
            <w:vAlign w:val="center"/>
          </w:tcPr>
          <w:p>
            <w:pPr>
              <w:widowControl/>
              <w:ind w:firstLine="480"/>
              <w:jc w:val="center"/>
            </w:pPr>
          </w:p>
        </w:tc>
        <w:tc>
          <w:tcPr>
            <w:tcW w:w="1005" w:type="pct"/>
            <w:vAlign w:val="center"/>
          </w:tcPr>
          <w:p>
            <w:pPr>
              <w:widowControl/>
              <w:ind w:firstLine="480"/>
              <w:jc w:val="cente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79" w:type="pct"/>
            <w:vAlign w:val="center"/>
          </w:tcPr>
          <w:p>
            <w:pPr>
              <w:spacing w:line="240" w:lineRule="auto"/>
              <w:ind w:firstLine="0" w:firstLineChars="0"/>
              <w:jc w:val="center"/>
              <w:rPr>
                <w:rFonts w:eastAsia="仿宋_GB2312"/>
                <w:sz w:val="21"/>
                <w:szCs w:val="21"/>
              </w:rPr>
            </w:pPr>
            <w:r>
              <w:rPr>
                <w:rFonts w:hint="eastAsia" w:eastAsia="仿宋_GB2312"/>
                <w:sz w:val="21"/>
                <w:szCs w:val="21"/>
              </w:rPr>
              <w:t>试压调试</w:t>
            </w:r>
          </w:p>
        </w:tc>
        <w:tc>
          <w:tcPr>
            <w:tcW w:w="1005" w:type="pct"/>
            <w:vAlign w:val="center"/>
          </w:tcPr>
          <w:p>
            <w:pPr>
              <w:widowControl/>
              <w:ind w:firstLine="420"/>
              <w:jc w:val="center"/>
              <w:rPr>
                <w:rFonts w:eastAsia="仿宋_GB2312"/>
                <w:sz w:val="21"/>
                <w:szCs w:val="21"/>
              </w:rPr>
            </w:pPr>
          </w:p>
        </w:tc>
        <w:tc>
          <w:tcPr>
            <w:tcW w:w="1005" w:type="pct"/>
            <w:vAlign w:val="center"/>
          </w:tcPr>
          <w:p>
            <w:pPr>
              <w:widowControl/>
              <w:ind w:firstLine="480"/>
              <w:jc w:val="center"/>
            </w:pPr>
          </w:p>
        </w:tc>
        <w:tc>
          <w:tcPr>
            <w:tcW w:w="1005" w:type="pct"/>
            <w:vAlign w:val="center"/>
          </w:tcPr>
          <w:p>
            <w:pPr>
              <w:widowControl/>
              <w:ind w:firstLine="480"/>
              <w:jc w:val="center"/>
            </w:pPr>
          </w:p>
        </w:tc>
        <w:tc>
          <w:tcPr>
            <w:tcW w:w="1005" w:type="pct"/>
            <w:vAlign w:val="center"/>
          </w:tcPr>
          <w:p>
            <w:pPr>
              <w:widowControl/>
              <w:ind w:firstLine="480"/>
              <w:jc w:val="center"/>
            </w:pPr>
            <w:r>
              <w:pict>
                <v:shape id="_x0000_s1044" o:spid="_x0000_s1044" o:spt="32" type="#_x0000_t32" style="position:absolute;left:0pt;margin-left:21.6pt;margin-top:9.25pt;height:0pt;width:27.75pt;z-index:254226432;mso-width-relative:page;mso-height-relative:page;" filled="f" coordsize="21600,21600" o:gfxdata="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UPoZftIAAAAH&#10;AQAADwAAAAAAAAABACAAAAAiAAAAZHJzL2Rvd25yZXYueG1sUEsBAhQAFAAAAAgAh07iQFxAm+Hp&#10;AQAAlgMAAA4AAAAAAAAAAQAgAAAAIQEAAGRycy9lMm9Eb2MueG1sUEsFBgAAAAAGAAYAWQEAAHwF&#10;AAAAAA==&#10;">
                  <v:path arrowok="t"/>
                  <v:fill on="f" focussize="0,0"/>
                  <v:stroke weight="2.25pt" dashstyle="dash"/>
                  <v:imagedata o:title=""/>
                  <o:lock v:ext="edit"/>
                </v:shape>
              </w:pic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79" w:type="pct"/>
            <w:vAlign w:val="center"/>
          </w:tcPr>
          <w:p>
            <w:pPr>
              <w:widowControl/>
              <w:spacing w:line="0" w:lineRule="atLeast"/>
              <w:ind w:firstLine="0" w:firstLineChars="0"/>
              <w:jc w:val="center"/>
              <w:rPr>
                <w:rFonts w:eastAsia="仿宋_GB2312"/>
                <w:sz w:val="21"/>
                <w:szCs w:val="21"/>
              </w:rPr>
            </w:pPr>
            <w:r>
              <w:rPr>
                <w:rFonts w:hint="eastAsia" w:eastAsia="仿宋_GB2312"/>
                <w:sz w:val="21"/>
                <w:szCs w:val="21"/>
              </w:rPr>
              <w:t>竣工验收</w:t>
            </w:r>
          </w:p>
        </w:tc>
        <w:tc>
          <w:tcPr>
            <w:tcW w:w="1005" w:type="pct"/>
            <w:vAlign w:val="center"/>
          </w:tcPr>
          <w:p>
            <w:pPr>
              <w:widowControl/>
              <w:ind w:firstLine="420"/>
              <w:jc w:val="center"/>
              <w:rPr>
                <w:rFonts w:eastAsia="仿宋_GB2312"/>
                <w:sz w:val="21"/>
                <w:szCs w:val="21"/>
              </w:rPr>
            </w:pPr>
          </w:p>
        </w:tc>
        <w:tc>
          <w:tcPr>
            <w:tcW w:w="1005" w:type="pct"/>
            <w:vAlign w:val="center"/>
          </w:tcPr>
          <w:p>
            <w:pPr>
              <w:widowControl/>
              <w:ind w:firstLine="480"/>
              <w:jc w:val="center"/>
            </w:pPr>
          </w:p>
        </w:tc>
        <w:tc>
          <w:tcPr>
            <w:tcW w:w="1005" w:type="pct"/>
            <w:vAlign w:val="center"/>
          </w:tcPr>
          <w:p>
            <w:pPr>
              <w:widowControl/>
              <w:ind w:firstLine="480"/>
              <w:jc w:val="center"/>
            </w:pPr>
          </w:p>
        </w:tc>
        <w:tc>
          <w:tcPr>
            <w:tcW w:w="1005" w:type="pct"/>
            <w:vAlign w:val="center"/>
          </w:tcPr>
          <w:p>
            <w:pPr>
              <w:widowControl/>
              <w:ind w:firstLine="480"/>
              <w:jc w:val="center"/>
            </w:pPr>
            <w:r>
              <w:pict>
                <v:shape id="_x0000_s1043" o:spid="_x0000_s1043" o:spt="32" type="#_x0000_t32" style="position:absolute;left:0pt;margin-left:53.2pt;margin-top:13.35pt;height:0pt;width:27.75pt;z-index:254228480;mso-width-relative:page;mso-height-relative:page;" filled="f" coordsize="21600,21600" o:gfxdata="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8BACR&#10;1QAAAAkBAAAPAAAAAAAAAAEAIAAAACIAAABkcnMvZG93bnJldi54bWxQSwECFAAUAAAACACHTuJA&#10;oNpibOsBAACaAwAADgAAAAAAAAABACAAAAAkAQAAZHJzL2Uyb0RvYy54bWxQSwUGAAAAAAYABgBZ&#10;AQAAgQUAAAAA&#10;">
                  <v:path arrowok="t"/>
                  <v:fill on="f" focussize="0,0"/>
                  <v:stroke weight="2.25pt" dashstyle="dash"/>
                  <v:imagedata o:title=""/>
                  <o:lock v:ext="edit"/>
                </v:shape>
              </w:pict>
            </w:r>
          </w:p>
        </w:tc>
      </w:tr>
    </w:tbl>
    <w:p>
      <w:pPr>
        <w:pStyle w:val="3"/>
        <w:widowControl/>
        <w:numPr>
          <w:ilvl w:val="1"/>
          <w:numId w:val="1"/>
        </w:numPr>
        <w:tabs>
          <w:tab w:val="clear" w:pos="1002"/>
        </w:tabs>
        <w:topLinePunct w:val="0"/>
        <w:adjustRightInd/>
        <w:snapToGrid/>
        <w:spacing w:beforeLines="100"/>
        <w:ind w:left="0" w:firstLine="0"/>
        <w:jc w:val="both"/>
        <w:rPr>
          <w:rFonts w:eastAsia="仿宋_GB2312"/>
        </w:rPr>
      </w:pPr>
      <w:bookmarkStart w:id="172" w:name="_Toc7801461"/>
      <w:bookmarkStart w:id="173" w:name="_Toc7801554"/>
      <w:bookmarkStart w:id="174" w:name="_Toc47381533"/>
      <w:bookmarkStart w:id="175" w:name="_Toc7801394"/>
      <w:r>
        <w:rPr>
          <w:rFonts w:eastAsia="仿宋_GB2312"/>
        </w:rPr>
        <w:t>自然概况</w:t>
      </w:r>
      <w:bookmarkEnd w:id="171"/>
      <w:bookmarkEnd w:id="172"/>
      <w:bookmarkEnd w:id="173"/>
      <w:bookmarkEnd w:id="174"/>
      <w:bookmarkEnd w:id="175"/>
    </w:p>
    <w:p>
      <w:pPr>
        <w:pStyle w:val="4"/>
        <w:keepLines/>
        <w:widowControl/>
        <w:numPr>
          <w:ilvl w:val="2"/>
          <w:numId w:val="1"/>
        </w:numPr>
        <w:tabs>
          <w:tab w:val="clear" w:pos="432"/>
          <w:tab w:val="clear" w:pos="960"/>
        </w:tabs>
        <w:kinsoku/>
        <w:overflowPunct/>
        <w:topLinePunct w:val="0"/>
        <w:autoSpaceDE/>
        <w:autoSpaceDN/>
        <w:adjustRightInd/>
        <w:snapToGrid/>
        <w:ind w:left="0" w:firstLine="0"/>
        <w:jc w:val="both"/>
        <w:rPr>
          <w:rFonts w:eastAsia="仿宋_GB2312"/>
        </w:rPr>
      </w:pPr>
      <w:r>
        <w:rPr>
          <w:rFonts w:eastAsia="仿宋_GB2312"/>
        </w:rPr>
        <w:t>地形地貌</w:t>
      </w:r>
    </w:p>
    <w:p>
      <w:pPr>
        <w:ind w:firstLine="480"/>
        <w:rPr>
          <w:rFonts w:eastAsia="仿宋_GB2312"/>
        </w:rPr>
      </w:pPr>
      <w:r>
        <w:rPr>
          <w:rFonts w:hint="eastAsia" w:eastAsia="仿宋_GB2312"/>
        </w:rPr>
        <w:t>本项目所在</w:t>
      </w:r>
      <w:r>
        <w:rPr>
          <w:rFonts w:eastAsia="仿宋_GB2312"/>
        </w:rPr>
        <w:t>224</w:t>
      </w:r>
      <w:r>
        <w:rPr>
          <w:rFonts w:hint="eastAsia" w:eastAsia="仿宋_GB2312"/>
        </w:rPr>
        <w:t>团天翔、明珠小区位于224团城区，项目整体地势南高北低，</w:t>
      </w:r>
      <w:r>
        <w:rPr>
          <w:rFonts w:eastAsia="仿宋_GB2312"/>
        </w:rPr>
        <w:t>主要</w:t>
      </w:r>
      <w:r>
        <w:rPr>
          <w:rFonts w:hint="eastAsia" w:eastAsia="仿宋_GB2312"/>
        </w:rPr>
        <w:t>为</w:t>
      </w:r>
      <w:r>
        <w:rPr>
          <w:rFonts w:eastAsia="仿宋_GB2312"/>
        </w:rPr>
        <w:t>冲洪积平原</w:t>
      </w:r>
      <w:r>
        <w:rPr>
          <w:rFonts w:hint="eastAsia" w:eastAsia="仿宋_GB2312"/>
        </w:rPr>
        <w:t>地貌</w:t>
      </w:r>
      <w:r>
        <w:rPr>
          <w:rFonts w:eastAsia="仿宋_GB2312"/>
        </w:rPr>
        <w:t>，</w:t>
      </w:r>
      <w:r>
        <w:rPr>
          <w:rFonts w:hint="eastAsia" w:eastAsia="仿宋_GB2312"/>
        </w:rPr>
        <w:t>项目区</w:t>
      </w:r>
      <w:r>
        <w:rPr>
          <w:rFonts w:eastAsia="仿宋_GB2312"/>
        </w:rPr>
        <w:t>海拔</w:t>
      </w:r>
      <w:r>
        <w:rPr>
          <w:rFonts w:hint="eastAsia" w:eastAsia="仿宋_GB2312"/>
        </w:rPr>
        <w:t>在1315</w:t>
      </w:r>
      <w:r>
        <w:rPr>
          <w:rFonts w:eastAsia="仿宋_GB2312"/>
        </w:rPr>
        <w:t>m</w:t>
      </w:r>
      <w:r>
        <w:rPr>
          <w:rFonts w:hint="eastAsia" w:eastAsia="仿宋_GB2312"/>
        </w:rPr>
        <w:t>左右</w:t>
      </w:r>
      <w:r>
        <w:rPr>
          <w:rFonts w:eastAsia="仿宋_GB2312"/>
        </w:rPr>
        <w:t>，整体地形较平坦</w:t>
      </w:r>
      <w:r>
        <w:rPr>
          <w:rFonts w:hint="eastAsia" w:eastAsia="仿宋_GB2312"/>
        </w:rPr>
        <w:t>。</w:t>
      </w:r>
    </w:p>
    <w:p>
      <w:pPr>
        <w:spacing w:beforeLines="50" w:line="240" w:lineRule="auto"/>
        <w:ind w:left="118" w:leftChars="49" w:firstLine="0" w:firstLineChars="0"/>
        <w:rPr>
          <w:rFonts w:eastAsia="仿宋_GB2312"/>
        </w:rPr>
      </w:pPr>
      <w:r>
        <w:drawing>
          <wp:inline distT="0" distB="0" distL="0" distR="0">
            <wp:extent cx="2514600" cy="2073275"/>
            <wp:effectExtent l="0" t="0" r="0" b="317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34" cstate="print"/>
                    <a:stretch>
                      <a:fillRect/>
                    </a:stretch>
                  </pic:blipFill>
                  <pic:spPr>
                    <a:xfrm>
                      <a:off x="0" y="0"/>
                      <a:ext cx="2516400" cy="2074950"/>
                    </a:xfrm>
                    <a:prstGeom prst="rect">
                      <a:avLst/>
                    </a:prstGeom>
                  </pic:spPr>
                </pic:pic>
              </a:graphicData>
            </a:graphic>
          </wp:inline>
        </w:drawing>
      </w:r>
      <w:r>
        <w:drawing>
          <wp:inline distT="0" distB="0" distL="0" distR="0">
            <wp:extent cx="2514600" cy="2075815"/>
            <wp:effectExtent l="0" t="0" r="0" b="63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35" cstate="print"/>
                    <a:stretch>
                      <a:fillRect/>
                    </a:stretch>
                  </pic:blipFill>
                  <pic:spPr>
                    <a:xfrm>
                      <a:off x="0" y="0"/>
                      <a:ext cx="2516400" cy="2077682"/>
                    </a:xfrm>
                    <a:prstGeom prst="rect">
                      <a:avLst/>
                    </a:prstGeom>
                  </pic:spPr>
                </pic:pic>
              </a:graphicData>
            </a:graphic>
          </wp:inline>
        </w:drawing>
      </w:r>
    </w:p>
    <w:p>
      <w:pPr>
        <w:spacing w:beforeLines="50" w:line="240" w:lineRule="auto"/>
        <w:ind w:left="118" w:leftChars="49" w:firstLine="0" w:firstLineChars="0"/>
        <w:jc w:val="center"/>
        <w:rPr>
          <w:rFonts w:eastAsia="仿宋_GB2312"/>
          <w:b/>
        </w:rPr>
      </w:pPr>
      <w:r>
        <w:rPr>
          <w:rFonts w:eastAsia="仿宋_GB2312"/>
          <w:b/>
        </w:rPr>
        <w:t>图2.7-1    项目区地形地貌</w:t>
      </w:r>
    </w:p>
    <w:p>
      <w:pPr>
        <w:pStyle w:val="4"/>
        <w:keepLines/>
        <w:widowControl/>
        <w:numPr>
          <w:ilvl w:val="2"/>
          <w:numId w:val="1"/>
        </w:numPr>
        <w:tabs>
          <w:tab w:val="clear" w:pos="432"/>
          <w:tab w:val="clear" w:pos="960"/>
        </w:tabs>
        <w:kinsoku/>
        <w:overflowPunct/>
        <w:topLinePunct w:val="0"/>
        <w:autoSpaceDE/>
        <w:autoSpaceDN/>
        <w:adjustRightInd/>
        <w:snapToGrid/>
        <w:ind w:left="0" w:firstLine="0"/>
        <w:jc w:val="both"/>
        <w:rPr>
          <w:rFonts w:eastAsia="仿宋_GB2312"/>
        </w:rPr>
      </w:pPr>
      <w:r>
        <w:rPr>
          <w:rFonts w:eastAsia="仿宋_GB2312"/>
        </w:rPr>
        <w:t>地质</w:t>
      </w:r>
    </w:p>
    <w:p>
      <w:pPr>
        <w:ind w:firstLine="480"/>
        <w:rPr>
          <w:rFonts w:eastAsia="仿宋_GB2312"/>
        </w:rPr>
      </w:pPr>
      <w:r>
        <w:rPr>
          <w:rFonts w:hint="eastAsia" w:eastAsia="仿宋_GB2312"/>
        </w:rPr>
        <w:t>（1）区域地质</w:t>
      </w:r>
    </w:p>
    <w:p>
      <w:pPr>
        <w:ind w:firstLine="480"/>
        <w:rPr>
          <w:rFonts w:eastAsia="仿宋_GB2312"/>
        </w:rPr>
      </w:pPr>
      <w:r>
        <w:rPr>
          <w:rFonts w:hint="eastAsia" w:eastAsia="仿宋_GB2312"/>
        </w:rPr>
        <w:t>项目区</w:t>
      </w:r>
      <w:r>
        <w:rPr>
          <w:rFonts w:eastAsia="仿宋_GB2312"/>
        </w:rPr>
        <w:t>南为西昆仑褶皱带，带内褶皱、断裂较发育，构造错综复杂；北为塔里木地台。工程区在构造单元上，处在塔里木地台南缘三级构造单元西南坳陷中部的叶城坳陷内。</w:t>
      </w:r>
    </w:p>
    <w:p>
      <w:pPr>
        <w:ind w:firstLine="480"/>
        <w:rPr>
          <w:rFonts w:eastAsia="仿宋_GB2312"/>
        </w:rPr>
      </w:pPr>
      <w:r>
        <w:rPr>
          <w:rFonts w:eastAsia="仿宋_GB2312"/>
        </w:rPr>
        <w:t>（</w:t>
      </w:r>
      <w:r>
        <w:rPr>
          <w:rFonts w:hint="eastAsia" w:eastAsia="仿宋_GB2312"/>
        </w:rPr>
        <w:t>2</w:t>
      </w:r>
      <w:r>
        <w:rPr>
          <w:rFonts w:eastAsia="仿宋_GB2312"/>
        </w:rPr>
        <w:t>）工程地质</w:t>
      </w:r>
    </w:p>
    <w:p>
      <w:pPr>
        <w:ind w:firstLine="480"/>
        <w:rPr>
          <w:rFonts w:eastAsia="仿宋_GB2312"/>
          <w:color w:val="000000"/>
        </w:rPr>
      </w:pPr>
      <w:r>
        <w:rPr>
          <w:rFonts w:hint="eastAsia" w:eastAsia="仿宋_GB2312"/>
          <w:color w:val="000000"/>
        </w:rPr>
        <w:t>拟建场地地层主要为第四系松散堆积物，场地地基土主要由杂填土、粉土及圆砾构成，自然地面以下地层结构自上而下可分为三层。现描述如下：</w:t>
      </w:r>
    </w:p>
    <w:p>
      <w:pPr>
        <w:ind w:firstLine="480"/>
        <w:rPr>
          <w:rFonts w:eastAsia="仿宋_GB2312"/>
          <w:color w:val="000000"/>
        </w:rPr>
      </w:pPr>
      <w:r>
        <w:rPr>
          <w:rFonts w:hint="eastAsia" w:eastAsia="仿宋_GB2312"/>
          <w:color w:val="000000"/>
        </w:rPr>
        <w:t>第</w:t>
      </w:r>
      <w:r>
        <w:rPr>
          <w:rFonts w:eastAsia="仿宋_GB2312"/>
          <w:color w:val="000000"/>
        </w:rPr>
        <w:t>1</w:t>
      </w:r>
      <w:r>
        <w:rPr>
          <w:rFonts w:hint="eastAsia" w:eastAsia="仿宋_GB2312"/>
          <w:color w:val="000000"/>
        </w:rPr>
        <w:t>层：杂填土，呈松散状态，含大量建筑垃圾。层底埋深为自然地面以下</w:t>
      </w:r>
      <w:r>
        <w:rPr>
          <w:rFonts w:eastAsia="仿宋_GB2312"/>
          <w:color w:val="000000"/>
        </w:rPr>
        <w:t>0.6</w:t>
      </w:r>
      <w:r>
        <w:rPr>
          <w:rFonts w:hint="eastAsia" w:eastAsia="仿宋_GB2312"/>
          <w:color w:val="000000"/>
        </w:rPr>
        <w:t>～</w:t>
      </w:r>
      <w:r>
        <w:rPr>
          <w:rFonts w:eastAsia="仿宋_GB2312"/>
          <w:color w:val="000000"/>
        </w:rPr>
        <w:t>0.8m</w:t>
      </w:r>
      <w:r>
        <w:rPr>
          <w:rFonts w:hint="eastAsia" w:eastAsia="仿宋_GB2312"/>
          <w:color w:val="000000"/>
        </w:rPr>
        <w:t>，层厚</w:t>
      </w:r>
      <w:r>
        <w:rPr>
          <w:rFonts w:eastAsia="仿宋_GB2312"/>
          <w:color w:val="000000"/>
        </w:rPr>
        <w:t>0.6</w:t>
      </w:r>
      <w:r>
        <w:rPr>
          <w:rFonts w:hint="eastAsia" w:eastAsia="仿宋_GB2312"/>
          <w:color w:val="000000"/>
        </w:rPr>
        <w:t>～</w:t>
      </w:r>
      <w:r>
        <w:rPr>
          <w:rFonts w:eastAsia="仿宋_GB2312"/>
          <w:color w:val="000000"/>
        </w:rPr>
        <w:t>0.8m</w:t>
      </w:r>
      <w:r>
        <w:rPr>
          <w:rFonts w:hint="eastAsia" w:eastAsia="仿宋_GB2312"/>
          <w:color w:val="000000"/>
        </w:rPr>
        <w:t>。层底高程为</w:t>
      </w:r>
      <w:r>
        <w:rPr>
          <w:rFonts w:eastAsia="仿宋_GB2312"/>
          <w:color w:val="000000"/>
        </w:rPr>
        <w:t>-0.9</w:t>
      </w:r>
      <w:r>
        <w:rPr>
          <w:rFonts w:hint="eastAsia" w:eastAsia="仿宋_GB2312"/>
          <w:color w:val="000000"/>
        </w:rPr>
        <w:t>～</w:t>
      </w:r>
      <w:r>
        <w:rPr>
          <w:rFonts w:eastAsia="仿宋_GB2312"/>
          <w:color w:val="000000"/>
        </w:rPr>
        <w:t>-1.1m</w:t>
      </w:r>
      <w:r>
        <w:rPr>
          <w:rFonts w:hint="eastAsia" w:eastAsia="仿宋_GB2312"/>
          <w:color w:val="000000"/>
        </w:rPr>
        <w:t>。</w:t>
      </w:r>
    </w:p>
    <w:p>
      <w:pPr>
        <w:ind w:firstLine="480"/>
        <w:rPr>
          <w:rFonts w:eastAsia="仿宋_GB2312"/>
          <w:color w:val="000000"/>
        </w:rPr>
      </w:pPr>
      <w:r>
        <w:rPr>
          <w:rFonts w:hint="eastAsia" w:eastAsia="仿宋_GB2312"/>
          <w:color w:val="000000"/>
        </w:rPr>
        <w:t>第</w:t>
      </w:r>
      <w:r>
        <w:rPr>
          <w:rFonts w:eastAsia="仿宋_GB2312"/>
          <w:color w:val="000000"/>
        </w:rPr>
        <w:t>2</w:t>
      </w:r>
      <w:r>
        <w:rPr>
          <w:rFonts w:hint="eastAsia" w:eastAsia="仿宋_GB2312"/>
          <w:color w:val="000000"/>
        </w:rPr>
        <w:t>层：粉土，灰黄色，呈稍密～中密，稍湿～湿状态。层底埋深为自然地面以下</w:t>
      </w:r>
      <w:r>
        <w:rPr>
          <w:rFonts w:eastAsia="仿宋_GB2312"/>
          <w:color w:val="000000"/>
        </w:rPr>
        <w:t>10.2</w:t>
      </w:r>
      <w:r>
        <w:rPr>
          <w:rFonts w:hint="eastAsia" w:eastAsia="仿宋_GB2312"/>
          <w:color w:val="000000"/>
        </w:rPr>
        <w:t>～</w:t>
      </w:r>
      <w:r>
        <w:rPr>
          <w:rFonts w:eastAsia="仿宋_GB2312"/>
          <w:color w:val="000000"/>
        </w:rPr>
        <w:t>10.4m</w:t>
      </w:r>
      <w:r>
        <w:rPr>
          <w:rFonts w:hint="eastAsia" w:eastAsia="仿宋_GB2312"/>
          <w:color w:val="000000"/>
        </w:rPr>
        <w:t>，层厚</w:t>
      </w:r>
      <w:r>
        <w:rPr>
          <w:rFonts w:eastAsia="仿宋_GB2312"/>
          <w:color w:val="000000"/>
        </w:rPr>
        <w:t>9.5</w:t>
      </w:r>
      <w:r>
        <w:rPr>
          <w:rFonts w:hint="eastAsia" w:eastAsia="仿宋_GB2312"/>
          <w:color w:val="000000"/>
        </w:rPr>
        <w:t>～</w:t>
      </w:r>
      <w:r>
        <w:rPr>
          <w:rFonts w:eastAsia="仿宋_GB2312"/>
          <w:color w:val="000000"/>
        </w:rPr>
        <w:t>9.6m</w:t>
      </w:r>
      <w:r>
        <w:rPr>
          <w:rFonts w:hint="eastAsia" w:eastAsia="仿宋_GB2312"/>
          <w:color w:val="000000"/>
        </w:rPr>
        <w:t>。层底高程为</w:t>
      </w:r>
      <w:r>
        <w:rPr>
          <w:rFonts w:eastAsia="仿宋_GB2312"/>
          <w:color w:val="000000"/>
        </w:rPr>
        <w:t>-10.4</w:t>
      </w:r>
      <w:r>
        <w:rPr>
          <w:rFonts w:hint="eastAsia" w:eastAsia="仿宋_GB2312"/>
          <w:color w:val="000000"/>
        </w:rPr>
        <w:t>～</w:t>
      </w:r>
      <w:r>
        <w:rPr>
          <w:rFonts w:eastAsia="仿宋_GB2312"/>
          <w:color w:val="000000"/>
        </w:rPr>
        <w:t>-10.7m</w:t>
      </w:r>
      <w:r>
        <w:rPr>
          <w:rFonts w:hint="eastAsia" w:eastAsia="仿宋_GB2312"/>
          <w:color w:val="000000"/>
        </w:rPr>
        <w:t>。此层仅在控制性钻孔钻穿。</w:t>
      </w:r>
    </w:p>
    <w:p>
      <w:pPr>
        <w:ind w:firstLine="480"/>
        <w:rPr>
          <w:rFonts w:eastAsia="仿宋_GB2312"/>
        </w:rPr>
      </w:pPr>
      <w:r>
        <w:rPr>
          <w:rFonts w:hint="eastAsia" w:eastAsia="仿宋_GB2312"/>
          <w:color w:val="000000"/>
        </w:rPr>
        <w:t>第</w:t>
      </w:r>
      <w:r>
        <w:rPr>
          <w:rFonts w:eastAsia="仿宋_GB2312"/>
          <w:color w:val="000000"/>
        </w:rPr>
        <w:t>3</w:t>
      </w:r>
      <w:r>
        <w:rPr>
          <w:rFonts w:hint="eastAsia" w:eastAsia="仿宋_GB2312"/>
          <w:color w:val="000000"/>
        </w:rPr>
        <w:t>层：圆砾，杂色，呈稍密～中密～密实状态。母岩成分主要为花岗岩、辉长岩、大理岩等。颗粒呈亚圆形，风化程度为微风化。颗粒充填物为粗、中砂。</w:t>
      </w:r>
    </w:p>
    <w:p>
      <w:pPr>
        <w:ind w:firstLine="480"/>
        <w:rPr>
          <w:rFonts w:eastAsia="仿宋_GB2312"/>
        </w:rPr>
      </w:pPr>
      <w:r>
        <w:rPr>
          <w:rFonts w:eastAsia="仿宋_GB2312"/>
        </w:rPr>
        <w:t>（</w:t>
      </w:r>
      <w:r>
        <w:rPr>
          <w:rFonts w:hint="eastAsia" w:eastAsia="仿宋_GB2312"/>
        </w:rPr>
        <w:t>3</w:t>
      </w:r>
      <w:r>
        <w:rPr>
          <w:rFonts w:eastAsia="仿宋_GB2312"/>
        </w:rPr>
        <w:t>）</w:t>
      </w:r>
      <w:r>
        <w:rPr>
          <w:rFonts w:hint="eastAsia" w:eastAsia="仿宋_GB2312"/>
        </w:rPr>
        <w:t>水文地质</w:t>
      </w:r>
    </w:p>
    <w:p>
      <w:pPr>
        <w:ind w:firstLine="480"/>
        <w:rPr>
          <w:rFonts w:eastAsia="仿宋_GB2312"/>
        </w:rPr>
      </w:pPr>
      <w:r>
        <w:rPr>
          <w:rFonts w:hint="eastAsia" w:eastAsia="仿宋_GB2312"/>
        </w:rPr>
        <w:t>根据本项目勘察报告，在本次勘查工作中，各勘探孔均为揭穿至地下水位，由于地下水埋藏深度较大，本项目施工时可不考虑地下水对拟建物基础的影响。</w:t>
      </w:r>
    </w:p>
    <w:p>
      <w:pPr>
        <w:ind w:firstLine="480"/>
        <w:rPr>
          <w:rFonts w:eastAsia="仿宋_GB2312"/>
        </w:rPr>
      </w:pPr>
      <w:r>
        <w:rPr>
          <w:rFonts w:eastAsia="仿宋_GB2312"/>
        </w:rPr>
        <w:t>（</w:t>
      </w:r>
      <w:r>
        <w:rPr>
          <w:rFonts w:hint="eastAsia" w:eastAsia="仿宋_GB2312"/>
        </w:rPr>
        <w:t>4</w:t>
      </w:r>
      <w:r>
        <w:rPr>
          <w:rFonts w:eastAsia="仿宋_GB2312"/>
        </w:rPr>
        <w:t>）地震</w:t>
      </w:r>
    </w:p>
    <w:p>
      <w:pPr>
        <w:ind w:firstLine="480"/>
        <w:rPr>
          <w:rFonts w:eastAsia="仿宋_GB2312"/>
        </w:rPr>
      </w:pPr>
      <w:r>
        <w:rPr>
          <w:rFonts w:eastAsia="仿宋_GB2312"/>
        </w:rPr>
        <w:t>根据《岩土工程勘察规范》（GB50021-2001）及《建筑抗震设计规范》（GB50011-2010），拟建场地类别为</w:t>
      </w:r>
      <w:r>
        <w:rPr>
          <w:rFonts w:hint="eastAsia" w:ascii="仿宋_GB2312" w:eastAsia="仿宋_GB2312"/>
        </w:rPr>
        <w:t>Ⅱ</w:t>
      </w:r>
      <w:r>
        <w:rPr>
          <w:rFonts w:eastAsia="仿宋_GB2312"/>
        </w:rPr>
        <w:t>类，属于抗震有利地段。据《新疆地震烈度区划图》，本区抗震设防烈度为</w:t>
      </w:r>
      <w:r>
        <w:rPr>
          <w:rFonts w:hint="eastAsia" w:eastAsia="仿宋_GB2312"/>
        </w:rPr>
        <w:t>7</w:t>
      </w:r>
      <w:r>
        <w:rPr>
          <w:rFonts w:eastAsia="仿宋_GB2312"/>
        </w:rPr>
        <w:t>度，</w:t>
      </w:r>
      <w:r>
        <w:rPr>
          <w:rFonts w:hint="eastAsia" w:eastAsia="仿宋_GB2312"/>
        </w:rPr>
        <w:t>设计基本地震加速度值为0.10g，</w:t>
      </w:r>
      <w:r>
        <w:rPr>
          <w:rFonts w:eastAsia="仿宋_GB2312"/>
        </w:rPr>
        <w:t>地震反应谱特征周期为0.45s；勘察范围内无岩溶、滑坡、崩塌、泥石流、采空区等不良地质作用，为稳定场地。</w:t>
      </w:r>
    </w:p>
    <w:p>
      <w:pPr>
        <w:ind w:firstLine="480"/>
        <w:rPr>
          <w:rFonts w:eastAsia="仿宋_GB2312"/>
        </w:rPr>
      </w:pPr>
      <w:r>
        <w:rPr>
          <w:rFonts w:eastAsia="仿宋_GB2312"/>
        </w:rPr>
        <w:t>（</w:t>
      </w:r>
      <w:r>
        <w:rPr>
          <w:rFonts w:hint="eastAsia" w:eastAsia="仿宋_GB2312"/>
        </w:rPr>
        <w:t>5</w:t>
      </w:r>
      <w:r>
        <w:rPr>
          <w:rFonts w:eastAsia="仿宋_GB2312"/>
        </w:rPr>
        <w:t>）不良地质</w:t>
      </w:r>
    </w:p>
    <w:p>
      <w:pPr>
        <w:ind w:firstLine="480"/>
        <w:rPr>
          <w:rFonts w:eastAsia="仿宋_GB2312"/>
        </w:rPr>
      </w:pPr>
      <w:r>
        <w:rPr>
          <w:rFonts w:eastAsia="仿宋_GB2312"/>
        </w:rPr>
        <w:t>经初步勘察，场地内未发现坑、穴等不良地质现象，拟建项目场址不属于地质灾害易发区，地下无矿产资源，场地条件较好，本工程建设可不考虑不良地质作用的影响</w:t>
      </w:r>
      <w:r>
        <w:rPr>
          <w:rFonts w:hint="eastAsia" w:eastAsia="仿宋_GB2312"/>
        </w:rPr>
        <w:t>。</w:t>
      </w:r>
    </w:p>
    <w:p>
      <w:pPr>
        <w:pStyle w:val="4"/>
        <w:keepLines/>
        <w:widowControl/>
        <w:numPr>
          <w:ilvl w:val="2"/>
          <w:numId w:val="1"/>
        </w:numPr>
        <w:tabs>
          <w:tab w:val="clear" w:pos="432"/>
          <w:tab w:val="clear" w:pos="960"/>
        </w:tabs>
        <w:kinsoku/>
        <w:overflowPunct/>
        <w:topLinePunct w:val="0"/>
        <w:autoSpaceDE/>
        <w:autoSpaceDN/>
        <w:adjustRightInd/>
        <w:snapToGrid/>
        <w:ind w:left="0" w:firstLine="0"/>
        <w:jc w:val="both"/>
        <w:rPr>
          <w:rFonts w:eastAsia="仿宋_GB2312"/>
        </w:rPr>
      </w:pPr>
      <w:r>
        <w:rPr>
          <w:rFonts w:eastAsia="仿宋_GB2312"/>
        </w:rPr>
        <w:t>气象</w:t>
      </w:r>
    </w:p>
    <w:p>
      <w:pPr>
        <w:ind w:firstLine="480"/>
        <w:rPr>
          <w:rFonts w:eastAsia="仿宋_GB2312"/>
        </w:rPr>
      </w:pPr>
      <w:r>
        <w:rPr>
          <w:rFonts w:hint="eastAsia" w:eastAsia="仿宋_GB2312"/>
        </w:rPr>
        <w:t>新疆生产建设兵团第十四师224团（中心城区位于224团）地处欧亚大陆腹地，由于昆仑山的阻挡，印度洋的暖湿气流难以进入，北、西由于天山和帕米尔高原的屏障作用，从西伯利亚和中亚来的北冰洋及大西洋暖湿气流也大为减少，形成了本流域极度干旱的暖温带大陆气候，降水稀少、蒸发强烈、干燥多风、光热资源充足是本流域最主要的气候特征。</w:t>
      </w:r>
    </w:p>
    <w:p>
      <w:pPr>
        <w:ind w:firstLine="480"/>
        <w:rPr>
          <w:rFonts w:eastAsia="仿宋_GB2312"/>
        </w:rPr>
      </w:pPr>
      <w:r>
        <w:rPr>
          <w:rFonts w:hint="eastAsia" w:eastAsia="仿宋_GB2312"/>
        </w:rPr>
        <w:t>224团</w:t>
      </w:r>
      <w:r>
        <w:rPr>
          <w:rFonts w:eastAsia="仿宋_GB2312"/>
        </w:rPr>
        <w:t>多年平均气温</w:t>
      </w:r>
      <w:r>
        <w:rPr>
          <w:rFonts w:hint="eastAsia" w:eastAsia="仿宋_GB2312"/>
        </w:rPr>
        <w:t>12.2℃</w:t>
      </w:r>
      <w:r>
        <w:rPr>
          <w:rFonts w:eastAsia="仿宋_GB2312"/>
        </w:rPr>
        <w:t>，</w:t>
      </w:r>
      <w:r>
        <w:rPr>
          <w:rFonts w:hint="eastAsia" w:eastAsia="仿宋_GB2312"/>
        </w:rPr>
        <w:t>极端</w:t>
      </w:r>
      <w:r>
        <w:rPr>
          <w:rFonts w:eastAsia="仿宋_GB2312"/>
        </w:rPr>
        <w:t>最高气温</w:t>
      </w:r>
      <w:r>
        <w:rPr>
          <w:rFonts w:hint="eastAsia" w:eastAsia="仿宋_GB2312"/>
        </w:rPr>
        <w:t>40.6℃</w:t>
      </w:r>
      <w:r>
        <w:rPr>
          <w:rFonts w:eastAsia="仿宋_GB2312"/>
        </w:rPr>
        <w:t>，</w:t>
      </w:r>
      <w:r>
        <w:rPr>
          <w:rFonts w:hint="eastAsia" w:eastAsia="仿宋_GB2312"/>
        </w:rPr>
        <w:t>极端</w:t>
      </w:r>
      <w:r>
        <w:rPr>
          <w:rFonts w:eastAsia="仿宋_GB2312"/>
        </w:rPr>
        <w:t>最低气温-</w:t>
      </w:r>
      <w:r>
        <w:rPr>
          <w:rFonts w:hint="eastAsia" w:eastAsia="仿宋_GB2312"/>
        </w:rPr>
        <w:t>21.6℃，</w:t>
      </w:r>
      <w:r>
        <w:rPr>
          <w:rFonts w:eastAsia="仿宋_GB2312"/>
        </w:rPr>
        <w:t>多年平均降水量</w:t>
      </w:r>
      <w:r>
        <w:rPr>
          <w:rFonts w:hint="eastAsia" w:eastAsia="仿宋_GB2312"/>
        </w:rPr>
        <w:t>33.4</w:t>
      </w:r>
      <w:r>
        <w:rPr>
          <w:rFonts w:eastAsia="仿宋_GB2312"/>
        </w:rPr>
        <w:t>mm，多年平均蒸发量</w:t>
      </w:r>
      <w:r>
        <w:rPr>
          <w:rFonts w:hint="eastAsia" w:eastAsia="仿宋_GB2312"/>
        </w:rPr>
        <w:t>2602</w:t>
      </w:r>
      <w:r>
        <w:rPr>
          <w:rFonts w:eastAsia="仿宋_GB2312"/>
        </w:rPr>
        <w:t>mm</w:t>
      </w:r>
      <w:r>
        <w:rPr>
          <w:rFonts w:hint="eastAsia" w:eastAsia="仿宋_GB2312"/>
        </w:rPr>
        <w:t>，项目区降水量主要集中在4-9月。</w:t>
      </w:r>
      <w:r>
        <w:rPr>
          <w:rFonts w:eastAsia="仿宋_GB2312"/>
        </w:rPr>
        <w:t>年平均风速</w:t>
      </w:r>
      <w:r>
        <w:rPr>
          <w:rFonts w:hint="eastAsia" w:eastAsia="仿宋_GB2312"/>
        </w:rPr>
        <w:t>2.1</w:t>
      </w:r>
      <w:r>
        <w:rPr>
          <w:rFonts w:eastAsia="仿宋_GB2312"/>
        </w:rPr>
        <w:t>m/s</w:t>
      </w:r>
      <w:r>
        <w:rPr>
          <w:rFonts w:hint="eastAsia" w:eastAsia="仿宋_GB2312"/>
        </w:rPr>
        <w:t>，</w:t>
      </w:r>
      <w:r>
        <w:rPr>
          <w:rFonts w:eastAsia="仿宋_GB2312"/>
        </w:rPr>
        <w:t>最大风速19m/s，风向多为西、北西向，年均大风11.5次</w:t>
      </w:r>
      <w:r>
        <w:rPr>
          <w:rFonts w:hint="eastAsia" w:eastAsia="仿宋_GB2312"/>
        </w:rPr>
        <w:t>，</w:t>
      </w:r>
      <w:r>
        <w:rPr>
          <w:rFonts w:eastAsia="仿宋_GB2312"/>
        </w:rPr>
        <w:t>浮尘天数多达200d以上</w:t>
      </w:r>
      <w:r>
        <w:rPr>
          <w:rFonts w:hint="eastAsia" w:eastAsia="仿宋_GB2312"/>
        </w:rPr>
        <w:t>，</w:t>
      </w:r>
      <w:r>
        <w:rPr>
          <w:rFonts w:eastAsia="仿宋_GB2312"/>
        </w:rPr>
        <w:t>沙暴天数18d～52d，</w:t>
      </w:r>
      <w:r>
        <w:rPr>
          <w:rFonts w:hint="eastAsia" w:eastAsia="仿宋_GB2312"/>
        </w:rPr>
        <w:t>大风天气</w:t>
      </w:r>
      <w:r>
        <w:rPr>
          <w:rFonts w:eastAsia="仿宋_GB2312"/>
        </w:rPr>
        <w:t>主要集中在4月～6月</w:t>
      </w:r>
      <w:r>
        <w:rPr>
          <w:rFonts w:hint="eastAsia" w:eastAsia="仿宋_GB2312"/>
        </w:rPr>
        <w:t>。</w:t>
      </w:r>
      <w:r>
        <w:rPr>
          <w:rFonts w:eastAsia="仿宋_GB2312"/>
        </w:rPr>
        <w:t>最大冻土深度</w:t>
      </w:r>
      <w:r>
        <w:rPr>
          <w:rFonts w:hint="eastAsia" w:eastAsia="仿宋_GB2312"/>
        </w:rPr>
        <w:t>67</w:t>
      </w:r>
      <w:r>
        <w:rPr>
          <w:rFonts w:eastAsia="仿宋_GB2312"/>
        </w:rPr>
        <w:t>cm</w:t>
      </w:r>
      <w:r>
        <w:rPr>
          <w:rFonts w:hint="eastAsia" w:eastAsia="仿宋_GB2312"/>
        </w:rPr>
        <w:t>，最大积雪深度14cm，</w:t>
      </w:r>
      <w:r>
        <w:rPr>
          <w:rFonts w:eastAsia="仿宋_GB2312"/>
        </w:rPr>
        <w:t>年</w:t>
      </w:r>
      <w:bookmarkStart w:id="176" w:name="page39"/>
      <w:bookmarkEnd w:id="176"/>
      <w:r>
        <w:rPr>
          <w:rFonts w:eastAsia="仿宋_GB2312"/>
        </w:rPr>
        <w:t>无霜期约</w:t>
      </w:r>
      <w:r>
        <w:rPr>
          <w:rFonts w:hint="eastAsia" w:eastAsia="仿宋_GB2312"/>
        </w:rPr>
        <w:t>244天。</w:t>
      </w:r>
      <w:r>
        <w:rPr>
          <w:rFonts w:eastAsia="仿宋_GB2312"/>
        </w:rPr>
        <w:t>各气象要素统计见表2.7-1。</w:t>
      </w:r>
    </w:p>
    <w:p>
      <w:pPr>
        <w:spacing w:line="0" w:lineRule="atLeast"/>
        <w:ind w:firstLine="0" w:firstLineChars="0"/>
        <w:jc w:val="center"/>
        <w:rPr>
          <w:rFonts w:eastAsia="仿宋_GB2312"/>
          <w:b/>
        </w:rPr>
      </w:pPr>
      <w:r>
        <w:rPr>
          <w:rFonts w:eastAsia="仿宋_GB2312"/>
          <w:b/>
        </w:rPr>
        <w:t>2.7-1    项目区气象数据（198</w:t>
      </w:r>
      <w:r>
        <w:rPr>
          <w:rFonts w:hint="eastAsia" w:eastAsia="仿宋_GB2312"/>
          <w:b/>
        </w:rPr>
        <w:t>8</w:t>
      </w:r>
      <w:r>
        <w:rPr>
          <w:rFonts w:eastAsia="仿宋_GB2312"/>
          <w:b/>
        </w:rPr>
        <w:t>年-2017年）</w:t>
      </w:r>
    </w:p>
    <w:tbl>
      <w:tblPr>
        <w:tblStyle w:val="40"/>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117"/>
        <w:gridCol w:w="2952"/>
        <w:gridCol w:w="1117"/>
        <w:gridCol w:w="333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56" w:type="pct"/>
            <w:vAlign w:val="center"/>
          </w:tcPr>
          <w:p>
            <w:pPr>
              <w:spacing w:line="0" w:lineRule="atLeast"/>
              <w:ind w:firstLine="0" w:firstLineChars="0"/>
              <w:jc w:val="center"/>
              <w:rPr>
                <w:rFonts w:eastAsia="仿宋_GB2312"/>
                <w:b/>
                <w:sz w:val="21"/>
                <w:szCs w:val="21"/>
              </w:rPr>
            </w:pPr>
            <w:r>
              <w:rPr>
                <w:rFonts w:eastAsia="仿宋_GB2312"/>
                <w:b/>
                <w:sz w:val="21"/>
                <w:szCs w:val="21"/>
              </w:rPr>
              <w:t>序号</w:t>
            </w:r>
          </w:p>
        </w:tc>
        <w:tc>
          <w:tcPr>
            <w:tcW w:w="1733" w:type="pct"/>
            <w:vAlign w:val="center"/>
          </w:tcPr>
          <w:p>
            <w:pPr>
              <w:spacing w:line="0" w:lineRule="atLeast"/>
              <w:ind w:firstLine="0" w:firstLineChars="0"/>
              <w:jc w:val="center"/>
              <w:rPr>
                <w:rFonts w:eastAsia="仿宋_GB2312"/>
                <w:b/>
                <w:sz w:val="21"/>
                <w:szCs w:val="21"/>
              </w:rPr>
            </w:pPr>
            <w:r>
              <w:rPr>
                <w:rFonts w:eastAsia="仿宋_GB2312"/>
                <w:b/>
                <w:sz w:val="21"/>
                <w:szCs w:val="21"/>
              </w:rPr>
              <w:t>项目</w:t>
            </w:r>
          </w:p>
        </w:tc>
        <w:tc>
          <w:tcPr>
            <w:tcW w:w="656" w:type="pct"/>
            <w:vAlign w:val="center"/>
          </w:tcPr>
          <w:p>
            <w:pPr>
              <w:spacing w:line="0" w:lineRule="atLeast"/>
              <w:ind w:firstLine="0" w:firstLineChars="0"/>
              <w:jc w:val="center"/>
              <w:rPr>
                <w:rFonts w:eastAsia="仿宋_GB2312"/>
                <w:b/>
                <w:sz w:val="21"/>
                <w:szCs w:val="21"/>
              </w:rPr>
            </w:pPr>
            <w:r>
              <w:rPr>
                <w:rFonts w:eastAsia="仿宋_GB2312"/>
                <w:b/>
                <w:sz w:val="21"/>
                <w:szCs w:val="21"/>
              </w:rPr>
              <w:t>单位</w:t>
            </w:r>
          </w:p>
        </w:tc>
        <w:tc>
          <w:tcPr>
            <w:tcW w:w="1955" w:type="pct"/>
            <w:vAlign w:val="center"/>
          </w:tcPr>
          <w:p>
            <w:pPr>
              <w:spacing w:line="0" w:lineRule="atLeast"/>
              <w:ind w:firstLine="0" w:firstLineChars="0"/>
              <w:jc w:val="center"/>
              <w:rPr>
                <w:rFonts w:eastAsia="仿宋_GB2312"/>
                <w:b/>
                <w:sz w:val="21"/>
                <w:szCs w:val="21"/>
              </w:rPr>
            </w:pPr>
            <w:r>
              <w:rPr>
                <w:rFonts w:hint="eastAsia" w:eastAsia="仿宋_GB2312"/>
                <w:b/>
                <w:sz w:val="21"/>
                <w:szCs w:val="21"/>
              </w:rPr>
              <w:t>224团</w:t>
            </w:r>
            <w:r>
              <w:rPr>
                <w:rFonts w:eastAsia="仿宋_GB2312"/>
                <w:b/>
                <w:sz w:val="21"/>
                <w:szCs w:val="21"/>
              </w:rPr>
              <w:t>气象站数值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56" w:type="pct"/>
            <w:vAlign w:val="center"/>
          </w:tcPr>
          <w:p>
            <w:pPr>
              <w:spacing w:line="0" w:lineRule="atLeast"/>
              <w:ind w:firstLine="0" w:firstLineChars="0"/>
              <w:jc w:val="center"/>
              <w:rPr>
                <w:rFonts w:eastAsia="仿宋_GB2312"/>
                <w:sz w:val="21"/>
                <w:szCs w:val="21"/>
              </w:rPr>
            </w:pPr>
            <w:r>
              <w:rPr>
                <w:rFonts w:eastAsia="仿宋_GB2312"/>
                <w:sz w:val="21"/>
                <w:szCs w:val="21"/>
              </w:rPr>
              <w:t>1</w:t>
            </w:r>
          </w:p>
        </w:tc>
        <w:tc>
          <w:tcPr>
            <w:tcW w:w="1733" w:type="pct"/>
            <w:vAlign w:val="center"/>
          </w:tcPr>
          <w:p>
            <w:pPr>
              <w:spacing w:line="0" w:lineRule="atLeast"/>
              <w:ind w:firstLine="0" w:firstLineChars="0"/>
              <w:jc w:val="center"/>
              <w:rPr>
                <w:rFonts w:eastAsia="仿宋_GB2312"/>
                <w:sz w:val="21"/>
                <w:szCs w:val="21"/>
              </w:rPr>
            </w:pPr>
            <w:r>
              <w:rPr>
                <w:rFonts w:eastAsia="仿宋_GB2312"/>
                <w:sz w:val="21"/>
                <w:szCs w:val="21"/>
              </w:rPr>
              <w:t>年平均气温</w:t>
            </w:r>
          </w:p>
        </w:tc>
        <w:tc>
          <w:tcPr>
            <w:tcW w:w="656" w:type="pct"/>
            <w:vAlign w:val="center"/>
          </w:tcPr>
          <w:p>
            <w:pPr>
              <w:spacing w:line="0" w:lineRule="atLeast"/>
              <w:ind w:firstLine="0" w:firstLineChars="0"/>
              <w:jc w:val="center"/>
              <w:rPr>
                <w:rFonts w:eastAsia="仿宋_GB2312"/>
                <w:sz w:val="21"/>
                <w:szCs w:val="21"/>
              </w:rPr>
            </w:pPr>
            <w:r>
              <w:rPr>
                <w:rFonts w:hint="eastAsia" w:eastAsia="仿宋_GB2312"/>
                <w:sz w:val="21"/>
                <w:szCs w:val="21"/>
              </w:rPr>
              <w:t>℃</w:t>
            </w:r>
          </w:p>
        </w:tc>
        <w:tc>
          <w:tcPr>
            <w:tcW w:w="1955" w:type="pct"/>
            <w:vAlign w:val="center"/>
          </w:tcPr>
          <w:p>
            <w:pPr>
              <w:spacing w:line="0" w:lineRule="atLeast"/>
              <w:ind w:firstLine="0" w:firstLineChars="0"/>
              <w:jc w:val="center"/>
              <w:rPr>
                <w:rFonts w:eastAsia="仿宋_GB2312"/>
                <w:sz w:val="21"/>
                <w:szCs w:val="21"/>
              </w:rPr>
            </w:pPr>
            <w:r>
              <w:rPr>
                <w:rFonts w:hint="eastAsia" w:eastAsia="仿宋_GB2312"/>
                <w:sz w:val="21"/>
                <w:szCs w:val="21"/>
              </w:rPr>
              <w:t>12.2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56" w:type="pct"/>
            <w:vAlign w:val="center"/>
          </w:tcPr>
          <w:p>
            <w:pPr>
              <w:spacing w:line="0" w:lineRule="atLeast"/>
              <w:ind w:firstLine="0" w:firstLineChars="0"/>
              <w:jc w:val="center"/>
              <w:rPr>
                <w:rFonts w:eastAsia="仿宋_GB2312"/>
                <w:sz w:val="21"/>
                <w:szCs w:val="21"/>
              </w:rPr>
            </w:pPr>
            <w:r>
              <w:rPr>
                <w:rFonts w:eastAsia="仿宋_GB2312"/>
                <w:sz w:val="21"/>
                <w:szCs w:val="21"/>
              </w:rPr>
              <w:t>2</w:t>
            </w:r>
          </w:p>
        </w:tc>
        <w:tc>
          <w:tcPr>
            <w:tcW w:w="1733" w:type="pct"/>
            <w:vAlign w:val="center"/>
          </w:tcPr>
          <w:p>
            <w:pPr>
              <w:spacing w:line="0" w:lineRule="atLeast"/>
              <w:ind w:firstLine="0" w:firstLineChars="0"/>
              <w:jc w:val="center"/>
              <w:rPr>
                <w:rFonts w:eastAsia="仿宋_GB2312"/>
                <w:sz w:val="21"/>
                <w:szCs w:val="21"/>
              </w:rPr>
            </w:pPr>
            <w:r>
              <w:rPr>
                <w:rFonts w:eastAsia="仿宋_GB2312"/>
                <w:sz w:val="21"/>
                <w:szCs w:val="21"/>
              </w:rPr>
              <w:t>年极端最高气温</w:t>
            </w:r>
          </w:p>
        </w:tc>
        <w:tc>
          <w:tcPr>
            <w:tcW w:w="656" w:type="pct"/>
            <w:vAlign w:val="center"/>
          </w:tcPr>
          <w:p>
            <w:pPr>
              <w:spacing w:line="0" w:lineRule="atLeast"/>
              <w:ind w:firstLine="0" w:firstLineChars="0"/>
              <w:jc w:val="center"/>
              <w:rPr>
                <w:rFonts w:eastAsia="仿宋_GB2312"/>
                <w:sz w:val="21"/>
                <w:szCs w:val="21"/>
              </w:rPr>
            </w:pPr>
            <w:r>
              <w:rPr>
                <w:rFonts w:hint="eastAsia" w:eastAsia="仿宋_GB2312"/>
                <w:sz w:val="21"/>
                <w:szCs w:val="21"/>
              </w:rPr>
              <w:t>℃</w:t>
            </w:r>
          </w:p>
        </w:tc>
        <w:tc>
          <w:tcPr>
            <w:tcW w:w="1955" w:type="pct"/>
            <w:vAlign w:val="center"/>
          </w:tcPr>
          <w:p>
            <w:pPr>
              <w:spacing w:line="0" w:lineRule="atLeast"/>
              <w:ind w:firstLine="0" w:firstLineChars="0"/>
              <w:jc w:val="center"/>
              <w:rPr>
                <w:rFonts w:eastAsia="仿宋_GB2312"/>
                <w:sz w:val="21"/>
                <w:szCs w:val="21"/>
              </w:rPr>
            </w:pPr>
            <w:r>
              <w:rPr>
                <w:rFonts w:hint="eastAsia" w:eastAsia="仿宋_GB2312"/>
                <w:sz w:val="21"/>
                <w:szCs w:val="21"/>
              </w:rPr>
              <w:t>40.6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56" w:type="pct"/>
            <w:vAlign w:val="center"/>
          </w:tcPr>
          <w:p>
            <w:pPr>
              <w:spacing w:line="0" w:lineRule="atLeast"/>
              <w:ind w:firstLine="0" w:firstLineChars="0"/>
              <w:jc w:val="center"/>
              <w:rPr>
                <w:rFonts w:eastAsia="仿宋_GB2312"/>
                <w:sz w:val="21"/>
                <w:szCs w:val="21"/>
              </w:rPr>
            </w:pPr>
            <w:r>
              <w:rPr>
                <w:rFonts w:eastAsia="仿宋_GB2312"/>
                <w:sz w:val="21"/>
                <w:szCs w:val="21"/>
              </w:rPr>
              <w:t>3</w:t>
            </w:r>
          </w:p>
        </w:tc>
        <w:tc>
          <w:tcPr>
            <w:tcW w:w="1733" w:type="pct"/>
            <w:vAlign w:val="center"/>
          </w:tcPr>
          <w:p>
            <w:pPr>
              <w:spacing w:line="0" w:lineRule="atLeast"/>
              <w:ind w:firstLine="0" w:firstLineChars="0"/>
              <w:jc w:val="center"/>
              <w:rPr>
                <w:rFonts w:eastAsia="仿宋_GB2312"/>
                <w:sz w:val="21"/>
                <w:szCs w:val="21"/>
              </w:rPr>
            </w:pPr>
            <w:r>
              <w:rPr>
                <w:rFonts w:eastAsia="仿宋_GB2312"/>
                <w:sz w:val="21"/>
                <w:szCs w:val="21"/>
              </w:rPr>
              <w:t>年极端最低气温</w:t>
            </w:r>
          </w:p>
        </w:tc>
        <w:tc>
          <w:tcPr>
            <w:tcW w:w="656" w:type="pct"/>
            <w:vAlign w:val="center"/>
          </w:tcPr>
          <w:p>
            <w:pPr>
              <w:spacing w:line="0" w:lineRule="atLeast"/>
              <w:ind w:firstLine="0" w:firstLineChars="0"/>
              <w:jc w:val="center"/>
              <w:rPr>
                <w:rFonts w:eastAsia="仿宋_GB2312"/>
                <w:sz w:val="21"/>
                <w:szCs w:val="21"/>
              </w:rPr>
            </w:pPr>
            <w:r>
              <w:rPr>
                <w:rFonts w:hint="eastAsia" w:eastAsia="仿宋_GB2312"/>
                <w:sz w:val="21"/>
                <w:szCs w:val="21"/>
              </w:rPr>
              <w:t>℃</w:t>
            </w:r>
          </w:p>
        </w:tc>
        <w:tc>
          <w:tcPr>
            <w:tcW w:w="1955" w:type="pct"/>
            <w:vAlign w:val="center"/>
          </w:tcPr>
          <w:p>
            <w:pPr>
              <w:spacing w:line="0" w:lineRule="atLeast"/>
              <w:ind w:firstLine="0" w:firstLineChars="0"/>
              <w:jc w:val="center"/>
              <w:rPr>
                <w:rFonts w:eastAsia="仿宋_GB2312"/>
                <w:sz w:val="21"/>
                <w:szCs w:val="21"/>
              </w:rPr>
            </w:pPr>
            <w:r>
              <w:rPr>
                <w:rFonts w:eastAsia="仿宋_GB2312"/>
                <w:sz w:val="21"/>
                <w:szCs w:val="21"/>
              </w:rPr>
              <w:t>-</w:t>
            </w:r>
            <w:r>
              <w:rPr>
                <w:rFonts w:hint="eastAsia" w:eastAsia="仿宋_GB2312"/>
                <w:sz w:val="21"/>
                <w:szCs w:val="21"/>
              </w:rPr>
              <w:t>21.6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56" w:type="pct"/>
            <w:vAlign w:val="center"/>
          </w:tcPr>
          <w:p>
            <w:pPr>
              <w:spacing w:line="0" w:lineRule="atLeast"/>
              <w:ind w:firstLine="0" w:firstLineChars="0"/>
              <w:jc w:val="center"/>
              <w:rPr>
                <w:rFonts w:eastAsia="仿宋_GB2312"/>
                <w:sz w:val="21"/>
                <w:szCs w:val="21"/>
              </w:rPr>
            </w:pPr>
            <w:r>
              <w:rPr>
                <w:rFonts w:eastAsia="仿宋_GB2312"/>
                <w:sz w:val="21"/>
                <w:szCs w:val="21"/>
              </w:rPr>
              <w:t>4</w:t>
            </w:r>
          </w:p>
        </w:tc>
        <w:tc>
          <w:tcPr>
            <w:tcW w:w="1733" w:type="pct"/>
            <w:vAlign w:val="center"/>
          </w:tcPr>
          <w:p>
            <w:pPr>
              <w:spacing w:line="0" w:lineRule="atLeast"/>
              <w:ind w:firstLine="0" w:firstLineChars="0"/>
              <w:jc w:val="center"/>
              <w:rPr>
                <w:rFonts w:eastAsia="仿宋_GB2312"/>
                <w:sz w:val="21"/>
                <w:szCs w:val="21"/>
              </w:rPr>
            </w:pPr>
            <w:r>
              <w:rPr>
                <w:rFonts w:eastAsia="仿宋_GB2312"/>
                <w:sz w:val="21"/>
                <w:szCs w:val="21"/>
              </w:rPr>
              <w:t>年平均降水量</w:t>
            </w:r>
          </w:p>
        </w:tc>
        <w:tc>
          <w:tcPr>
            <w:tcW w:w="656" w:type="pct"/>
            <w:vAlign w:val="center"/>
          </w:tcPr>
          <w:p>
            <w:pPr>
              <w:spacing w:line="0" w:lineRule="atLeast"/>
              <w:ind w:firstLine="0" w:firstLineChars="0"/>
              <w:jc w:val="center"/>
              <w:rPr>
                <w:rFonts w:eastAsia="仿宋_GB2312"/>
                <w:sz w:val="21"/>
                <w:szCs w:val="21"/>
              </w:rPr>
            </w:pPr>
            <w:r>
              <w:rPr>
                <w:rFonts w:eastAsia="仿宋_GB2312"/>
                <w:sz w:val="21"/>
                <w:szCs w:val="21"/>
              </w:rPr>
              <w:t>mm</w:t>
            </w:r>
          </w:p>
        </w:tc>
        <w:tc>
          <w:tcPr>
            <w:tcW w:w="1955" w:type="pct"/>
            <w:vAlign w:val="center"/>
          </w:tcPr>
          <w:p>
            <w:pPr>
              <w:spacing w:line="0" w:lineRule="atLeast"/>
              <w:ind w:firstLine="0" w:firstLineChars="0"/>
              <w:jc w:val="center"/>
              <w:rPr>
                <w:rFonts w:eastAsia="仿宋_GB2312"/>
                <w:sz w:val="21"/>
                <w:szCs w:val="21"/>
              </w:rPr>
            </w:pPr>
            <w:r>
              <w:rPr>
                <w:rFonts w:hint="eastAsia" w:eastAsia="仿宋_GB2312"/>
                <w:sz w:val="21"/>
                <w:szCs w:val="21"/>
              </w:rPr>
              <w:t>33.4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56" w:type="pct"/>
            <w:vAlign w:val="center"/>
          </w:tcPr>
          <w:p>
            <w:pPr>
              <w:spacing w:line="0" w:lineRule="atLeast"/>
              <w:ind w:firstLine="0" w:firstLineChars="0"/>
              <w:jc w:val="center"/>
              <w:rPr>
                <w:rFonts w:eastAsia="仿宋_GB2312"/>
                <w:sz w:val="21"/>
                <w:szCs w:val="21"/>
              </w:rPr>
            </w:pPr>
            <w:r>
              <w:rPr>
                <w:rFonts w:hint="eastAsia" w:eastAsia="仿宋_GB2312"/>
                <w:sz w:val="21"/>
                <w:szCs w:val="21"/>
              </w:rPr>
              <w:t>5</w:t>
            </w:r>
          </w:p>
        </w:tc>
        <w:tc>
          <w:tcPr>
            <w:tcW w:w="1733" w:type="pct"/>
            <w:vAlign w:val="center"/>
          </w:tcPr>
          <w:p>
            <w:pPr>
              <w:spacing w:line="0" w:lineRule="atLeast"/>
              <w:ind w:firstLine="0" w:firstLineChars="0"/>
              <w:jc w:val="center"/>
              <w:rPr>
                <w:rFonts w:eastAsia="仿宋_GB2312"/>
                <w:sz w:val="21"/>
                <w:szCs w:val="21"/>
              </w:rPr>
            </w:pPr>
            <w:r>
              <w:rPr>
                <w:rFonts w:eastAsia="仿宋_GB2312"/>
                <w:sz w:val="21"/>
                <w:szCs w:val="21"/>
              </w:rPr>
              <w:t>最大一日降水量</w:t>
            </w:r>
          </w:p>
        </w:tc>
        <w:tc>
          <w:tcPr>
            <w:tcW w:w="656" w:type="pct"/>
            <w:vAlign w:val="center"/>
          </w:tcPr>
          <w:p>
            <w:pPr>
              <w:spacing w:line="0" w:lineRule="atLeast"/>
              <w:ind w:firstLine="0" w:firstLineChars="0"/>
              <w:jc w:val="center"/>
              <w:rPr>
                <w:rFonts w:eastAsia="仿宋_GB2312"/>
                <w:sz w:val="21"/>
                <w:szCs w:val="21"/>
              </w:rPr>
            </w:pPr>
            <w:r>
              <w:rPr>
                <w:rFonts w:eastAsia="仿宋_GB2312"/>
                <w:sz w:val="21"/>
                <w:szCs w:val="21"/>
              </w:rPr>
              <w:t>mm</w:t>
            </w:r>
          </w:p>
        </w:tc>
        <w:tc>
          <w:tcPr>
            <w:tcW w:w="1955" w:type="pct"/>
            <w:vAlign w:val="center"/>
          </w:tcPr>
          <w:p>
            <w:pPr>
              <w:spacing w:line="0" w:lineRule="atLeast"/>
              <w:ind w:firstLine="0" w:firstLineChars="0"/>
              <w:jc w:val="center"/>
              <w:rPr>
                <w:rFonts w:eastAsia="仿宋_GB2312"/>
                <w:sz w:val="21"/>
                <w:szCs w:val="21"/>
              </w:rPr>
            </w:pPr>
            <w:r>
              <w:rPr>
                <w:rFonts w:hint="eastAsia" w:eastAsia="仿宋_GB2312"/>
                <w:sz w:val="21"/>
                <w:szCs w:val="21"/>
              </w:rPr>
              <w:t>26.6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56" w:type="pct"/>
            <w:vAlign w:val="center"/>
          </w:tcPr>
          <w:p>
            <w:pPr>
              <w:spacing w:line="0" w:lineRule="atLeast"/>
              <w:ind w:firstLine="0" w:firstLineChars="0"/>
              <w:jc w:val="center"/>
              <w:rPr>
                <w:rFonts w:eastAsia="仿宋_GB2312"/>
                <w:sz w:val="21"/>
                <w:szCs w:val="21"/>
              </w:rPr>
            </w:pPr>
            <w:r>
              <w:rPr>
                <w:rFonts w:hint="eastAsia" w:eastAsia="仿宋_GB2312"/>
                <w:sz w:val="21"/>
                <w:szCs w:val="21"/>
              </w:rPr>
              <w:t>6</w:t>
            </w:r>
          </w:p>
        </w:tc>
        <w:tc>
          <w:tcPr>
            <w:tcW w:w="1733" w:type="pct"/>
            <w:vAlign w:val="center"/>
          </w:tcPr>
          <w:p>
            <w:pPr>
              <w:spacing w:line="0" w:lineRule="atLeast"/>
              <w:ind w:firstLine="0" w:firstLineChars="0"/>
              <w:jc w:val="center"/>
              <w:rPr>
                <w:rFonts w:eastAsia="仿宋_GB2312"/>
                <w:sz w:val="21"/>
                <w:szCs w:val="21"/>
              </w:rPr>
            </w:pPr>
            <w:r>
              <w:rPr>
                <w:rFonts w:eastAsia="仿宋_GB2312"/>
                <w:sz w:val="21"/>
                <w:szCs w:val="21"/>
              </w:rPr>
              <w:t>年平均蒸发量</w:t>
            </w:r>
          </w:p>
        </w:tc>
        <w:tc>
          <w:tcPr>
            <w:tcW w:w="656" w:type="pct"/>
            <w:vAlign w:val="center"/>
          </w:tcPr>
          <w:p>
            <w:pPr>
              <w:spacing w:line="0" w:lineRule="atLeast"/>
              <w:ind w:firstLine="0" w:firstLineChars="0"/>
              <w:jc w:val="center"/>
              <w:rPr>
                <w:rFonts w:eastAsia="仿宋_GB2312"/>
                <w:sz w:val="21"/>
                <w:szCs w:val="21"/>
              </w:rPr>
            </w:pPr>
            <w:r>
              <w:rPr>
                <w:rFonts w:eastAsia="仿宋_GB2312"/>
                <w:sz w:val="21"/>
                <w:szCs w:val="21"/>
              </w:rPr>
              <w:t>mm</w:t>
            </w:r>
          </w:p>
        </w:tc>
        <w:tc>
          <w:tcPr>
            <w:tcW w:w="1955" w:type="pct"/>
            <w:vAlign w:val="center"/>
          </w:tcPr>
          <w:p>
            <w:pPr>
              <w:spacing w:line="0" w:lineRule="atLeast"/>
              <w:ind w:firstLine="0" w:firstLineChars="0"/>
              <w:jc w:val="center"/>
              <w:rPr>
                <w:rFonts w:eastAsia="仿宋_GB2312"/>
                <w:sz w:val="21"/>
                <w:szCs w:val="21"/>
              </w:rPr>
            </w:pPr>
            <w:r>
              <w:rPr>
                <w:rFonts w:hint="eastAsia" w:eastAsia="仿宋_GB2312"/>
                <w:sz w:val="21"/>
                <w:szCs w:val="21"/>
              </w:rPr>
              <w:t>2602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56" w:type="pct"/>
            <w:vAlign w:val="center"/>
          </w:tcPr>
          <w:p>
            <w:pPr>
              <w:spacing w:line="0" w:lineRule="atLeast"/>
              <w:ind w:firstLine="0" w:firstLineChars="0"/>
              <w:jc w:val="center"/>
              <w:rPr>
                <w:rFonts w:eastAsia="仿宋_GB2312"/>
                <w:sz w:val="21"/>
                <w:szCs w:val="21"/>
              </w:rPr>
            </w:pPr>
            <w:r>
              <w:rPr>
                <w:rFonts w:hint="eastAsia" w:eastAsia="仿宋_GB2312"/>
                <w:sz w:val="21"/>
                <w:szCs w:val="21"/>
              </w:rPr>
              <w:t>7</w:t>
            </w:r>
          </w:p>
        </w:tc>
        <w:tc>
          <w:tcPr>
            <w:tcW w:w="1733" w:type="pct"/>
            <w:vAlign w:val="center"/>
          </w:tcPr>
          <w:p>
            <w:pPr>
              <w:spacing w:line="0" w:lineRule="atLeast"/>
              <w:ind w:firstLine="0" w:firstLineChars="0"/>
              <w:jc w:val="center"/>
              <w:rPr>
                <w:rFonts w:eastAsia="仿宋_GB2312"/>
                <w:sz w:val="21"/>
                <w:szCs w:val="21"/>
              </w:rPr>
            </w:pPr>
            <w:r>
              <w:rPr>
                <w:rFonts w:eastAsia="仿宋_GB2312"/>
                <w:sz w:val="21"/>
                <w:szCs w:val="21"/>
              </w:rPr>
              <w:t>最大</w:t>
            </w:r>
            <w:r>
              <w:rPr>
                <w:rFonts w:hint="eastAsia" w:eastAsia="仿宋_GB2312"/>
                <w:sz w:val="21"/>
                <w:szCs w:val="21"/>
              </w:rPr>
              <w:t>积雪</w:t>
            </w:r>
            <w:r>
              <w:rPr>
                <w:rFonts w:eastAsia="仿宋_GB2312"/>
                <w:sz w:val="21"/>
                <w:szCs w:val="21"/>
              </w:rPr>
              <w:t>厚度</w:t>
            </w:r>
          </w:p>
        </w:tc>
        <w:tc>
          <w:tcPr>
            <w:tcW w:w="656" w:type="pct"/>
            <w:vAlign w:val="center"/>
          </w:tcPr>
          <w:p>
            <w:pPr>
              <w:spacing w:line="0" w:lineRule="atLeast"/>
              <w:ind w:firstLine="0" w:firstLineChars="0"/>
              <w:jc w:val="center"/>
              <w:rPr>
                <w:rFonts w:eastAsia="仿宋_GB2312"/>
                <w:sz w:val="21"/>
                <w:szCs w:val="21"/>
              </w:rPr>
            </w:pPr>
            <w:r>
              <w:rPr>
                <w:rFonts w:eastAsia="仿宋_GB2312"/>
                <w:sz w:val="21"/>
                <w:szCs w:val="21"/>
              </w:rPr>
              <w:t>cm</w:t>
            </w:r>
          </w:p>
        </w:tc>
        <w:tc>
          <w:tcPr>
            <w:tcW w:w="1955" w:type="pct"/>
            <w:vAlign w:val="center"/>
          </w:tcPr>
          <w:p>
            <w:pPr>
              <w:spacing w:line="0" w:lineRule="atLeast"/>
              <w:ind w:firstLine="0" w:firstLineChars="0"/>
              <w:jc w:val="center"/>
              <w:rPr>
                <w:rFonts w:eastAsia="仿宋_GB2312"/>
                <w:sz w:val="21"/>
                <w:szCs w:val="21"/>
              </w:rPr>
            </w:pPr>
            <w:r>
              <w:rPr>
                <w:rFonts w:hint="eastAsia" w:eastAsia="仿宋_GB2312"/>
                <w:sz w:val="21"/>
                <w:szCs w:val="21"/>
              </w:rPr>
              <w:t>14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56" w:type="pct"/>
            <w:vAlign w:val="center"/>
          </w:tcPr>
          <w:p>
            <w:pPr>
              <w:spacing w:line="0" w:lineRule="atLeast"/>
              <w:ind w:firstLine="0" w:firstLineChars="0"/>
              <w:jc w:val="center"/>
              <w:rPr>
                <w:rFonts w:eastAsia="仿宋_GB2312"/>
                <w:sz w:val="21"/>
                <w:szCs w:val="21"/>
              </w:rPr>
            </w:pPr>
            <w:r>
              <w:rPr>
                <w:rFonts w:eastAsia="仿宋_GB2312"/>
                <w:sz w:val="21"/>
                <w:szCs w:val="21"/>
              </w:rPr>
              <w:t>8</w:t>
            </w:r>
          </w:p>
        </w:tc>
        <w:tc>
          <w:tcPr>
            <w:tcW w:w="1733" w:type="pct"/>
            <w:vAlign w:val="center"/>
          </w:tcPr>
          <w:p>
            <w:pPr>
              <w:spacing w:line="0" w:lineRule="atLeast"/>
              <w:ind w:firstLine="0" w:firstLineChars="0"/>
              <w:jc w:val="center"/>
              <w:rPr>
                <w:rFonts w:eastAsia="仿宋_GB2312"/>
                <w:sz w:val="21"/>
                <w:szCs w:val="21"/>
              </w:rPr>
            </w:pPr>
            <w:r>
              <w:rPr>
                <w:rFonts w:eastAsia="仿宋_GB2312"/>
                <w:sz w:val="21"/>
                <w:szCs w:val="21"/>
              </w:rPr>
              <w:t>年平均风速</w:t>
            </w:r>
          </w:p>
        </w:tc>
        <w:tc>
          <w:tcPr>
            <w:tcW w:w="656" w:type="pct"/>
            <w:vAlign w:val="center"/>
          </w:tcPr>
          <w:p>
            <w:pPr>
              <w:spacing w:line="0" w:lineRule="atLeast"/>
              <w:ind w:firstLine="0" w:firstLineChars="0"/>
              <w:jc w:val="center"/>
              <w:rPr>
                <w:rFonts w:eastAsia="仿宋_GB2312"/>
                <w:sz w:val="21"/>
                <w:szCs w:val="21"/>
              </w:rPr>
            </w:pPr>
            <w:r>
              <w:rPr>
                <w:rFonts w:eastAsia="仿宋_GB2312"/>
                <w:sz w:val="21"/>
                <w:szCs w:val="21"/>
              </w:rPr>
              <w:t>m/s</w:t>
            </w:r>
          </w:p>
        </w:tc>
        <w:tc>
          <w:tcPr>
            <w:tcW w:w="1955" w:type="pct"/>
            <w:vAlign w:val="center"/>
          </w:tcPr>
          <w:p>
            <w:pPr>
              <w:spacing w:line="0" w:lineRule="atLeast"/>
              <w:ind w:firstLine="0" w:firstLineChars="0"/>
              <w:jc w:val="center"/>
              <w:rPr>
                <w:rFonts w:eastAsia="仿宋_GB2312"/>
                <w:sz w:val="21"/>
                <w:szCs w:val="21"/>
              </w:rPr>
            </w:pPr>
            <w:r>
              <w:rPr>
                <w:rFonts w:hint="eastAsia" w:eastAsia="仿宋_GB2312"/>
                <w:sz w:val="21"/>
                <w:szCs w:val="21"/>
              </w:rPr>
              <w:t>2.1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56" w:type="pct"/>
            <w:vAlign w:val="center"/>
          </w:tcPr>
          <w:p>
            <w:pPr>
              <w:spacing w:line="0" w:lineRule="atLeast"/>
              <w:ind w:firstLine="0" w:firstLineChars="0"/>
              <w:jc w:val="center"/>
              <w:rPr>
                <w:rFonts w:eastAsia="仿宋_GB2312"/>
                <w:sz w:val="21"/>
                <w:szCs w:val="21"/>
              </w:rPr>
            </w:pPr>
            <w:r>
              <w:rPr>
                <w:rFonts w:eastAsia="仿宋_GB2312"/>
                <w:sz w:val="21"/>
                <w:szCs w:val="21"/>
              </w:rPr>
              <w:t>9</w:t>
            </w:r>
          </w:p>
        </w:tc>
        <w:tc>
          <w:tcPr>
            <w:tcW w:w="1733" w:type="pct"/>
            <w:vAlign w:val="center"/>
          </w:tcPr>
          <w:p>
            <w:pPr>
              <w:spacing w:line="0" w:lineRule="atLeast"/>
              <w:ind w:firstLine="0" w:firstLineChars="0"/>
              <w:jc w:val="center"/>
              <w:rPr>
                <w:rFonts w:eastAsia="仿宋_GB2312"/>
                <w:sz w:val="21"/>
                <w:szCs w:val="21"/>
              </w:rPr>
            </w:pPr>
            <w:r>
              <w:rPr>
                <w:rFonts w:eastAsia="仿宋_GB2312"/>
                <w:sz w:val="21"/>
                <w:szCs w:val="21"/>
              </w:rPr>
              <w:t>年主导风向</w:t>
            </w:r>
          </w:p>
        </w:tc>
        <w:tc>
          <w:tcPr>
            <w:tcW w:w="656" w:type="pct"/>
            <w:vAlign w:val="center"/>
          </w:tcPr>
          <w:p>
            <w:pPr>
              <w:spacing w:line="0" w:lineRule="atLeast"/>
              <w:ind w:firstLine="420"/>
              <w:jc w:val="center"/>
              <w:rPr>
                <w:rFonts w:eastAsia="仿宋_GB2312"/>
                <w:sz w:val="21"/>
                <w:szCs w:val="21"/>
              </w:rPr>
            </w:pPr>
          </w:p>
        </w:tc>
        <w:tc>
          <w:tcPr>
            <w:tcW w:w="1955" w:type="pct"/>
            <w:vAlign w:val="center"/>
          </w:tcPr>
          <w:p>
            <w:pPr>
              <w:spacing w:line="0" w:lineRule="atLeast"/>
              <w:ind w:firstLine="0" w:firstLineChars="0"/>
              <w:jc w:val="center"/>
              <w:rPr>
                <w:rFonts w:eastAsia="仿宋_GB2312"/>
                <w:sz w:val="21"/>
                <w:szCs w:val="21"/>
              </w:rPr>
            </w:pPr>
            <w:r>
              <w:rPr>
                <w:rFonts w:eastAsia="仿宋_GB2312"/>
                <w:sz w:val="21"/>
                <w:szCs w:val="21"/>
              </w:rPr>
              <w:t>W</w:t>
            </w:r>
            <w:r>
              <w:rPr>
                <w:rFonts w:hint="eastAsia" w:eastAsia="仿宋_GB2312"/>
                <w:sz w:val="21"/>
                <w:szCs w:val="21"/>
              </w:rPr>
              <w:t>、NW</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56" w:type="pct"/>
            <w:vAlign w:val="center"/>
          </w:tcPr>
          <w:p>
            <w:pPr>
              <w:spacing w:line="0" w:lineRule="atLeast"/>
              <w:ind w:firstLine="0" w:firstLineChars="0"/>
              <w:jc w:val="center"/>
              <w:rPr>
                <w:rFonts w:eastAsia="仿宋_GB2312"/>
                <w:sz w:val="21"/>
                <w:szCs w:val="21"/>
              </w:rPr>
            </w:pPr>
            <w:r>
              <w:rPr>
                <w:rFonts w:eastAsia="仿宋_GB2312"/>
                <w:sz w:val="21"/>
                <w:szCs w:val="21"/>
              </w:rPr>
              <w:t>10</w:t>
            </w:r>
          </w:p>
        </w:tc>
        <w:tc>
          <w:tcPr>
            <w:tcW w:w="1733" w:type="pct"/>
            <w:vAlign w:val="center"/>
          </w:tcPr>
          <w:p>
            <w:pPr>
              <w:spacing w:line="0" w:lineRule="atLeast"/>
              <w:ind w:firstLine="0" w:firstLineChars="0"/>
              <w:jc w:val="center"/>
              <w:rPr>
                <w:rFonts w:eastAsia="仿宋_GB2312"/>
                <w:sz w:val="21"/>
                <w:szCs w:val="21"/>
              </w:rPr>
            </w:pPr>
            <w:r>
              <w:rPr>
                <w:rFonts w:eastAsia="仿宋_GB2312"/>
                <w:sz w:val="21"/>
                <w:szCs w:val="21"/>
              </w:rPr>
              <w:t>最大风速</w:t>
            </w:r>
          </w:p>
        </w:tc>
        <w:tc>
          <w:tcPr>
            <w:tcW w:w="656" w:type="pct"/>
            <w:vAlign w:val="center"/>
          </w:tcPr>
          <w:p>
            <w:pPr>
              <w:spacing w:line="0" w:lineRule="atLeast"/>
              <w:ind w:firstLine="0" w:firstLineChars="0"/>
              <w:jc w:val="center"/>
              <w:rPr>
                <w:rFonts w:eastAsia="仿宋_GB2312"/>
                <w:sz w:val="21"/>
                <w:szCs w:val="21"/>
              </w:rPr>
            </w:pPr>
            <w:r>
              <w:rPr>
                <w:rFonts w:eastAsia="仿宋_GB2312"/>
                <w:sz w:val="21"/>
                <w:szCs w:val="21"/>
              </w:rPr>
              <w:t>m/s</w:t>
            </w:r>
          </w:p>
        </w:tc>
        <w:tc>
          <w:tcPr>
            <w:tcW w:w="1955" w:type="pct"/>
            <w:vAlign w:val="center"/>
          </w:tcPr>
          <w:p>
            <w:pPr>
              <w:spacing w:line="0" w:lineRule="atLeast"/>
              <w:ind w:firstLine="0" w:firstLineChars="0"/>
              <w:jc w:val="center"/>
              <w:rPr>
                <w:rFonts w:eastAsia="仿宋_GB2312"/>
                <w:sz w:val="21"/>
                <w:szCs w:val="21"/>
              </w:rPr>
            </w:pPr>
            <w:r>
              <w:rPr>
                <w:rFonts w:hint="eastAsia" w:eastAsia="仿宋_GB2312"/>
                <w:sz w:val="21"/>
                <w:szCs w:val="21"/>
              </w:rPr>
              <w:t>19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56" w:type="pct"/>
            <w:vAlign w:val="center"/>
          </w:tcPr>
          <w:p>
            <w:pPr>
              <w:spacing w:line="0" w:lineRule="atLeast"/>
              <w:ind w:firstLine="0" w:firstLineChars="0"/>
              <w:jc w:val="center"/>
              <w:rPr>
                <w:rFonts w:eastAsia="仿宋_GB2312"/>
                <w:sz w:val="21"/>
                <w:szCs w:val="21"/>
              </w:rPr>
            </w:pPr>
            <w:r>
              <w:rPr>
                <w:rFonts w:eastAsia="仿宋_GB2312"/>
                <w:sz w:val="21"/>
                <w:szCs w:val="21"/>
              </w:rPr>
              <w:t>11</w:t>
            </w:r>
          </w:p>
        </w:tc>
        <w:tc>
          <w:tcPr>
            <w:tcW w:w="1733" w:type="pct"/>
            <w:vAlign w:val="center"/>
          </w:tcPr>
          <w:p>
            <w:pPr>
              <w:spacing w:line="0" w:lineRule="atLeast"/>
              <w:ind w:firstLine="0" w:firstLineChars="0"/>
              <w:jc w:val="center"/>
              <w:rPr>
                <w:rFonts w:eastAsia="仿宋_GB2312"/>
                <w:sz w:val="21"/>
                <w:szCs w:val="21"/>
              </w:rPr>
            </w:pPr>
            <w:r>
              <w:rPr>
                <w:rFonts w:hint="eastAsia" w:eastAsia="仿宋_GB2312"/>
                <w:sz w:val="21"/>
                <w:szCs w:val="21"/>
              </w:rPr>
              <w:t>平均相对湿度</w:t>
            </w:r>
          </w:p>
        </w:tc>
        <w:tc>
          <w:tcPr>
            <w:tcW w:w="656" w:type="pct"/>
            <w:vAlign w:val="center"/>
          </w:tcPr>
          <w:p>
            <w:pPr>
              <w:spacing w:line="0" w:lineRule="atLeast"/>
              <w:ind w:firstLine="0" w:firstLineChars="0"/>
              <w:jc w:val="center"/>
              <w:rPr>
                <w:rFonts w:eastAsia="仿宋_GB2312"/>
                <w:sz w:val="21"/>
                <w:szCs w:val="21"/>
              </w:rPr>
            </w:pPr>
            <w:r>
              <w:rPr>
                <w:rFonts w:hint="eastAsia" w:eastAsia="仿宋_GB2312"/>
                <w:sz w:val="21"/>
                <w:szCs w:val="21"/>
              </w:rPr>
              <w:t>%</w:t>
            </w:r>
          </w:p>
        </w:tc>
        <w:tc>
          <w:tcPr>
            <w:tcW w:w="1955" w:type="pct"/>
            <w:vAlign w:val="center"/>
          </w:tcPr>
          <w:p>
            <w:pPr>
              <w:spacing w:line="0" w:lineRule="atLeast"/>
              <w:ind w:firstLine="0" w:firstLineChars="0"/>
              <w:jc w:val="center"/>
              <w:rPr>
                <w:rFonts w:eastAsia="仿宋_GB2312"/>
                <w:sz w:val="21"/>
                <w:szCs w:val="21"/>
              </w:rPr>
            </w:pPr>
            <w:r>
              <w:rPr>
                <w:rFonts w:hint="eastAsia" w:eastAsia="仿宋_GB2312"/>
                <w:sz w:val="21"/>
                <w:szCs w:val="21"/>
              </w:rPr>
              <w:t>42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56" w:type="pct"/>
            <w:vAlign w:val="center"/>
          </w:tcPr>
          <w:p>
            <w:pPr>
              <w:spacing w:line="0" w:lineRule="atLeast"/>
              <w:ind w:firstLine="0" w:firstLineChars="0"/>
              <w:jc w:val="center"/>
              <w:rPr>
                <w:rFonts w:eastAsia="仿宋_GB2312"/>
                <w:sz w:val="21"/>
                <w:szCs w:val="21"/>
              </w:rPr>
            </w:pPr>
            <w:r>
              <w:rPr>
                <w:rFonts w:eastAsia="仿宋_GB2312"/>
                <w:sz w:val="21"/>
                <w:szCs w:val="21"/>
              </w:rPr>
              <w:t>12</w:t>
            </w:r>
          </w:p>
        </w:tc>
        <w:tc>
          <w:tcPr>
            <w:tcW w:w="1733" w:type="pct"/>
            <w:vAlign w:val="center"/>
          </w:tcPr>
          <w:p>
            <w:pPr>
              <w:spacing w:line="0" w:lineRule="atLeast"/>
              <w:ind w:firstLine="0" w:firstLineChars="0"/>
              <w:jc w:val="center"/>
              <w:rPr>
                <w:rFonts w:eastAsia="仿宋_GB2312"/>
                <w:sz w:val="21"/>
                <w:szCs w:val="21"/>
              </w:rPr>
            </w:pPr>
            <w:r>
              <w:rPr>
                <w:rFonts w:eastAsia="仿宋_GB2312"/>
                <w:sz w:val="21"/>
                <w:szCs w:val="21"/>
              </w:rPr>
              <w:t>≥10</w:t>
            </w:r>
            <w:r>
              <w:rPr>
                <w:rFonts w:hint="eastAsia" w:eastAsia="仿宋_GB2312"/>
                <w:sz w:val="21"/>
                <w:szCs w:val="21"/>
              </w:rPr>
              <w:t>℃</w:t>
            </w:r>
            <w:r>
              <w:rPr>
                <w:rFonts w:eastAsia="仿宋_GB2312"/>
                <w:sz w:val="21"/>
                <w:szCs w:val="21"/>
              </w:rPr>
              <w:t>积温</w:t>
            </w:r>
          </w:p>
        </w:tc>
        <w:tc>
          <w:tcPr>
            <w:tcW w:w="656" w:type="pct"/>
            <w:vAlign w:val="center"/>
          </w:tcPr>
          <w:p>
            <w:pPr>
              <w:spacing w:line="0" w:lineRule="atLeast"/>
              <w:ind w:firstLine="0" w:firstLineChars="0"/>
              <w:jc w:val="center"/>
              <w:rPr>
                <w:rFonts w:eastAsia="仿宋_GB2312"/>
                <w:sz w:val="21"/>
                <w:szCs w:val="21"/>
              </w:rPr>
            </w:pPr>
            <w:r>
              <w:rPr>
                <w:rFonts w:hint="eastAsia" w:eastAsia="仿宋_GB2312"/>
                <w:sz w:val="21"/>
                <w:szCs w:val="21"/>
              </w:rPr>
              <w:t>℃</w:t>
            </w:r>
          </w:p>
        </w:tc>
        <w:tc>
          <w:tcPr>
            <w:tcW w:w="1955" w:type="pct"/>
            <w:vAlign w:val="center"/>
          </w:tcPr>
          <w:p>
            <w:pPr>
              <w:spacing w:line="0" w:lineRule="atLeast"/>
              <w:ind w:firstLine="0" w:firstLineChars="0"/>
              <w:jc w:val="center"/>
              <w:rPr>
                <w:rFonts w:eastAsia="仿宋_GB2312"/>
                <w:sz w:val="21"/>
                <w:szCs w:val="21"/>
              </w:rPr>
            </w:pPr>
            <w:r>
              <w:rPr>
                <w:rFonts w:hint="eastAsia" w:eastAsia="仿宋_GB2312"/>
                <w:sz w:val="21"/>
                <w:szCs w:val="21"/>
              </w:rPr>
              <w:t>4100-4700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56" w:type="pct"/>
            <w:vAlign w:val="center"/>
          </w:tcPr>
          <w:p>
            <w:pPr>
              <w:spacing w:line="0" w:lineRule="atLeast"/>
              <w:ind w:firstLine="0" w:firstLineChars="0"/>
              <w:jc w:val="center"/>
              <w:rPr>
                <w:rFonts w:eastAsia="仿宋_GB2312"/>
                <w:sz w:val="21"/>
                <w:szCs w:val="21"/>
              </w:rPr>
            </w:pPr>
            <w:r>
              <w:rPr>
                <w:rFonts w:hint="eastAsia" w:eastAsia="仿宋_GB2312"/>
                <w:sz w:val="21"/>
                <w:szCs w:val="21"/>
              </w:rPr>
              <w:t>13</w:t>
            </w:r>
          </w:p>
        </w:tc>
        <w:tc>
          <w:tcPr>
            <w:tcW w:w="1733" w:type="pct"/>
            <w:vAlign w:val="center"/>
          </w:tcPr>
          <w:p>
            <w:pPr>
              <w:spacing w:line="0" w:lineRule="atLeast"/>
              <w:ind w:firstLine="0" w:firstLineChars="0"/>
              <w:jc w:val="center"/>
              <w:rPr>
                <w:rFonts w:eastAsia="仿宋_GB2312"/>
                <w:sz w:val="21"/>
                <w:szCs w:val="21"/>
              </w:rPr>
            </w:pPr>
            <w:r>
              <w:rPr>
                <w:rFonts w:eastAsia="仿宋_GB2312"/>
                <w:sz w:val="21"/>
                <w:szCs w:val="21"/>
              </w:rPr>
              <w:t>年平均日照对数</w:t>
            </w:r>
          </w:p>
        </w:tc>
        <w:tc>
          <w:tcPr>
            <w:tcW w:w="656" w:type="pct"/>
            <w:vAlign w:val="center"/>
          </w:tcPr>
          <w:p>
            <w:pPr>
              <w:spacing w:line="0" w:lineRule="atLeast"/>
              <w:ind w:firstLine="0" w:firstLineChars="0"/>
              <w:jc w:val="center"/>
              <w:rPr>
                <w:rFonts w:eastAsia="仿宋_GB2312"/>
                <w:sz w:val="21"/>
                <w:szCs w:val="21"/>
              </w:rPr>
            </w:pPr>
            <w:r>
              <w:rPr>
                <w:rFonts w:eastAsia="仿宋_GB2312"/>
                <w:sz w:val="21"/>
                <w:szCs w:val="21"/>
              </w:rPr>
              <w:t>h</w:t>
            </w:r>
          </w:p>
        </w:tc>
        <w:tc>
          <w:tcPr>
            <w:tcW w:w="1955" w:type="pct"/>
            <w:vAlign w:val="center"/>
          </w:tcPr>
          <w:p>
            <w:pPr>
              <w:spacing w:line="0" w:lineRule="atLeast"/>
              <w:ind w:firstLine="0" w:firstLineChars="0"/>
              <w:jc w:val="center"/>
              <w:rPr>
                <w:rFonts w:eastAsia="仿宋_GB2312"/>
                <w:sz w:val="21"/>
                <w:szCs w:val="21"/>
              </w:rPr>
            </w:pPr>
            <w:r>
              <w:rPr>
                <w:rFonts w:hint="eastAsia" w:eastAsia="仿宋_GB2312"/>
                <w:sz w:val="21"/>
                <w:szCs w:val="21"/>
              </w:rPr>
              <w:t>2610.6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56" w:type="pct"/>
            <w:vAlign w:val="center"/>
          </w:tcPr>
          <w:p>
            <w:pPr>
              <w:spacing w:line="0" w:lineRule="atLeast"/>
              <w:ind w:firstLine="0" w:firstLineChars="0"/>
              <w:jc w:val="center"/>
              <w:rPr>
                <w:rFonts w:eastAsia="仿宋_GB2312"/>
                <w:sz w:val="21"/>
                <w:szCs w:val="21"/>
              </w:rPr>
            </w:pPr>
            <w:r>
              <w:rPr>
                <w:rFonts w:eastAsia="仿宋_GB2312"/>
                <w:sz w:val="21"/>
                <w:szCs w:val="21"/>
              </w:rPr>
              <w:t>1</w:t>
            </w:r>
            <w:r>
              <w:rPr>
                <w:rFonts w:hint="eastAsia" w:eastAsia="仿宋_GB2312"/>
                <w:sz w:val="21"/>
                <w:szCs w:val="21"/>
              </w:rPr>
              <w:t>4</w:t>
            </w:r>
          </w:p>
        </w:tc>
        <w:tc>
          <w:tcPr>
            <w:tcW w:w="1733" w:type="pct"/>
            <w:vAlign w:val="center"/>
          </w:tcPr>
          <w:p>
            <w:pPr>
              <w:spacing w:line="0" w:lineRule="atLeast"/>
              <w:ind w:firstLine="0" w:firstLineChars="0"/>
              <w:jc w:val="center"/>
              <w:rPr>
                <w:rFonts w:eastAsia="仿宋_GB2312"/>
                <w:sz w:val="21"/>
                <w:szCs w:val="21"/>
              </w:rPr>
            </w:pPr>
            <w:r>
              <w:rPr>
                <w:rFonts w:eastAsia="仿宋_GB2312"/>
                <w:sz w:val="21"/>
                <w:szCs w:val="21"/>
              </w:rPr>
              <w:t>多年平均雷暴日数</w:t>
            </w:r>
          </w:p>
        </w:tc>
        <w:tc>
          <w:tcPr>
            <w:tcW w:w="656" w:type="pct"/>
            <w:vAlign w:val="center"/>
          </w:tcPr>
          <w:p>
            <w:pPr>
              <w:spacing w:line="0" w:lineRule="atLeast"/>
              <w:ind w:firstLine="0" w:firstLineChars="0"/>
              <w:jc w:val="center"/>
              <w:rPr>
                <w:rFonts w:eastAsia="仿宋_GB2312"/>
                <w:sz w:val="21"/>
                <w:szCs w:val="21"/>
              </w:rPr>
            </w:pPr>
            <w:r>
              <w:rPr>
                <w:rFonts w:hint="eastAsia" w:eastAsia="仿宋_GB2312"/>
                <w:sz w:val="21"/>
                <w:szCs w:val="21"/>
              </w:rPr>
              <w:t>d</w:t>
            </w:r>
          </w:p>
        </w:tc>
        <w:tc>
          <w:tcPr>
            <w:tcW w:w="1955" w:type="pct"/>
            <w:vAlign w:val="center"/>
          </w:tcPr>
          <w:p>
            <w:pPr>
              <w:spacing w:line="0" w:lineRule="atLeast"/>
              <w:ind w:firstLine="0" w:firstLineChars="0"/>
              <w:jc w:val="center"/>
              <w:rPr>
                <w:rFonts w:eastAsia="仿宋_GB2312"/>
                <w:sz w:val="21"/>
                <w:szCs w:val="21"/>
              </w:rPr>
            </w:pPr>
            <w:r>
              <w:rPr>
                <w:rFonts w:hint="eastAsia" w:eastAsia="仿宋_GB2312"/>
                <w:sz w:val="21"/>
                <w:szCs w:val="21"/>
              </w:rPr>
              <w:t>3.2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56" w:type="pct"/>
            <w:vAlign w:val="center"/>
          </w:tcPr>
          <w:p>
            <w:pPr>
              <w:spacing w:line="0" w:lineRule="atLeast"/>
              <w:ind w:firstLine="0" w:firstLineChars="0"/>
              <w:jc w:val="center"/>
              <w:rPr>
                <w:rFonts w:eastAsia="仿宋_GB2312"/>
                <w:sz w:val="21"/>
                <w:szCs w:val="21"/>
              </w:rPr>
            </w:pPr>
            <w:r>
              <w:rPr>
                <w:rFonts w:hint="eastAsia" w:eastAsia="仿宋_GB2312"/>
                <w:sz w:val="21"/>
                <w:szCs w:val="21"/>
              </w:rPr>
              <w:t>15</w:t>
            </w:r>
          </w:p>
        </w:tc>
        <w:tc>
          <w:tcPr>
            <w:tcW w:w="1733" w:type="pct"/>
            <w:vAlign w:val="center"/>
          </w:tcPr>
          <w:p>
            <w:pPr>
              <w:spacing w:line="0" w:lineRule="atLeast"/>
              <w:ind w:firstLine="0" w:firstLineChars="0"/>
              <w:jc w:val="center"/>
              <w:rPr>
                <w:rFonts w:eastAsia="仿宋_GB2312"/>
                <w:sz w:val="21"/>
                <w:szCs w:val="21"/>
              </w:rPr>
            </w:pPr>
            <w:r>
              <w:rPr>
                <w:rFonts w:eastAsia="仿宋_GB2312"/>
                <w:sz w:val="21"/>
                <w:szCs w:val="21"/>
              </w:rPr>
              <w:t>无霜期</w:t>
            </w:r>
          </w:p>
        </w:tc>
        <w:tc>
          <w:tcPr>
            <w:tcW w:w="656" w:type="pct"/>
            <w:vAlign w:val="center"/>
          </w:tcPr>
          <w:p>
            <w:pPr>
              <w:spacing w:line="0" w:lineRule="atLeast"/>
              <w:ind w:firstLine="0" w:firstLineChars="0"/>
              <w:jc w:val="center"/>
              <w:rPr>
                <w:rFonts w:eastAsia="仿宋_GB2312"/>
                <w:sz w:val="21"/>
                <w:szCs w:val="21"/>
              </w:rPr>
            </w:pPr>
            <w:r>
              <w:rPr>
                <w:rFonts w:eastAsia="仿宋_GB2312"/>
                <w:sz w:val="21"/>
                <w:szCs w:val="21"/>
              </w:rPr>
              <w:t>d</w:t>
            </w:r>
          </w:p>
        </w:tc>
        <w:tc>
          <w:tcPr>
            <w:tcW w:w="1955" w:type="pct"/>
            <w:vAlign w:val="center"/>
          </w:tcPr>
          <w:p>
            <w:pPr>
              <w:spacing w:line="0" w:lineRule="atLeast"/>
              <w:ind w:firstLine="0" w:firstLineChars="0"/>
              <w:jc w:val="center"/>
              <w:rPr>
                <w:rFonts w:eastAsia="仿宋_GB2312"/>
                <w:sz w:val="21"/>
                <w:szCs w:val="21"/>
              </w:rPr>
            </w:pPr>
            <w:r>
              <w:rPr>
                <w:rFonts w:hint="eastAsia" w:eastAsia="仿宋_GB2312"/>
                <w:sz w:val="21"/>
                <w:szCs w:val="21"/>
              </w:rPr>
              <w:t>244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56" w:type="pct"/>
            <w:vAlign w:val="center"/>
          </w:tcPr>
          <w:p>
            <w:pPr>
              <w:spacing w:line="0" w:lineRule="atLeast"/>
              <w:ind w:firstLine="0" w:firstLineChars="0"/>
              <w:jc w:val="center"/>
              <w:rPr>
                <w:rFonts w:eastAsia="仿宋_GB2312"/>
                <w:sz w:val="21"/>
                <w:szCs w:val="21"/>
              </w:rPr>
            </w:pPr>
            <w:r>
              <w:rPr>
                <w:rFonts w:hint="eastAsia" w:eastAsia="仿宋_GB2312"/>
                <w:sz w:val="21"/>
                <w:szCs w:val="21"/>
              </w:rPr>
              <w:t>16</w:t>
            </w:r>
          </w:p>
        </w:tc>
        <w:tc>
          <w:tcPr>
            <w:tcW w:w="1733" w:type="pct"/>
            <w:vAlign w:val="center"/>
          </w:tcPr>
          <w:p>
            <w:pPr>
              <w:spacing w:line="0" w:lineRule="atLeast"/>
              <w:ind w:firstLine="0" w:firstLineChars="0"/>
              <w:jc w:val="center"/>
              <w:rPr>
                <w:rFonts w:eastAsia="仿宋_GB2312"/>
                <w:sz w:val="21"/>
                <w:szCs w:val="21"/>
              </w:rPr>
            </w:pPr>
            <w:r>
              <w:rPr>
                <w:rFonts w:hint="eastAsia" w:eastAsia="仿宋_GB2312"/>
                <w:sz w:val="21"/>
                <w:szCs w:val="21"/>
              </w:rPr>
              <w:t>最大冻土深度</w:t>
            </w:r>
          </w:p>
        </w:tc>
        <w:tc>
          <w:tcPr>
            <w:tcW w:w="656" w:type="pct"/>
            <w:vAlign w:val="center"/>
          </w:tcPr>
          <w:p>
            <w:pPr>
              <w:spacing w:line="0" w:lineRule="atLeast"/>
              <w:ind w:firstLine="0" w:firstLineChars="0"/>
              <w:jc w:val="center"/>
              <w:rPr>
                <w:rFonts w:eastAsia="仿宋_GB2312"/>
                <w:sz w:val="21"/>
                <w:szCs w:val="21"/>
              </w:rPr>
            </w:pPr>
            <w:r>
              <w:rPr>
                <w:rFonts w:hint="eastAsia" w:eastAsia="仿宋_GB2312"/>
                <w:sz w:val="21"/>
                <w:szCs w:val="21"/>
              </w:rPr>
              <w:t>cm</w:t>
            </w:r>
          </w:p>
        </w:tc>
        <w:tc>
          <w:tcPr>
            <w:tcW w:w="1955" w:type="pct"/>
            <w:vAlign w:val="center"/>
          </w:tcPr>
          <w:p>
            <w:pPr>
              <w:spacing w:line="0" w:lineRule="atLeast"/>
              <w:ind w:firstLine="0" w:firstLineChars="0"/>
              <w:jc w:val="center"/>
              <w:rPr>
                <w:rFonts w:eastAsia="仿宋_GB2312"/>
                <w:sz w:val="21"/>
                <w:szCs w:val="21"/>
              </w:rPr>
            </w:pPr>
            <w:r>
              <w:rPr>
                <w:rFonts w:hint="eastAsia" w:eastAsia="仿宋_GB2312"/>
                <w:sz w:val="21"/>
                <w:szCs w:val="21"/>
              </w:rPr>
              <w:t>67</w:t>
            </w:r>
          </w:p>
        </w:tc>
      </w:tr>
    </w:tbl>
    <w:p>
      <w:pPr>
        <w:pStyle w:val="4"/>
        <w:keepLines/>
        <w:widowControl/>
        <w:numPr>
          <w:ilvl w:val="2"/>
          <w:numId w:val="1"/>
        </w:numPr>
        <w:tabs>
          <w:tab w:val="clear" w:pos="432"/>
          <w:tab w:val="clear" w:pos="960"/>
        </w:tabs>
        <w:kinsoku/>
        <w:overflowPunct/>
        <w:topLinePunct w:val="0"/>
        <w:autoSpaceDE/>
        <w:autoSpaceDN/>
        <w:adjustRightInd/>
        <w:snapToGrid/>
        <w:spacing w:beforeLines="100"/>
        <w:ind w:left="0" w:firstLine="0"/>
        <w:jc w:val="both"/>
        <w:rPr>
          <w:rFonts w:eastAsia="仿宋_GB2312"/>
        </w:rPr>
      </w:pPr>
      <w:r>
        <w:rPr>
          <w:rFonts w:eastAsia="仿宋_GB2312"/>
        </w:rPr>
        <w:t>水文</w:t>
      </w:r>
    </w:p>
    <w:p>
      <w:pPr>
        <w:ind w:firstLine="480"/>
        <w:rPr>
          <w:rFonts w:eastAsia="仿宋_GB2312"/>
        </w:rPr>
      </w:pPr>
      <w:r>
        <w:rPr>
          <w:rFonts w:eastAsia="仿宋_GB2312"/>
        </w:rPr>
        <w:t>224团属于和田河流域，该流域位于塔里木盆地南缘，东邻克里雅河流域、南以昆仑山和喀喇昆仑山为界与西藏和克什米尔相邻、西与叶尔羌河流域接壤、北接塔克拉玛干沙漠，流域总面积4.887万km</w:t>
      </w:r>
      <w:r>
        <w:rPr>
          <w:rFonts w:eastAsia="仿宋_GB2312"/>
          <w:vertAlign w:val="superscript"/>
        </w:rPr>
        <w:t>2</w:t>
      </w:r>
      <w:r>
        <w:rPr>
          <w:rFonts w:eastAsia="仿宋_GB2312"/>
        </w:rPr>
        <w:t>。流域包括的行政区为和田地区的和田县、墨玉县、洛甫县、和田市及兵团第十四师全部，皮山县和策勒县各一小部分，阿克苏地区阿瓦提县一部分。</w:t>
      </w:r>
    </w:p>
    <w:p>
      <w:pPr>
        <w:ind w:firstLine="480"/>
        <w:rPr>
          <w:rFonts w:eastAsia="仿宋_GB2312"/>
        </w:rPr>
      </w:pPr>
      <w:r>
        <w:rPr>
          <w:rFonts w:eastAsia="仿宋_GB2312"/>
        </w:rPr>
        <w:t>和田河有玉龙喀什河(简称玉河)和喀拉喀什河(简称喀河，224团和墨玉县即从该河引水)两大支流。喀河发源于昆仑山和喀喇昆仑山，全长808km，多年平均径流量21.48亿m</w:t>
      </w:r>
      <w:r>
        <w:rPr>
          <w:rFonts w:eastAsia="仿宋_GB2312"/>
          <w:vertAlign w:val="superscript"/>
        </w:rPr>
        <w:t>3</w:t>
      </w:r>
      <w:r>
        <w:rPr>
          <w:rFonts w:eastAsia="仿宋_GB2312"/>
        </w:rPr>
        <w:t>。玉河和喀河在阔什拉什汇合后称和田河，穿越塔克拉玛干沙漠后注入塔里木河，是塔里木河的主要源流之一，和田河干流段长319km。</w:t>
      </w:r>
    </w:p>
    <w:p>
      <w:pPr>
        <w:ind w:firstLine="480"/>
        <w:rPr>
          <w:rFonts w:eastAsia="仿宋_GB2312"/>
        </w:rPr>
      </w:pPr>
      <w:r>
        <w:rPr>
          <w:rFonts w:eastAsia="仿宋_GB2312"/>
        </w:rPr>
        <w:t>另外，距224团以西35km的杜瓦河为一独立水系，是皮亚勒玛乡的主要灌溉水源，该河尾端从224团6次干道至7次干道之间进入224团灌区，夏季洪水对灌区有一定影响。2006年224团采取工程措施将杜瓦河尾端进行了改造，其尾端沿224团西边界进入塔克拉玛干沙漠，224团不再受杜瓦河洪水威胁。</w:t>
      </w:r>
    </w:p>
    <w:p>
      <w:pPr>
        <w:ind w:firstLine="480"/>
        <w:rPr>
          <w:rFonts w:eastAsia="仿宋_GB2312"/>
        </w:rPr>
      </w:pPr>
      <w:r>
        <w:rPr>
          <w:rFonts w:eastAsia="仿宋_GB2312"/>
        </w:rPr>
        <w:t>管道沿线大的区域地下水补给来源主要受杜瓦河洪水期补给，地下水主要由灌溉溶滤水补给为主。地下水类型为孔隙潜水，含水层多为粉砂层，管线沿线地形平缓，水力坡度小</w:t>
      </w:r>
      <w:r>
        <w:rPr>
          <w:rFonts w:hint="eastAsia" w:eastAsia="仿宋_GB2312"/>
        </w:rPr>
        <w:t>，</w:t>
      </w:r>
      <w:r>
        <w:rPr>
          <w:rFonts w:eastAsia="仿宋_GB2312"/>
        </w:rPr>
        <w:t>因此地下水迳流缓慢，水循环强度弱，地下水埋深一般在1.5～7.5m，地下水矿化度普遍较高， PH值为7.5～8.0之间，为弱碱性微咸水和咸水；在靠近农田附近地下水由于受到农田灌溉水渗漏补给的影响，地下水矿化度一般在小于3g/l之间，地下水位年变幅约0.8m。本工程</w:t>
      </w:r>
      <w:r>
        <w:rPr>
          <w:rFonts w:hint="eastAsia" w:eastAsia="仿宋_GB2312"/>
        </w:rPr>
        <w:t>占地均为建设用地，大部分施工区域位于道路下，因此本项目不采取表土剥离措施。</w:t>
      </w:r>
    </w:p>
    <w:p>
      <w:pPr>
        <w:pStyle w:val="4"/>
        <w:keepLines/>
        <w:widowControl/>
        <w:numPr>
          <w:ilvl w:val="2"/>
          <w:numId w:val="1"/>
        </w:numPr>
        <w:tabs>
          <w:tab w:val="clear" w:pos="432"/>
          <w:tab w:val="clear" w:pos="960"/>
        </w:tabs>
        <w:kinsoku/>
        <w:overflowPunct/>
        <w:topLinePunct w:val="0"/>
        <w:autoSpaceDE/>
        <w:autoSpaceDN/>
        <w:adjustRightInd/>
        <w:snapToGrid/>
        <w:ind w:left="0" w:firstLine="0"/>
        <w:jc w:val="both"/>
        <w:rPr>
          <w:rFonts w:eastAsia="仿宋_GB2312"/>
        </w:rPr>
      </w:pPr>
      <w:r>
        <w:rPr>
          <w:rFonts w:eastAsia="仿宋_GB2312"/>
        </w:rPr>
        <w:t>土壤</w:t>
      </w:r>
    </w:p>
    <w:p>
      <w:pPr>
        <w:ind w:firstLine="480"/>
        <w:rPr>
          <w:rFonts w:eastAsia="仿宋_GB2312"/>
        </w:rPr>
      </w:pPr>
      <w:r>
        <w:rPr>
          <w:rFonts w:eastAsia="仿宋_GB2312"/>
        </w:rPr>
        <w:t>本工程及周边土壤类型主要为棕漠土。棕漠土是在极端干旱气候条件下发育形成的土壤，成土母质主要为洪积-冲积细土母质。砂砾至洪积物、石质残积物和坡积-残积物。表层还有较多的粗砂粒形成地表砾幕，表层结皮发育较弱，下部是红棕色的紧实层，该层细土粒增加，垒结紧实，呈块状或棱块状结构；再往下部是石膏和易溶盐聚集层，石膏呈蜂窝状或纤维状，剖面中下部有盐渍化。本工程</w:t>
      </w:r>
      <w:r>
        <w:rPr>
          <w:rFonts w:hint="eastAsia" w:eastAsia="仿宋_GB2312"/>
        </w:rPr>
        <w:t>占地均为建设用地，大部分施工区域位于小区道路下，因此本项目不采取表土剥离措施。</w:t>
      </w:r>
    </w:p>
    <w:p>
      <w:pPr>
        <w:pStyle w:val="4"/>
        <w:keepLines/>
        <w:widowControl/>
        <w:numPr>
          <w:ilvl w:val="2"/>
          <w:numId w:val="1"/>
        </w:numPr>
        <w:tabs>
          <w:tab w:val="clear" w:pos="432"/>
          <w:tab w:val="clear" w:pos="960"/>
        </w:tabs>
        <w:kinsoku/>
        <w:overflowPunct/>
        <w:topLinePunct w:val="0"/>
        <w:autoSpaceDE/>
        <w:autoSpaceDN/>
        <w:adjustRightInd/>
        <w:snapToGrid/>
        <w:ind w:left="0" w:firstLine="0"/>
        <w:jc w:val="both"/>
        <w:rPr>
          <w:rFonts w:eastAsia="仿宋_GB2312"/>
        </w:rPr>
      </w:pPr>
      <w:r>
        <w:rPr>
          <w:rFonts w:eastAsia="仿宋_GB2312"/>
        </w:rPr>
        <w:t>植被</w:t>
      </w:r>
    </w:p>
    <w:p>
      <w:pPr>
        <w:ind w:firstLine="480"/>
        <w:rPr>
          <w:rFonts w:eastAsia="仿宋_GB2312"/>
        </w:rPr>
      </w:pPr>
      <w:r>
        <w:rPr>
          <w:rFonts w:eastAsia="仿宋_GB2312"/>
        </w:rPr>
        <w:t>项目区位于平原区，植被类型为</w:t>
      </w:r>
      <w:r>
        <w:rPr>
          <w:rFonts w:hint="eastAsia" w:eastAsia="仿宋_GB2312"/>
        </w:rPr>
        <w:t>人工植被</w:t>
      </w:r>
      <w:r>
        <w:rPr>
          <w:rFonts w:eastAsia="仿宋_GB2312"/>
        </w:rPr>
        <w:t>，</w:t>
      </w:r>
      <w:r>
        <w:rPr>
          <w:rFonts w:hint="eastAsia" w:eastAsia="仿宋_GB2312"/>
        </w:rPr>
        <w:t>植被分布有榆树、榆叶梅、黑麦草等</w:t>
      </w:r>
      <w:r>
        <w:rPr>
          <w:rFonts w:eastAsia="仿宋_GB2312"/>
        </w:rPr>
        <w:t>，植被覆盖度</w:t>
      </w:r>
      <w:r>
        <w:rPr>
          <w:rFonts w:hint="eastAsia" w:eastAsia="仿宋_GB2312"/>
        </w:rPr>
        <w:t>约10</w:t>
      </w:r>
      <w:r>
        <w:rPr>
          <w:rFonts w:eastAsia="仿宋_GB2312"/>
        </w:rPr>
        <w:t>%。</w:t>
      </w:r>
    </w:p>
    <w:p>
      <w:pPr>
        <w:spacing w:beforeLines="50" w:line="240" w:lineRule="auto"/>
        <w:ind w:left="118" w:leftChars="49" w:firstLine="0" w:firstLineChars="0"/>
        <w:rPr>
          <w:rFonts w:eastAsia="仿宋_GB2312"/>
        </w:rPr>
      </w:pPr>
      <w:r>
        <w:drawing>
          <wp:inline distT="0" distB="0" distL="0" distR="0">
            <wp:extent cx="2514600" cy="2073910"/>
            <wp:effectExtent l="0" t="0" r="0" b="254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36" cstate="print"/>
                    <a:stretch>
                      <a:fillRect/>
                    </a:stretch>
                  </pic:blipFill>
                  <pic:spPr>
                    <a:xfrm>
                      <a:off x="0" y="0"/>
                      <a:ext cx="2516400" cy="2075622"/>
                    </a:xfrm>
                    <a:prstGeom prst="rect">
                      <a:avLst/>
                    </a:prstGeom>
                  </pic:spPr>
                </pic:pic>
              </a:graphicData>
            </a:graphic>
          </wp:inline>
        </w:drawing>
      </w:r>
      <w:r>
        <w:drawing>
          <wp:inline distT="0" distB="0" distL="0" distR="0">
            <wp:extent cx="2511425" cy="2066925"/>
            <wp:effectExtent l="0" t="0" r="317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37" cstate="print"/>
                    <a:stretch>
                      <a:fillRect/>
                    </a:stretch>
                  </pic:blipFill>
                  <pic:spPr>
                    <a:xfrm>
                      <a:off x="0" y="0"/>
                      <a:ext cx="2516400" cy="2070765"/>
                    </a:xfrm>
                    <a:prstGeom prst="rect">
                      <a:avLst/>
                    </a:prstGeom>
                  </pic:spPr>
                </pic:pic>
              </a:graphicData>
            </a:graphic>
          </wp:inline>
        </w:drawing>
      </w:r>
    </w:p>
    <w:p>
      <w:pPr>
        <w:spacing w:beforeLines="50" w:line="240" w:lineRule="auto"/>
        <w:ind w:left="118" w:leftChars="49" w:firstLine="0" w:firstLineChars="0"/>
        <w:jc w:val="center"/>
        <w:rPr>
          <w:rFonts w:eastAsia="仿宋_GB2312"/>
          <w:b/>
        </w:rPr>
      </w:pPr>
      <w:r>
        <w:rPr>
          <w:rFonts w:eastAsia="仿宋_GB2312"/>
          <w:b/>
        </w:rPr>
        <w:t>图2.7-</w:t>
      </w:r>
      <w:r>
        <w:rPr>
          <w:rFonts w:hint="eastAsia" w:eastAsia="仿宋_GB2312"/>
          <w:b/>
        </w:rPr>
        <w:t>2</w:t>
      </w:r>
      <w:r>
        <w:rPr>
          <w:rFonts w:eastAsia="仿宋_GB2312"/>
          <w:b/>
        </w:rPr>
        <w:t>项目区</w:t>
      </w:r>
      <w:r>
        <w:rPr>
          <w:rFonts w:hint="eastAsia" w:eastAsia="仿宋_GB2312"/>
          <w:b/>
        </w:rPr>
        <w:t>土壤植被</w:t>
      </w:r>
    </w:p>
    <w:p>
      <w:pPr>
        <w:pStyle w:val="4"/>
        <w:keepLines/>
        <w:widowControl/>
        <w:numPr>
          <w:ilvl w:val="2"/>
          <w:numId w:val="1"/>
        </w:numPr>
        <w:tabs>
          <w:tab w:val="clear" w:pos="432"/>
          <w:tab w:val="clear" w:pos="960"/>
        </w:tabs>
        <w:kinsoku/>
        <w:overflowPunct/>
        <w:topLinePunct w:val="0"/>
        <w:autoSpaceDE/>
        <w:autoSpaceDN/>
        <w:adjustRightInd/>
        <w:snapToGrid/>
        <w:ind w:left="0" w:firstLine="0"/>
        <w:jc w:val="both"/>
        <w:rPr>
          <w:rFonts w:eastAsia="仿宋_GB2312"/>
        </w:rPr>
      </w:pPr>
      <w:r>
        <w:rPr>
          <w:rFonts w:eastAsia="仿宋_GB2312"/>
        </w:rPr>
        <w:t>其他</w:t>
      </w:r>
    </w:p>
    <w:p>
      <w:pPr>
        <w:ind w:firstLine="480"/>
        <w:rPr>
          <w:rFonts w:eastAsia="仿宋_GB2312"/>
        </w:rPr>
      </w:pPr>
      <w:bookmarkStart w:id="177" w:name="_Toc249515079"/>
      <w:bookmarkStart w:id="178" w:name="_Toc272768020"/>
      <w:bookmarkStart w:id="179" w:name="_Toc259890497"/>
      <w:r>
        <w:rPr>
          <w:rFonts w:eastAsia="仿宋_GB2312"/>
        </w:rPr>
        <w:t>本项目建设区不涉及饮用水水源保护区、水功能一级保护区，工程建设区内无自然保护区、风景旅游点和国家及地方文物古迹保护单位。</w:t>
      </w:r>
    </w:p>
    <w:p>
      <w:pPr>
        <w:ind w:firstLine="480"/>
        <w:rPr>
          <w:rFonts w:eastAsia="仿宋_GB2312"/>
        </w:rPr>
      </w:pPr>
      <w:r>
        <w:rPr>
          <w:rFonts w:eastAsia="仿宋_GB2312"/>
        </w:rPr>
        <w:t>项目区范围内无自然保护区、国家森林公园、国家地质公园、地质遗迹、重要湿地及生态敏感区等限制项目建设的因素</w:t>
      </w:r>
      <w:r>
        <w:rPr>
          <w:rFonts w:hint="eastAsia" w:eastAsia="仿宋_GB2312"/>
        </w:rPr>
        <w:t>。</w:t>
      </w:r>
    </w:p>
    <w:p>
      <w:pPr>
        <w:ind w:firstLine="480"/>
      </w:pPr>
    </w:p>
    <w:p>
      <w:pPr>
        <w:pStyle w:val="140"/>
        <w:numPr>
          <w:ilvl w:val="0"/>
          <w:numId w:val="0"/>
        </w:numPr>
        <w:sectPr>
          <w:headerReference r:id="rId13" w:type="default"/>
          <w:pgSz w:w="11906" w:h="16838"/>
          <w:pgMar w:top="1440" w:right="1803" w:bottom="1440" w:left="1803" w:header="851" w:footer="850" w:gutter="0"/>
          <w:cols w:space="720" w:num="1"/>
          <w:docGrid w:linePitch="326" w:charSpace="0"/>
        </w:sectPr>
      </w:pPr>
    </w:p>
    <w:bookmarkEnd w:id="177"/>
    <w:bookmarkEnd w:id="178"/>
    <w:bookmarkEnd w:id="179"/>
    <w:p>
      <w:pPr>
        <w:pStyle w:val="50"/>
        <w:widowControl/>
        <w:numPr>
          <w:ilvl w:val="0"/>
          <w:numId w:val="1"/>
        </w:numPr>
        <w:tabs>
          <w:tab w:val="clear" w:pos="432"/>
        </w:tabs>
        <w:spacing w:beforeLines="100" w:afterLines="100"/>
        <w:rPr>
          <w:rFonts w:eastAsia="仿宋_GB2312"/>
          <w:sz w:val="32"/>
          <w:szCs w:val="32"/>
        </w:rPr>
      </w:pPr>
      <w:bookmarkStart w:id="180" w:name="_Toc7801462"/>
      <w:bookmarkStart w:id="181" w:name="_Toc7801555"/>
      <w:bookmarkStart w:id="182" w:name="_Toc47381534"/>
      <w:bookmarkStart w:id="183" w:name="_Toc7801395"/>
      <w:r>
        <w:rPr>
          <w:rFonts w:eastAsia="仿宋_GB2312"/>
          <w:sz w:val="32"/>
          <w:szCs w:val="32"/>
        </w:rPr>
        <w:t>项目水土保持评价</w:t>
      </w:r>
      <w:bookmarkEnd w:id="180"/>
      <w:bookmarkEnd w:id="181"/>
      <w:bookmarkEnd w:id="182"/>
      <w:bookmarkEnd w:id="183"/>
    </w:p>
    <w:p>
      <w:pPr>
        <w:pStyle w:val="3"/>
        <w:widowControl/>
        <w:numPr>
          <w:ilvl w:val="1"/>
          <w:numId w:val="1"/>
        </w:numPr>
        <w:tabs>
          <w:tab w:val="clear" w:pos="1002"/>
        </w:tabs>
        <w:topLinePunct w:val="0"/>
        <w:adjustRightInd/>
        <w:snapToGrid/>
        <w:ind w:left="0" w:firstLine="0"/>
        <w:jc w:val="both"/>
        <w:rPr>
          <w:rFonts w:eastAsia="仿宋_GB2312"/>
        </w:rPr>
      </w:pPr>
      <w:bookmarkStart w:id="184" w:name="_Toc7801556"/>
      <w:bookmarkStart w:id="185" w:name="_Toc394051143"/>
      <w:bookmarkStart w:id="186" w:name="_Toc7801463"/>
      <w:bookmarkStart w:id="187" w:name="_Toc7801396"/>
      <w:bookmarkStart w:id="188" w:name="_Toc47381535"/>
      <w:r>
        <w:rPr>
          <w:rFonts w:eastAsia="仿宋_GB2312"/>
        </w:rPr>
        <w:t>主体工程选址（线）水土保持评价</w:t>
      </w:r>
      <w:bookmarkEnd w:id="184"/>
      <w:bookmarkEnd w:id="185"/>
      <w:bookmarkEnd w:id="186"/>
      <w:bookmarkEnd w:id="187"/>
      <w:bookmarkEnd w:id="188"/>
    </w:p>
    <w:p>
      <w:pPr>
        <w:pStyle w:val="15"/>
        <w:ind w:firstLine="480"/>
        <w:rPr>
          <w:rFonts w:eastAsia="仿宋_GB2312"/>
        </w:rPr>
      </w:pPr>
      <w:r>
        <w:rPr>
          <w:rFonts w:eastAsia="仿宋_GB2312"/>
          <w:color w:val="FF0000"/>
        </w:rPr>
        <w:t>本项目属于改造项目</w:t>
      </w:r>
      <w:r>
        <w:rPr>
          <w:rFonts w:hint="eastAsia" w:eastAsia="仿宋_GB2312"/>
          <w:color w:val="FF0000"/>
        </w:rPr>
        <w:t>，工程管道线路沿原管道布置，线路唯一，不存在比选。</w:t>
      </w:r>
      <w:r>
        <w:rPr>
          <w:rFonts w:eastAsia="仿宋_GB2312"/>
        </w:rPr>
        <w:t>根据《中华人民共和国水土保持法》、《生产建设项目水土保持技术标准》（GB50433-2018）和《关于严格开发建设项目水土保持方案审查审批工作的通知》（水保[2007]184号）的相关规定，本方案从国家及地方规划、水土保持法、水保184号文件、水保技术规范要求等方面对主体工程进行水土保持制约性因素分析与评价。</w:t>
      </w:r>
      <w:r>
        <w:rPr>
          <w:rFonts w:hint="eastAsia" w:eastAsia="仿宋_GB2312"/>
        </w:rPr>
        <w:t>详</w:t>
      </w:r>
      <w:r>
        <w:rPr>
          <w:rFonts w:eastAsia="仿宋_GB2312"/>
        </w:rPr>
        <w:t>见表3.1-1，3.1-2，3.1-3。</w:t>
      </w:r>
    </w:p>
    <w:p>
      <w:pPr>
        <w:pStyle w:val="176"/>
        <w:spacing w:line="240" w:lineRule="auto"/>
        <w:ind w:firstLine="482"/>
        <w:jc w:val="center"/>
        <w:rPr>
          <w:b/>
          <w:bCs/>
          <w:color w:val="auto"/>
        </w:rPr>
      </w:pPr>
      <w:r>
        <w:rPr>
          <w:b/>
          <w:bCs/>
          <w:color w:val="auto"/>
        </w:rPr>
        <w:t>表3.1-1    《中华人民共和国水土保持法》相符性分析表</w:t>
      </w:r>
    </w:p>
    <w:tbl>
      <w:tblPr>
        <w:tblStyle w:val="40"/>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422"/>
        <w:gridCol w:w="4972"/>
        <w:gridCol w:w="2369"/>
        <w:gridCol w:w="75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48" w:type="pct"/>
            <w:vAlign w:val="center"/>
          </w:tcPr>
          <w:p>
            <w:pPr>
              <w:pStyle w:val="193"/>
            </w:pPr>
            <w:r>
              <w:t>序号</w:t>
            </w:r>
          </w:p>
        </w:tc>
        <w:tc>
          <w:tcPr>
            <w:tcW w:w="2919" w:type="pct"/>
            <w:vAlign w:val="center"/>
          </w:tcPr>
          <w:p>
            <w:pPr>
              <w:pStyle w:val="193"/>
            </w:pPr>
            <w:r>
              <w:t>《中华人民共和国水土保持法》相符性分析表</w:t>
            </w:r>
          </w:p>
        </w:tc>
        <w:tc>
          <w:tcPr>
            <w:tcW w:w="1391" w:type="pct"/>
            <w:vAlign w:val="center"/>
          </w:tcPr>
          <w:p>
            <w:pPr>
              <w:pStyle w:val="193"/>
            </w:pPr>
            <w:r>
              <w:t>本项目的情况</w:t>
            </w:r>
          </w:p>
        </w:tc>
        <w:tc>
          <w:tcPr>
            <w:tcW w:w="442" w:type="pct"/>
            <w:vAlign w:val="center"/>
          </w:tcPr>
          <w:p>
            <w:pPr>
              <w:pStyle w:val="193"/>
            </w:pPr>
            <w:r>
              <w:t>相符性分析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48" w:type="pct"/>
            <w:vAlign w:val="center"/>
          </w:tcPr>
          <w:p>
            <w:pPr>
              <w:pStyle w:val="193"/>
            </w:pPr>
            <w:r>
              <w:t>1</w:t>
            </w:r>
          </w:p>
        </w:tc>
        <w:tc>
          <w:tcPr>
            <w:tcW w:w="2919" w:type="pct"/>
            <w:vAlign w:val="center"/>
          </w:tcPr>
          <w:p>
            <w:pPr>
              <w:pStyle w:val="193"/>
              <w:jc w:val="left"/>
            </w:pPr>
            <w:r>
              <w:t>第十七条禁止在崩塌、滑坡危险区和泥石流易发区从事取土、挖砂、采石等可能造成水土流失的活动。崩塌、滑坡危险区和泥石流易发区的范围，由县级以上地方人民政府划定并公告。崩塌、滑坡危险区和泥石流易发区的划定，应当与地质灾害防治规划确定的地质灾害易发区、重点防治区相衔接。</w:t>
            </w:r>
          </w:p>
        </w:tc>
        <w:tc>
          <w:tcPr>
            <w:tcW w:w="1391" w:type="pct"/>
            <w:vAlign w:val="center"/>
          </w:tcPr>
          <w:p>
            <w:pPr>
              <w:pStyle w:val="193"/>
              <w:jc w:val="left"/>
            </w:pPr>
            <w:r>
              <w:t>项目区不位于当地政府划定的在崩塌、滑坡危险区和泥石流易发区，同时本项目</w:t>
            </w:r>
            <w:r>
              <w:rPr>
                <w:rFonts w:hint="eastAsia"/>
              </w:rPr>
              <w:t>也</w:t>
            </w:r>
            <w:r>
              <w:t>未在当地政府划定的在崩塌、滑坡危险区和泥石流易发区等区域取土、挖沙</w:t>
            </w:r>
            <w:r>
              <w:rPr>
                <w:rFonts w:hint="eastAsia"/>
              </w:rPr>
              <w:t>。</w:t>
            </w:r>
          </w:p>
        </w:tc>
        <w:tc>
          <w:tcPr>
            <w:tcW w:w="442" w:type="pct"/>
            <w:vAlign w:val="center"/>
          </w:tcPr>
          <w:p>
            <w:pPr>
              <w:pStyle w:val="193"/>
            </w:pPr>
            <w:r>
              <w:t>符合本条规定要求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48" w:type="pct"/>
            <w:vAlign w:val="center"/>
          </w:tcPr>
          <w:p>
            <w:pPr>
              <w:pStyle w:val="193"/>
            </w:pPr>
            <w:r>
              <w:t>2</w:t>
            </w:r>
          </w:p>
        </w:tc>
        <w:tc>
          <w:tcPr>
            <w:tcW w:w="2919" w:type="pct"/>
            <w:vAlign w:val="center"/>
          </w:tcPr>
          <w:p>
            <w:pPr>
              <w:pStyle w:val="193"/>
              <w:jc w:val="left"/>
            </w:pPr>
            <w:r>
              <w:t>第十八条水土流失严重、生态脆弱的地区，应当限制或者禁止可能造成水土流失的生产建设活动，严格保护植物、沙壳、结皮、地衣等。</w:t>
            </w:r>
          </w:p>
        </w:tc>
        <w:tc>
          <w:tcPr>
            <w:tcW w:w="1391" w:type="pct"/>
            <w:vAlign w:val="center"/>
          </w:tcPr>
          <w:p>
            <w:pPr>
              <w:pStyle w:val="193"/>
              <w:jc w:val="left"/>
            </w:pPr>
            <w:r>
              <w:t>项目区不属于水土流失严重、生态脆弱地区。</w:t>
            </w:r>
          </w:p>
        </w:tc>
        <w:tc>
          <w:tcPr>
            <w:tcW w:w="442" w:type="pct"/>
            <w:vAlign w:val="center"/>
          </w:tcPr>
          <w:p>
            <w:pPr>
              <w:pStyle w:val="193"/>
            </w:pPr>
            <w:r>
              <w:t>符合本条规定要求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48" w:type="pct"/>
            <w:vAlign w:val="center"/>
          </w:tcPr>
          <w:p>
            <w:pPr>
              <w:pStyle w:val="193"/>
            </w:pPr>
            <w:r>
              <w:rPr>
                <w:rFonts w:hint="eastAsia"/>
              </w:rPr>
              <w:t>3</w:t>
            </w:r>
          </w:p>
        </w:tc>
        <w:tc>
          <w:tcPr>
            <w:tcW w:w="2919" w:type="pct"/>
            <w:vAlign w:val="center"/>
          </w:tcPr>
          <w:p>
            <w:pPr>
              <w:pStyle w:val="193"/>
              <w:jc w:val="left"/>
            </w:pPr>
            <w:r>
              <w:rPr>
                <w:rFonts w:hint="eastAsia"/>
              </w:rPr>
              <w:t>第二十条禁止在二十五度以上陡坡地开垦种植农作物。在二十五度以上陡坡地种植经济林的，应当科学选择树种，合理确定规模，采取水土保持措施，防治造成水土流失。</w:t>
            </w:r>
          </w:p>
        </w:tc>
        <w:tc>
          <w:tcPr>
            <w:tcW w:w="1391" w:type="pct"/>
            <w:vAlign w:val="center"/>
          </w:tcPr>
          <w:p>
            <w:pPr>
              <w:pStyle w:val="193"/>
              <w:jc w:val="left"/>
            </w:pPr>
            <w:r>
              <w:t>项目区不属于此区域</w:t>
            </w:r>
            <w:r>
              <w:rPr>
                <w:rFonts w:hint="eastAsia"/>
              </w:rPr>
              <w:t>。</w:t>
            </w:r>
          </w:p>
        </w:tc>
        <w:tc>
          <w:tcPr>
            <w:tcW w:w="442" w:type="pct"/>
            <w:vAlign w:val="center"/>
          </w:tcPr>
          <w:p>
            <w:pPr>
              <w:pStyle w:val="193"/>
            </w:pPr>
            <w:r>
              <w:t>符合本条规定要求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48" w:type="pct"/>
            <w:vAlign w:val="center"/>
          </w:tcPr>
          <w:p>
            <w:pPr>
              <w:pStyle w:val="193"/>
            </w:pPr>
            <w:r>
              <w:rPr>
                <w:rFonts w:hint="eastAsia"/>
              </w:rPr>
              <w:t>4</w:t>
            </w:r>
          </w:p>
        </w:tc>
        <w:tc>
          <w:tcPr>
            <w:tcW w:w="2919" w:type="pct"/>
            <w:vAlign w:val="center"/>
          </w:tcPr>
          <w:p>
            <w:pPr>
              <w:pStyle w:val="193"/>
              <w:jc w:val="left"/>
            </w:pPr>
            <w:r>
              <w:rPr>
                <w:rFonts w:hint="eastAsia"/>
              </w:rPr>
              <w:t>第二十一条禁止毁林、毁草开垦和采集发菜。禁止在水土流失重点防护区和重点治理区铲草皮、挖树兜或者滥挖虫草。</w:t>
            </w:r>
          </w:p>
        </w:tc>
        <w:tc>
          <w:tcPr>
            <w:tcW w:w="1391" w:type="pct"/>
            <w:vAlign w:val="center"/>
          </w:tcPr>
          <w:p>
            <w:pPr>
              <w:pStyle w:val="193"/>
              <w:jc w:val="left"/>
            </w:pPr>
            <w:r>
              <w:t>项目区不属于此区域</w:t>
            </w:r>
            <w:r>
              <w:rPr>
                <w:rFonts w:hint="eastAsia"/>
              </w:rPr>
              <w:t>。</w:t>
            </w:r>
          </w:p>
        </w:tc>
        <w:tc>
          <w:tcPr>
            <w:tcW w:w="442" w:type="pct"/>
            <w:vAlign w:val="center"/>
          </w:tcPr>
          <w:p>
            <w:pPr>
              <w:pStyle w:val="193"/>
            </w:pPr>
            <w:r>
              <w:t>符合本条规定要求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48" w:type="pct"/>
            <w:vAlign w:val="center"/>
          </w:tcPr>
          <w:p>
            <w:pPr>
              <w:pStyle w:val="193"/>
            </w:pPr>
            <w:r>
              <w:rPr>
                <w:rFonts w:hint="eastAsia"/>
              </w:rPr>
              <w:t>5</w:t>
            </w:r>
          </w:p>
        </w:tc>
        <w:tc>
          <w:tcPr>
            <w:tcW w:w="2919" w:type="pct"/>
            <w:vAlign w:val="center"/>
          </w:tcPr>
          <w:p>
            <w:pPr>
              <w:pStyle w:val="193"/>
              <w:jc w:val="left"/>
            </w:pPr>
            <w:r>
              <w:t>第二十四条生产建设项目选址、选线应当避让水土流失重点预防区和重点治理区；无法避让的，应当提高防治标准，优化施工工艺，减少地表扰动和植被损坏范围，有效控制可能造成的水土流失。</w:t>
            </w:r>
          </w:p>
        </w:tc>
        <w:tc>
          <w:tcPr>
            <w:tcW w:w="1391" w:type="pct"/>
            <w:vAlign w:val="center"/>
          </w:tcPr>
          <w:p>
            <w:pPr>
              <w:pStyle w:val="193"/>
              <w:jc w:val="left"/>
            </w:pPr>
            <w:r>
              <w:rPr>
                <w:rFonts w:hint="eastAsia"/>
              </w:rPr>
              <w:t>项目所在的224团</w:t>
            </w:r>
            <w:r>
              <w:t>属于</w:t>
            </w:r>
            <w:r>
              <w:rPr>
                <w:bCs/>
              </w:rPr>
              <w:t>里木河国家级水土流失重点预防区</w:t>
            </w:r>
            <w:r>
              <w:rPr>
                <w:rFonts w:hint="eastAsia"/>
                <w:bCs/>
              </w:rPr>
              <w:t>和塔里木河流域兵团级水土流失重点治理区</w:t>
            </w:r>
            <w:r>
              <w:rPr>
                <w:rFonts w:hint="eastAsia"/>
              </w:rPr>
              <w:t>，本项目执行</w:t>
            </w:r>
            <w:r>
              <w:t>北方风沙区</w:t>
            </w:r>
            <w:r>
              <w:rPr>
                <w:rFonts w:hint="eastAsia"/>
              </w:rPr>
              <w:t>建设项目一</w:t>
            </w:r>
            <w:r>
              <w:t>级标准</w:t>
            </w:r>
            <w:r>
              <w:rPr>
                <w:rFonts w:hint="eastAsia"/>
              </w:rPr>
              <w:t>，</w:t>
            </w:r>
            <w:r>
              <w:t>建设期加强管理，减少地表扰动。</w:t>
            </w:r>
          </w:p>
        </w:tc>
        <w:tc>
          <w:tcPr>
            <w:tcW w:w="442" w:type="pct"/>
            <w:vAlign w:val="center"/>
          </w:tcPr>
          <w:p>
            <w:pPr>
              <w:pStyle w:val="193"/>
            </w:pPr>
            <w:r>
              <w:t>符合本条规定要求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48" w:type="pct"/>
            <w:vAlign w:val="center"/>
          </w:tcPr>
          <w:p>
            <w:pPr>
              <w:pStyle w:val="193"/>
            </w:pPr>
            <w:r>
              <w:rPr>
                <w:rFonts w:hint="eastAsia"/>
              </w:rPr>
              <w:t>6</w:t>
            </w:r>
          </w:p>
        </w:tc>
        <w:tc>
          <w:tcPr>
            <w:tcW w:w="2919" w:type="pct"/>
            <w:vAlign w:val="center"/>
          </w:tcPr>
          <w:p>
            <w:pPr>
              <w:pStyle w:val="193"/>
              <w:jc w:val="left"/>
            </w:pPr>
            <w:r>
              <w:t>第二十五条在山区、丘陵区、风沙区以及水土保持规划确定的容易发生水土流失的其他区域开办可能造成水土流失的生产建设项目，生产建设单位应当编制水土保持方案，报县级以上人民政府水行政主管部门审批，并按照经批准的水土保持方案，采取水土流失预防和治理措施。没有能力编制水土保持方案的，应当委托具备相应技术条件的机构编制。</w:t>
            </w:r>
          </w:p>
        </w:tc>
        <w:tc>
          <w:tcPr>
            <w:tcW w:w="1391" w:type="pct"/>
            <w:vAlign w:val="center"/>
          </w:tcPr>
          <w:p>
            <w:pPr>
              <w:pStyle w:val="193"/>
              <w:jc w:val="left"/>
            </w:pPr>
            <w:r>
              <w:rPr>
                <w:rFonts w:hint="eastAsia"/>
              </w:rPr>
              <w:t>本工程已委托新疆新农丽景环境工程咨询有限公司编制水土保持方案，符合法律规定。</w:t>
            </w:r>
          </w:p>
        </w:tc>
        <w:tc>
          <w:tcPr>
            <w:tcW w:w="442" w:type="pct"/>
            <w:vAlign w:val="center"/>
          </w:tcPr>
          <w:p>
            <w:pPr>
              <w:pStyle w:val="193"/>
            </w:pPr>
            <w:r>
              <w:t>符合本条规定要求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48" w:type="pct"/>
            <w:vAlign w:val="center"/>
          </w:tcPr>
          <w:p>
            <w:pPr>
              <w:pStyle w:val="193"/>
            </w:pPr>
            <w:r>
              <w:rPr>
                <w:rFonts w:hint="eastAsia"/>
              </w:rPr>
              <w:t>7</w:t>
            </w:r>
          </w:p>
        </w:tc>
        <w:tc>
          <w:tcPr>
            <w:tcW w:w="2919" w:type="pct"/>
            <w:vAlign w:val="center"/>
          </w:tcPr>
          <w:p>
            <w:pPr>
              <w:pStyle w:val="193"/>
              <w:jc w:val="left"/>
            </w:pPr>
            <w:r>
              <w:t>第二十七条依法应当编制水土保持方案的生产建设项目中的水土保持设施，应当与主体工程同时设计、同时施工、同时投产使用；生产建设项目竣工验收，应当验收水土保持设施；水土保持设施未验收或验收不合格的，生产建设项目不得投产使用</w:t>
            </w:r>
            <w:r>
              <w:rPr>
                <w:rFonts w:hint="eastAsia"/>
              </w:rPr>
              <w:t>。</w:t>
            </w:r>
          </w:p>
        </w:tc>
        <w:tc>
          <w:tcPr>
            <w:tcW w:w="1391" w:type="pct"/>
            <w:vAlign w:val="center"/>
          </w:tcPr>
          <w:p>
            <w:pPr>
              <w:pStyle w:val="193"/>
              <w:jc w:val="left"/>
            </w:pPr>
            <w:r>
              <w:rPr>
                <w:rFonts w:hint="eastAsia"/>
              </w:rPr>
              <w:t>本项目目前尚未开工建设，建设单位已委托编制</w:t>
            </w:r>
            <w:r>
              <w:t>水土保持方案。</w:t>
            </w:r>
          </w:p>
        </w:tc>
        <w:tc>
          <w:tcPr>
            <w:tcW w:w="442" w:type="pct"/>
            <w:vAlign w:val="center"/>
          </w:tcPr>
          <w:p>
            <w:pPr>
              <w:pStyle w:val="193"/>
            </w:pPr>
            <w:r>
              <w:t>符合本条规定要求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48" w:type="pct"/>
            <w:vAlign w:val="center"/>
          </w:tcPr>
          <w:p>
            <w:pPr>
              <w:pStyle w:val="193"/>
            </w:pPr>
            <w:r>
              <w:rPr>
                <w:rFonts w:hint="eastAsia"/>
              </w:rPr>
              <w:t>8</w:t>
            </w:r>
          </w:p>
        </w:tc>
        <w:tc>
          <w:tcPr>
            <w:tcW w:w="2919" w:type="pct"/>
            <w:vAlign w:val="center"/>
          </w:tcPr>
          <w:p>
            <w:pPr>
              <w:pStyle w:val="193"/>
              <w:jc w:val="left"/>
            </w:pPr>
            <w:r>
              <w:t>第二十八条依法应当编制水土保持方案的生产建设项目，其生产建设活动中排弃的砂、石、土、矸石、尾矿、废渣等应当综合利用；不能综合利用，确需废弃的，应当堆放在水土保持方案确定的专门存放地，并采取措施保证不产生新的危害。</w:t>
            </w:r>
          </w:p>
        </w:tc>
        <w:tc>
          <w:tcPr>
            <w:tcW w:w="1391" w:type="pct"/>
            <w:vAlign w:val="center"/>
          </w:tcPr>
          <w:p>
            <w:pPr>
              <w:pStyle w:val="193"/>
              <w:jc w:val="left"/>
            </w:pPr>
            <w:r>
              <w:rPr>
                <w:rFonts w:hint="eastAsia"/>
              </w:rPr>
              <w:t>本工程建设期土石方挖填基本平衡，不会产生永久弃渣。</w:t>
            </w:r>
            <w:r>
              <w:rPr>
                <w:rFonts w:hint="eastAsia"/>
                <w:color w:val="000000"/>
              </w:rPr>
              <w:t>本项目仅有少量路面拆除垃圾运至垃圾场处理。</w:t>
            </w:r>
          </w:p>
        </w:tc>
        <w:tc>
          <w:tcPr>
            <w:tcW w:w="442" w:type="pct"/>
            <w:vAlign w:val="center"/>
          </w:tcPr>
          <w:p>
            <w:pPr>
              <w:pStyle w:val="193"/>
            </w:pPr>
            <w:r>
              <w:t>符合本条规定要求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48" w:type="pct"/>
            <w:vAlign w:val="center"/>
          </w:tcPr>
          <w:p>
            <w:pPr>
              <w:pStyle w:val="193"/>
            </w:pPr>
            <w:r>
              <w:rPr>
                <w:rFonts w:hint="eastAsia"/>
              </w:rPr>
              <w:t>9</w:t>
            </w:r>
          </w:p>
        </w:tc>
        <w:tc>
          <w:tcPr>
            <w:tcW w:w="2919" w:type="pct"/>
            <w:vAlign w:val="center"/>
          </w:tcPr>
          <w:p>
            <w:pPr>
              <w:pStyle w:val="193"/>
              <w:jc w:val="left"/>
            </w:pPr>
            <w:r>
              <w:rPr>
                <w:rFonts w:hint="eastAsia"/>
              </w:rPr>
              <w:t>第三十一条国家加强江河源头区、饮用水水源保护区和水源涵养区水土流失的预防和治理工作。对涉及和影响饮用水安全、防洪安全、水资源安全应当严格避让。</w:t>
            </w:r>
          </w:p>
        </w:tc>
        <w:tc>
          <w:tcPr>
            <w:tcW w:w="1391" w:type="pct"/>
            <w:vAlign w:val="center"/>
          </w:tcPr>
          <w:p>
            <w:pPr>
              <w:pStyle w:val="193"/>
              <w:jc w:val="left"/>
            </w:pPr>
            <w:r>
              <w:t>项目区不属于此区域</w:t>
            </w:r>
            <w:r>
              <w:rPr>
                <w:rFonts w:hint="eastAsia"/>
              </w:rPr>
              <w:t>。</w:t>
            </w:r>
          </w:p>
        </w:tc>
        <w:tc>
          <w:tcPr>
            <w:tcW w:w="442" w:type="pct"/>
            <w:vAlign w:val="center"/>
          </w:tcPr>
          <w:p>
            <w:pPr>
              <w:pStyle w:val="193"/>
              <w:jc w:val="left"/>
            </w:pPr>
            <w:r>
              <w:t>符合本条规定要求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48" w:type="pct"/>
            <w:vAlign w:val="center"/>
          </w:tcPr>
          <w:p>
            <w:pPr>
              <w:pStyle w:val="193"/>
            </w:pPr>
            <w:r>
              <w:rPr>
                <w:rFonts w:hint="eastAsia"/>
              </w:rPr>
              <w:t>10</w:t>
            </w:r>
          </w:p>
        </w:tc>
        <w:tc>
          <w:tcPr>
            <w:tcW w:w="2919" w:type="pct"/>
            <w:vAlign w:val="center"/>
          </w:tcPr>
          <w:p>
            <w:pPr>
              <w:pStyle w:val="193"/>
              <w:jc w:val="left"/>
            </w:pPr>
            <w:r>
              <w:t>第三十二条在山区、丘陵区、风沙区以及水土保持规划确定的容易发生水土流失的其他区域开办生产建设项目或者从事其他生产建设活动，损坏水土保持设施、地貌植被，不能恢复原有水土保持功能的，应当缴纳水土流失补偿费，专项用于水土流失预防和治理。</w:t>
            </w:r>
          </w:p>
        </w:tc>
        <w:tc>
          <w:tcPr>
            <w:tcW w:w="1391" w:type="pct"/>
            <w:vAlign w:val="center"/>
          </w:tcPr>
          <w:p>
            <w:pPr>
              <w:pStyle w:val="193"/>
              <w:jc w:val="left"/>
            </w:pPr>
            <w:r>
              <w:rPr>
                <w:color w:val="000000"/>
              </w:rPr>
              <w:t>水土保持方案已计算水土保持补偿费，并要求缴纳该费用</w:t>
            </w:r>
            <w:r>
              <w:t>。</w:t>
            </w:r>
          </w:p>
        </w:tc>
        <w:tc>
          <w:tcPr>
            <w:tcW w:w="442" w:type="pct"/>
            <w:vAlign w:val="center"/>
          </w:tcPr>
          <w:p>
            <w:pPr>
              <w:pStyle w:val="193"/>
            </w:pPr>
            <w:r>
              <w:t>符合本条规定要求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48" w:type="pct"/>
            <w:vAlign w:val="center"/>
          </w:tcPr>
          <w:p>
            <w:pPr>
              <w:pStyle w:val="193"/>
            </w:pPr>
            <w:r>
              <w:rPr>
                <w:rFonts w:hint="eastAsia"/>
              </w:rPr>
              <w:t>11</w:t>
            </w:r>
          </w:p>
        </w:tc>
        <w:tc>
          <w:tcPr>
            <w:tcW w:w="2919" w:type="pct"/>
            <w:vAlign w:val="center"/>
          </w:tcPr>
          <w:p>
            <w:pPr>
              <w:pStyle w:val="193"/>
              <w:jc w:val="left"/>
            </w:pPr>
            <w:r>
              <w:t>第三十八条对生产建设活动所占用土地的地表土应当进行分层剥离、保存和利用，做到土石方挖填平衡，减少地表扰动范围；对废弃的砂、石、土、矸石、尾矿、废渣等存放地，应当采取拦挡、坡面防护、防洪排导等措施。生产建设活动结束后，应当及时在取土场、开挖面和存放地的裸露土地上植树种草、恢复植被，对闭库的尾矿库进行复垦</w:t>
            </w:r>
            <w:r>
              <w:rPr>
                <w:rFonts w:hint="eastAsia"/>
              </w:rPr>
              <w:t>。</w:t>
            </w:r>
          </w:p>
        </w:tc>
        <w:tc>
          <w:tcPr>
            <w:tcW w:w="1391" w:type="pct"/>
            <w:vAlign w:val="center"/>
          </w:tcPr>
          <w:p>
            <w:pPr>
              <w:pStyle w:val="193"/>
              <w:jc w:val="left"/>
            </w:pPr>
            <w:r>
              <w:t>根据现场踏勘，本工程</w:t>
            </w:r>
            <w:r>
              <w:rPr>
                <w:rFonts w:hint="eastAsia"/>
              </w:rPr>
              <w:t>占地均为建设用地，大部分施工区域位于小区道路下，因此本项目不采取表土剥离措施。</w:t>
            </w:r>
          </w:p>
        </w:tc>
        <w:tc>
          <w:tcPr>
            <w:tcW w:w="442" w:type="pct"/>
            <w:vAlign w:val="center"/>
          </w:tcPr>
          <w:p>
            <w:pPr>
              <w:pStyle w:val="193"/>
            </w:pPr>
            <w:r>
              <w:t>符合本条规定要求</w:t>
            </w:r>
          </w:p>
        </w:tc>
      </w:tr>
    </w:tbl>
    <w:p>
      <w:pPr>
        <w:pStyle w:val="176"/>
        <w:spacing w:beforeLines="100" w:line="240" w:lineRule="auto"/>
        <w:ind w:firstLine="0" w:firstLineChars="0"/>
        <w:jc w:val="center"/>
        <w:rPr>
          <w:b/>
          <w:bCs/>
          <w:color w:val="auto"/>
        </w:rPr>
      </w:pPr>
      <w:r>
        <w:rPr>
          <w:b/>
          <w:bCs/>
          <w:color w:val="auto"/>
        </w:rPr>
        <w:t>表3.1-2   水保【2007】184号文相符性分析表</w:t>
      </w:r>
    </w:p>
    <w:tbl>
      <w:tblPr>
        <w:tblStyle w:val="40"/>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439"/>
        <w:gridCol w:w="5016"/>
        <w:gridCol w:w="2308"/>
        <w:gridCol w:w="75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58" w:type="pct"/>
            <w:vAlign w:val="center"/>
          </w:tcPr>
          <w:p>
            <w:pPr>
              <w:pStyle w:val="193"/>
            </w:pPr>
            <w:r>
              <w:t>序号</w:t>
            </w:r>
          </w:p>
        </w:tc>
        <w:tc>
          <w:tcPr>
            <w:tcW w:w="2945" w:type="pct"/>
            <w:vAlign w:val="center"/>
          </w:tcPr>
          <w:p>
            <w:pPr>
              <w:pStyle w:val="193"/>
            </w:pPr>
            <w:r>
              <w:t>184号文有关规定</w:t>
            </w:r>
          </w:p>
        </w:tc>
        <w:tc>
          <w:tcPr>
            <w:tcW w:w="1355" w:type="pct"/>
            <w:vAlign w:val="center"/>
          </w:tcPr>
          <w:p>
            <w:pPr>
              <w:pStyle w:val="193"/>
            </w:pPr>
            <w:r>
              <w:t>本项目的情况</w:t>
            </w:r>
          </w:p>
        </w:tc>
        <w:tc>
          <w:tcPr>
            <w:tcW w:w="442" w:type="pct"/>
            <w:vAlign w:val="center"/>
          </w:tcPr>
          <w:p>
            <w:pPr>
              <w:pStyle w:val="193"/>
            </w:pPr>
            <w:r>
              <w:t>相符性分析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58" w:type="pct"/>
            <w:vAlign w:val="center"/>
          </w:tcPr>
          <w:p>
            <w:pPr>
              <w:pStyle w:val="193"/>
            </w:pPr>
            <w:r>
              <w:rPr>
                <w:rFonts w:hint="eastAsia"/>
              </w:rPr>
              <w:t>1</w:t>
            </w:r>
          </w:p>
        </w:tc>
        <w:tc>
          <w:tcPr>
            <w:tcW w:w="2945" w:type="pct"/>
            <w:vAlign w:val="center"/>
          </w:tcPr>
          <w:p>
            <w:pPr>
              <w:pStyle w:val="193"/>
            </w:pPr>
            <w:r>
              <w:rPr>
                <w:rFonts w:hint="eastAsia"/>
              </w:rPr>
              <w:t>水土保持方案中没有主体工程的比选方案，比选方案水土保持评价缺乏水土保持有关量化指标的，不予审查通过。</w:t>
            </w:r>
          </w:p>
        </w:tc>
        <w:tc>
          <w:tcPr>
            <w:tcW w:w="1355" w:type="pct"/>
            <w:vAlign w:val="center"/>
          </w:tcPr>
          <w:p>
            <w:pPr>
              <w:pStyle w:val="193"/>
              <w:jc w:val="left"/>
            </w:pPr>
            <w:r>
              <w:rPr>
                <w:rFonts w:hint="eastAsia"/>
              </w:rPr>
              <w:t>本工程为线路走向唯一，主体工程在选址过程中充分考虑了水土保持因素，避开了崩塌、滑坡等危险区域。</w:t>
            </w:r>
          </w:p>
        </w:tc>
        <w:tc>
          <w:tcPr>
            <w:tcW w:w="442" w:type="pct"/>
            <w:vAlign w:val="center"/>
          </w:tcPr>
          <w:p>
            <w:pPr>
              <w:pStyle w:val="193"/>
            </w:pPr>
            <w:r>
              <w:t>符合</w:t>
            </w:r>
          </w:p>
          <w:p>
            <w:pPr>
              <w:pStyle w:val="193"/>
            </w:pPr>
            <w:r>
              <w:t>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trPr>
        <w:tc>
          <w:tcPr>
            <w:tcW w:w="258" w:type="pct"/>
            <w:vAlign w:val="center"/>
          </w:tcPr>
          <w:p>
            <w:pPr>
              <w:pStyle w:val="193"/>
            </w:pPr>
            <w:r>
              <w:rPr>
                <w:rFonts w:hint="eastAsia"/>
              </w:rPr>
              <w:t>2</w:t>
            </w:r>
          </w:p>
        </w:tc>
        <w:tc>
          <w:tcPr>
            <w:tcW w:w="2945" w:type="pct"/>
            <w:vAlign w:val="center"/>
          </w:tcPr>
          <w:p>
            <w:pPr>
              <w:pStyle w:val="193"/>
              <w:jc w:val="left"/>
            </w:pPr>
            <w:r>
              <w:rPr>
                <w:rFonts w:hint="eastAsia"/>
              </w:rPr>
              <w:t>工程的土石方平衡、废弃土石渣利用达不到规范要求的，不予审查通过。</w:t>
            </w:r>
          </w:p>
        </w:tc>
        <w:tc>
          <w:tcPr>
            <w:tcW w:w="1355" w:type="pct"/>
            <w:vAlign w:val="center"/>
          </w:tcPr>
          <w:p>
            <w:pPr>
              <w:pStyle w:val="193"/>
              <w:jc w:val="left"/>
            </w:pPr>
            <w:r>
              <w:rPr>
                <w:rFonts w:hint="eastAsia"/>
              </w:rPr>
              <w:t>本工程土石方挖填自身平衡，无永久弃方产生。</w:t>
            </w:r>
            <w:r>
              <w:rPr>
                <w:rFonts w:hint="eastAsia"/>
                <w:color w:val="000000"/>
              </w:rPr>
              <w:t>本项目仅有少量路面拆除垃圾运至垃圾场处理。</w:t>
            </w:r>
          </w:p>
        </w:tc>
        <w:tc>
          <w:tcPr>
            <w:tcW w:w="442" w:type="pct"/>
            <w:vAlign w:val="center"/>
          </w:tcPr>
          <w:p>
            <w:pPr>
              <w:pStyle w:val="193"/>
            </w:pPr>
            <w:r>
              <w:t>符合</w:t>
            </w:r>
          </w:p>
          <w:p>
            <w:pPr>
              <w:pStyle w:val="193"/>
            </w:pPr>
            <w:r>
              <w:t>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58" w:type="pct"/>
            <w:vAlign w:val="center"/>
          </w:tcPr>
          <w:p>
            <w:pPr>
              <w:pStyle w:val="193"/>
            </w:pPr>
            <w:r>
              <w:rPr>
                <w:rFonts w:hint="eastAsia"/>
              </w:rPr>
              <w:t>3</w:t>
            </w:r>
          </w:p>
        </w:tc>
        <w:tc>
          <w:tcPr>
            <w:tcW w:w="2945" w:type="pct"/>
            <w:vAlign w:val="center"/>
          </w:tcPr>
          <w:p>
            <w:pPr>
              <w:pStyle w:val="193"/>
              <w:jc w:val="left"/>
            </w:pPr>
            <w:r>
              <w:t>《促进产业结构调整暂行规定》、国家发展和改革委员会发布的《产业结构调整指导目录》（2013年修正）限制类和淘汰类产业开发建设项目。</w:t>
            </w:r>
          </w:p>
        </w:tc>
        <w:tc>
          <w:tcPr>
            <w:tcW w:w="1355" w:type="pct"/>
            <w:vAlign w:val="center"/>
          </w:tcPr>
          <w:p>
            <w:pPr>
              <w:pStyle w:val="193"/>
              <w:jc w:val="left"/>
            </w:pPr>
            <w:r>
              <w:t>本项目不属于限制类和淘汰类产业开发建设项目。</w:t>
            </w:r>
          </w:p>
        </w:tc>
        <w:tc>
          <w:tcPr>
            <w:tcW w:w="442" w:type="pct"/>
            <w:vAlign w:val="center"/>
          </w:tcPr>
          <w:p>
            <w:pPr>
              <w:pStyle w:val="193"/>
            </w:pPr>
            <w:r>
              <w:t>符合</w:t>
            </w:r>
          </w:p>
          <w:p>
            <w:pPr>
              <w:pStyle w:val="193"/>
            </w:pPr>
            <w:r>
              <w:t>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58" w:type="pct"/>
            <w:vAlign w:val="center"/>
          </w:tcPr>
          <w:p>
            <w:pPr>
              <w:pStyle w:val="193"/>
            </w:pPr>
            <w:r>
              <w:rPr>
                <w:rFonts w:hint="eastAsia"/>
              </w:rPr>
              <w:t>4</w:t>
            </w:r>
          </w:p>
        </w:tc>
        <w:tc>
          <w:tcPr>
            <w:tcW w:w="2945" w:type="pct"/>
            <w:vAlign w:val="center"/>
          </w:tcPr>
          <w:p>
            <w:pPr>
              <w:pStyle w:val="193"/>
              <w:jc w:val="left"/>
            </w:pPr>
            <w:r>
              <w:t>《国民经济和社会发展第十三个五年规划纲要》确定的禁止开发区域内不符合主体功能定位的开发建设项目。</w:t>
            </w:r>
          </w:p>
        </w:tc>
        <w:tc>
          <w:tcPr>
            <w:tcW w:w="1355" w:type="pct"/>
            <w:vAlign w:val="center"/>
          </w:tcPr>
          <w:p>
            <w:pPr>
              <w:pStyle w:val="193"/>
              <w:jc w:val="left"/>
            </w:pPr>
            <w:r>
              <w:t>本项目建设区未处于“十三五规划纲要”中确定的限制开发区域和禁止开发区域。</w:t>
            </w:r>
          </w:p>
        </w:tc>
        <w:tc>
          <w:tcPr>
            <w:tcW w:w="442" w:type="pct"/>
            <w:vAlign w:val="center"/>
          </w:tcPr>
          <w:p>
            <w:pPr>
              <w:pStyle w:val="193"/>
            </w:pPr>
            <w:r>
              <w:t>符合</w:t>
            </w:r>
          </w:p>
          <w:p>
            <w:pPr>
              <w:pStyle w:val="193"/>
            </w:pPr>
            <w:r>
              <w:t>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58" w:type="pct"/>
            <w:vAlign w:val="center"/>
          </w:tcPr>
          <w:p>
            <w:pPr>
              <w:pStyle w:val="193"/>
            </w:pPr>
            <w:r>
              <w:rPr>
                <w:rFonts w:hint="eastAsia"/>
              </w:rPr>
              <w:t>5</w:t>
            </w:r>
          </w:p>
        </w:tc>
        <w:tc>
          <w:tcPr>
            <w:tcW w:w="2945" w:type="pct"/>
            <w:vAlign w:val="center"/>
          </w:tcPr>
          <w:p>
            <w:pPr>
              <w:pStyle w:val="193"/>
              <w:jc w:val="left"/>
            </w:pPr>
            <w:r>
              <w:t>违反《水土保持法》第十四条，在25度以上陡坡地实施的农林开发项目。</w:t>
            </w:r>
          </w:p>
        </w:tc>
        <w:tc>
          <w:tcPr>
            <w:tcW w:w="1355" w:type="pct"/>
            <w:vAlign w:val="center"/>
          </w:tcPr>
          <w:p>
            <w:pPr>
              <w:pStyle w:val="193"/>
              <w:jc w:val="left"/>
            </w:pPr>
            <w:r>
              <w:rPr>
                <w:rFonts w:hint="eastAsia"/>
              </w:rPr>
              <w:t>本项目不属于</w:t>
            </w:r>
            <w:r>
              <w:t>农林开发项目</w:t>
            </w:r>
            <w:r>
              <w:rPr>
                <w:rFonts w:hint="eastAsia"/>
              </w:rPr>
              <w:t>。</w:t>
            </w:r>
          </w:p>
        </w:tc>
        <w:tc>
          <w:tcPr>
            <w:tcW w:w="442" w:type="pct"/>
            <w:vAlign w:val="center"/>
          </w:tcPr>
          <w:p>
            <w:pPr>
              <w:pStyle w:val="193"/>
            </w:pPr>
            <w:r>
              <w:t>符合</w:t>
            </w:r>
          </w:p>
          <w:p>
            <w:pPr>
              <w:pStyle w:val="193"/>
            </w:pPr>
            <w:r>
              <w:t>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58" w:type="pct"/>
            <w:vAlign w:val="center"/>
          </w:tcPr>
          <w:p>
            <w:pPr>
              <w:pStyle w:val="193"/>
            </w:pPr>
            <w:r>
              <w:rPr>
                <w:rFonts w:hint="eastAsia"/>
              </w:rPr>
              <w:t>6</w:t>
            </w:r>
          </w:p>
        </w:tc>
        <w:tc>
          <w:tcPr>
            <w:tcW w:w="2945" w:type="pct"/>
            <w:vAlign w:val="center"/>
          </w:tcPr>
          <w:p>
            <w:pPr>
              <w:pStyle w:val="193"/>
              <w:jc w:val="left"/>
              <w:rPr>
                <w:snapToGrid w:val="0"/>
              </w:rPr>
            </w:pPr>
            <w:r>
              <w:rPr>
                <w:rFonts w:hint="eastAsia"/>
                <w:snapToGrid w:val="0"/>
              </w:rPr>
              <w:t>违反《中华人民共和国水法》第十九条，不符合流域综合规划的的水工程。</w:t>
            </w:r>
          </w:p>
        </w:tc>
        <w:tc>
          <w:tcPr>
            <w:tcW w:w="1355" w:type="pct"/>
            <w:vAlign w:val="center"/>
          </w:tcPr>
          <w:p>
            <w:pPr>
              <w:pStyle w:val="193"/>
              <w:jc w:val="left"/>
              <w:rPr>
                <w:snapToGrid w:val="0"/>
              </w:rPr>
            </w:pPr>
            <w:r>
              <w:rPr>
                <w:rFonts w:hint="eastAsia"/>
                <w:snapToGrid w:val="0"/>
              </w:rPr>
              <w:t>本工程不属于“水工程”。</w:t>
            </w:r>
          </w:p>
        </w:tc>
        <w:tc>
          <w:tcPr>
            <w:tcW w:w="442" w:type="pct"/>
            <w:vAlign w:val="center"/>
          </w:tcPr>
          <w:p>
            <w:pPr>
              <w:pStyle w:val="193"/>
            </w:pPr>
            <w:r>
              <w:t>符合</w:t>
            </w:r>
          </w:p>
          <w:p>
            <w:pPr>
              <w:pStyle w:val="193"/>
            </w:pPr>
            <w:r>
              <w:t>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58" w:type="pct"/>
            <w:vAlign w:val="center"/>
          </w:tcPr>
          <w:p>
            <w:pPr>
              <w:pStyle w:val="193"/>
            </w:pPr>
            <w:r>
              <w:rPr>
                <w:rFonts w:hint="eastAsia"/>
              </w:rPr>
              <w:t>7</w:t>
            </w:r>
          </w:p>
        </w:tc>
        <w:tc>
          <w:tcPr>
            <w:tcW w:w="2945" w:type="pct"/>
            <w:vAlign w:val="center"/>
          </w:tcPr>
          <w:p>
            <w:pPr>
              <w:pStyle w:val="193"/>
              <w:jc w:val="left"/>
            </w:pPr>
            <w:r>
              <w:t>违反《水土保持法》第二十条，在县级以上地方人民政府公告的崩塌滑坡危险区和泥石流易发区内取土、挖砂、取石的开发建设项目。</w:t>
            </w:r>
          </w:p>
        </w:tc>
        <w:tc>
          <w:tcPr>
            <w:tcW w:w="1355" w:type="pct"/>
            <w:vAlign w:val="center"/>
          </w:tcPr>
          <w:p>
            <w:pPr>
              <w:pStyle w:val="193"/>
              <w:jc w:val="left"/>
            </w:pPr>
            <w:r>
              <w:t>工程未在县级以上地方人民政府公告的崩塌滑坡危险区和泥石流易发区取土。</w:t>
            </w:r>
          </w:p>
        </w:tc>
        <w:tc>
          <w:tcPr>
            <w:tcW w:w="442" w:type="pct"/>
            <w:vAlign w:val="center"/>
          </w:tcPr>
          <w:p>
            <w:pPr>
              <w:pStyle w:val="193"/>
            </w:pPr>
            <w:r>
              <w:t>符合</w:t>
            </w:r>
          </w:p>
          <w:p>
            <w:pPr>
              <w:pStyle w:val="193"/>
            </w:pPr>
            <w:r>
              <w:t>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58" w:type="pct"/>
            <w:vAlign w:val="center"/>
          </w:tcPr>
          <w:p>
            <w:pPr>
              <w:pStyle w:val="193"/>
            </w:pPr>
            <w:r>
              <w:rPr>
                <w:rFonts w:hint="eastAsia"/>
              </w:rPr>
              <w:t>8</w:t>
            </w:r>
          </w:p>
        </w:tc>
        <w:tc>
          <w:tcPr>
            <w:tcW w:w="2945" w:type="pct"/>
            <w:vAlign w:val="center"/>
          </w:tcPr>
          <w:p>
            <w:pPr>
              <w:pStyle w:val="193"/>
              <w:jc w:val="left"/>
            </w:pPr>
            <w:r>
              <w:t>根据国家产业结构调整的有关规定精神，国家发展和改革主管部门同意后方可开展前期工作，但未能提供相应文件依据的开发建设项目。</w:t>
            </w:r>
          </w:p>
        </w:tc>
        <w:tc>
          <w:tcPr>
            <w:tcW w:w="1355" w:type="pct"/>
            <w:vAlign w:val="center"/>
          </w:tcPr>
          <w:p>
            <w:pPr>
              <w:pStyle w:val="193"/>
              <w:jc w:val="left"/>
            </w:pPr>
            <w:r>
              <w:rPr>
                <w:rFonts w:hint="eastAsia"/>
              </w:rPr>
              <w:t>本工程建设符合批准要求。</w:t>
            </w:r>
          </w:p>
        </w:tc>
        <w:tc>
          <w:tcPr>
            <w:tcW w:w="442" w:type="pct"/>
            <w:vAlign w:val="center"/>
          </w:tcPr>
          <w:p>
            <w:pPr>
              <w:pStyle w:val="193"/>
            </w:pPr>
            <w:r>
              <w:t>符合</w:t>
            </w:r>
          </w:p>
          <w:p>
            <w:pPr>
              <w:pStyle w:val="193"/>
            </w:pPr>
            <w:r>
              <w:t>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58" w:type="pct"/>
            <w:vAlign w:val="center"/>
          </w:tcPr>
          <w:p>
            <w:pPr>
              <w:pStyle w:val="193"/>
            </w:pPr>
            <w:r>
              <w:rPr>
                <w:rFonts w:hint="eastAsia"/>
              </w:rPr>
              <w:t>9</w:t>
            </w:r>
          </w:p>
        </w:tc>
        <w:tc>
          <w:tcPr>
            <w:tcW w:w="2945" w:type="pct"/>
            <w:vAlign w:val="center"/>
          </w:tcPr>
          <w:p>
            <w:pPr>
              <w:pStyle w:val="193"/>
              <w:jc w:val="left"/>
            </w:pPr>
            <w:r>
              <w:rPr>
                <w:rFonts w:hint="eastAsia"/>
              </w:rPr>
              <w:t>分期建设的生产建设项目，其前期工程存在未编报水土保持方案、水土保持方案未落实和水土保持设施未按期验收的，不予审查通过。</w:t>
            </w:r>
          </w:p>
        </w:tc>
        <w:tc>
          <w:tcPr>
            <w:tcW w:w="1355" w:type="pct"/>
            <w:vAlign w:val="center"/>
          </w:tcPr>
          <w:p>
            <w:pPr>
              <w:pStyle w:val="193"/>
              <w:jc w:val="left"/>
              <w:rPr>
                <w:lang w:val="zh-CN"/>
              </w:rPr>
            </w:pPr>
            <w:r>
              <w:rPr>
                <w:rFonts w:hint="eastAsia"/>
                <w:lang w:val="zh-CN"/>
              </w:rPr>
              <w:t>本项目属于新建项目，不存在前期工程未编报水土保持方案的情况。</w:t>
            </w:r>
          </w:p>
        </w:tc>
        <w:tc>
          <w:tcPr>
            <w:tcW w:w="442" w:type="pct"/>
            <w:vAlign w:val="center"/>
          </w:tcPr>
          <w:p>
            <w:pPr>
              <w:pStyle w:val="193"/>
            </w:pPr>
            <w:r>
              <w:t>符合</w:t>
            </w:r>
          </w:p>
          <w:p>
            <w:pPr>
              <w:pStyle w:val="193"/>
            </w:pPr>
            <w:r>
              <w:t>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58" w:type="pct"/>
            <w:vAlign w:val="center"/>
          </w:tcPr>
          <w:p>
            <w:pPr>
              <w:pStyle w:val="193"/>
            </w:pPr>
            <w:r>
              <w:rPr>
                <w:rFonts w:hint="eastAsia"/>
              </w:rPr>
              <w:t>10</w:t>
            </w:r>
          </w:p>
        </w:tc>
        <w:tc>
          <w:tcPr>
            <w:tcW w:w="2945" w:type="pct"/>
            <w:vAlign w:val="center"/>
          </w:tcPr>
          <w:p>
            <w:pPr>
              <w:pStyle w:val="193"/>
              <w:jc w:val="left"/>
            </w:pPr>
            <w:r>
              <w:t>同一投资主体所属的开发建设项目，在建及生产运行的工程中存在未编报水土保持方案、水土保持方案未落实和水土保持设施未按期验收的。</w:t>
            </w:r>
          </w:p>
        </w:tc>
        <w:tc>
          <w:tcPr>
            <w:tcW w:w="1355" w:type="pct"/>
            <w:vAlign w:val="center"/>
          </w:tcPr>
          <w:p>
            <w:pPr>
              <w:pStyle w:val="193"/>
              <w:jc w:val="left"/>
            </w:pPr>
            <w:r>
              <w:rPr>
                <w:rFonts w:hint="eastAsia"/>
              </w:rPr>
              <w:t>本工程投资主体单位在建及投运的工程均已依法落实了或正在落实水土保持法要求的工作，符合批准要求。</w:t>
            </w:r>
          </w:p>
        </w:tc>
        <w:tc>
          <w:tcPr>
            <w:tcW w:w="442" w:type="pct"/>
            <w:vAlign w:val="center"/>
          </w:tcPr>
          <w:p>
            <w:pPr>
              <w:pStyle w:val="193"/>
            </w:pPr>
            <w:r>
              <w:rPr>
                <w:rFonts w:hint="eastAsia"/>
              </w:rPr>
              <w:t>正在整改中</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58" w:type="pct"/>
            <w:vAlign w:val="center"/>
          </w:tcPr>
          <w:p>
            <w:pPr>
              <w:pStyle w:val="193"/>
            </w:pPr>
            <w:r>
              <w:rPr>
                <w:rFonts w:hint="eastAsia"/>
              </w:rPr>
              <w:t>11</w:t>
            </w:r>
          </w:p>
        </w:tc>
        <w:tc>
          <w:tcPr>
            <w:tcW w:w="2945" w:type="pct"/>
            <w:vAlign w:val="center"/>
          </w:tcPr>
          <w:p>
            <w:pPr>
              <w:pStyle w:val="193"/>
              <w:jc w:val="left"/>
            </w:pPr>
            <w:r>
              <w:t>处于重要江河、湖泊以及跨省（自治区、直辖市）的其他江河、湖泊的水功能一级区的保护区和保留区内可能严重影响水质的开发建设项目，以及对水功能二级区的饮用水源区水质有影响的开发建设项目。</w:t>
            </w:r>
          </w:p>
        </w:tc>
        <w:tc>
          <w:tcPr>
            <w:tcW w:w="1355" w:type="pct"/>
            <w:vAlign w:val="center"/>
          </w:tcPr>
          <w:p>
            <w:pPr>
              <w:pStyle w:val="193"/>
              <w:jc w:val="left"/>
            </w:pPr>
            <w:r>
              <w:t>本工程不属于此类项目</w:t>
            </w:r>
          </w:p>
        </w:tc>
        <w:tc>
          <w:tcPr>
            <w:tcW w:w="442" w:type="pct"/>
            <w:vAlign w:val="center"/>
          </w:tcPr>
          <w:p>
            <w:pPr>
              <w:pStyle w:val="193"/>
            </w:pPr>
            <w:r>
              <w:t>符合</w:t>
            </w:r>
          </w:p>
          <w:p>
            <w:pPr>
              <w:pStyle w:val="193"/>
            </w:pPr>
            <w:r>
              <w:t>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58" w:type="pct"/>
            <w:vAlign w:val="center"/>
          </w:tcPr>
          <w:p>
            <w:pPr>
              <w:pStyle w:val="193"/>
            </w:pPr>
            <w:r>
              <w:rPr>
                <w:rFonts w:hint="eastAsia"/>
              </w:rPr>
              <w:t>12</w:t>
            </w:r>
          </w:p>
        </w:tc>
        <w:tc>
          <w:tcPr>
            <w:tcW w:w="2945" w:type="pct"/>
            <w:vAlign w:val="center"/>
          </w:tcPr>
          <w:p>
            <w:pPr>
              <w:pStyle w:val="193"/>
              <w:jc w:val="left"/>
              <w:rPr>
                <w:snapToGrid w:val="0"/>
              </w:rPr>
            </w:pPr>
            <w:r>
              <w:rPr>
                <w:snapToGrid w:val="0"/>
              </w:rPr>
              <w:t>在华北、西北等水资源严重短缺的地区，未通过建设项目水资源论证的开发建设项目。</w:t>
            </w:r>
          </w:p>
        </w:tc>
        <w:tc>
          <w:tcPr>
            <w:tcW w:w="1355" w:type="pct"/>
            <w:vAlign w:val="center"/>
          </w:tcPr>
          <w:p>
            <w:pPr>
              <w:pStyle w:val="193"/>
              <w:jc w:val="left"/>
            </w:pPr>
            <w:r>
              <w:rPr>
                <w:rFonts w:hint="eastAsia"/>
              </w:rPr>
              <w:t>本项目不需要进行</w:t>
            </w:r>
            <w:r>
              <w:t>水资源论证</w:t>
            </w:r>
            <w:r>
              <w:rPr>
                <w:rFonts w:hint="eastAsia"/>
              </w:rPr>
              <w:t>。</w:t>
            </w:r>
          </w:p>
        </w:tc>
        <w:tc>
          <w:tcPr>
            <w:tcW w:w="442" w:type="pct"/>
            <w:vAlign w:val="center"/>
          </w:tcPr>
          <w:p>
            <w:pPr>
              <w:pStyle w:val="193"/>
              <w:rPr>
                <w:snapToGrid w:val="0"/>
              </w:rPr>
            </w:pPr>
            <w:r>
              <w:rPr>
                <w:rFonts w:hint="eastAsia"/>
              </w:rPr>
              <w:t>正在整改中</w:t>
            </w:r>
          </w:p>
        </w:tc>
      </w:tr>
    </w:tbl>
    <w:p>
      <w:pPr>
        <w:tabs>
          <w:tab w:val="left" w:pos="3345"/>
        </w:tabs>
        <w:spacing w:line="240" w:lineRule="auto"/>
        <w:ind w:firstLine="480"/>
      </w:pPr>
    </w:p>
    <w:p>
      <w:pPr>
        <w:tabs>
          <w:tab w:val="left" w:pos="3345"/>
        </w:tabs>
        <w:spacing w:line="240" w:lineRule="auto"/>
        <w:ind w:firstLine="0" w:firstLineChars="0"/>
        <w:jc w:val="center"/>
        <w:rPr>
          <w:b/>
          <w:bCs/>
        </w:rPr>
      </w:pPr>
      <w:r>
        <w:rPr>
          <w:b/>
          <w:bCs/>
        </w:rPr>
        <w:t>表3.1-3生产建设项目水土保持技术标准(GB50433-2018)的水土保持约束性分析</w:t>
      </w:r>
    </w:p>
    <w:tbl>
      <w:tblPr>
        <w:tblStyle w:val="40"/>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422"/>
        <w:gridCol w:w="4120"/>
        <w:gridCol w:w="3221"/>
        <w:gridCol w:w="75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48" w:type="pct"/>
            <w:vAlign w:val="center"/>
          </w:tcPr>
          <w:p>
            <w:pPr>
              <w:pStyle w:val="193"/>
            </w:pPr>
            <w:r>
              <w:t>序号</w:t>
            </w:r>
          </w:p>
        </w:tc>
        <w:tc>
          <w:tcPr>
            <w:tcW w:w="2419" w:type="pct"/>
            <w:vAlign w:val="center"/>
          </w:tcPr>
          <w:p>
            <w:pPr>
              <w:pStyle w:val="193"/>
            </w:pPr>
            <w:r>
              <w:t>基本规定</w:t>
            </w:r>
          </w:p>
        </w:tc>
        <w:tc>
          <w:tcPr>
            <w:tcW w:w="1891" w:type="pct"/>
            <w:vAlign w:val="center"/>
          </w:tcPr>
          <w:p>
            <w:pPr>
              <w:pStyle w:val="193"/>
            </w:pPr>
            <w:r>
              <w:t>本项目实施情况</w:t>
            </w:r>
          </w:p>
        </w:tc>
        <w:tc>
          <w:tcPr>
            <w:tcW w:w="442" w:type="pct"/>
            <w:vAlign w:val="center"/>
          </w:tcPr>
          <w:p>
            <w:pPr>
              <w:pStyle w:val="193"/>
            </w:pPr>
            <w:r>
              <w:t>是否满足</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48" w:type="pct"/>
            <w:vAlign w:val="center"/>
          </w:tcPr>
          <w:p>
            <w:pPr>
              <w:pStyle w:val="193"/>
            </w:pPr>
            <w:r>
              <w:t>1</w:t>
            </w:r>
          </w:p>
        </w:tc>
        <w:tc>
          <w:tcPr>
            <w:tcW w:w="2419" w:type="pct"/>
            <w:vAlign w:val="center"/>
          </w:tcPr>
          <w:p>
            <w:pPr>
              <w:pStyle w:val="193"/>
              <w:jc w:val="left"/>
            </w:pPr>
            <w:r>
              <w:t>主体工程选址（线）应避让水土流失重点预防区和重点治理区</w:t>
            </w:r>
            <w:r>
              <w:rPr>
                <w:rFonts w:hint="eastAsia"/>
              </w:rPr>
              <w:t>。</w:t>
            </w:r>
          </w:p>
        </w:tc>
        <w:tc>
          <w:tcPr>
            <w:tcW w:w="1891" w:type="pct"/>
            <w:vAlign w:val="center"/>
          </w:tcPr>
          <w:p>
            <w:pPr>
              <w:pStyle w:val="193"/>
              <w:jc w:val="left"/>
            </w:pPr>
            <w:r>
              <w:rPr>
                <w:rFonts w:hint="eastAsia"/>
              </w:rPr>
              <w:t>项目所在的224团</w:t>
            </w:r>
            <w:r>
              <w:t>属于</w:t>
            </w:r>
            <w:r>
              <w:rPr>
                <w:bCs/>
              </w:rPr>
              <w:t>塔里木河国家级水土流失重点预防区</w:t>
            </w:r>
            <w:r>
              <w:rPr>
                <w:rFonts w:hint="eastAsia"/>
                <w:bCs/>
              </w:rPr>
              <w:t>和塔里木河流域兵团级水土流失重点治理区</w:t>
            </w:r>
            <w:r>
              <w:rPr>
                <w:rFonts w:hint="eastAsia"/>
              </w:rPr>
              <w:t>，本项目执行</w:t>
            </w:r>
            <w:r>
              <w:t>北方风沙区</w:t>
            </w:r>
            <w:r>
              <w:rPr>
                <w:rFonts w:hint="eastAsia"/>
              </w:rPr>
              <w:t>建设项目一</w:t>
            </w:r>
            <w:r>
              <w:t>级标准</w:t>
            </w:r>
            <w:r>
              <w:rPr>
                <w:rFonts w:hint="eastAsia"/>
              </w:rPr>
              <w:t>，</w:t>
            </w:r>
            <w:r>
              <w:t>建设期加强管理，减少地表扰动。</w:t>
            </w:r>
          </w:p>
        </w:tc>
        <w:tc>
          <w:tcPr>
            <w:tcW w:w="442" w:type="pct"/>
            <w:vAlign w:val="center"/>
          </w:tcPr>
          <w:p>
            <w:pPr>
              <w:pStyle w:val="193"/>
            </w:pPr>
            <w:r>
              <w:t>满足规范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48" w:type="pct"/>
            <w:vAlign w:val="center"/>
          </w:tcPr>
          <w:p>
            <w:pPr>
              <w:pStyle w:val="193"/>
            </w:pPr>
            <w:r>
              <w:t>2</w:t>
            </w:r>
          </w:p>
        </w:tc>
        <w:tc>
          <w:tcPr>
            <w:tcW w:w="2419" w:type="pct"/>
            <w:vAlign w:val="center"/>
          </w:tcPr>
          <w:p>
            <w:pPr>
              <w:pStyle w:val="193"/>
              <w:jc w:val="left"/>
            </w:pPr>
            <w:r>
              <w:t>主体工程选址（线）应避让河流两岸、湖泊和水库周边的植物保护带</w:t>
            </w:r>
            <w:r>
              <w:rPr>
                <w:rFonts w:hint="eastAsia"/>
              </w:rPr>
              <w:t>。</w:t>
            </w:r>
          </w:p>
        </w:tc>
        <w:tc>
          <w:tcPr>
            <w:tcW w:w="1891" w:type="pct"/>
            <w:vAlign w:val="center"/>
          </w:tcPr>
          <w:p>
            <w:pPr>
              <w:pStyle w:val="193"/>
            </w:pPr>
            <w:r>
              <w:t>不涉及上述区域</w:t>
            </w:r>
            <w:r>
              <w:rPr>
                <w:rFonts w:hint="eastAsia"/>
              </w:rPr>
              <w:t>。</w:t>
            </w:r>
          </w:p>
        </w:tc>
        <w:tc>
          <w:tcPr>
            <w:tcW w:w="442" w:type="pct"/>
            <w:vAlign w:val="center"/>
          </w:tcPr>
          <w:p>
            <w:pPr>
              <w:pStyle w:val="193"/>
            </w:pPr>
            <w:r>
              <w:t>满足规范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48" w:type="pct"/>
            <w:vAlign w:val="center"/>
          </w:tcPr>
          <w:p>
            <w:pPr>
              <w:pStyle w:val="193"/>
            </w:pPr>
            <w:r>
              <w:t>3</w:t>
            </w:r>
          </w:p>
        </w:tc>
        <w:tc>
          <w:tcPr>
            <w:tcW w:w="2419" w:type="pct"/>
            <w:vAlign w:val="center"/>
          </w:tcPr>
          <w:p>
            <w:pPr>
              <w:pStyle w:val="193"/>
              <w:jc w:val="left"/>
            </w:pPr>
            <w:r>
              <w:t>主体工程选址（线）应避让全国水土保持监测网络中的水土保持监测站点、重点实验区、不得占用国家确定的水土保持长期定位观测站。</w:t>
            </w:r>
          </w:p>
        </w:tc>
        <w:tc>
          <w:tcPr>
            <w:tcW w:w="1891" w:type="pct"/>
            <w:vAlign w:val="center"/>
          </w:tcPr>
          <w:p>
            <w:pPr>
              <w:pStyle w:val="193"/>
            </w:pPr>
            <w:r>
              <w:t>不涉及上述区域</w:t>
            </w:r>
            <w:r>
              <w:rPr>
                <w:rFonts w:hint="eastAsia"/>
              </w:rPr>
              <w:t>。</w:t>
            </w:r>
          </w:p>
        </w:tc>
        <w:tc>
          <w:tcPr>
            <w:tcW w:w="442" w:type="pct"/>
            <w:vAlign w:val="center"/>
          </w:tcPr>
          <w:p>
            <w:pPr>
              <w:pStyle w:val="193"/>
            </w:pPr>
            <w:r>
              <w:t>满足规范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48" w:type="pct"/>
            <w:vAlign w:val="center"/>
          </w:tcPr>
          <w:p>
            <w:pPr>
              <w:pStyle w:val="193"/>
            </w:pPr>
            <w:r>
              <w:rPr>
                <w:rFonts w:hint="eastAsia"/>
              </w:rPr>
              <w:t>4</w:t>
            </w:r>
          </w:p>
        </w:tc>
        <w:tc>
          <w:tcPr>
            <w:tcW w:w="2419" w:type="pct"/>
            <w:vAlign w:val="center"/>
          </w:tcPr>
          <w:p>
            <w:pPr>
              <w:pStyle w:val="193"/>
            </w:pPr>
            <w:r>
              <w:t>严禁在崩塌和滑坡危险区、泥石流易发区内设置取土(石、砂)场。</w:t>
            </w:r>
          </w:p>
        </w:tc>
        <w:tc>
          <w:tcPr>
            <w:tcW w:w="1891" w:type="pct"/>
            <w:vAlign w:val="center"/>
          </w:tcPr>
          <w:p>
            <w:pPr>
              <w:pStyle w:val="193"/>
            </w:pPr>
            <w:r>
              <w:t>本工程不设取土场，符合标准要求</w:t>
            </w:r>
          </w:p>
        </w:tc>
        <w:tc>
          <w:tcPr>
            <w:tcW w:w="442" w:type="pct"/>
            <w:vAlign w:val="center"/>
          </w:tcPr>
          <w:p>
            <w:pPr>
              <w:pStyle w:val="193"/>
            </w:pPr>
            <w:r>
              <w:t>满足规范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48" w:type="pct"/>
            <w:vAlign w:val="center"/>
          </w:tcPr>
          <w:p>
            <w:pPr>
              <w:pStyle w:val="193"/>
            </w:pPr>
            <w:r>
              <w:rPr>
                <w:rFonts w:hint="eastAsia"/>
              </w:rPr>
              <w:t>5</w:t>
            </w:r>
          </w:p>
        </w:tc>
        <w:tc>
          <w:tcPr>
            <w:tcW w:w="2419" w:type="pct"/>
            <w:vAlign w:val="center"/>
          </w:tcPr>
          <w:p>
            <w:pPr>
              <w:pStyle w:val="193"/>
            </w:pPr>
            <w:r>
              <w:t>严禁在对公共设施、基础设施、工业企业、居民点等有重大影响的区域设置弃土(石、渣、灰、矸石、尾矿)场。</w:t>
            </w:r>
          </w:p>
        </w:tc>
        <w:tc>
          <w:tcPr>
            <w:tcW w:w="1891" w:type="pct"/>
            <w:vAlign w:val="center"/>
          </w:tcPr>
          <w:p>
            <w:pPr>
              <w:pStyle w:val="193"/>
            </w:pPr>
            <w:r>
              <w:t>本工程不设弃土场，符合标准要求。</w:t>
            </w:r>
          </w:p>
        </w:tc>
        <w:tc>
          <w:tcPr>
            <w:tcW w:w="442" w:type="pct"/>
            <w:vAlign w:val="center"/>
          </w:tcPr>
          <w:p>
            <w:pPr>
              <w:pStyle w:val="193"/>
            </w:pPr>
            <w:r>
              <w:t>满足规范</w:t>
            </w:r>
          </w:p>
        </w:tc>
      </w:tr>
    </w:tbl>
    <w:p>
      <w:pPr>
        <w:spacing w:beforeLines="100"/>
        <w:ind w:firstLine="480"/>
      </w:pPr>
      <w:r>
        <w:rPr>
          <w:rFonts w:eastAsia="仿宋_GB2312"/>
        </w:rPr>
        <w:t>根据以上分析，按照主体建设方案，通过对项目区水土流失与水土保持调查，对照《中华人民共和国水土保持法》、《生产建设项目水土保持技术标准》（GB50433-2018）和水保[2007]184号文对主体工程的约束性规定，项目区未涉及饮用水源保护区、自然保护区、世界文化和自然遗产地、风景名胜区、地质公园、森林公园、重要湿地，主体工程选址不涉及泥石流易发区、崩塌滑坡危险区以及易引发严重水土流失和生态恶化的地区</w:t>
      </w:r>
      <w:r>
        <w:rPr>
          <w:rFonts w:hint="eastAsia" w:eastAsia="仿宋_GB2312"/>
        </w:rPr>
        <w:t>。</w:t>
      </w:r>
      <w:r>
        <w:rPr>
          <w:rFonts w:eastAsia="仿宋_GB2312"/>
        </w:rPr>
        <w:t>根据《全国水土保持规划国家级水土流失重点预防区和重点治理区复核划分成果》，</w:t>
      </w:r>
      <w:r>
        <w:rPr>
          <w:rFonts w:hint="eastAsia" w:eastAsia="仿宋_GB2312"/>
        </w:rPr>
        <w:t>第十四师224团（按墨玉县考虑）</w:t>
      </w:r>
      <w:r>
        <w:rPr>
          <w:rFonts w:eastAsia="仿宋_GB2312"/>
        </w:rPr>
        <w:t>属于塔里木河国家级水土流失重点预防区。根据《新疆生产建设兵团水土保持规划（2015-2030）》，</w:t>
      </w:r>
      <w:r>
        <w:rPr>
          <w:rFonts w:hint="eastAsia" w:eastAsia="仿宋_GB2312"/>
        </w:rPr>
        <w:t>第十四师224团</w:t>
      </w:r>
      <w:r>
        <w:rPr>
          <w:rFonts w:eastAsia="仿宋_GB2312"/>
        </w:rPr>
        <w:t>属于</w:t>
      </w:r>
      <w:r>
        <w:rPr>
          <w:rFonts w:hint="eastAsia" w:eastAsia="仿宋_GB2312"/>
        </w:rPr>
        <w:t>塔里木河流域兵团级水土流失重点治理区。执行</w:t>
      </w:r>
      <w:r>
        <w:rPr>
          <w:rFonts w:eastAsia="仿宋_GB2312"/>
        </w:rPr>
        <w:t>北方风沙区</w:t>
      </w:r>
      <w:r>
        <w:rPr>
          <w:rFonts w:hint="eastAsia" w:eastAsia="仿宋_GB2312"/>
        </w:rPr>
        <w:t>建设项目一</w:t>
      </w:r>
      <w:r>
        <w:rPr>
          <w:rFonts w:eastAsia="仿宋_GB2312"/>
        </w:rPr>
        <w:t>级标准</w:t>
      </w:r>
      <w:r>
        <w:rPr>
          <w:rFonts w:hint="eastAsia" w:eastAsia="仿宋_GB2312"/>
        </w:rPr>
        <w:t>，</w:t>
      </w:r>
      <w:r>
        <w:rPr>
          <w:rFonts w:eastAsia="仿宋_GB2312"/>
        </w:rPr>
        <w:t>建设期加强管理，减少地表扰动</w:t>
      </w:r>
      <w:r>
        <w:rPr>
          <w:rFonts w:hint="eastAsia" w:eastAsia="仿宋_GB2312"/>
        </w:rPr>
        <w:t>。</w:t>
      </w:r>
      <w:r>
        <w:rPr>
          <w:rFonts w:eastAsia="仿宋_GB2312"/>
        </w:rPr>
        <w:t>工程征占地范围内不占用全国水土保持网络中的水土保持监测点、重点试验区，不占用国家确定的水土保持长期定位观测站</w:t>
      </w:r>
      <w:r>
        <w:rPr>
          <w:rFonts w:hint="eastAsia" w:eastAsia="仿宋_GB2312"/>
        </w:rPr>
        <w:t>。</w:t>
      </w:r>
    </w:p>
    <w:p>
      <w:pPr>
        <w:ind w:firstLine="480"/>
        <w:rPr>
          <w:rFonts w:eastAsia="仿宋_GB2312"/>
        </w:rPr>
      </w:pPr>
      <w:r>
        <w:rPr>
          <w:rFonts w:eastAsia="仿宋_GB2312"/>
        </w:rPr>
        <w:t>综上所述，对照《中华人民共和国水土保持法》、《关于严格开发建设项目水土保持方案审查审批工作的通知》水保[2007]184号文及《生产建设项目水土保持技术标准》对主体工程的制约性分析认为，该项目</w:t>
      </w:r>
      <w:r>
        <w:rPr>
          <w:rFonts w:hint="eastAsia" w:eastAsia="仿宋_GB2312"/>
        </w:rPr>
        <w:t>基本</w:t>
      </w:r>
      <w:r>
        <w:rPr>
          <w:rFonts w:eastAsia="仿宋_GB2312"/>
        </w:rPr>
        <w:t>符合水土保持的要求，</w:t>
      </w:r>
      <w:r>
        <w:rPr>
          <w:rFonts w:hint="eastAsia" w:eastAsia="仿宋_GB2312"/>
        </w:rPr>
        <w:t>虽然本工程选址无法避让</w:t>
      </w:r>
      <w:r>
        <w:rPr>
          <w:rFonts w:eastAsia="仿宋_GB2312"/>
          <w:bCs/>
        </w:rPr>
        <w:t>塔里木河国家级水土流失重点预防区</w:t>
      </w:r>
      <w:r>
        <w:rPr>
          <w:rFonts w:hint="eastAsia" w:eastAsia="仿宋_GB2312"/>
          <w:bCs/>
        </w:rPr>
        <w:t>和塔里木河流域兵团级水土流失重点治理区</w:t>
      </w:r>
      <w:r>
        <w:rPr>
          <w:rFonts w:eastAsia="仿宋_GB2312"/>
        </w:rPr>
        <w:t>，</w:t>
      </w:r>
      <w:r>
        <w:rPr>
          <w:rFonts w:hint="eastAsia" w:eastAsia="仿宋_GB2312"/>
        </w:rPr>
        <w:t>但通过执行</w:t>
      </w:r>
      <w:r>
        <w:rPr>
          <w:rFonts w:eastAsia="仿宋_GB2312"/>
        </w:rPr>
        <w:t>北方风沙区</w:t>
      </w:r>
      <w:r>
        <w:rPr>
          <w:rFonts w:hint="eastAsia" w:eastAsia="仿宋_GB2312"/>
        </w:rPr>
        <w:t>建设项目一</w:t>
      </w:r>
      <w:r>
        <w:rPr>
          <w:rFonts w:eastAsia="仿宋_GB2312"/>
        </w:rPr>
        <w:t>级标准</w:t>
      </w:r>
      <w:r>
        <w:rPr>
          <w:rFonts w:hint="eastAsia" w:eastAsia="仿宋_GB2312"/>
        </w:rPr>
        <w:t>，</w:t>
      </w:r>
      <w:r>
        <w:rPr>
          <w:rFonts w:eastAsia="仿宋_GB2312"/>
        </w:rPr>
        <w:t>建设期加强管理，减少地表扰动</w:t>
      </w:r>
      <w:r>
        <w:rPr>
          <w:rFonts w:hint="eastAsia" w:eastAsia="仿宋_GB2312"/>
        </w:rPr>
        <w:t>，</w:t>
      </w:r>
      <w:r>
        <w:rPr>
          <w:rFonts w:eastAsia="仿宋_GB2312"/>
        </w:rPr>
        <w:t>项目建设</w:t>
      </w:r>
      <w:r>
        <w:rPr>
          <w:rFonts w:hint="eastAsia" w:eastAsia="仿宋_GB2312"/>
        </w:rPr>
        <w:t>还是</w:t>
      </w:r>
      <w:r>
        <w:rPr>
          <w:rFonts w:eastAsia="仿宋_GB2312"/>
        </w:rPr>
        <w:t>可行</w:t>
      </w:r>
      <w:r>
        <w:rPr>
          <w:rFonts w:hint="eastAsia" w:eastAsia="仿宋_GB2312"/>
        </w:rPr>
        <w:t>的</w:t>
      </w:r>
      <w:r>
        <w:rPr>
          <w:rFonts w:eastAsia="仿宋_GB2312"/>
        </w:rPr>
        <w:t>。</w:t>
      </w:r>
    </w:p>
    <w:p>
      <w:pPr>
        <w:pStyle w:val="3"/>
        <w:widowControl/>
        <w:numPr>
          <w:ilvl w:val="1"/>
          <w:numId w:val="1"/>
        </w:numPr>
        <w:tabs>
          <w:tab w:val="clear" w:pos="1002"/>
        </w:tabs>
        <w:topLinePunct w:val="0"/>
        <w:adjustRightInd/>
        <w:snapToGrid/>
        <w:ind w:left="0" w:firstLine="0"/>
        <w:jc w:val="both"/>
        <w:rPr>
          <w:rFonts w:eastAsia="仿宋_GB2312"/>
        </w:rPr>
      </w:pPr>
      <w:bookmarkStart w:id="189" w:name="_Toc4951127"/>
      <w:bookmarkStart w:id="190" w:name="_Toc47381536"/>
      <w:bookmarkStart w:id="191" w:name="_Toc7801464"/>
      <w:bookmarkStart w:id="192" w:name="_Toc7801397"/>
      <w:bookmarkStart w:id="193" w:name="_Toc7801557"/>
      <w:r>
        <w:rPr>
          <w:rFonts w:eastAsia="仿宋_GB2312"/>
        </w:rPr>
        <w:t>建设方案与布局水土保持评价</w:t>
      </w:r>
      <w:bookmarkEnd w:id="189"/>
      <w:bookmarkEnd w:id="190"/>
      <w:bookmarkEnd w:id="191"/>
      <w:bookmarkEnd w:id="192"/>
      <w:bookmarkEnd w:id="193"/>
    </w:p>
    <w:p>
      <w:pPr>
        <w:pStyle w:val="4"/>
        <w:keepLines/>
        <w:widowControl/>
        <w:numPr>
          <w:ilvl w:val="2"/>
          <w:numId w:val="1"/>
        </w:numPr>
        <w:tabs>
          <w:tab w:val="clear" w:pos="432"/>
          <w:tab w:val="clear" w:pos="960"/>
        </w:tabs>
        <w:kinsoku/>
        <w:overflowPunct/>
        <w:topLinePunct w:val="0"/>
        <w:autoSpaceDE/>
        <w:autoSpaceDN/>
        <w:adjustRightInd/>
        <w:snapToGrid/>
        <w:ind w:left="0" w:firstLine="0"/>
        <w:jc w:val="both"/>
        <w:rPr>
          <w:rFonts w:eastAsia="仿宋_GB2312"/>
        </w:rPr>
      </w:pPr>
      <w:r>
        <w:rPr>
          <w:rFonts w:eastAsia="仿宋_GB2312"/>
        </w:rPr>
        <w:t>建设方案评价</w:t>
      </w:r>
    </w:p>
    <w:p>
      <w:pPr>
        <w:ind w:firstLine="480"/>
        <w:rPr>
          <w:rFonts w:eastAsia="仿宋_GB2312"/>
        </w:rPr>
      </w:pPr>
      <w:bookmarkStart w:id="194" w:name="_Toc202548355"/>
      <w:bookmarkStart w:id="195" w:name="_Toc202548432"/>
      <w:bookmarkStart w:id="196" w:name="_Toc202596734"/>
      <w:r>
        <w:rPr>
          <w:rFonts w:hint="eastAsia" w:eastAsia="仿宋_GB2312"/>
        </w:rPr>
        <w:t>项目主要由管道工程区、附属构筑物区等组成。</w:t>
      </w:r>
    </w:p>
    <w:p>
      <w:pPr>
        <w:ind w:firstLine="480"/>
        <w:rPr>
          <w:rFonts w:eastAsia="仿宋_GB2312"/>
        </w:rPr>
      </w:pPr>
      <w:r>
        <w:rPr>
          <w:rFonts w:eastAsia="仿宋_GB2312"/>
        </w:rPr>
        <w:t>项目区地处</w:t>
      </w:r>
      <w:r>
        <w:rPr>
          <w:rFonts w:hint="eastAsia" w:eastAsia="仿宋_GB2312"/>
        </w:rPr>
        <w:t>新疆生产建设兵团第十四师224团境内</w:t>
      </w:r>
      <w:r>
        <w:rPr>
          <w:rFonts w:eastAsia="仿宋_GB2312"/>
        </w:rPr>
        <w:t>，</w:t>
      </w:r>
      <w:r>
        <w:rPr>
          <w:rFonts w:hint="eastAsia" w:eastAsia="仿宋_GB2312"/>
        </w:rPr>
        <w:t>。</w:t>
      </w:r>
      <w:r>
        <w:rPr>
          <w:rFonts w:eastAsia="仿宋_GB2312"/>
        </w:rPr>
        <w:t>根据《全国水土保持规划国家级水土流失重点预防区和重点治理区复核划分成果》，</w:t>
      </w:r>
      <w:r>
        <w:rPr>
          <w:rFonts w:hint="eastAsia" w:eastAsia="仿宋_GB2312"/>
        </w:rPr>
        <w:t>第十四师224团（按墨玉县考虑）</w:t>
      </w:r>
      <w:r>
        <w:rPr>
          <w:rFonts w:eastAsia="仿宋_GB2312"/>
        </w:rPr>
        <w:t>属于塔里木河国家级水土流失重点预防区。根据《新疆生产建设兵团水土保持规划（2015-2030）》，</w:t>
      </w:r>
      <w:r>
        <w:rPr>
          <w:rFonts w:hint="eastAsia" w:eastAsia="仿宋_GB2312"/>
        </w:rPr>
        <w:t>第十四师224团</w:t>
      </w:r>
      <w:r>
        <w:rPr>
          <w:rFonts w:eastAsia="仿宋_GB2312"/>
        </w:rPr>
        <w:t>属于</w:t>
      </w:r>
      <w:r>
        <w:rPr>
          <w:rFonts w:hint="eastAsia" w:eastAsia="仿宋_GB2312"/>
        </w:rPr>
        <w:t>塔里木河流域兵团级水土流失重点治理区</w:t>
      </w:r>
      <w:r>
        <w:rPr>
          <w:rFonts w:eastAsia="仿宋_GB2312"/>
        </w:rPr>
        <w:t>。按照《生产建设项目水土流失防治标准》（GB/T50434-2018）</w:t>
      </w:r>
      <w:r>
        <w:rPr>
          <w:rFonts w:hint="eastAsia" w:eastAsia="仿宋_GB2312"/>
        </w:rPr>
        <w:t>及《全国水土保持区划（试行）》</w:t>
      </w:r>
      <w:r>
        <w:rPr>
          <w:rFonts w:eastAsia="仿宋_GB2312"/>
        </w:rPr>
        <w:t>的基本要求和规定，本工程水土流失防治执行北方风沙区建设类一级防治标准</w:t>
      </w:r>
      <w:r>
        <w:rPr>
          <w:rFonts w:hint="eastAsia" w:eastAsia="仿宋_GB2312"/>
        </w:rPr>
        <w:t>。主体工程通过优化工程布局、建设方案、施工工艺，尽量减少扰动地表和破坏植被范围，减少工程土石方数量。</w:t>
      </w:r>
    </w:p>
    <w:p>
      <w:pPr>
        <w:ind w:firstLine="480"/>
        <w:rPr>
          <w:rFonts w:eastAsia="仿宋_GB2312"/>
        </w:rPr>
      </w:pPr>
      <w:r>
        <w:rPr>
          <w:rFonts w:hint="eastAsia" w:eastAsia="仿宋_GB2312"/>
        </w:rPr>
        <w:t>本工程属线型建设项目，但土方挖方相对较小，建设场地的布置方式、工程占地、施工总体布局、施工组织、施工工艺和方法等的选择合理，不仅有利于经济、高效和施工方便，而且有利于开挖工程量，减少施工扰动原地貌和植被面积，减轻人为水土流失。</w:t>
      </w:r>
    </w:p>
    <w:p>
      <w:pPr>
        <w:ind w:firstLine="480"/>
        <w:rPr>
          <w:rFonts w:eastAsia="仿宋_GB2312"/>
        </w:rPr>
      </w:pPr>
      <w:r>
        <w:rPr>
          <w:rFonts w:hint="eastAsia" w:eastAsia="仿宋_GB2312"/>
        </w:rPr>
        <w:t>工程周边交通极为便利，小区外均有已建市政道路通往本项目建设区施工场地。</w:t>
      </w:r>
    </w:p>
    <w:p>
      <w:pPr>
        <w:ind w:firstLine="480"/>
        <w:rPr>
          <w:rFonts w:eastAsia="仿宋_GB2312"/>
        </w:rPr>
      </w:pPr>
      <w:r>
        <w:rPr>
          <w:rFonts w:hint="eastAsia" w:eastAsia="仿宋_GB2312"/>
        </w:rPr>
        <w:t>本工程施工工区、施工营地等进行了优化设计、布局紧凑，有效规划了占地范围，进而减少了地表扰动；同时根据场地标高，并与地块场平相结合，实现整个地块土方的综合利用，大大降低了土方开挖及回填，减少了临时堆土由于风蚀而引发的水土流失。</w:t>
      </w:r>
    </w:p>
    <w:p>
      <w:pPr>
        <w:ind w:firstLine="480"/>
        <w:rPr>
          <w:rFonts w:eastAsia="仿宋_GB2312"/>
        </w:rPr>
      </w:pPr>
      <w:r>
        <w:rPr>
          <w:rFonts w:hint="eastAsia" w:eastAsia="仿宋_GB2312"/>
        </w:rPr>
        <w:t>通过咨询当地水行政主管部门，工程选址区域内不存在泥石流易发区、崩塌滑坡危险区，也不存在引起严重水土流失和生态恶化的区域；同时，工程选址范围内无全国水土保持监测网络中的水土保持监测站点、重点试验站以及国家确定的水土保持长期定位观测站。</w:t>
      </w:r>
    </w:p>
    <w:p>
      <w:pPr>
        <w:ind w:firstLine="480"/>
        <w:rPr>
          <w:rFonts w:eastAsia="仿宋_GB2312"/>
        </w:rPr>
      </w:pPr>
      <w:r>
        <w:rPr>
          <w:rFonts w:hint="eastAsia" w:eastAsia="仿宋_GB2312"/>
        </w:rPr>
        <w:t>综上所述，主体工程选址不存在制约性因素和限制性因素。项目总体布局不仅减少了工程占地及土石方开挖量，对施工迹地采取一定的整治措施，有效地减少项目区的水土流失，尽量将工程占地的不利影响减少到最低程度，项目建设方案与布局不存在水土保持制约性因素。</w:t>
      </w:r>
    </w:p>
    <w:p>
      <w:pPr>
        <w:pStyle w:val="4"/>
        <w:keepLines/>
        <w:widowControl/>
        <w:numPr>
          <w:ilvl w:val="2"/>
          <w:numId w:val="1"/>
        </w:numPr>
        <w:tabs>
          <w:tab w:val="clear" w:pos="432"/>
          <w:tab w:val="clear" w:pos="960"/>
        </w:tabs>
        <w:kinsoku/>
        <w:overflowPunct/>
        <w:topLinePunct w:val="0"/>
        <w:autoSpaceDE/>
        <w:autoSpaceDN/>
        <w:adjustRightInd/>
        <w:snapToGrid/>
        <w:ind w:left="0" w:firstLine="0"/>
        <w:jc w:val="both"/>
        <w:rPr>
          <w:rFonts w:eastAsia="仿宋_GB2312"/>
        </w:rPr>
      </w:pPr>
      <w:bookmarkStart w:id="197" w:name="_Toc272768026"/>
      <w:bookmarkStart w:id="198" w:name="_Toc268853477"/>
      <w:bookmarkStart w:id="199" w:name="_Toc249515085"/>
      <w:bookmarkStart w:id="200" w:name="_Toc259890504"/>
      <w:r>
        <w:rPr>
          <w:rFonts w:eastAsia="仿宋_GB2312"/>
        </w:rPr>
        <w:t>工程占地评价</w:t>
      </w:r>
      <w:bookmarkEnd w:id="197"/>
      <w:bookmarkEnd w:id="198"/>
      <w:bookmarkEnd w:id="199"/>
      <w:bookmarkEnd w:id="200"/>
    </w:p>
    <w:p>
      <w:pPr>
        <w:ind w:firstLine="480"/>
        <w:rPr>
          <w:rFonts w:eastAsia="仿宋_GB2312"/>
        </w:rPr>
      </w:pPr>
      <w:r>
        <w:rPr>
          <w:rFonts w:hint="eastAsia" w:eastAsia="仿宋_GB2312"/>
        </w:rPr>
        <w:t>项目区位于冲洪积平原区，建设区地势相对较为平坦，总体南高北低。本项目建设区1.84</w:t>
      </w:r>
      <w:r>
        <w:rPr>
          <w:rFonts w:eastAsia="仿宋_GB2312"/>
        </w:rPr>
        <w:t>hm²</w:t>
      </w:r>
      <w:r>
        <w:rPr>
          <w:rFonts w:hint="eastAsia" w:eastAsia="仿宋_GB2312"/>
        </w:rPr>
        <w:t>，其中永久占地0.11</w:t>
      </w:r>
      <w:r>
        <w:rPr>
          <w:rFonts w:eastAsia="仿宋_GB2312"/>
        </w:rPr>
        <w:t>hm²</w:t>
      </w:r>
      <w:r>
        <w:rPr>
          <w:rFonts w:hint="eastAsia" w:eastAsia="仿宋_GB2312"/>
        </w:rPr>
        <w:t>，临时占地1.73</w:t>
      </w:r>
      <w:r>
        <w:rPr>
          <w:rFonts w:eastAsia="仿宋_GB2312"/>
        </w:rPr>
        <w:t>hm²</w:t>
      </w:r>
      <w:r>
        <w:rPr>
          <w:rFonts w:hint="eastAsia" w:eastAsia="仿宋_GB2312"/>
        </w:rPr>
        <w:t>。土地利用类型为建设用地，占地符合《生产建设项目水土保持技术标准》的相关规定，不占用基本农田等生产力较高的土地，有利于保护水土资源。项目区原生植被覆盖度约为10</w:t>
      </w:r>
      <w:r>
        <w:rPr>
          <w:rFonts w:eastAsia="仿宋_GB2312"/>
        </w:rPr>
        <w:t>%</w:t>
      </w:r>
      <w:r>
        <w:rPr>
          <w:rFonts w:hint="eastAsia" w:eastAsia="仿宋_GB2312"/>
        </w:rPr>
        <w:t>，生产力相对较低，所以本工程建设不会对当地的农牧业生产造成影响。</w:t>
      </w:r>
    </w:p>
    <w:p>
      <w:pPr>
        <w:ind w:firstLine="480"/>
        <w:rPr>
          <w:rFonts w:eastAsia="仿宋_GB2312"/>
        </w:rPr>
      </w:pPr>
      <w:r>
        <w:rPr>
          <w:rFonts w:hint="eastAsia" w:eastAsia="仿宋_GB2312"/>
        </w:rPr>
        <w:t>占地性质分析：本工程占地除阀井为永久占地外，其余均为临时占地。项目建设工程中对施工作业带两侧实施限界措施，禁止机械和人为活动对周边地表产生扰动破坏，对管沟开挖临时堆土根据施工工序临时堆放在管沟一侧并采取苫盖措施，管道施工结束后回填基础开挖土方，符合水土保持要求，控制了新增施工占地扰动、减少了水土流失范围。</w:t>
      </w:r>
    </w:p>
    <w:p>
      <w:pPr>
        <w:ind w:firstLine="480"/>
        <w:rPr>
          <w:rFonts w:eastAsia="仿宋_GB2312"/>
        </w:rPr>
      </w:pPr>
      <w:r>
        <w:rPr>
          <w:rFonts w:hint="eastAsia" w:eastAsia="仿宋_GB2312"/>
        </w:rPr>
        <w:t>占地面积分析：根据主体设计资料，本工程占地1.84</w:t>
      </w:r>
      <w:r>
        <w:rPr>
          <w:rFonts w:eastAsia="仿宋_GB2312"/>
        </w:rPr>
        <w:t>hm²</w:t>
      </w:r>
      <w:r>
        <w:rPr>
          <w:rFonts w:hint="eastAsia" w:eastAsia="仿宋_GB2312"/>
        </w:rPr>
        <w:t>，在施工过程中减少了工程占地面积、缩短了施工工期、降低了对项目区生态环境的扰动和破坏。从水土保持角度考虑，主体工程占地合理，符合水土保持要求。</w:t>
      </w:r>
    </w:p>
    <w:p>
      <w:pPr>
        <w:ind w:firstLine="480"/>
        <w:rPr>
          <w:rFonts w:eastAsia="仿宋_GB2312"/>
        </w:rPr>
      </w:pPr>
      <w:r>
        <w:rPr>
          <w:rFonts w:hint="eastAsia" w:eastAsia="仿宋_GB2312"/>
        </w:rPr>
        <w:t>占地可恢复性分析：由于本项目占用的是建设用地，施工作业区大部分为硬化道路，因此本项目不采取植物措施，但施工结束后需对施工区域进行土地平整。</w:t>
      </w:r>
    </w:p>
    <w:p>
      <w:pPr>
        <w:ind w:firstLine="480"/>
        <w:rPr>
          <w:rFonts w:eastAsia="仿宋_GB2312"/>
          <w:color w:val="FF0000"/>
        </w:rPr>
      </w:pPr>
      <w:r>
        <w:rPr>
          <w:rFonts w:hint="eastAsia" w:eastAsia="仿宋_GB2312"/>
        </w:rPr>
        <w:t>综上所述，本方案占地面积合理，场地利用系数较高，达到行业占地规模要求，无乱占多占现象，无遗漏占地等情况，总体符合水土保持要求。在下阶段的详细设计工作中，还需对各功能分区进一步优化，更加集约和高效使用土地，施工过程中应当严格控制扰动面积。</w:t>
      </w:r>
    </w:p>
    <w:p>
      <w:pPr>
        <w:pStyle w:val="4"/>
        <w:keepLines/>
        <w:widowControl/>
        <w:numPr>
          <w:ilvl w:val="2"/>
          <w:numId w:val="1"/>
        </w:numPr>
        <w:tabs>
          <w:tab w:val="clear" w:pos="432"/>
          <w:tab w:val="clear" w:pos="960"/>
        </w:tabs>
        <w:kinsoku/>
        <w:overflowPunct/>
        <w:topLinePunct w:val="0"/>
        <w:autoSpaceDE/>
        <w:autoSpaceDN/>
        <w:adjustRightInd/>
        <w:snapToGrid/>
        <w:ind w:left="0" w:firstLine="0"/>
        <w:jc w:val="both"/>
        <w:rPr>
          <w:rFonts w:eastAsia="仿宋_GB2312"/>
        </w:rPr>
      </w:pPr>
      <w:r>
        <w:rPr>
          <w:rFonts w:eastAsia="仿宋_GB2312"/>
        </w:rPr>
        <w:t>土石方平衡评价</w:t>
      </w:r>
    </w:p>
    <w:p>
      <w:pPr>
        <w:ind w:firstLine="480"/>
        <w:rPr>
          <w:rFonts w:eastAsia="仿宋_GB2312"/>
        </w:rPr>
      </w:pPr>
      <w:r>
        <w:rPr>
          <w:rFonts w:eastAsia="仿宋_GB2312"/>
        </w:rPr>
        <w:t>土石方工程主要集中在施工期。建设工程中土石方主要来源于</w:t>
      </w:r>
      <w:r>
        <w:rPr>
          <w:rFonts w:hint="eastAsia" w:eastAsia="仿宋_GB2312"/>
        </w:rPr>
        <w:t>附属建筑物</w:t>
      </w:r>
      <w:r>
        <w:rPr>
          <w:rFonts w:eastAsia="仿宋_GB2312"/>
        </w:rPr>
        <w:t>基础开挖回填</w:t>
      </w:r>
      <w:r>
        <w:rPr>
          <w:rFonts w:hint="eastAsia" w:eastAsia="仿宋_GB2312"/>
        </w:rPr>
        <w:t>、管沟开挖回填、场地平整</w:t>
      </w:r>
      <w:r>
        <w:rPr>
          <w:rFonts w:eastAsia="仿宋_GB2312"/>
        </w:rPr>
        <w:t>等。本工程开挖总量为</w:t>
      </w:r>
      <w:r>
        <w:rPr>
          <w:rFonts w:hint="eastAsia" w:eastAsia="仿宋_GB2312"/>
        </w:rPr>
        <w:t>0.68万</w:t>
      </w:r>
      <w:r>
        <w:rPr>
          <w:rFonts w:eastAsia="仿宋_GB2312"/>
        </w:rPr>
        <w:t>m</w:t>
      </w:r>
      <w:r>
        <w:rPr>
          <w:rFonts w:eastAsia="仿宋_GB2312"/>
          <w:vertAlign w:val="superscript"/>
        </w:rPr>
        <w:t>3</w:t>
      </w:r>
      <w:r>
        <w:rPr>
          <w:rFonts w:eastAsia="仿宋_GB2312"/>
        </w:rPr>
        <w:t>，土方填筑总量为</w:t>
      </w:r>
      <w:r>
        <w:rPr>
          <w:rFonts w:hint="eastAsia" w:eastAsia="仿宋_GB2312"/>
        </w:rPr>
        <w:t>0.68万</w:t>
      </w:r>
      <w:r>
        <w:rPr>
          <w:rFonts w:eastAsia="仿宋_GB2312"/>
        </w:rPr>
        <w:t>m</w:t>
      </w:r>
      <w:r>
        <w:rPr>
          <w:rFonts w:eastAsia="仿宋_GB2312"/>
          <w:vertAlign w:val="superscript"/>
        </w:rPr>
        <w:t>3</w:t>
      </w:r>
      <w:r>
        <w:rPr>
          <w:rFonts w:hint="eastAsia" w:eastAsia="仿宋_GB2312"/>
        </w:rPr>
        <w:t>，开挖土方通过内部调运大部分土方回填利用，剩余土方平摊至施工范围内</w:t>
      </w:r>
      <w:r>
        <w:rPr>
          <w:rFonts w:eastAsia="仿宋_GB2312"/>
        </w:rPr>
        <w:t>，</w:t>
      </w:r>
      <w:r>
        <w:rPr>
          <w:rFonts w:hint="eastAsia" w:eastAsia="仿宋_GB2312"/>
        </w:rPr>
        <w:t>无外借，无永久弃渣</w:t>
      </w:r>
      <w:r>
        <w:rPr>
          <w:rFonts w:eastAsia="仿宋_GB2312"/>
        </w:rPr>
        <w:t>。不需设置专门的永久弃渣场，从总量上看，整个项目建设区土石方配置合理</w:t>
      </w:r>
      <w:r>
        <w:rPr>
          <w:rFonts w:hint="eastAsia" w:eastAsia="仿宋_GB2312"/>
        </w:rPr>
        <w:t>，无遗漏情况</w:t>
      </w:r>
      <w:r>
        <w:rPr>
          <w:rFonts w:eastAsia="仿宋_GB2312"/>
        </w:rPr>
        <w:t>。</w:t>
      </w:r>
      <w:r>
        <w:rPr>
          <w:rFonts w:hint="eastAsia" w:eastAsia="仿宋_GB2312"/>
          <w:color w:val="000000"/>
        </w:rPr>
        <w:t>本项目仅有少量路面拆除垃圾运至垃圾场处理。</w:t>
      </w:r>
    </w:p>
    <w:p>
      <w:pPr>
        <w:ind w:firstLine="480"/>
        <w:rPr>
          <w:rFonts w:eastAsia="仿宋_GB2312"/>
        </w:rPr>
      </w:pPr>
      <w:r>
        <w:rPr>
          <w:rFonts w:eastAsia="仿宋_GB2312"/>
        </w:rPr>
        <w:t>场地平整和管沟开挖时采取移挖作填的方式进行平整，</w:t>
      </w:r>
      <w:r>
        <w:rPr>
          <w:rFonts w:hint="eastAsia" w:eastAsia="仿宋_GB2312"/>
        </w:rPr>
        <w:t>各阀井基础开挖土方临时堆放在基础四周，并设置苫盖措施减少流失量</w:t>
      </w:r>
      <w:r>
        <w:rPr>
          <w:rFonts w:eastAsia="仿宋_GB2312"/>
        </w:rPr>
        <w:t>，基础施工结束将工程区开挖土石方就地回填于开挖区及</w:t>
      </w:r>
      <w:r>
        <w:rPr>
          <w:rFonts w:hint="eastAsia" w:eastAsia="仿宋_GB2312"/>
        </w:rPr>
        <w:t>占地范围内平摊</w:t>
      </w:r>
      <w:r>
        <w:rPr>
          <w:rFonts w:eastAsia="仿宋_GB2312"/>
        </w:rPr>
        <w:t>使用</w:t>
      </w:r>
      <w:r>
        <w:rPr>
          <w:rFonts w:hint="eastAsia" w:eastAsia="仿宋_GB2312"/>
        </w:rPr>
        <w:t>。</w:t>
      </w:r>
      <w:r>
        <w:rPr>
          <w:rFonts w:eastAsia="仿宋_GB2312"/>
        </w:rPr>
        <w:t>管沟开挖</w:t>
      </w:r>
      <w:r>
        <w:rPr>
          <w:rFonts w:hint="eastAsia" w:eastAsia="仿宋_GB2312"/>
        </w:rPr>
        <w:t>的土方</w:t>
      </w:r>
      <w:r>
        <w:rPr>
          <w:rFonts w:eastAsia="仿宋_GB2312"/>
        </w:rPr>
        <w:t>，堆置在施工作业带一侧，随挖随填，能有效缩短松散土体裸露堆放时间，减少水土流失量，符合水土保持要求。</w:t>
      </w:r>
    </w:p>
    <w:p>
      <w:pPr>
        <w:ind w:firstLine="480"/>
        <w:rPr>
          <w:rFonts w:eastAsia="仿宋_GB2312"/>
        </w:rPr>
      </w:pPr>
      <w:r>
        <w:rPr>
          <w:rFonts w:hint="eastAsia" w:eastAsia="仿宋_GB2312"/>
        </w:rPr>
        <w:t>本工程所在区主要占用的是建设用地，施工作业区大部分为硬化道路，故不适宜采取表土剥离措施。</w:t>
      </w:r>
    </w:p>
    <w:p>
      <w:pPr>
        <w:ind w:firstLine="480"/>
        <w:rPr>
          <w:rFonts w:eastAsia="仿宋_GB2312"/>
        </w:rPr>
      </w:pPr>
      <w:r>
        <w:rPr>
          <w:rFonts w:hint="eastAsia" w:eastAsia="仿宋_GB2312"/>
        </w:rPr>
        <w:t>综上所述，本工程挖填土石方来源及去向明确，土石方利用和调配合理、有序；土石方组成符合要求，运距合理，回填措施，符合水土保持和生态建设的要求。因项目区常年多风易产生水土流失，为此，应加强施工过程中的临时拦挡措施。本工程土方开挖回填均较为合理，没有二次调运，减少了由于土方调运造成的水土流失，通过本方案补充的水保措施可以有效减少工程建设过程中造成的水土流失。</w:t>
      </w:r>
    </w:p>
    <w:p>
      <w:pPr>
        <w:pStyle w:val="4"/>
        <w:keepLines/>
        <w:widowControl/>
        <w:numPr>
          <w:ilvl w:val="2"/>
          <w:numId w:val="1"/>
        </w:numPr>
        <w:tabs>
          <w:tab w:val="clear" w:pos="432"/>
          <w:tab w:val="clear" w:pos="960"/>
        </w:tabs>
        <w:kinsoku/>
        <w:overflowPunct/>
        <w:topLinePunct w:val="0"/>
        <w:autoSpaceDE/>
        <w:autoSpaceDN/>
        <w:adjustRightInd/>
        <w:snapToGrid/>
        <w:ind w:left="0" w:firstLine="0"/>
        <w:jc w:val="both"/>
        <w:rPr>
          <w:rFonts w:eastAsia="仿宋_GB2312"/>
        </w:rPr>
      </w:pPr>
      <w:r>
        <w:rPr>
          <w:rFonts w:eastAsia="仿宋_GB2312"/>
        </w:rPr>
        <w:t>取土（石、砂）场设置评价</w:t>
      </w:r>
    </w:p>
    <w:p>
      <w:pPr>
        <w:ind w:firstLine="480"/>
        <w:rPr>
          <w:rFonts w:eastAsia="仿宋_GB2312"/>
        </w:rPr>
      </w:pPr>
      <w:r>
        <w:rPr>
          <w:rFonts w:hint="eastAsia" w:eastAsia="仿宋_GB2312"/>
        </w:rPr>
        <w:t>本工程不设取土场，建设所需的砂石料均从正规料场外购，施工单位在购买砂、石料时必须选择经过当地水行政部门批准核发、具有土石料开采资证的料场，并在购销合同中明确由供料方承担取料和运输过程中的水土流失防治责任。</w:t>
      </w:r>
    </w:p>
    <w:p>
      <w:pPr>
        <w:pStyle w:val="4"/>
        <w:keepLines/>
        <w:widowControl/>
        <w:numPr>
          <w:ilvl w:val="2"/>
          <w:numId w:val="1"/>
        </w:numPr>
        <w:tabs>
          <w:tab w:val="clear" w:pos="432"/>
          <w:tab w:val="clear" w:pos="960"/>
        </w:tabs>
        <w:kinsoku/>
        <w:overflowPunct/>
        <w:topLinePunct w:val="0"/>
        <w:autoSpaceDE/>
        <w:autoSpaceDN/>
        <w:adjustRightInd/>
        <w:snapToGrid/>
        <w:ind w:left="0" w:firstLine="0"/>
        <w:jc w:val="both"/>
        <w:rPr>
          <w:rFonts w:eastAsia="仿宋_GB2312"/>
        </w:rPr>
      </w:pPr>
      <w:r>
        <w:rPr>
          <w:rFonts w:eastAsia="仿宋_GB2312"/>
        </w:rPr>
        <w:t>弃土（石、渣、灰、矸石、尾矿）场设置评价</w:t>
      </w:r>
    </w:p>
    <w:bookmarkEnd w:id="194"/>
    <w:bookmarkEnd w:id="195"/>
    <w:bookmarkEnd w:id="196"/>
    <w:p>
      <w:pPr>
        <w:ind w:firstLine="480"/>
        <w:rPr>
          <w:rFonts w:eastAsia="仿宋_GB2312"/>
        </w:rPr>
      </w:pPr>
      <w:bookmarkStart w:id="201" w:name="_Toc268853479"/>
      <w:bookmarkStart w:id="202" w:name="_Toc272768028"/>
      <w:bookmarkStart w:id="203" w:name="_Toc259890506"/>
      <w:bookmarkStart w:id="204" w:name="_Toc249515087"/>
      <w:r>
        <w:rPr>
          <w:rFonts w:eastAsia="仿宋_GB2312"/>
        </w:rPr>
        <w:t>本项目不涉及弃渣场，项目建设期土方主要来源于各建构筑物基础开挖与回填</w:t>
      </w:r>
      <w:r>
        <w:rPr>
          <w:rFonts w:hint="eastAsia" w:eastAsia="仿宋_GB2312"/>
        </w:rPr>
        <w:t>、管沟开挖回填、场地平整</w:t>
      </w:r>
      <w:r>
        <w:rPr>
          <w:rFonts w:eastAsia="仿宋_GB2312"/>
        </w:rPr>
        <w:t>，通过合理调配利用，土方均回用于建设区，无弃方。</w:t>
      </w:r>
      <w:r>
        <w:rPr>
          <w:rFonts w:hint="eastAsia" w:eastAsia="仿宋_GB2312"/>
          <w:color w:val="000000"/>
        </w:rPr>
        <w:t>本项目仅有少量路面拆除垃圾运至垃圾场处理。</w:t>
      </w:r>
    </w:p>
    <w:p>
      <w:pPr>
        <w:pStyle w:val="4"/>
        <w:keepLines/>
        <w:widowControl/>
        <w:numPr>
          <w:ilvl w:val="2"/>
          <w:numId w:val="1"/>
        </w:numPr>
        <w:tabs>
          <w:tab w:val="clear" w:pos="432"/>
          <w:tab w:val="clear" w:pos="960"/>
        </w:tabs>
        <w:kinsoku/>
        <w:overflowPunct/>
        <w:topLinePunct w:val="0"/>
        <w:autoSpaceDE/>
        <w:autoSpaceDN/>
        <w:adjustRightInd/>
        <w:snapToGrid/>
        <w:ind w:left="0" w:firstLine="0"/>
        <w:jc w:val="both"/>
        <w:rPr>
          <w:rFonts w:eastAsia="仿宋_GB2312"/>
        </w:rPr>
      </w:pPr>
      <w:r>
        <w:rPr>
          <w:rFonts w:eastAsia="仿宋_GB2312"/>
        </w:rPr>
        <w:t>施工方法与工艺评价</w:t>
      </w:r>
      <w:bookmarkEnd w:id="201"/>
      <w:bookmarkEnd w:id="202"/>
      <w:bookmarkEnd w:id="203"/>
      <w:bookmarkEnd w:id="204"/>
    </w:p>
    <w:p>
      <w:pPr>
        <w:ind w:firstLine="480"/>
        <w:rPr>
          <w:rFonts w:eastAsia="仿宋_GB2312"/>
        </w:rPr>
      </w:pPr>
      <w:r>
        <w:rPr>
          <w:rFonts w:eastAsia="仿宋_GB2312"/>
        </w:rPr>
        <w:t>一、施工布置分析</w:t>
      </w:r>
    </w:p>
    <w:p>
      <w:pPr>
        <w:ind w:firstLine="480"/>
        <w:rPr>
          <w:rFonts w:eastAsia="仿宋_GB2312"/>
        </w:rPr>
      </w:pPr>
      <w:r>
        <w:rPr>
          <w:rFonts w:eastAsia="仿宋_GB2312"/>
        </w:rPr>
        <w:t>1、施工营地</w:t>
      </w:r>
    </w:p>
    <w:p>
      <w:pPr>
        <w:ind w:firstLine="480"/>
        <w:rPr>
          <w:rFonts w:eastAsia="仿宋_GB2312"/>
        </w:rPr>
      </w:pPr>
      <w:r>
        <w:rPr>
          <w:rFonts w:eastAsia="仿宋_GB2312"/>
        </w:rPr>
        <w:t>本项目建设施工营地均</w:t>
      </w:r>
      <w:r>
        <w:rPr>
          <w:rFonts w:hint="eastAsia" w:eastAsia="仿宋_GB2312"/>
        </w:rPr>
        <w:t>租用当地民宅</w:t>
      </w:r>
      <w:r>
        <w:rPr>
          <w:rFonts w:eastAsia="仿宋_GB2312"/>
        </w:rPr>
        <w:t>，不</w:t>
      </w:r>
      <w:r>
        <w:rPr>
          <w:rFonts w:hint="eastAsia" w:eastAsia="仿宋_GB2312"/>
        </w:rPr>
        <w:t>再项目区外</w:t>
      </w:r>
      <w:r>
        <w:rPr>
          <w:rFonts w:eastAsia="仿宋_GB2312"/>
        </w:rPr>
        <w:t>新增施工营地，符合少占地的要求。</w:t>
      </w:r>
    </w:p>
    <w:p>
      <w:pPr>
        <w:ind w:firstLine="480"/>
        <w:rPr>
          <w:rFonts w:eastAsia="仿宋_GB2312"/>
        </w:rPr>
      </w:pPr>
      <w:r>
        <w:rPr>
          <w:rFonts w:eastAsia="仿宋_GB2312"/>
        </w:rPr>
        <w:t>2、施工材料</w:t>
      </w:r>
    </w:p>
    <w:p>
      <w:pPr>
        <w:ind w:firstLine="480"/>
        <w:rPr>
          <w:rFonts w:eastAsia="仿宋_GB2312"/>
        </w:rPr>
      </w:pPr>
      <w:r>
        <w:rPr>
          <w:rFonts w:eastAsia="仿宋_GB2312"/>
        </w:rPr>
        <w:t>该项目建设施工所需材料均从当地购置，施工所需的砂砾料均从具有正规生产许可证的厂家购买，不存在乱挖砂、取土和石料的情况，符合水土保持要求。</w:t>
      </w:r>
    </w:p>
    <w:p>
      <w:pPr>
        <w:ind w:firstLine="480"/>
        <w:rPr>
          <w:rFonts w:eastAsia="仿宋_GB2312"/>
        </w:rPr>
      </w:pPr>
      <w:r>
        <w:rPr>
          <w:rFonts w:hint="eastAsia" w:eastAsia="仿宋_GB2312"/>
        </w:rPr>
        <w:t>三、施工工艺分析</w:t>
      </w:r>
    </w:p>
    <w:p>
      <w:pPr>
        <w:ind w:firstLine="480"/>
        <w:rPr>
          <w:rFonts w:eastAsia="仿宋_GB2312"/>
        </w:rPr>
      </w:pPr>
      <w:r>
        <w:rPr>
          <w:rFonts w:eastAsia="仿宋_GB2312"/>
        </w:rPr>
        <w:t>管沟敷设施工工艺：主体工程设计采取分段施工，沟槽开挖以机械为主，辅以人工开挖，管沟断面形式采用梯形，沟底宽度根据管径、土质、施工方法等确定。管沟</w:t>
      </w:r>
      <w:r>
        <w:rPr>
          <w:rFonts w:hint="eastAsia" w:eastAsia="仿宋_GB2312"/>
        </w:rPr>
        <w:t>开挖土方临时</w:t>
      </w:r>
      <w:r>
        <w:rPr>
          <w:rFonts w:eastAsia="仿宋_GB2312"/>
        </w:rPr>
        <w:t>堆置在施工作业带一侧</w:t>
      </w:r>
      <w:r>
        <w:rPr>
          <w:rFonts w:hint="eastAsia" w:eastAsia="仿宋_GB2312"/>
        </w:rPr>
        <w:t>并采取防护措施</w:t>
      </w:r>
      <w:r>
        <w:rPr>
          <w:rFonts w:eastAsia="仿宋_GB2312"/>
        </w:rPr>
        <w:t>，</w:t>
      </w:r>
      <w:r>
        <w:rPr>
          <w:rFonts w:hint="eastAsia" w:eastAsia="仿宋_GB2312"/>
        </w:rPr>
        <w:t>施工结束后立即回填</w:t>
      </w:r>
      <w:r>
        <w:rPr>
          <w:rFonts w:eastAsia="仿宋_GB2312"/>
        </w:rPr>
        <w:t>，符合水土保持的要求。</w:t>
      </w:r>
    </w:p>
    <w:p>
      <w:pPr>
        <w:ind w:firstLine="480"/>
        <w:rPr>
          <w:rFonts w:eastAsia="仿宋_GB2312"/>
        </w:rPr>
      </w:pPr>
      <w:r>
        <w:rPr>
          <w:rFonts w:hint="eastAsia" w:eastAsia="仿宋_GB2312"/>
        </w:rPr>
        <w:t>管道附属构筑物施工工艺：本项目管道附属建筑物施工分散，</w:t>
      </w:r>
      <w:r>
        <w:rPr>
          <w:rFonts w:eastAsia="仿宋_GB2312"/>
        </w:rPr>
        <w:t>主体工程设计</w:t>
      </w:r>
      <w:r>
        <w:rPr>
          <w:rFonts w:hint="eastAsia" w:eastAsia="仿宋_GB2312"/>
        </w:rPr>
        <w:t>构筑物施工可与管道施工同步进行，附属建筑物基础开挖的土方施工期间临时</w:t>
      </w:r>
      <w:r>
        <w:rPr>
          <w:rFonts w:eastAsia="仿宋_GB2312"/>
        </w:rPr>
        <w:t>堆置在</w:t>
      </w:r>
      <w:r>
        <w:rPr>
          <w:rFonts w:hint="eastAsia" w:eastAsia="仿宋_GB2312"/>
        </w:rPr>
        <w:t>基础四周并采取防护措施</w:t>
      </w:r>
      <w:r>
        <w:rPr>
          <w:rFonts w:eastAsia="仿宋_GB2312"/>
        </w:rPr>
        <w:t>，</w:t>
      </w:r>
      <w:r>
        <w:rPr>
          <w:rFonts w:hint="eastAsia" w:eastAsia="仿宋_GB2312"/>
        </w:rPr>
        <w:t>施工结束后立即回填</w:t>
      </w:r>
      <w:r>
        <w:rPr>
          <w:rFonts w:eastAsia="仿宋_GB2312"/>
        </w:rPr>
        <w:t>，符合水土保持的要求。</w:t>
      </w:r>
    </w:p>
    <w:p>
      <w:pPr>
        <w:ind w:firstLine="480"/>
        <w:rPr>
          <w:rFonts w:eastAsia="仿宋_GB2312"/>
        </w:rPr>
      </w:pPr>
      <w:r>
        <w:rPr>
          <w:rFonts w:hint="eastAsia" w:eastAsia="仿宋_GB2312"/>
        </w:rPr>
        <w:t>四</w:t>
      </w:r>
      <w:r>
        <w:rPr>
          <w:rFonts w:eastAsia="仿宋_GB2312"/>
        </w:rPr>
        <w:t>、施工时序分析</w:t>
      </w:r>
    </w:p>
    <w:p>
      <w:pPr>
        <w:ind w:firstLine="480"/>
        <w:rPr>
          <w:rFonts w:eastAsia="仿宋_GB2312"/>
        </w:rPr>
      </w:pPr>
      <w:r>
        <w:rPr>
          <w:rFonts w:eastAsia="仿宋_GB2312"/>
        </w:rPr>
        <w:t>主体工程设计中要求土方开挖、回填等对水土流失影响较大的工程避开大雨、大风天气，当必须施工时，采取适当的临时措施防治水土流失，符合水土流失防治要求。</w:t>
      </w:r>
    </w:p>
    <w:p>
      <w:pPr>
        <w:ind w:firstLine="480"/>
      </w:pPr>
      <w:r>
        <w:rPr>
          <w:rFonts w:eastAsia="仿宋_GB2312"/>
        </w:rPr>
        <w:t>总体来看，工程施工工艺基本合理，通过加强临时防护和施工组织设计优化，能够减少新增水土流失。</w:t>
      </w:r>
    </w:p>
    <w:p>
      <w:pPr>
        <w:pStyle w:val="4"/>
        <w:keepLines/>
        <w:widowControl/>
        <w:numPr>
          <w:ilvl w:val="2"/>
          <w:numId w:val="1"/>
        </w:numPr>
        <w:tabs>
          <w:tab w:val="clear" w:pos="432"/>
          <w:tab w:val="clear" w:pos="960"/>
        </w:tabs>
        <w:kinsoku/>
        <w:overflowPunct/>
        <w:topLinePunct w:val="0"/>
        <w:autoSpaceDE/>
        <w:autoSpaceDN/>
        <w:adjustRightInd/>
        <w:snapToGrid/>
        <w:ind w:left="0" w:firstLine="0"/>
        <w:jc w:val="both"/>
        <w:rPr>
          <w:rFonts w:eastAsia="仿宋_GB2312"/>
        </w:rPr>
      </w:pPr>
      <w:r>
        <w:rPr>
          <w:rFonts w:eastAsia="仿宋_GB2312"/>
        </w:rPr>
        <w:t>主体工程设计中具有水土保持功能工程的评价</w:t>
      </w:r>
    </w:p>
    <w:p>
      <w:pPr>
        <w:ind w:firstLine="480"/>
        <w:rPr>
          <w:rFonts w:eastAsia="仿宋_GB2312"/>
        </w:rPr>
      </w:pPr>
      <w:r>
        <w:rPr>
          <w:rFonts w:eastAsia="仿宋_GB2312"/>
        </w:rPr>
        <w:t>根据主体设计，本项目建设过程中设计的具有水土保持功能的措施主要有</w:t>
      </w:r>
      <w:r>
        <w:rPr>
          <w:rFonts w:hint="eastAsia" w:eastAsia="仿宋_GB2312"/>
        </w:rPr>
        <w:t>土地平整</w:t>
      </w:r>
      <w:r>
        <w:rPr>
          <w:rFonts w:eastAsia="仿宋_GB2312"/>
        </w:rPr>
        <w:t>措施。</w:t>
      </w:r>
    </w:p>
    <w:p>
      <w:pPr>
        <w:ind w:firstLine="480"/>
        <w:rPr>
          <w:rFonts w:eastAsia="仿宋_GB2312"/>
        </w:rPr>
      </w:pPr>
      <w:r>
        <w:rPr>
          <w:rFonts w:eastAsia="仿宋_GB2312"/>
        </w:rPr>
        <w:t>以上措施对防治项目区水土流失具有一定效果但尚不能形成完善的防治体系，根据项目建设特征，并咨询相关专家，对项目建设过程中需要补充完善的水土流失防治措施分述如下。</w:t>
      </w:r>
    </w:p>
    <w:p>
      <w:pPr>
        <w:pStyle w:val="5"/>
      </w:pPr>
      <w:r>
        <w:rPr>
          <w:rFonts w:hint="eastAsia"/>
        </w:rPr>
        <w:t>管道工程区</w:t>
      </w:r>
    </w:p>
    <w:p>
      <w:pPr>
        <w:ind w:firstLine="480"/>
        <w:rPr>
          <w:rFonts w:eastAsia="仿宋_GB2312"/>
        </w:rPr>
      </w:pPr>
      <w:r>
        <w:rPr>
          <w:rFonts w:hint="eastAsia" w:eastAsia="仿宋_GB2312"/>
        </w:rPr>
        <w:t>（一）</w:t>
      </w:r>
      <w:r>
        <w:rPr>
          <w:rFonts w:eastAsia="仿宋_GB2312"/>
        </w:rPr>
        <w:t>主体工程设计的水土保持措施</w:t>
      </w:r>
    </w:p>
    <w:p>
      <w:pPr>
        <w:ind w:firstLine="480"/>
        <w:rPr>
          <w:rFonts w:eastAsia="仿宋_GB2312"/>
        </w:rPr>
      </w:pPr>
      <w:r>
        <w:rPr>
          <w:rFonts w:eastAsia="仿宋_GB2312"/>
        </w:rPr>
        <w:t>1、</w:t>
      </w:r>
      <w:r>
        <w:rPr>
          <w:rFonts w:hint="eastAsia" w:eastAsia="仿宋_GB2312"/>
        </w:rPr>
        <w:t>土地平整</w:t>
      </w:r>
    </w:p>
    <w:p>
      <w:pPr>
        <w:ind w:firstLine="480"/>
        <w:rPr>
          <w:rFonts w:eastAsia="仿宋_GB2312"/>
        </w:rPr>
      </w:pPr>
      <w:r>
        <w:rPr>
          <w:rFonts w:eastAsia="仿宋_GB2312"/>
        </w:rPr>
        <w:t>主体设计在</w:t>
      </w:r>
      <w:r>
        <w:rPr>
          <w:rFonts w:hint="eastAsia" w:eastAsia="仿宋_GB2312"/>
        </w:rPr>
        <w:t>本区施工</w:t>
      </w:r>
      <w:r>
        <w:rPr>
          <w:rFonts w:eastAsia="仿宋_GB2312"/>
        </w:rPr>
        <w:t>结束之后，由施工单位对施工场地进行</w:t>
      </w:r>
      <w:r>
        <w:rPr>
          <w:rFonts w:hint="eastAsia" w:eastAsia="仿宋_GB2312"/>
        </w:rPr>
        <w:t>土地</w:t>
      </w:r>
      <w:r>
        <w:rPr>
          <w:rFonts w:eastAsia="仿宋_GB2312"/>
        </w:rPr>
        <w:t>平整</w:t>
      </w:r>
      <w:r>
        <w:rPr>
          <w:rFonts w:hint="eastAsia" w:eastAsia="仿宋_GB2312"/>
        </w:rPr>
        <w:t>，土地平整面积</w:t>
      </w:r>
      <w:r>
        <w:rPr>
          <w:rFonts w:eastAsia="仿宋_GB2312"/>
        </w:rPr>
        <w:t>共计</w:t>
      </w:r>
      <w:r>
        <w:rPr>
          <w:rFonts w:hint="eastAsia" w:eastAsia="仿宋_GB2312"/>
        </w:rPr>
        <w:t>0.53h</w:t>
      </w:r>
      <w:r>
        <w:rPr>
          <w:rFonts w:eastAsia="仿宋_GB2312"/>
        </w:rPr>
        <w:t>m</w:t>
      </w:r>
      <w:r>
        <w:rPr>
          <w:rFonts w:eastAsia="仿宋_GB2312"/>
          <w:vertAlign w:val="superscript"/>
        </w:rPr>
        <w:t>2</w:t>
      </w:r>
      <w:r>
        <w:rPr>
          <w:rFonts w:eastAsia="仿宋_GB2312"/>
        </w:rPr>
        <w:t>。</w:t>
      </w:r>
    </w:p>
    <w:p>
      <w:pPr>
        <w:ind w:firstLine="480"/>
      </w:pPr>
      <w:r>
        <w:rPr>
          <w:rFonts w:hint="eastAsia" w:eastAsia="仿宋_GB2312"/>
        </w:rPr>
        <w:t>（二）</w:t>
      </w:r>
      <w:r>
        <w:rPr>
          <w:rFonts w:eastAsia="仿宋_GB2312"/>
        </w:rPr>
        <w:t>需要补充完善的水土保持措施</w:t>
      </w:r>
    </w:p>
    <w:p>
      <w:pPr>
        <w:ind w:firstLine="480"/>
        <w:rPr>
          <w:rFonts w:eastAsia="仿宋_GB2312"/>
        </w:rPr>
      </w:pPr>
      <w:r>
        <w:rPr>
          <w:rFonts w:hint="eastAsia" w:eastAsia="仿宋_GB2312"/>
        </w:rPr>
        <w:t>方案设计</w:t>
      </w:r>
      <w:r>
        <w:rPr>
          <w:rFonts w:eastAsia="仿宋_GB2312"/>
        </w:rPr>
        <w:t>在施工</w:t>
      </w:r>
      <w:r>
        <w:rPr>
          <w:rFonts w:hint="eastAsia" w:eastAsia="仿宋_GB2312"/>
        </w:rPr>
        <w:t>作业带两侧</w:t>
      </w:r>
      <w:r>
        <w:rPr>
          <w:rFonts w:eastAsia="仿宋_GB2312"/>
        </w:rPr>
        <w:t>设置</w:t>
      </w:r>
      <w:r>
        <w:rPr>
          <w:rFonts w:hint="eastAsia" w:eastAsia="仿宋_GB2312"/>
        </w:rPr>
        <w:t>彩条旗限界措施；施工期间对管沟开挖土方临时堆放在管沟一侧，为减少堆置期间水土流失，</w:t>
      </w:r>
      <w:r>
        <w:rPr>
          <w:rFonts w:eastAsia="仿宋_GB2312"/>
        </w:rPr>
        <w:t>对</w:t>
      </w:r>
      <w:r>
        <w:rPr>
          <w:rFonts w:hint="eastAsia" w:eastAsia="仿宋_GB2312"/>
        </w:rPr>
        <w:t>基础</w:t>
      </w:r>
      <w:r>
        <w:rPr>
          <w:rFonts w:eastAsia="仿宋_GB2312"/>
        </w:rPr>
        <w:t>开挖临时堆土</w:t>
      </w:r>
      <w:r>
        <w:rPr>
          <w:rFonts w:hint="eastAsia" w:eastAsia="仿宋_GB2312"/>
        </w:rPr>
        <w:t>实施</w:t>
      </w:r>
      <w:r>
        <w:rPr>
          <w:rFonts w:eastAsia="仿宋_GB2312"/>
        </w:rPr>
        <w:t>防尘网苫盖措施</w:t>
      </w:r>
      <w:r>
        <w:rPr>
          <w:rFonts w:hint="eastAsia" w:eastAsia="仿宋_GB2312"/>
        </w:rPr>
        <w:t>；在</w:t>
      </w:r>
      <w:r>
        <w:rPr>
          <w:rFonts w:eastAsia="仿宋_GB2312"/>
        </w:rPr>
        <w:t>工程建设过程中</w:t>
      </w:r>
      <w:r>
        <w:rPr>
          <w:rFonts w:hint="eastAsia" w:eastAsia="仿宋_GB2312"/>
        </w:rPr>
        <w:t>定期对场地实施</w:t>
      </w:r>
      <w:r>
        <w:rPr>
          <w:rFonts w:eastAsia="仿宋_GB2312"/>
        </w:rPr>
        <w:t>洒水措施，抑制扬尘，以防止</w:t>
      </w:r>
      <w:r>
        <w:rPr>
          <w:rFonts w:hint="eastAsia" w:eastAsia="仿宋_GB2312"/>
        </w:rPr>
        <w:t>地表扰动</w:t>
      </w:r>
      <w:r>
        <w:rPr>
          <w:rFonts w:eastAsia="仿宋_GB2312"/>
        </w:rPr>
        <w:t>产生的水土流失</w:t>
      </w:r>
      <w:r>
        <w:rPr>
          <w:rFonts w:hint="eastAsia" w:eastAsia="仿宋_GB2312"/>
        </w:rPr>
        <w:t>；</w:t>
      </w:r>
      <w:r>
        <w:rPr>
          <w:rFonts w:eastAsia="仿宋_GB2312"/>
        </w:rPr>
        <w:t>为提高施工人员水土保持意识，设计在</w:t>
      </w:r>
      <w:r>
        <w:rPr>
          <w:rFonts w:hint="eastAsia" w:eastAsia="仿宋_GB2312"/>
        </w:rPr>
        <w:t>各小区施工场地</w:t>
      </w:r>
      <w:r>
        <w:rPr>
          <w:rFonts w:eastAsia="仿宋_GB2312"/>
        </w:rPr>
        <w:t>处</w:t>
      </w:r>
      <w:r>
        <w:rPr>
          <w:rFonts w:hint="eastAsia" w:eastAsia="仿宋_GB2312"/>
        </w:rPr>
        <w:t>分别</w:t>
      </w:r>
      <w:r>
        <w:rPr>
          <w:rFonts w:eastAsia="仿宋_GB2312"/>
        </w:rPr>
        <w:t>布置1块水土保持宣传牌</w:t>
      </w:r>
      <w:r>
        <w:rPr>
          <w:rFonts w:hint="eastAsia" w:eastAsia="仿宋_GB2312"/>
        </w:rPr>
        <w:t>。</w:t>
      </w:r>
    </w:p>
    <w:p>
      <w:pPr>
        <w:pStyle w:val="5"/>
      </w:pPr>
      <w:r>
        <w:rPr>
          <w:rFonts w:hint="eastAsia"/>
        </w:rPr>
        <w:t>附属构筑物区</w:t>
      </w:r>
    </w:p>
    <w:p>
      <w:pPr>
        <w:ind w:firstLine="480"/>
        <w:rPr>
          <w:rFonts w:eastAsia="仿宋_GB2312"/>
        </w:rPr>
      </w:pPr>
      <w:r>
        <w:rPr>
          <w:rFonts w:hint="eastAsia" w:eastAsia="仿宋_GB2312"/>
        </w:rPr>
        <w:t>（一）</w:t>
      </w:r>
      <w:r>
        <w:rPr>
          <w:rFonts w:eastAsia="仿宋_GB2312"/>
        </w:rPr>
        <w:t>主体工程设计的水土保持措施</w:t>
      </w:r>
    </w:p>
    <w:p>
      <w:pPr>
        <w:ind w:firstLine="480"/>
        <w:rPr>
          <w:rFonts w:eastAsia="仿宋_GB2312"/>
        </w:rPr>
      </w:pPr>
      <w:r>
        <w:rPr>
          <w:rFonts w:eastAsia="仿宋_GB2312"/>
        </w:rPr>
        <w:t>1、</w:t>
      </w:r>
      <w:r>
        <w:rPr>
          <w:rFonts w:hint="eastAsia" w:eastAsia="仿宋_GB2312"/>
        </w:rPr>
        <w:t>土地平整</w:t>
      </w:r>
    </w:p>
    <w:p>
      <w:pPr>
        <w:ind w:firstLine="480"/>
        <w:rPr>
          <w:rFonts w:eastAsia="仿宋_GB2312"/>
        </w:rPr>
      </w:pPr>
      <w:r>
        <w:rPr>
          <w:rFonts w:eastAsia="仿宋_GB2312"/>
        </w:rPr>
        <w:t>主体设计在</w:t>
      </w:r>
      <w:r>
        <w:rPr>
          <w:rFonts w:hint="eastAsia" w:eastAsia="仿宋_GB2312"/>
        </w:rPr>
        <w:t>本区施工</w:t>
      </w:r>
      <w:r>
        <w:rPr>
          <w:rFonts w:eastAsia="仿宋_GB2312"/>
        </w:rPr>
        <w:t>结束之后，由施工单位对施工场地进行</w:t>
      </w:r>
      <w:r>
        <w:rPr>
          <w:rFonts w:hint="eastAsia" w:eastAsia="仿宋_GB2312"/>
        </w:rPr>
        <w:t>土地</w:t>
      </w:r>
      <w:r>
        <w:rPr>
          <w:rFonts w:eastAsia="仿宋_GB2312"/>
        </w:rPr>
        <w:t>平整</w:t>
      </w:r>
      <w:r>
        <w:rPr>
          <w:rFonts w:hint="eastAsia" w:eastAsia="仿宋_GB2312"/>
        </w:rPr>
        <w:t>，土地平整面积</w:t>
      </w:r>
      <w:r>
        <w:rPr>
          <w:rFonts w:eastAsia="仿宋_GB2312"/>
        </w:rPr>
        <w:t>共计</w:t>
      </w:r>
      <w:r>
        <w:rPr>
          <w:rFonts w:hint="eastAsia" w:eastAsia="仿宋_GB2312"/>
        </w:rPr>
        <w:t>0.09h</w:t>
      </w:r>
      <w:r>
        <w:rPr>
          <w:rFonts w:eastAsia="仿宋_GB2312"/>
        </w:rPr>
        <w:t>m</w:t>
      </w:r>
      <w:r>
        <w:rPr>
          <w:rFonts w:eastAsia="仿宋_GB2312"/>
          <w:vertAlign w:val="superscript"/>
        </w:rPr>
        <w:t>2</w:t>
      </w:r>
      <w:r>
        <w:rPr>
          <w:rFonts w:eastAsia="仿宋_GB2312"/>
        </w:rPr>
        <w:t>。</w:t>
      </w:r>
    </w:p>
    <w:p>
      <w:pPr>
        <w:ind w:firstLine="480"/>
      </w:pPr>
      <w:r>
        <w:rPr>
          <w:rFonts w:hint="eastAsia" w:eastAsia="仿宋_GB2312"/>
        </w:rPr>
        <w:t>（二）</w:t>
      </w:r>
      <w:r>
        <w:rPr>
          <w:rFonts w:eastAsia="仿宋_GB2312"/>
        </w:rPr>
        <w:t>需要补充完善的水土保持措施</w:t>
      </w:r>
    </w:p>
    <w:p>
      <w:pPr>
        <w:ind w:firstLine="480"/>
        <w:rPr>
          <w:rFonts w:eastAsia="仿宋_GB2312"/>
        </w:rPr>
      </w:pPr>
      <w:r>
        <w:rPr>
          <w:rFonts w:eastAsia="仿宋_GB2312"/>
        </w:rPr>
        <w:t>方案</w:t>
      </w:r>
      <w:r>
        <w:rPr>
          <w:rFonts w:hint="eastAsia" w:eastAsia="仿宋_GB2312"/>
        </w:rPr>
        <w:t>设计施工期间对阀井基础开挖土方临时堆放在基础四周，为减少堆置期间水土流失，</w:t>
      </w:r>
      <w:r>
        <w:rPr>
          <w:rFonts w:eastAsia="仿宋_GB2312"/>
        </w:rPr>
        <w:t>对</w:t>
      </w:r>
      <w:r>
        <w:rPr>
          <w:rFonts w:hint="eastAsia" w:eastAsia="仿宋_GB2312"/>
        </w:rPr>
        <w:t>基础</w:t>
      </w:r>
      <w:r>
        <w:rPr>
          <w:rFonts w:eastAsia="仿宋_GB2312"/>
        </w:rPr>
        <w:t>开挖临时堆土</w:t>
      </w:r>
      <w:r>
        <w:rPr>
          <w:rFonts w:hint="eastAsia" w:eastAsia="仿宋_GB2312"/>
        </w:rPr>
        <w:t>实施</w:t>
      </w:r>
      <w:r>
        <w:rPr>
          <w:rFonts w:eastAsia="仿宋_GB2312"/>
        </w:rPr>
        <w:t>防尘网苫盖措施</w:t>
      </w:r>
      <w:r>
        <w:rPr>
          <w:rFonts w:hint="eastAsia" w:eastAsia="仿宋_GB2312"/>
        </w:rPr>
        <w:t>。</w:t>
      </w:r>
    </w:p>
    <w:p>
      <w:pPr>
        <w:pStyle w:val="3"/>
        <w:widowControl/>
        <w:numPr>
          <w:ilvl w:val="1"/>
          <w:numId w:val="1"/>
        </w:numPr>
        <w:tabs>
          <w:tab w:val="clear" w:pos="1002"/>
        </w:tabs>
        <w:topLinePunct w:val="0"/>
        <w:adjustRightInd/>
        <w:snapToGrid/>
        <w:ind w:left="0" w:firstLine="0"/>
        <w:jc w:val="both"/>
        <w:rPr>
          <w:rFonts w:eastAsia="仿宋_GB2312"/>
        </w:rPr>
      </w:pPr>
      <w:bookmarkStart w:id="205" w:name="_Toc7801398"/>
      <w:bookmarkStart w:id="206" w:name="_Toc7801465"/>
      <w:bookmarkStart w:id="207" w:name="_Toc7801558"/>
      <w:bookmarkStart w:id="208" w:name="_Toc47381537"/>
      <w:r>
        <w:rPr>
          <w:rFonts w:eastAsia="仿宋_GB2312"/>
        </w:rPr>
        <w:t>主体工程设计中水土保持措施界定</w:t>
      </w:r>
      <w:bookmarkEnd w:id="205"/>
      <w:bookmarkEnd w:id="206"/>
      <w:bookmarkEnd w:id="207"/>
      <w:bookmarkEnd w:id="208"/>
    </w:p>
    <w:p>
      <w:pPr>
        <w:ind w:firstLine="480"/>
        <w:rPr>
          <w:rFonts w:eastAsia="仿宋_GB2312"/>
        </w:rPr>
      </w:pPr>
      <w:r>
        <w:rPr>
          <w:rFonts w:eastAsia="仿宋_GB2312"/>
        </w:rPr>
        <w:t>主体工程设计和项目建设过程中采取了一系列水土保持措施形成了较完整的防护系统。对于主体工程设计中水土保持工程的界定根据水保监[2014]58号《关于印发“开发建设项目水土保持方案技术审查要点”的通知》进行判断，并按照以下原则进行。</w:t>
      </w:r>
    </w:p>
    <w:p>
      <w:pPr>
        <w:ind w:firstLine="480"/>
        <w:rPr>
          <w:rFonts w:eastAsia="仿宋_GB2312"/>
        </w:rPr>
      </w:pPr>
      <w:r>
        <w:rPr>
          <w:rFonts w:eastAsia="仿宋_GB2312"/>
        </w:rPr>
        <w:t>1、主导功能原则。以防治水土流失为目标的工程为水土保持工程；以主体设计功能为主，同时具备水土保持功能的工程，不作为水土保持工程。</w:t>
      </w:r>
    </w:p>
    <w:p>
      <w:pPr>
        <w:ind w:firstLine="480"/>
        <w:rPr>
          <w:rFonts w:eastAsia="仿宋_GB2312"/>
        </w:rPr>
      </w:pPr>
      <w:r>
        <w:rPr>
          <w:rFonts w:eastAsia="仿宋_GB2312"/>
        </w:rPr>
        <w:t>2、责任分区原则。对建设项目临时征地、占地范围内的各项防护工程均作为水土保持工程。</w:t>
      </w:r>
    </w:p>
    <w:p>
      <w:pPr>
        <w:ind w:firstLine="480"/>
        <w:rPr>
          <w:rFonts w:eastAsia="仿宋_GB2312"/>
        </w:rPr>
      </w:pPr>
      <w:r>
        <w:rPr>
          <w:rFonts w:eastAsia="仿宋_GB2312"/>
        </w:rPr>
        <w:t>3、实验排除原则。难以区分以主体设计功能为主或以水土保持功能为主的工程，可按破坏性试验的原则进行排除。假定没有这些工程，主体设计功能仍旧可以发挥作用，但会产生较大的水土流失，此类工程应作为水土保持工程。</w:t>
      </w:r>
    </w:p>
    <w:p>
      <w:pPr>
        <w:ind w:firstLine="480"/>
        <w:rPr>
          <w:rFonts w:eastAsia="仿宋_GB2312"/>
        </w:rPr>
      </w:pPr>
      <w:r>
        <w:rPr>
          <w:rFonts w:eastAsia="仿宋_GB2312"/>
        </w:rPr>
        <w:t>基于前述水土保持工程界定原则对主体工程设计进行分析，对主体设计中水土保持工程措施工程量及其投资统计见表3.3-1，主体工程设计的水土保持措施共计投资</w:t>
      </w:r>
      <w:r>
        <w:rPr>
          <w:rFonts w:hint="eastAsia" w:eastAsia="仿宋_GB2312"/>
        </w:rPr>
        <w:t>0.75</w:t>
      </w:r>
      <w:r>
        <w:rPr>
          <w:rFonts w:eastAsia="仿宋_GB2312"/>
        </w:rPr>
        <w:t>万元。</w:t>
      </w:r>
    </w:p>
    <w:p>
      <w:pPr>
        <w:spacing w:line="240" w:lineRule="auto"/>
        <w:ind w:firstLine="0" w:firstLineChars="0"/>
        <w:jc w:val="center"/>
        <w:rPr>
          <w:b/>
          <w:position w:val="-2"/>
          <w:szCs w:val="21"/>
        </w:rPr>
      </w:pPr>
      <w:r>
        <w:rPr>
          <w:b/>
          <w:position w:val="-2"/>
          <w:szCs w:val="21"/>
        </w:rPr>
        <w:t xml:space="preserve">表3.3-1    </w:t>
      </w:r>
      <w:r>
        <w:rPr>
          <w:b/>
          <w:spacing w:val="-2"/>
          <w:position w:val="-2"/>
          <w:szCs w:val="21"/>
        </w:rPr>
        <w:t>主</w:t>
      </w:r>
      <w:r>
        <w:rPr>
          <w:b/>
          <w:position w:val="-2"/>
          <w:szCs w:val="21"/>
        </w:rPr>
        <w:t>体</w:t>
      </w:r>
      <w:r>
        <w:rPr>
          <w:b/>
          <w:spacing w:val="-2"/>
          <w:position w:val="-2"/>
          <w:szCs w:val="21"/>
        </w:rPr>
        <w:t>工</w:t>
      </w:r>
      <w:r>
        <w:rPr>
          <w:b/>
          <w:position w:val="-2"/>
          <w:szCs w:val="21"/>
        </w:rPr>
        <w:t>程</w:t>
      </w:r>
      <w:r>
        <w:rPr>
          <w:b/>
          <w:spacing w:val="-2"/>
          <w:position w:val="-2"/>
          <w:szCs w:val="21"/>
        </w:rPr>
        <w:t>已</w:t>
      </w:r>
      <w:r>
        <w:rPr>
          <w:b/>
          <w:position w:val="-2"/>
          <w:szCs w:val="21"/>
        </w:rPr>
        <w:t>有</w:t>
      </w:r>
      <w:r>
        <w:rPr>
          <w:b/>
          <w:spacing w:val="-2"/>
          <w:position w:val="-2"/>
          <w:szCs w:val="21"/>
        </w:rPr>
        <w:t>的</w:t>
      </w:r>
      <w:r>
        <w:rPr>
          <w:b/>
          <w:position w:val="-2"/>
          <w:szCs w:val="21"/>
        </w:rPr>
        <w:t>水</w:t>
      </w:r>
      <w:r>
        <w:rPr>
          <w:b/>
          <w:spacing w:val="-2"/>
          <w:position w:val="-2"/>
          <w:szCs w:val="21"/>
        </w:rPr>
        <w:t>土保</w:t>
      </w:r>
      <w:r>
        <w:rPr>
          <w:b/>
          <w:position w:val="-2"/>
          <w:szCs w:val="21"/>
        </w:rPr>
        <w:t>持工</w:t>
      </w:r>
      <w:r>
        <w:rPr>
          <w:b/>
          <w:spacing w:val="-2"/>
          <w:position w:val="-2"/>
          <w:szCs w:val="21"/>
        </w:rPr>
        <w:t>程</w:t>
      </w:r>
      <w:r>
        <w:rPr>
          <w:b/>
          <w:position w:val="-2"/>
          <w:szCs w:val="21"/>
        </w:rPr>
        <w:t>及</w:t>
      </w:r>
      <w:r>
        <w:rPr>
          <w:b/>
          <w:spacing w:val="-2"/>
          <w:position w:val="-2"/>
          <w:szCs w:val="21"/>
        </w:rPr>
        <w:t>投</w:t>
      </w:r>
      <w:r>
        <w:rPr>
          <w:b/>
          <w:position w:val="-2"/>
          <w:szCs w:val="21"/>
        </w:rPr>
        <w:t>资表</w:t>
      </w:r>
    </w:p>
    <w:tbl>
      <w:tblPr>
        <w:tblStyle w:val="40"/>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585"/>
        <w:gridCol w:w="1500"/>
        <w:gridCol w:w="1538"/>
        <w:gridCol w:w="1058"/>
        <w:gridCol w:w="661"/>
        <w:gridCol w:w="1058"/>
        <w:gridCol w:w="111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931" w:type="pct"/>
            <w:vAlign w:val="center"/>
          </w:tcPr>
          <w:p>
            <w:pPr>
              <w:widowControl/>
              <w:topLinePunct w:val="0"/>
              <w:spacing w:line="240" w:lineRule="auto"/>
              <w:ind w:firstLine="0" w:firstLineChars="0"/>
              <w:jc w:val="center"/>
              <w:rPr>
                <w:rFonts w:eastAsia="仿宋_GB2312"/>
                <w:sz w:val="21"/>
                <w:szCs w:val="21"/>
              </w:rPr>
            </w:pPr>
            <w:r>
              <w:rPr>
                <w:rFonts w:eastAsia="仿宋_GB2312"/>
                <w:sz w:val="21"/>
                <w:szCs w:val="21"/>
              </w:rPr>
              <w:t>项目建设区</w:t>
            </w:r>
          </w:p>
        </w:tc>
        <w:tc>
          <w:tcPr>
            <w:tcW w:w="881" w:type="pct"/>
            <w:vAlign w:val="center"/>
          </w:tcPr>
          <w:p>
            <w:pPr>
              <w:widowControl/>
              <w:topLinePunct w:val="0"/>
              <w:spacing w:line="240" w:lineRule="auto"/>
              <w:ind w:firstLine="0" w:firstLineChars="0"/>
              <w:jc w:val="center"/>
              <w:rPr>
                <w:rFonts w:eastAsia="仿宋_GB2312"/>
                <w:sz w:val="21"/>
                <w:szCs w:val="21"/>
              </w:rPr>
            </w:pPr>
            <w:r>
              <w:rPr>
                <w:rFonts w:eastAsia="仿宋_GB2312"/>
                <w:sz w:val="21"/>
                <w:szCs w:val="21"/>
              </w:rPr>
              <w:t>具有水土保</w:t>
            </w:r>
          </w:p>
          <w:p>
            <w:pPr>
              <w:widowControl/>
              <w:topLinePunct w:val="0"/>
              <w:spacing w:line="240" w:lineRule="auto"/>
              <w:ind w:firstLine="0" w:firstLineChars="0"/>
              <w:jc w:val="center"/>
              <w:rPr>
                <w:rFonts w:eastAsia="仿宋_GB2312"/>
                <w:sz w:val="21"/>
                <w:szCs w:val="21"/>
              </w:rPr>
            </w:pPr>
            <w:r>
              <w:rPr>
                <w:rFonts w:eastAsia="仿宋_GB2312"/>
                <w:sz w:val="21"/>
                <w:szCs w:val="21"/>
              </w:rPr>
              <w:t>持功能工程</w:t>
            </w:r>
          </w:p>
        </w:tc>
        <w:tc>
          <w:tcPr>
            <w:tcW w:w="903" w:type="pct"/>
            <w:vAlign w:val="center"/>
          </w:tcPr>
          <w:p>
            <w:pPr>
              <w:widowControl/>
              <w:topLinePunct w:val="0"/>
              <w:spacing w:line="240" w:lineRule="auto"/>
              <w:ind w:firstLine="0" w:firstLineChars="0"/>
              <w:jc w:val="center"/>
              <w:rPr>
                <w:rFonts w:eastAsia="仿宋_GB2312"/>
                <w:sz w:val="21"/>
                <w:szCs w:val="21"/>
              </w:rPr>
            </w:pPr>
            <w:r>
              <w:rPr>
                <w:rFonts w:eastAsia="仿宋_GB2312"/>
                <w:sz w:val="21"/>
                <w:szCs w:val="21"/>
              </w:rPr>
              <w:t>是否界定为</w:t>
            </w:r>
          </w:p>
          <w:p>
            <w:pPr>
              <w:widowControl/>
              <w:topLinePunct w:val="0"/>
              <w:spacing w:line="240" w:lineRule="auto"/>
              <w:ind w:firstLine="0" w:firstLineChars="0"/>
              <w:jc w:val="center"/>
              <w:rPr>
                <w:rFonts w:eastAsia="仿宋_GB2312"/>
                <w:sz w:val="21"/>
                <w:szCs w:val="21"/>
              </w:rPr>
            </w:pPr>
            <w:r>
              <w:rPr>
                <w:rFonts w:eastAsia="仿宋_GB2312"/>
                <w:sz w:val="21"/>
                <w:szCs w:val="21"/>
              </w:rPr>
              <w:t>水土保持工程</w:t>
            </w:r>
          </w:p>
        </w:tc>
        <w:tc>
          <w:tcPr>
            <w:tcW w:w="621" w:type="pct"/>
            <w:vAlign w:val="center"/>
          </w:tcPr>
          <w:p>
            <w:pPr>
              <w:widowControl/>
              <w:topLinePunct w:val="0"/>
              <w:spacing w:line="240" w:lineRule="auto"/>
              <w:ind w:firstLine="0" w:firstLineChars="0"/>
              <w:jc w:val="center"/>
              <w:rPr>
                <w:rFonts w:eastAsia="仿宋_GB2312"/>
                <w:sz w:val="21"/>
                <w:szCs w:val="21"/>
              </w:rPr>
            </w:pPr>
            <w:r>
              <w:rPr>
                <w:rFonts w:eastAsia="仿宋_GB2312"/>
                <w:sz w:val="21"/>
                <w:szCs w:val="21"/>
              </w:rPr>
              <w:t>工程量</w:t>
            </w:r>
          </w:p>
        </w:tc>
        <w:tc>
          <w:tcPr>
            <w:tcW w:w="388" w:type="pct"/>
            <w:vAlign w:val="center"/>
          </w:tcPr>
          <w:p>
            <w:pPr>
              <w:widowControl/>
              <w:topLinePunct w:val="0"/>
              <w:spacing w:line="240" w:lineRule="auto"/>
              <w:ind w:firstLine="0" w:firstLineChars="0"/>
              <w:jc w:val="center"/>
              <w:rPr>
                <w:rFonts w:eastAsia="仿宋_GB2312"/>
                <w:sz w:val="21"/>
                <w:szCs w:val="21"/>
              </w:rPr>
            </w:pPr>
            <w:r>
              <w:rPr>
                <w:rFonts w:eastAsia="仿宋_GB2312"/>
                <w:sz w:val="21"/>
                <w:szCs w:val="21"/>
              </w:rPr>
              <w:t>单位</w:t>
            </w:r>
          </w:p>
        </w:tc>
        <w:tc>
          <w:tcPr>
            <w:tcW w:w="621" w:type="pct"/>
            <w:vAlign w:val="center"/>
          </w:tcPr>
          <w:p>
            <w:pPr>
              <w:widowControl/>
              <w:topLinePunct w:val="0"/>
              <w:spacing w:line="240" w:lineRule="auto"/>
              <w:ind w:firstLine="0" w:firstLineChars="0"/>
              <w:jc w:val="center"/>
              <w:rPr>
                <w:rFonts w:eastAsia="仿宋_GB2312"/>
                <w:sz w:val="21"/>
                <w:szCs w:val="21"/>
              </w:rPr>
            </w:pPr>
            <w:r>
              <w:rPr>
                <w:rFonts w:eastAsia="仿宋_GB2312"/>
                <w:sz w:val="21"/>
                <w:szCs w:val="21"/>
              </w:rPr>
              <w:t>单价</w:t>
            </w:r>
          </w:p>
          <w:p>
            <w:pPr>
              <w:widowControl/>
              <w:topLinePunct w:val="0"/>
              <w:spacing w:line="240" w:lineRule="auto"/>
              <w:ind w:firstLine="0" w:firstLineChars="0"/>
              <w:jc w:val="center"/>
              <w:rPr>
                <w:rFonts w:eastAsia="仿宋_GB2312"/>
                <w:sz w:val="21"/>
                <w:szCs w:val="21"/>
              </w:rPr>
            </w:pPr>
            <w:r>
              <w:rPr>
                <w:rFonts w:eastAsia="仿宋_GB2312"/>
                <w:sz w:val="21"/>
                <w:szCs w:val="21"/>
              </w:rPr>
              <w:t>（元）</w:t>
            </w:r>
          </w:p>
        </w:tc>
        <w:tc>
          <w:tcPr>
            <w:tcW w:w="655" w:type="pct"/>
            <w:vAlign w:val="center"/>
          </w:tcPr>
          <w:p>
            <w:pPr>
              <w:widowControl/>
              <w:topLinePunct w:val="0"/>
              <w:spacing w:line="240" w:lineRule="auto"/>
              <w:ind w:firstLine="0" w:firstLineChars="0"/>
              <w:jc w:val="center"/>
              <w:rPr>
                <w:rFonts w:eastAsia="仿宋_GB2312"/>
                <w:sz w:val="21"/>
                <w:szCs w:val="21"/>
              </w:rPr>
            </w:pPr>
            <w:r>
              <w:rPr>
                <w:rFonts w:eastAsia="仿宋_GB2312"/>
                <w:sz w:val="21"/>
                <w:szCs w:val="21"/>
              </w:rPr>
              <w:t>投资</w:t>
            </w:r>
          </w:p>
          <w:p>
            <w:pPr>
              <w:widowControl/>
              <w:topLinePunct w:val="0"/>
              <w:spacing w:line="240" w:lineRule="auto"/>
              <w:ind w:firstLine="0" w:firstLineChars="0"/>
              <w:jc w:val="center"/>
              <w:rPr>
                <w:rFonts w:eastAsia="仿宋_GB2312"/>
                <w:sz w:val="21"/>
                <w:szCs w:val="21"/>
              </w:rPr>
            </w:pPr>
            <w:r>
              <w:rPr>
                <w:rFonts w:eastAsia="仿宋_GB2312"/>
                <w:sz w:val="21"/>
                <w:szCs w:val="21"/>
              </w:rPr>
              <w:t>（</w:t>
            </w:r>
            <w:r>
              <w:rPr>
                <w:rFonts w:hint="eastAsia" w:eastAsia="仿宋_GB2312"/>
                <w:sz w:val="21"/>
                <w:szCs w:val="21"/>
              </w:rPr>
              <w:t>万</w:t>
            </w:r>
            <w:r>
              <w:rPr>
                <w:rFonts w:eastAsia="仿宋_GB2312"/>
                <w:sz w:val="21"/>
                <w:szCs w:val="21"/>
              </w:rPr>
              <w:t>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000" w:type="pct"/>
            <w:gridSpan w:val="7"/>
            <w:vAlign w:val="center"/>
          </w:tcPr>
          <w:p>
            <w:pPr>
              <w:widowControl/>
              <w:topLinePunct w:val="0"/>
              <w:spacing w:line="240" w:lineRule="auto"/>
              <w:ind w:firstLine="0" w:firstLineChars="0"/>
              <w:jc w:val="center"/>
              <w:rPr>
                <w:rFonts w:eastAsia="仿宋_GB2312"/>
                <w:sz w:val="21"/>
                <w:szCs w:val="21"/>
              </w:rPr>
            </w:pPr>
            <w:r>
              <w:rPr>
                <w:rFonts w:eastAsia="仿宋_GB2312"/>
                <w:sz w:val="21"/>
                <w:szCs w:val="21"/>
              </w:rPr>
              <w:t>一、主体设计的水土保持措施界定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931" w:type="pct"/>
            <w:vAlign w:val="center"/>
          </w:tcPr>
          <w:p>
            <w:pPr>
              <w:widowControl/>
              <w:topLinePunct w:val="0"/>
              <w:spacing w:line="240" w:lineRule="auto"/>
              <w:ind w:firstLine="0" w:firstLineChars="0"/>
              <w:jc w:val="center"/>
              <w:rPr>
                <w:rFonts w:eastAsia="仿宋_GB2312"/>
                <w:sz w:val="21"/>
                <w:szCs w:val="21"/>
              </w:rPr>
            </w:pPr>
            <w:r>
              <w:rPr>
                <w:rFonts w:hint="eastAsia" w:eastAsia="仿宋_GB2312"/>
                <w:sz w:val="21"/>
                <w:szCs w:val="21"/>
              </w:rPr>
              <w:t>管道工程区</w:t>
            </w:r>
          </w:p>
        </w:tc>
        <w:tc>
          <w:tcPr>
            <w:tcW w:w="881" w:type="pct"/>
            <w:vAlign w:val="center"/>
          </w:tcPr>
          <w:p>
            <w:pPr>
              <w:widowControl/>
              <w:topLinePunct w:val="0"/>
              <w:spacing w:line="240" w:lineRule="auto"/>
              <w:ind w:firstLine="0" w:firstLineChars="0"/>
              <w:jc w:val="center"/>
              <w:rPr>
                <w:rFonts w:eastAsia="仿宋_GB2312"/>
                <w:sz w:val="21"/>
                <w:szCs w:val="21"/>
              </w:rPr>
            </w:pPr>
            <w:r>
              <w:rPr>
                <w:rFonts w:hint="eastAsia" w:eastAsia="仿宋_GB2312"/>
                <w:sz w:val="21"/>
                <w:szCs w:val="21"/>
              </w:rPr>
              <w:t>土地平整</w:t>
            </w:r>
          </w:p>
        </w:tc>
        <w:tc>
          <w:tcPr>
            <w:tcW w:w="903" w:type="pct"/>
            <w:vAlign w:val="center"/>
          </w:tcPr>
          <w:p>
            <w:pPr>
              <w:widowControl/>
              <w:topLinePunct w:val="0"/>
              <w:spacing w:line="240" w:lineRule="auto"/>
              <w:ind w:firstLine="0" w:firstLineChars="0"/>
              <w:jc w:val="center"/>
              <w:rPr>
                <w:rFonts w:eastAsia="仿宋_GB2312"/>
                <w:sz w:val="21"/>
                <w:szCs w:val="21"/>
              </w:rPr>
            </w:pPr>
            <w:r>
              <w:rPr>
                <w:rFonts w:eastAsia="仿宋_GB2312"/>
                <w:sz w:val="21"/>
                <w:szCs w:val="21"/>
              </w:rPr>
              <w:t>是</w:t>
            </w:r>
          </w:p>
        </w:tc>
        <w:tc>
          <w:tcPr>
            <w:tcW w:w="621" w:type="pct"/>
            <w:vAlign w:val="center"/>
          </w:tcPr>
          <w:p>
            <w:pPr>
              <w:widowControl/>
              <w:topLinePunct w:val="0"/>
              <w:spacing w:line="240" w:lineRule="auto"/>
              <w:ind w:firstLine="0" w:firstLineChars="0"/>
              <w:jc w:val="center"/>
              <w:rPr>
                <w:rFonts w:eastAsia="仿宋_GB2312"/>
                <w:sz w:val="21"/>
                <w:szCs w:val="21"/>
              </w:rPr>
            </w:pPr>
            <w:r>
              <w:rPr>
                <w:rFonts w:hint="eastAsia" w:eastAsia="仿宋_GB2312"/>
                <w:sz w:val="21"/>
                <w:szCs w:val="21"/>
              </w:rPr>
              <w:t>0.53</w:t>
            </w:r>
          </w:p>
        </w:tc>
        <w:tc>
          <w:tcPr>
            <w:tcW w:w="388" w:type="pct"/>
            <w:vAlign w:val="center"/>
          </w:tcPr>
          <w:p>
            <w:pPr>
              <w:widowControl/>
              <w:topLinePunct w:val="0"/>
              <w:spacing w:line="240" w:lineRule="auto"/>
              <w:ind w:firstLine="0" w:firstLineChars="0"/>
              <w:jc w:val="center"/>
              <w:rPr>
                <w:rFonts w:eastAsia="仿宋_GB2312"/>
                <w:sz w:val="21"/>
                <w:szCs w:val="21"/>
              </w:rPr>
            </w:pPr>
            <w:r>
              <w:rPr>
                <w:rFonts w:hint="eastAsia" w:eastAsia="仿宋_GB2312"/>
                <w:sz w:val="21"/>
                <w:szCs w:val="21"/>
              </w:rPr>
              <w:t>h</w:t>
            </w:r>
            <w:r>
              <w:rPr>
                <w:rFonts w:eastAsia="仿宋_GB2312"/>
                <w:sz w:val="21"/>
                <w:szCs w:val="21"/>
              </w:rPr>
              <w:t>m</w:t>
            </w:r>
            <w:r>
              <w:rPr>
                <w:rFonts w:eastAsia="仿宋_GB2312"/>
                <w:sz w:val="21"/>
                <w:szCs w:val="21"/>
                <w:vertAlign w:val="superscript"/>
              </w:rPr>
              <w:t>2</w:t>
            </w:r>
          </w:p>
        </w:tc>
        <w:tc>
          <w:tcPr>
            <w:tcW w:w="621" w:type="pct"/>
            <w:vAlign w:val="center"/>
          </w:tcPr>
          <w:p>
            <w:pPr>
              <w:widowControl/>
              <w:topLinePunct w:val="0"/>
              <w:spacing w:line="240" w:lineRule="auto"/>
              <w:ind w:firstLine="0" w:firstLineChars="0"/>
              <w:jc w:val="center"/>
              <w:rPr>
                <w:rFonts w:eastAsia="仿宋_GB2312"/>
                <w:sz w:val="21"/>
                <w:szCs w:val="21"/>
              </w:rPr>
            </w:pPr>
            <w:r>
              <w:rPr>
                <w:rFonts w:eastAsia="仿宋_GB2312"/>
                <w:sz w:val="21"/>
                <w:szCs w:val="21"/>
              </w:rPr>
              <w:t xml:space="preserve">12018.22 </w:t>
            </w:r>
          </w:p>
        </w:tc>
        <w:tc>
          <w:tcPr>
            <w:tcW w:w="655" w:type="pct"/>
            <w:vAlign w:val="center"/>
          </w:tcPr>
          <w:p>
            <w:pPr>
              <w:widowControl/>
              <w:topLinePunct w:val="0"/>
              <w:spacing w:line="240" w:lineRule="auto"/>
              <w:ind w:firstLine="0" w:firstLineChars="0"/>
              <w:jc w:val="center"/>
              <w:rPr>
                <w:rFonts w:eastAsia="仿宋_GB2312"/>
                <w:sz w:val="21"/>
                <w:szCs w:val="21"/>
              </w:rPr>
            </w:pPr>
            <w:r>
              <w:rPr>
                <w:rFonts w:hint="eastAsia" w:eastAsia="仿宋_GB2312"/>
                <w:sz w:val="21"/>
                <w:szCs w:val="21"/>
              </w:rPr>
              <w:t>0.64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931" w:type="pct"/>
            <w:tcBorders>
              <w:bottom w:val="single" w:color="auto" w:sz="4" w:space="0"/>
            </w:tcBorders>
            <w:vAlign w:val="center"/>
          </w:tcPr>
          <w:p>
            <w:pPr>
              <w:widowControl/>
              <w:topLinePunct w:val="0"/>
              <w:spacing w:line="240" w:lineRule="auto"/>
              <w:ind w:firstLine="0" w:firstLineChars="0"/>
              <w:jc w:val="center"/>
              <w:rPr>
                <w:rFonts w:eastAsia="仿宋_GB2312"/>
                <w:sz w:val="21"/>
                <w:szCs w:val="21"/>
              </w:rPr>
            </w:pPr>
            <w:r>
              <w:rPr>
                <w:rFonts w:hint="eastAsia" w:eastAsia="仿宋_GB2312"/>
                <w:sz w:val="21"/>
                <w:szCs w:val="21"/>
              </w:rPr>
              <w:t>附属构筑物区</w:t>
            </w:r>
          </w:p>
        </w:tc>
        <w:tc>
          <w:tcPr>
            <w:tcW w:w="881" w:type="pct"/>
            <w:vAlign w:val="center"/>
          </w:tcPr>
          <w:p>
            <w:pPr>
              <w:widowControl/>
              <w:topLinePunct w:val="0"/>
              <w:spacing w:line="240" w:lineRule="auto"/>
              <w:ind w:firstLine="0" w:firstLineChars="0"/>
              <w:jc w:val="center"/>
              <w:rPr>
                <w:rFonts w:eastAsia="仿宋_GB2312"/>
                <w:sz w:val="21"/>
                <w:szCs w:val="21"/>
              </w:rPr>
            </w:pPr>
            <w:r>
              <w:rPr>
                <w:rFonts w:hint="eastAsia" w:eastAsia="仿宋_GB2312"/>
                <w:sz w:val="21"/>
                <w:szCs w:val="21"/>
              </w:rPr>
              <w:t>土地平整</w:t>
            </w:r>
          </w:p>
        </w:tc>
        <w:tc>
          <w:tcPr>
            <w:tcW w:w="903" w:type="pct"/>
            <w:vAlign w:val="center"/>
          </w:tcPr>
          <w:p>
            <w:pPr>
              <w:widowControl/>
              <w:topLinePunct w:val="0"/>
              <w:spacing w:line="240" w:lineRule="auto"/>
              <w:ind w:firstLine="0" w:firstLineChars="0"/>
              <w:jc w:val="center"/>
              <w:rPr>
                <w:rFonts w:eastAsia="仿宋_GB2312"/>
                <w:sz w:val="21"/>
                <w:szCs w:val="21"/>
              </w:rPr>
            </w:pPr>
            <w:r>
              <w:rPr>
                <w:rFonts w:eastAsia="仿宋_GB2312"/>
                <w:sz w:val="21"/>
                <w:szCs w:val="21"/>
              </w:rPr>
              <w:t>是</w:t>
            </w:r>
          </w:p>
        </w:tc>
        <w:tc>
          <w:tcPr>
            <w:tcW w:w="621" w:type="pct"/>
            <w:vAlign w:val="center"/>
          </w:tcPr>
          <w:p>
            <w:pPr>
              <w:widowControl/>
              <w:topLinePunct w:val="0"/>
              <w:spacing w:line="240" w:lineRule="auto"/>
              <w:ind w:firstLine="0" w:firstLineChars="0"/>
              <w:jc w:val="center"/>
              <w:rPr>
                <w:rFonts w:eastAsia="仿宋_GB2312"/>
                <w:sz w:val="21"/>
                <w:szCs w:val="21"/>
              </w:rPr>
            </w:pPr>
            <w:r>
              <w:rPr>
                <w:rFonts w:eastAsia="仿宋_GB2312"/>
                <w:sz w:val="21"/>
                <w:szCs w:val="21"/>
              </w:rPr>
              <w:t>0.</w:t>
            </w:r>
            <w:r>
              <w:rPr>
                <w:rFonts w:hint="eastAsia" w:eastAsia="仿宋_GB2312"/>
                <w:sz w:val="21"/>
                <w:szCs w:val="21"/>
              </w:rPr>
              <w:t>09</w:t>
            </w:r>
          </w:p>
        </w:tc>
        <w:tc>
          <w:tcPr>
            <w:tcW w:w="388" w:type="pct"/>
            <w:vAlign w:val="center"/>
          </w:tcPr>
          <w:p>
            <w:pPr>
              <w:widowControl/>
              <w:topLinePunct w:val="0"/>
              <w:spacing w:line="240" w:lineRule="auto"/>
              <w:ind w:firstLine="0" w:firstLineChars="0"/>
              <w:jc w:val="center"/>
              <w:rPr>
                <w:rFonts w:eastAsia="仿宋_GB2312"/>
                <w:sz w:val="21"/>
                <w:szCs w:val="21"/>
              </w:rPr>
            </w:pPr>
            <w:r>
              <w:rPr>
                <w:rFonts w:hint="eastAsia" w:eastAsia="仿宋_GB2312"/>
                <w:sz w:val="21"/>
                <w:szCs w:val="21"/>
              </w:rPr>
              <w:t>h</w:t>
            </w:r>
            <w:r>
              <w:rPr>
                <w:rFonts w:eastAsia="仿宋_GB2312"/>
                <w:sz w:val="21"/>
                <w:szCs w:val="21"/>
              </w:rPr>
              <w:t>m</w:t>
            </w:r>
            <w:r>
              <w:rPr>
                <w:rFonts w:eastAsia="仿宋_GB2312"/>
                <w:sz w:val="21"/>
                <w:szCs w:val="21"/>
                <w:vertAlign w:val="superscript"/>
              </w:rPr>
              <w:t>2</w:t>
            </w:r>
          </w:p>
        </w:tc>
        <w:tc>
          <w:tcPr>
            <w:tcW w:w="621" w:type="pct"/>
            <w:vAlign w:val="center"/>
          </w:tcPr>
          <w:p>
            <w:pPr>
              <w:widowControl/>
              <w:topLinePunct w:val="0"/>
              <w:spacing w:line="240" w:lineRule="auto"/>
              <w:ind w:firstLine="0" w:firstLineChars="0"/>
              <w:jc w:val="center"/>
              <w:rPr>
                <w:rFonts w:eastAsia="仿宋_GB2312"/>
                <w:sz w:val="21"/>
                <w:szCs w:val="21"/>
              </w:rPr>
            </w:pPr>
            <w:r>
              <w:rPr>
                <w:rFonts w:eastAsia="仿宋_GB2312"/>
                <w:sz w:val="21"/>
                <w:szCs w:val="21"/>
              </w:rPr>
              <w:t xml:space="preserve">12018.22 </w:t>
            </w:r>
          </w:p>
        </w:tc>
        <w:tc>
          <w:tcPr>
            <w:tcW w:w="655" w:type="pct"/>
            <w:vAlign w:val="center"/>
          </w:tcPr>
          <w:p>
            <w:pPr>
              <w:widowControl/>
              <w:topLinePunct w:val="0"/>
              <w:spacing w:line="240" w:lineRule="auto"/>
              <w:ind w:firstLine="0" w:firstLineChars="0"/>
              <w:jc w:val="center"/>
              <w:rPr>
                <w:rFonts w:eastAsia="仿宋_GB2312"/>
                <w:sz w:val="21"/>
                <w:szCs w:val="21"/>
              </w:rPr>
            </w:pPr>
            <w:r>
              <w:rPr>
                <w:rFonts w:eastAsia="仿宋_GB2312"/>
                <w:sz w:val="21"/>
                <w:szCs w:val="21"/>
              </w:rPr>
              <w:t>0.1</w:t>
            </w:r>
            <w:r>
              <w:rPr>
                <w:rFonts w:hint="eastAsia" w:eastAsia="仿宋_GB2312"/>
                <w:sz w:val="21"/>
                <w:szCs w:val="21"/>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931" w:type="pct"/>
            <w:vAlign w:val="center"/>
          </w:tcPr>
          <w:p>
            <w:pPr>
              <w:spacing w:line="240" w:lineRule="auto"/>
              <w:ind w:firstLine="420"/>
              <w:jc w:val="center"/>
              <w:rPr>
                <w:rFonts w:eastAsia="仿宋_GB2312"/>
                <w:sz w:val="21"/>
                <w:szCs w:val="21"/>
              </w:rPr>
            </w:pPr>
            <w:r>
              <w:rPr>
                <w:rFonts w:hint="eastAsia" w:eastAsia="仿宋_GB2312"/>
                <w:sz w:val="21"/>
                <w:szCs w:val="21"/>
              </w:rPr>
              <w:t>合计</w:t>
            </w:r>
          </w:p>
        </w:tc>
        <w:tc>
          <w:tcPr>
            <w:tcW w:w="881" w:type="pct"/>
            <w:vAlign w:val="center"/>
          </w:tcPr>
          <w:p>
            <w:pPr>
              <w:widowControl/>
              <w:topLinePunct w:val="0"/>
              <w:spacing w:line="240" w:lineRule="auto"/>
              <w:ind w:firstLine="0" w:firstLineChars="0"/>
              <w:jc w:val="center"/>
              <w:rPr>
                <w:rFonts w:eastAsia="仿宋_GB2312"/>
                <w:sz w:val="21"/>
                <w:szCs w:val="21"/>
                <w:highlight w:val="yellow"/>
              </w:rPr>
            </w:pPr>
          </w:p>
        </w:tc>
        <w:tc>
          <w:tcPr>
            <w:tcW w:w="903" w:type="pct"/>
            <w:vAlign w:val="center"/>
          </w:tcPr>
          <w:p>
            <w:pPr>
              <w:widowControl/>
              <w:topLinePunct w:val="0"/>
              <w:spacing w:line="240" w:lineRule="auto"/>
              <w:ind w:firstLine="0" w:firstLineChars="0"/>
              <w:jc w:val="center"/>
              <w:rPr>
                <w:rFonts w:eastAsia="仿宋_GB2312"/>
                <w:sz w:val="21"/>
                <w:szCs w:val="21"/>
              </w:rPr>
            </w:pPr>
          </w:p>
        </w:tc>
        <w:tc>
          <w:tcPr>
            <w:tcW w:w="621" w:type="pct"/>
            <w:vAlign w:val="center"/>
          </w:tcPr>
          <w:p>
            <w:pPr>
              <w:widowControl/>
              <w:topLinePunct w:val="0"/>
              <w:spacing w:line="240" w:lineRule="auto"/>
              <w:ind w:firstLine="0" w:firstLineChars="0"/>
              <w:jc w:val="center"/>
              <w:rPr>
                <w:rFonts w:eastAsia="仿宋_GB2312"/>
                <w:sz w:val="21"/>
                <w:szCs w:val="21"/>
              </w:rPr>
            </w:pPr>
          </w:p>
        </w:tc>
        <w:tc>
          <w:tcPr>
            <w:tcW w:w="388" w:type="pct"/>
            <w:vAlign w:val="center"/>
          </w:tcPr>
          <w:p>
            <w:pPr>
              <w:widowControl/>
              <w:topLinePunct w:val="0"/>
              <w:spacing w:line="240" w:lineRule="auto"/>
              <w:ind w:firstLine="0" w:firstLineChars="0"/>
              <w:jc w:val="center"/>
              <w:rPr>
                <w:rFonts w:eastAsia="仿宋_GB2312"/>
                <w:sz w:val="21"/>
                <w:szCs w:val="21"/>
              </w:rPr>
            </w:pPr>
          </w:p>
        </w:tc>
        <w:tc>
          <w:tcPr>
            <w:tcW w:w="621" w:type="pct"/>
            <w:vAlign w:val="center"/>
          </w:tcPr>
          <w:p>
            <w:pPr>
              <w:widowControl/>
              <w:topLinePunct w:val="0"/>
              <w:spacing w:line="240" w:lineRule="auto"/>
              <w:ind w:firstLine="0" w:firstLineChars="0"/>
              <w:jc w:val="center"/>
              <w:rPr>
                <w:rFonts w:eastAsia="仿宋_GB2312"/>
                <w:sz w:val="21"/>
                <w:szCs w:val="21"/>
              </w:rPr>
            </w:pPr>
          </w:p>
        </w:tc>
        <w:tc>
          <w:tcPr>
            <w:tcW w:w="655" w:type="pct"/>
            <w:vAlign w:val="center"/>
          </w:tcPr>
          <w:p>
            <w:pPr>
              <w:widowControl/>
              <w:topLinePunct w:val="0"/>
              <w:spacing w:line="240" w:lineRule="auto"/>
              <w:ind w:firstLine="0" w:firstLineChars="0"/>
              <w:jc w:val="center"/>
              <w:rPr>
                <w:rFonts w:eastAsia="仿宋_GB2312"/>
                <w:sz w:val="21"/>
                <w:szCs w:val="21"/>
              </w:rPr>
            </w:pPr>
            <w:r>
              <w:rPr>
                <w:rFonts w:hint="eastAsia" w:eastAsia="仿宋_GB2312"/>
                <w:sz w:val="21"/>
                <w:szCs w:val="21"/>
              </w:rPr>
              <w:t>0.75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000" w:type="pct"/>
            <w:gridSpan w:val="7"/>
            <w:vAlign w:val="center"/>
          </w:tcPr>
          <w:p>
            <w:pPr>
              <w:spacing w:line="240" w:lineRule="auto"/>
              <w:ind w:firstLine="420"/>
              <w:jc w:val="center"/>
              <w:rPr>
                <w:rFonts w:eastAsia="仿宋_GB2312"/>
                <w:sz w:val="21"/>
                <w:szCs w:val="21"/>
              </w:rPr>
            </w:pPr>
            <w:r>
              <w:rPr>
                <w:rFonts w:eastAsia="仿宋_GB2312"/>
                <w:sz w:val="21"/>
                <w:szCs w:val="21"/>
              </w:rPr>
              <w:t>二、需补充完善的水土保持措施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931" w:type="pct"/>
            <w:vAlign w:val="center"/>
          </w:tcPr>
          <w:p>
            <w:pPr>
              <w:widowControl/>
              <w:topLinePunct w:val="0"/>
              <w:spacing w:line="240" w:lineRule="auto"/>
              <w:ind w:firstLine="0" w:firstLineChars="0"/>
              <w:jc w:val="center"/>
              <w:rPr>
                <w:rFonts w:eastAsia="仿宋_GB2312"/>
                <w:sz w:val="21"/>
                <w:szCs w:val="21"/>
              </w:rPr>
            </w:pPr>
            <w:r>
              <w:rPr>
                <w:rFonts w:hint="eastAsia" w:eastAsia="仿宋_GB2312"/>
                <w:sz w:val="21"/>
                <w:szCs w:val="21"/>
              </w:rPr>
              <w:t>管道工程区</w:t>
            </w:r>
          </w:p>
        </w:tc>
        <w:tc>
          <w:tcPr>
            <w:tcW w:w="4069" w:type="pct"/>
            <w:gridSpan w:val="6"/>
            <w:vAlign w:val="center"/>
          </w:tcPr>
          <w:p>
            <w:pPr>
              <w:widowControl/>
              <w:topLinePunct w:val="0"/>
              <w:spacing w:line="240" w:lineRule="auto"/>
              <w:ind w:firstLine="0" w:firstLineChars="0"/>
              <w:jc w:val="center"/>
              <w:rPr>
                <w:rFonts w:eastAsia="仿宋_GB2312"/>
                <w:sz w:val="21"/>
                <w:szCs w:val="21"/>
              </w:rPr>
            </w:pPr>
            <w:r>
              <w:rPr>
                <w:rFonts w:hint="eastAsia" w:eastAsia="仿宋_GB2312"/>
                <w:sz w:val="21"/>
                <w:szCs w:val="21"/>
              </w:rPr>
              <w:t>彩条旗限界、防尘网苫盖、洒水、宣传牌</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931" w:type="pct"/>
            <w:vAlign w:val="center"/>
          </w:tcPr>
          <w:p>
            <w:pPr>
              <w:widowControl/>
              <w:topLinePunct w:val="0"/>
              <w:spacing w:line="240" w:lineRule="auto"/>
              <w:ind w:firstLine="0" w:firstLineChars="0"/>
              <w:jc w:val="center"/>
              <w:rPr>
                <w:rFonts w:eastAsia="仿宋_GB2312"/>
                <w:sz w:val="21"/>
                <w:szCs w:val="21"/>
              </w:rPr>
            </w:pPr>
            <w:r>
              <w:rPr>
                <w:rFonts w:hint="eastAsia" w:eastAsia="仿宋_GB2312"/>
                <w:sz w:val="21"/>
                <w:szCs w:val="21"/>
              </w:rPr>
              <w:t>附属构筑物区</w:t>
            </w:r>
          </w:p>
        </w:tc>
        <w:tc>
          <w:tcPr>
            <w:tcW w:w="4069" w:type="pct"/>
            <w:gridSpan w:val="6"/>
            <w:vAlign w:val="center"/>
          </w:tcPr>
          <w:p>
            <w:pPr>
              <w:widowControl/>
              <w:topLinePunct w:val="0"/>
              <w:spacing w:line="240" w:lineRule="auto"/>
              <w:ind w:firstLine="0" w:firstLineChars="0"/>
              <w:jc w:val="center"/>
              <w:rPr>
                <w:rFonts w:eastAsia="仿宋_GB2312"/>
                <w:sz w:val="21"/>
                <w:szCs w:val="21"/>
              </w:rPr>
            </w:pPr>
            <w:r>
              <w:rPr>
                <w:rFonts w:hint="eastAsia" w:eastAsia="仿宋_GB2312"/>
                <w:sz w:val="21"/>
                <w:szCs w:val="21"/>
              </w:rPr>
              <w:t>防尘网苫盖</w:t>
            </w:r>
          </w:p>
        </w:tc>
      </w:tr>
    </w:tbl>
    <w:p>
      <w:pPr>
        <w:ind w:firstLine="0" w:firstLineChars="0"/>
      </w:pPr>
    </w:p>
    <w:p>
      <w:pPr>
        <w:pStyle w:val="140"/>
        <w:numPr>
          <w:ilvl w:val="0"/>
          <w:numId w:val="0"/>
        </w:numPr>
        <w:sectPr>
          <w:headerReference r:id="rId14" w:type="default"/>
          <w:pgSz w:w="11906" w:h="16838"/>
          <w:pgMar w:top="1440" w:right="1803" w:bottom="1440" w:left="1803" w:header="851" w:footer="964" w:gutter="0"/>
          <w:cols w:space="720" w:num="1"/>
          <w:docGrid w:linePitch="326" w:charSpace="0"/>
        </w:sectPr>
      </w:pPr>
      <w:bookmarkStart w:id="209" w:name="_Toc255304569"/>
      <w:bookmarkStart w:id="210" w:name="_Toc211401543"/>
    </w:p>
    <w:p>
      <w:pPr>
        <w:pStyle w:val="50"/>
        <w:widowControl/>
        <w:numPr>
          <w:ilvl w:val="0"/>
          <w:numId w:val="1"/>
        </w:numPr>
        <w:tabs>
          <w:tab w:val="clear" w:pos="432"/>
        </w:tabs>
        <w:spacing w:beforeLines="100" w:afterLines="100"/>
        <w:rPr>
          <w:rFonts w:eastAsia="仿宋_GB2312"/>
          <w:sz w:val="32"/>
          <w:szCs w:val="32"/>
        </w:rPr>
      </w:pPr>
      <w:bookmarkStart w:id="211" w:name="_Toc7801466"/>
      <w:bookmarkStart w:id="212" w:name="_Toc7801559"/>
      <w:bookmarkStart w:id="213" w:name="_Toc47381538"/>
      <w:bookmarkStart w:id="214" w:name="_Toc7801399"/>
      <w:r>
        <w:rPr>
          <w:rFonts w:eastAsia="仿宋_GB2312"/>
          <w:sz w:val="32"/>
          <w:szCs w:val="32"/>
        </w:rPr>
        <w:t>水土流失分析与预测</w:t>
      </w:r>
      <w:bookmarkEnd w:id="211"/>
      <w:bookmarkEnd w:id="212"/>
      <w:bookmarkEnd w:id="213"/>
      <w:bookmarkEnd w:id="214"/>
    </w:p>
    <w:p>
      <w:pPr>
        <w:pStyle w:val="3"/>
        <w:widowControl/>
        <w:numPr>
          <w:ilvl w:val="1"/>
          <w:numId w:val="1"/>
        </w:numPr>
        <w:tabs>
          <w:tab w:val="clear" w:pos="1002"/>
        </w:tabs>
        <w:topLinePunct w:val="0"/>
        <w:adjustRightInd/>
        <w:snapToGrid/>
        <w:ind w:left="0" w:firstLine="0"/>
        <w:jc w:val="both"/>
        <w:rPr>
          <w:rFonts w:eastAsia="仿宋_GB2312"/>
        </w:rPr>
      </w:pPr>
      <w:bookmarkStart w:id="215" w:name="_Toc7801467"/>
      <w:bookmarkStart w:id="216" w:name="_Toc7801560"/>
      <w:bookmarkStart w:id="217" w:name="_Toc47381539"/>
      <w:bookmarkStart w:id="218" w:name="_Toc7801400"/>
      <w:bookmarkStart w:id="219" w:name="_Toc294538841"/>
      <w:r>
        <w:rPr>
          <w:rFonts w:eastAsia="仿宋_GB2312"/>
        </w:rPr>
        <w:t>水土流失现状</w:t>
      </w:r>
      <w:bookmarkEnd w:id="215"/>
      <w:bookmarkEnd w:id="216"/>
      <w:bookmarkEnd w:id="217"/>
      <w:bookmarkEnd w:id="218"/>
    </w:p>
    <w:p>
      <w:pPr>
        <w:pStyle w:val="4"/>
        <w:keepLines/>
        <w:widowControl/>
        <w:numPr>
          <w:ilvl w:val="2"/>
          <w:numId w:val="1"/>
        </w:numPr>
        <w:tabs>
          <w:tab w:val="clear" w:pos="432"/>
          <w:tab w:val="clear" w:pos="960"/>
        </w:tabs>
        <w:kinsoku/>
        <w:overflowPunct/>
        <w:topLinePunct w:val="0"/>
        <w:autoSpaceDE/>
        <w:autoSpaceDN/>
        <w:adjustRightInd/>
        <w:snapToGrid/>
        <w:ind w:left="0" w:firstLine="0"/>
        <w:jc w:val="both"/>
        <w:rPr>
          <w:rFonts w:eastAsia="仿宋_GB2312"/>
        </w:rPr>
      </w:pPr>
      <w:r>
        <w:rPr>
          <w:rFonts w:eastAsia="仿宋_GB2312"/>
        </w:rPr>
        <w:t>区域水土流失现状</w:t>
      </w:r>
    </w:p>
    <w:p>
      <w:pPr>
        <w:tabs>
          <w:tab w:val="left" w:pos="840"/>
          <w:tab w:val="left" w:pos="1485"/>
        </w:tabs>
        <w:ind w:firstLine="480"/>
        <w:rPr>
          <w:rFonts w:eastAsia="仿宋_GB2312"/>
        </w:rPr>
      </w:pPr>
      <w:r>
        <w:rPr>
          <w:rFonts w:eastAsia="仿宋_GB2312"/>
        </w:rPr>
        <w:t>根据《新疆生产建设兵团水土保持规划（2015-2030）》，</w:t>
      </w:r>
      <w:r>
        <w:rPr>
          <w:rFonts w:hint="eastAsia" w:eastAsia="仿宋_GB2312"/>
        </w:rPr>
        <w:t>第十四师水土流失</w:t>
      </w:r>
      <w:r>
        <w:rPr>
          <w:rFonts w:eastAsia="仿宋_GB2312"/>
        </w:rPr>
        <w:t>面积为</w:t>
      </w:r>
      <w:r>
        <w:rPr>
          <w:rFonts w:hint="eastAsia" w:eastAsia="仿宋_GB2312"/>
        </w:rPr>
        <w:t>585.06</w:t>
      </w:r>
      <w:r>
        <w:rPr>
          <w:rFonts w:eastAsia="仿宋_GB2312"/>
        </w:rPr>
        <w:t>km</w:t>
      </w:r>
      <w:r>
        <w:rPr>
          <w:rFonts w:eastAsia="仿宋_GB2312"/>
          <w:vertAlign w:val="superscript"/>
        </w:rPr>
        <w:t>2</w:t>
      </w:r>
      <w:r>
        <w:rPr>
          <w:rFonts w:eastAsia="仿宋_GB2312"/>
        </w:rPr>
        <w:t>，占</w:t>
      </w:r>
      <w:r>
        <w:rPr>
          <w:rFonts w:hint="eastAsia" w:eastAsia="仿宋_GB2312"/>
        </w:rPr>
        <w:t>全师</w:t>
      </w:r>
      <w:r>
        <w:rPr>
          <w:rFonts w:eastAsia="仿宋_GB2312"/>
        </w:rPr>
        <w:t>土地面积的</w:t>
      </w:r>
      <w:r>
        <w:rPr>
          <w:rFonts w:hint="eastAsia" w:eastAsia="仿宋_GB2312"/>
        </w:rPr>
        <w:t>34.8</w:t>
      </w:r>
      <w:r>
        <w:rPr>
          <w:rFonts w:eastAsia="仿宋_GB2312"/>
        </w:rPr>
        <w:t>%</w:t>
      </w:r>
      <w:r>
        <w:rPr>
          <w:rFonts w:hint="eastAsia" w:eastAsia="仿宋_GB2312"/>
        </w:rPr>
        <w:t>。水力侵蚀面积为1.56</w:t>
      </w:r>
      <w:r>
        <w:rPr>
          <w:rFonts w:eastAsia="仿宋_GB2312"/>
        </w:rPr>
        <w:t>km</w:t>
      </w:r>
      <w:r>
        <w:rPr>
          <w:rFonts w:eastAsia="仿宋_GB2312"/>
          <w:vertAlign w:val="superscript"/>
        </w:rPr>
        <w:t>2</w:t>
      </w:r>
      <w:r>
        <w:rPr>
          <w:rFonts w:eastAsia="仿宋_GB2312"/>
        </w:rPr>
        <w:t>，占</w:t>
      </w:r>
      <w:r>
        <w:rPr>
          <w:rFonts w:hint="eastAsia" w:eastAsia="仿宋_GB2312"/>
        </w:rPr>
        <w:t>全师</w:t>
      </w:r>
      <w:r>
        <w:rPr>
          <w:rFonts w:eastAsia="仿宋_GB2312"/>
        </w:rPr>
        <w:t>土地面积的</w:t>
      </w:r>
      <w:r>
        <w:rPr>
          <w:rFonts w:hint="eastAsia" w:eastAsia="仿宋_GB2312"/>
        </w:rPr>
        <w:t>0.1</w:t>
      </w:r>
      <w:r>
        <w:rPr>
          <w:rFonts w:eastAsia="仿宋_GB2312"/>
        </w:rPr>
        <w:t>%。</w:t>
      </w:r>
      <w:r>
        <w:rPr>
          <w:rFonts w:hint="eastAsia" w:eastAsia="仿宋_GB2312"/>
        </w:rPr>
        <w:t>风力侵蚀面积为583.50</w:t>
      </w:r>
      <w:r>
        <w:rPr>
          <w:rFonts w:eastAsia="仿宋_GB2312"/>
        </w:rPr>
        <w:t>km</w:t>
      </w:r>
      <w:r>
        <w:rPr>
          <w:rFonts w:eastAsia="仿宋_GB2312"/>
          <w:vertAlign w:val="superscript"/>
        </w:rPr>
        <w:t>2</w:t>
      </w:r>
      <w:r>
        <w:rPr>
          <w:rFonts w:eastAsia="仿宋_GB2312"/>
        </w:rPr>
        <w:t>，占</w:t>
      </w:r>
      <w:r>
        <w:rPr>
          <w:rFonts w:hint="eastAsia" w:eastAsia="仿宋_GB2312"/>
        </w:rPr>
        <w:t>全师</w:t>
      </w:r>
      <w:r>
        <w:rPr>
          <w:rFonts w:eastAsia="仿宋_GB2312"/>
        </w:rPr>
        <w:t>土地面积的</w:t>
      </w:r>
      <w:r>
        <w:rPr>
          <w:rFonts w:hint="eastAsia" w:eastAsia="仿宋_GB2312"/>
        </w:rPr>
        <w:t>34.7</w:t>
      </w:r>
      <w:r>
        <w:rPr>
          <w:rFonts w:eastAsia="仿宋_GB2312"/>
        </w:rPr>
        <w:t>%</w:t>
      </w:r>
      <w:r>
        <w:rPr>
          <w:rFonts w:hint="eastAsia" w:eastAsia="仿宋_GB2312"/>
        </w:rPr>
        <w:t>。第十四师</w:t>
      </w:r>
      <w:r>
        <w:rPr>
          <w:rFonts w:eastAsia="仿宋_GB2312"/>
        </w:rPr>
        <w:t>水土流失</w:t>
      </w:r>
      <w:r>
        <w:rPr>
          <w:rFonts w:hint="eastAsia" w:eastAsia="仿宋_GB2312"/>
        </w:rPr>
        <w:t>面积及所占比</w:t>
      </w:r>
      <w:r>
        <w:rPr>
          <w:rFonts w:eastAsia="仿宋_GB2312"/>
        </w:rPr>
        <w:t>，见表4.</w:t>
      </w:r>
      <w:r>
        <w:rPr>
          <w:rFonts w:hint="eastAsia" w:eastAsia="仿宋_GB2312"/>
        </w:rPr>
        <w:t>1</w:t>
      </w:r>
      <w:r>
        <w:rPr>
          <w:rFonts w:eastAsia="仿宋_GB2312"/>
        </w:rPr>
        <w:t>-</w:t>
      </w:r>
      <w:r>
        <w:rPr>
          <w:rFonts w:hint="eastAsia" w:eastAsia="仿宋_GB2312"/>
        </w:rPr>
        <w:t>1</w:t>
      </w:r>
      <w:r>
        <w:rPr>
          <w:rFonts w:eastAsia="仿宋_GB2312"/>
        </w:rPr>
        <w:t>。</w:t>
      </w:r>
      <w:r>
        <w:rPr>
          <w:rFonts w:hint="eastAsia" w:eastAsia="仿宋_GB2312"/>
        </w:rPr>
        <w:t>第十四师</w:t>
      </w:r>
      <w:r>
        <w:rPr>
          <w:rFonts w:eastAsia="仿宋_GB2312"/>
        </w:rPr>
        <w:t>水土流失</w:t>
      </w:r>
      <w:r>
        <w:rPr>
          <w:rFonts w:hint="eastAsia" w:eastAsia="仿宋_GB2312"/>
        </w:rPr>
        <w:t>类型及强度分布</w:t>
      </w:r>
      <w:r>
        <w:rPr>
          <w:rFonts w:eastAsia="仿宋_GB2312"/>
        </w:rPr>
        <w:t>，见表4.</w:t>
      </w:r>
      <w:r>
        <w:rPr>
          <w:rFonts w:hint="eastAsia" w:eastAsia="仿宋_GB2312"/>
        </w:rPr>
        <w:t>1</w:t>
      </w:r>
      <w:r>
        <w:rPr>
          <w:rFonts w:eastAsia="仿宋_GB2312"/>
        </w:rPr>
        <w:t>-</w:t>
      </w:r>
      <w:r>
        <w:rPr>
          <w:rFonts w:hint="eastAsia" w:eastAsia="仿宋_GB2312"/>
        </w:rPr>
        <w:t>2。</w:t>
      </w:r>
    </w:p>
    <w:p>
      <w:pPr>
        <w:tabs>
          <w:tab w:val="left" w:pos="840"/>
          <w:tab w:val="left" w:pos="1485"/>
        </w:tabs>
        <w:spacing w:line="240" w:lineRule="auto"/>
        <w:ind w:firstLine="0" w:firstLineChars="0"/>
        <w:jc w:val="center"/>
        <w:rPr>
          <w:rFonts w:eastAsia="仿宋_GB2312"/>
          <w:b/>
        </w:rPr>
      </w:pPr>
      <w:r>
        <w:rPr>
          <w:rFonts w:eastAsia="仿宋_GB2312"/>
          <w:b/>
        </w:rPr>
        <w:t>表4.</w:t>
      </w:r>
      <w:r>
        <w:rPr>
          <w:rFonts w:hint="eastAsia" w:eastAsia="仿宋_GB2312"/>
          <w:b/>
        </w:rPr>
        <w:t>1</w:t>
      </w:r>
      <w:r>
        <w:rPr>
          <w:rFonts w:eastAsia="仿宋_GB2312"/>
          <w:b/>
        </w:rPr>
        <w:t>-</w:t>
      </w:r>
      <w:r>
        <w:rPr>
          <w:rFonts w:hint="eastAsia" w:eastAsia="仿宋_GB2312"/>
          <w:b/>
        </w:rPr>
        <w:t>1第十四师</w:t>
      </w:r>
      <w:r>
        <w:rPr>
          <w:rFonts w:eastAsia="仿宋_GB2312"/>
          <w:b/>
        </w:rPr>
        <w:t>水土流失</w:t>
      </w:r>
      <w:r>
        <w:rPr>
          <w:rFonts w:hint="eastAsia" w:eastAsia="仿宋_GB2312"/>
          <w:b/>
        </w:rPr>
        <w:t>面积及所占比</w:t>
      </w:r>
    </w:p>
    <w:tbl>
      <w:tblPr>
        <w:tblStyle w:val="40"/>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064"/>
        <w:gridCol w:w="1029"/>
        <w:gridCol w:w="1070"/>
        <w:gridCol w:w="1071"/>
        <w:gridCol w:w="1070"/>
        <w:gridCol w:w="1071"/>
        <w:gridCol w:w="1071"/>
        <w:gridCol w:w="107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25" w:type="pct"/>
            <w:vMerge w:val="restart"/>
            <w:shd w:val="clear" w:color="auto" w:fill="auto"/>
            <w:noWrap/>
            <w:vAlign w:val="center"/>
          </w:tcPr>
          <w:p>
            <w:pPr>
              <w:widowControl/>
              <w:spacing w:line="240" w:lineRule="auto"/>
              <w:ind w:firstLine="0" w:firstLineChars="0"/>
              <w:jc w:val="center"/>
              <w:rPr>
                <w:rFonts w:eastAsia="仿宋_GB2312"/>
                <w:sz w:val="21"/>
                <w:szCs w:val="21"/>
              </w:rPr>
            </w:pPr>
            <w:r>
              <w:rPr>
                <w:rFonts w:hint="eastAsia" w:eastAsia="仿宋_GB2312"/>
                <w:sz w:val="21"/>
                <w:szCs w:val="21"/>
              </w:rPr>
              <w:t>师名称</w:t>
            </w:r>
          </w:p>
        </w:tc>
        <w:tc>
          <w:tcPr>
            <w:tcW w:w="604" w:type="pct"/>
            <w:vMerge w:val="restart"/>
            <w:shd w:val="clear" w:color="auto" w:fill="auto"/>
            <w:noWrap/>
            <w:vAlign w:val="center"/>
          </w:tcPr>
          <w:p>
            <w:pPr>
              <w:widowControl/>
              <w:spacing w:line="240" w:lineRule="auto"/>
              <w:ind w:firstLine="0" w:firstLineChars="0"/>
              <w:jc w:val="center"/>
              <w:rPr>
                <w:rFonts w:eastAsia="仿宋_GB2312"/>
                <w:sz w:val="21"/>
                <w:szCs w:val="21"/>
              </w:rPr>
            </w:pPr>
            <w:r>
              <w:rPr>
                <w:rFonts w:hint="eastAsia" w:eastAsia="仿宋_GB2312"/>
                <w:sz w:val="21"/>
                <w:szCs w:val="21"/>
              </w:rPr>
              <w:t>土地</w:t>
            </w:r>
          </w:p>
          <w:p>
            <w:pPr>
              <w:widowControl/>
              <w:spacing w:line="240" w:lineRule="auto"/>
              <w:ind w:firstLine="0" w:firstLineChars="0"/>
              <w:jc w:val="center"/>
              <w:rPr>
                <w:rFonts w:eastAsia="仿宋_GB2312"/>
                <w:sz w:val="21"/>
                <w:szCs w:val="21"/>
              </w:rPr>
            </w:pPr>
            <w:r>
              <w:rPr>
                <w:rFonts w:hint="eastAsia" w:eastAsia="仿宋_GB2312"/>
                <w:sz w:val="21"/>
                <w:szCs w:val="21"/>
              </w:rPr>
              <w:t>面积</w:t>
            </w:r>
          </w:p>
          <w:p>
            <w:pPr>
              <w:widowControl/>
              <w:spacing w:line="240" w:lineRule="auto"/>
              <w:ind w:firstLine="0" w:firstLineChars="0"/>
              <w:jc w:val="center"/>
              <w:rPr>
                <w:rFonts w:eastAsia="仿宋_GB2312"/>
                <w:sz w:val="21"/>
                <w:szCs w:val="21"/>
              </w:rPr>
            </w:pPr>
            <w:r>
              <w:rPr>
                <w:rFonts w:hint="eastAsia" w:eastAsia="仿宋_GB2312"/>
                <w:sz w:val="21"/>
                <w:szCs w:val="21"/>
              </w:rPr>
              <w:t>（km</w:t>
            </w:r>
            <w:r>
              <w:rPr>
                <w:rFonts w:hint="eastAsia" w:eastAsia="仿宋_GB2312"/>
                <w:sz w:val="21"/>
                <w:szCs w:val="21"/>
                <w:vertAlign w:val="superscript"/>
              </w:rPr>
              <w:t>2</w:t>
            </w:r>
            <w:r>
              <w:rPr>
                <w:rFonts w:hint="eastAsia" w:eastAsia="仿宋_GB2312"/>
                <w:sz w:val="21"/>
                <w:szCs w:val="21"/>
              </w:rPr>
              <w:t>）</w:t>
            </w:r>
          </w:p>
        </w:tc>
        <w:tc>
          <w:tcPr>
            <w:tcW w:w="1885" w:type="pct"/>
            <w:gridSpan w:val="3"/>
            <w:tcBorders>
              <w:right w:val="single" w:color="auto" w:sz="4" w:space="0"/>
            </w:tcBorders>
            <w:shd w:val="clear" w:color="auto" w:fill="auto"/>
            <w:noWrap/>
            <w:vAlign w:val="center"/>
          </w:tcPr>
          <w:p>
            <w:pPr>
              <w:widowControl/>
              <w:spacing w:line="240" w:lineRule="auto"/>
              <w:ind w:firstLine="0" w:firstLineChars="0"/>
              <w:jc w:val="center"/>
              <w:rPr>
                <w:rFonts w:eastAsia="仿宋_GB2312"/>
                <w:sz w:val="21"/>
                <w:szCs w:val="21"/>
              </w:rPr>
            </w:pPr>
            <w:r>
              <w:rPr>
                <w:rFonts w:hint="eastAsia" w:eastAsia="仿宋_GB2312"/>
                <w:sz w:val="21"/>
                <w:szCs w:val="21"/>
              </w:rPr>
              <w:t>不同类型水土流失面积（km</w:t>
            </w:r>
            <w:r>
              <w:rPr>
                <w:rFonts w:hint="eastAsia" w:eastAsia="仿宋_GB2312"/>
                <w:sz w:val="21"/>
                <w:szCs w:val="21"/>
                <w:vertAlign w:val="superscript"/>
              </w:rPr>
              <w:t>2</w:t>
            </w:r>
            <w:r>
              <w:rPr>
                <w:rFonts w:hint="eastAsia" w:eastAsia="仿宋_GB2312"/>
                <w:sz w:val="21"/>
                <w:szCs w:val="21"/>
              </w:rPr>
              <w:t>）</w:t>
            </w:r>
          </w:p>
        </w:tc>
        <w:tc>
          <w:tcPr>
            <w:tcW w:w="1886" w:type="pct"/>
            <w:gridSpan w:val="3"/>
            <w:tcBorders>
              <w:left w:val="single" w:color="auto" w:sz="4" w:space="0"/>
            </w:tcBorders>
            <w:shd w:val="clear" w:color="auto" w:fill="auto"/>
            <w:vAlign w:val="center"/>
          </w:tcPr>
          <w:p>
            <w:pPr>
              <w:widowControl/>
              <w:spacing w:line="240" w:lineRule="auto"/>
              <w:ind w:firstLine="0" w:firstLineChars="0"/>
              <w:jc w:val="center"/>
              <w:rPr>
                <w:rFonts w:eastAsia="仿宋_GB2312"/>
                <w:sz w:val="21"/>
                <w:szCs w:val="21"/>
              </w:rPr>
            </w:pPr>
            <w:r>
              <w:rPr>
                <w:rFonts w:hint="eastAsia" w:ascii="仿宋_GB2312" w:hAnsi="Calibri" w:eastAsia="仿宋_GB2312" w:cs="仿宋_GB2312"/>
                <w:sz w:val="21"/>
                <w:szCs w:val="21"/>
              </w:rPr>
              <w:t>占土地面积比例</w:t>
            </w:r>
            <w:r>
              <w:rPr>
                <w:rFonts w:eastAsia="仿宋_GB2312"/>
                <w:sz w:val="21"/>
                <w:szCs w:val="21"/>
              </w:rPr>
              <w:t>（</w:t>
            </w:r>
            <w:r>
              <w:rPr>
                <w:rFonts w:eastAsia="宋体"/>
                <w:sz w:val="21"/>
                <w:szCs w:val="21"/>
              </w:rPr>
              <w:t>%</w:t>
            </w:r>
            <w:r>
              <w:rPr>
                <w:rFonts w:eastAsia="仿宋_GB2312"/>
                <w:sz w:val="21"/>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25" w:type="pct"/>
            <w:vMerge w:val="continue"/>
            <w:shd w:val="clear" w:color="auto" w:fill="auto"/>
            <w:noWrap/>
            <w:vAlign w:val="center"/>
          </w:tcPr>
          <w:p>
            <w:pPr>
              <w:widowControl/>
              <w:spacing w:line="240" w:lineRule="auto"/>
              <w:ind w:firstLine="0" w:firstLineChars="0"/>
              <w:jc w:val="center"/>
              <w:rPr>
                <w:rFonts w:eastAsia="仿宋_GB2312"/>
                <w:sz w:val="21"/>
                <w:szCs w:val="21"/>
              </w:rPr>
            </w:pPr>
          </w:p>
        </w:tc>
        <w:tc>
          <w:tcPr>
            <w:tcW w:w="604" w:type="pct"/>
            <w:vMerge w:val="continue"/>
            <w:shd w:val="clear" w:color="auto" w:fill="auto"/>
            <w:noWrap/>
            <w:vAlign w:val="center"/>
          </w:tcPr>
          <w:p>
            <w:pPr>
              <w:widowControl/>
              <w:spacing w:line="240" w:lineRule="auto"/>
              <w:ind w:firstLine="0" w:firstLineChars="0"/>
              <w:jc w:val="center"/>
              <w:rPr>
                <w:rFonts w:eastAsia="仿宋_GB2312"/>
                <w:sz w:val="21"/>
                <w:szCs w:val="21"/>
              </w:rPr>
            </w:pPr>
          </w:p>
        </w:tc>
        <w:tc>
          <w:tcPr>
            <w:tcW w:w="628" w:type="pct"/>
            <w:shd w:val="clear" w:color="auto" w:fill="auto"/>
            <w:noWrap/>
            <w:vAlign w:val="center"/>
          </w:tcPr>
          <w:p>
            <w:pPr>
              <w:widowControl/>
              <w:spacing w:line="240" w:lineRule="auto"/>
              <w:ind w:firstLine="0" w:firstLineChars="0"/>
              <w:jc w:val="center"/>
              <w:rPr>
                <w:rFonts w:eastAsia="仿宋_GB2312"/>
                <w:sz w:val="21"/>
                <w:szCs w:val="21"/>
              </w:rPr>
            </w:pPr>
            <w:r>
              <w:rPr>
                <w:rFonts w:hint="eastAsia" w:eastAsia="仿宋_GB2312"/>
                <w:sz w:val="21"/>
                <w:szCs w:val="21"/>
              </w:rPr>
              <w:t>水力侵蚀</w:t>
            </w:r>
          </w:p>
        </w:tc>
        <w:tc>
          <w:tcPr>
            <w:tcW w:w="629" w:type="pct"/>
            <w:vAlign w:val="center"/>
          </w:tcPr>
          <w:p>
            <w:pPr>
              <w:widowControl/>
              <w:spacing w:line="240" w:lineRule="auto"/>
              <w:ind w:firstLine="0" w:firstLineChars="0"/>
              <w:jc w:val="center"/>
              <w:rPr>
                <w:rFonts w:eastAsia="仿宋_GB2312"/>
                <w:sz w:val="21"/>
                <w:szCs w:val="21"/>
              </w:rPr>
            </w:pPr>
            <w:r>
              <w:rPr>
                <w:rFonts w:hint="eastAsia" w:eastAsia="仿宋_GB2312"/>
                <w:sz w:val="21"/>
                <w:szCs w:val="21"/>
              </w:rPr>
              <w:t>风力侵蚀</w:t>
            </w:r>
          </w:p>
        </w:tc>
        <w:tc>
          <w:tcPr>
            <w:tcW w:w="628" w:type="pct"/>
            <w:tcBorders>
              <w:right w:val="single" w:color="auto" w:sz="4" w:space="0"/>
            </w:tcBorders>
            <w:vAlign w:val="center"/>
          </w:tcPr>
          <w:p>
            <w:pPr>
              <w:widowControl/>
              <w:spacing w:line="240" w:lineRule="auto"/>
              <w:ind w:firstLine="0" w:firstLineChars="0"/>
              <w:jc w:val="center"/>
              <w:rPr>
                <w:rFonts w:eastAsia="仿宋_GB2312"/>
                <w:sz w:val="21"/>
                <w:szCs w:val="21"/>
              </w:rPr>
            </w:pPr>
            <w:r>
              <w:rPr>
                <w:rFonts w:hint="eastAsia" w:eastAsia="仿宋_GB2312"/>
                <w:sz w:val="21"/>
                <w:szCs w:val="21"/>
              </w:rPr>
              <w:t>水土流失总面积</w:t>
            </w:r>
          </w:p>
        </w:tc>
        <w:tc>
          <w:tcPr>
            <w:tcW w:w="629" w:type="pct"/>
            <w:tcBorders>
              <w:left w:val="single" w:color="auto" w:sz="4" w:space="0"/>
            </w:tcBorders>
            <w:vAlign w:val="center"/>
          </w:tcPr>
          <w:p>
            <w:pPr>
              <w:widowControl/>
              <w:spacing w:line="240" w:lineRule="auto"/>
              <w:ind w:firstLine="0" w:firstLineChars="0"/>
              <w:jc w:val="center"/>
              <w:rPr>
                <w:rFonts w:eastAsia="仿宋_GB2312"/>
                <w:sz w:val="21"/>
                <w:szCs w:val="21"/>
              </w:rPr>
            </w:pPr>
            <w:r>
              <w:rPr>
                <w:rFonts w:hint="eastAsia" w:eastAsia="仿宋_GB2312"/>
                <w:sz w:val="21"/>
                <w:szCs w:val="21"/>
              </w:rPr>
              <w:t>水力侵蚀</w:t>
            </w:r>
          </w:p>
        </w:tc>
        <w:tc>
          <w:tcPr>
            <w:tcW w:w="629" w:type="pct"/>
            <w:shd w:val="clear" w:color="auto" w:fill="auto"/>
            <w:noWrap/>
            <w:vAlign w:val="center"/>
          </w:tcPr>
          <w:p>
            <w:pPr>
              <w:widowControl/>
              <w:spacing w:line="240" w:lineRule="auto"/>
              <w:ind w:firstLine="0" w:firstLineChars="0"/>
              <w:jc w:val="center"/>
              <w:rPr>
                <w:rFonts w:eastAsia="仿宋_GB2312"/>
                <w:sz w:val="21"/>
                <w:szCs w:val="21"/>
              </w:rPr>
            </w:pPr>
            <w:r>
              <w:rPr>
                <w:rFonts w:hint="eastAsia" w:eastAsia="仿宋_GB2312"/>
                <w:sz w:val="21"/>
                <w:szCs w:val="21"/>
              </w:rPr>
              <w:t>风力侵蚀</w:t>
            </w:r>
          </w:p>
        </w:tc>
        <w:tc>
          <w:tcPr>
            <w:tcW w:w="628" w:type="pct"/>
          </w:tcPr>
          <w:p>
            <w:pPr>
              <w:widowControl/>
              <w:spacing w:line="240" w:lineRule="auto"/>
              <w:ind w:firstLine="0" w:firstLineChars="0"/>
              <w:jc w:val="center"/>
              <w:rPr>
                <w:rFonts w:eastAsia="仿宋_GB2312"/>
                <w:sz w:val="21"/>
                <w:szCs w:val="21"/>
              </w:rPr>
            </w:pPr>
            <w:r>
              <w:rPr>
                <w:rFonts w:hint="eastAsia" w:eastAsia="仿宋_GB2312"/>
                <w:sz w:val="21"/>
                <w:szCs w:val="21"/>
              </w:rPr>
              <w:t>水土流失总面积</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25" w:type="pct"/>
            <w:shd w:val="clear" w:color="auto" w:fill="auto"/>
            <w:noWrap/>
            <w:vAlign w:val="center"/>
          </w:tcPr>
          <w:p>
            <w:pPr>
              <w:widowControl/>
              <w:spacing w:line="240" w:lineRule="auto"/>
              <w:ind w:firstLine="0" w:firstLineChars="0"/>
              <w:jc w:val="center"/>
              <w:rPr>
                <w:rFonts w:eastAsia="仿宋_GB2312"/>
                <w:sz w:val="21"/>
                <w:szCs w:val="21"/>
              </w:rPr>
            </w:pPr>
            <w:r>
              <w:rPr>
                <w:rFonts w:hint="eastAsia" w:eastAsia="仿宋_GB2312"/>
                <w:sz w:val="21"/>
                <w:szCs w:val="21"/>
              </w:rPr>
              <w:t>第十四师</w:t>
            </w:r>
          </w:p>
        </w:tc>
        <w:tc>
          <w:tcPr>
            <w:tcW w:w="604" w:type="pct"/>
            <w:shd w:val="clear" w:color="auto" w:fill="auto"/>
            <w:noWrap/>
            <w:vAlign w:val="center"/>
          </w:tcPr>
          <w:p>
            <w:pPr>
              <w:widowControl/>
              <w:spacing w:line="240" w:lineRule="auto"/>
              <w:ind w:firstLine="0" w:firstLineChars="0"/>
              <w:jc w:val="center"/>
              <w:rPr>
                <w:rFonts w:eastAsia="仿宋_GB2312"/>
                <w:sz w:val="21"/>
                <w:szCs w:val="21"/>
              </w:rPr>
            </w:pPr>
            <w:r>
              <w:rPr>
                <w:rFonts w:hint="eastAsia" w:eastAsia="仿宋_GB2312"/>
                <w:sz w:val="21"/>
                <w:szCs w:val="21"/>
              </w:rPr>
              <w:t>1682.36</w:t>
            </w:r>
          </w:p>
        </w:tc>
        <w:tc>
          <w:tcPr>
            <w:tcW w:w="628" w:type="pct"/>
            <w:shd w:val="clear" w:color="auto" w:fill="auto"/>
            <w:noWrap/>
            <w:vAlign w:val="center"/>
          </w:tcPr>
          <w:p>
            <w:pPr>
              <w:widowControl/>
              <w:spacing w:line="240" w:lineRule="auto"/>
              <w:ind w:firstLine="0" w:firstLineChars="0"/>
              <w:jc w:val="center"/>
              <w:rPr>
                <w:rFonts w:eastAsia="仿宋_GB2312"/>
                <w:sz w:val="21"/>
                <w:szCs w:val="21"/>
              </w:rPr>
            </w:pPr>
            <w:r>
              <w:rPr>
                <w:rFonts w:hint="eastAsia" w:eastAsia="仿宋_GB2312"/>
                <w:sz w:val="21"/>
                <w:szCs w:val="21"/>
              </w:rPr>
              <w:t>1.56</w:t>
            </w:r>
          </w:p>
        </w:tc>
        <w:tc>
          <w:tcPr>
            <w:tcW w:w="629" w:type="pct"/>
            <w:vAlign w:val="center"/>
          </w:tcPr>
          <w:p>
            <w:pPr>
              <w:widowControl/>
              <w:spacing w:line="240" w:lineRule="auto"/>
              <w:ind w:firstLine="0" w:firstLineChars="0"/>
              <w:jc w:val="center"/>
              <w:rPr>
                <w:rFonts w:eastAsia="仿宋_GB2312"/>
                <w:sz w:val="21"/>
                <w:szCs w:val="21"/>
              </w:rPr>
            </w:pPr>
            <w:r>
              <w:rPr>
                <w:rFonts w:hint="eastAsia" w:eastAsia="仿宋_GB2312"/>
                <w:sz w:val="21"/>
                <w:szCs w:val="21"/>
              </w:rPr>
              <w:t>583.50</w:t>
            </w:r>
          </w:p>
        </w:tc>
        <w:tc>
          <w:tcPr>
            <w:tcW w:w="628" w:type="pct"/>
            <w:vAlign w:val="center"/>
          </w:tcPr>
          <w:p>
            <w:pPr>
              <w:widowControl/>
              <w:spacing w:line="240" w:lineRule="auto"/>
              <w:ind w:firstLine="0" w:firstLineChars="0"/>
              <w:jc w:val="center"/>
              <w:rPr>
                <w:rFonts w:eastAsia="仿宋_GB2312"/>
                <w:sz w:val="21"/>
                <w:szCs w:val="21"/>
              </w:rPr>
            </w:pPr>
            <w:r>
              <w:rPr>
                <w:rFonts w:hint="eastAsia" w:eastAsia="仿宋_GB2312"/>
                <w:sz w:val="21"/>
                <w:szCs w:val="21"/>
              </w:rPr>
              <w:t>585.06</w:t>
            </w:r>
          </w:p>
        </w:tc>
        <w:tc>
          <w:tcPr>
            <w:tcW w:w="629" w:type="pct"/>
            <w:vAlign w:val="center"/>
          </w:tcPr>
          <w:p>
            <w:pPr>
              <w:widowControl/>
              <w:spacing w:line="240" w:lineRule="auto"/>
              <w:ind w:firstLine="0" w:firstLineChars="0"/>
              <w:jc w:val="center"/>
              <w:rPr>
                <w:rFonts w:eastAsia="仿宋_GB2312"/>
                <w:sz w:val="21"/>
                <w:szCs w:val="21"/>
              </w:rPr>
            </w:pPr>
            <w:r>
              <w:rPr>
                <w:rFonts w:hint="eastAsia" w:eastAsia="仿宋_GB2312"/>
                <w:sz w:val="21"/>
                <w:szCs w:val="21"/>
              </w:rPr>
              <w:t>0.1</w:t>
            </w:r>
          </w:p>
        </w:tc>
        <w:tc>
          <w:tcPr>
            <w:tcW w:w="629" w:type="pct"/>
            <w:shd w:val="clear" w:color="auto" w:fill="auto"/>
            <w:noWrap/>
            <w:vAlign w:val="center"/>
          </w:tcPr>
          <w:p>
            <w:pPr>
              <w:widowControl/>
              <w:spacing w:line="240" w:lineRule="auto"/>
              <w:ind w:firstLine="0" w:firstLineChars="0"/>
              <w:jc w:val="center"/>
              <w:rPr>
                <w:rFonts w:eastAsia="仿宋_GB2312"/>
                <w:sz w:val="21"/>
                <w:szCs w:val="21"/>
              </w:rPr>
            </w:pPr>
            <w:r>
              <w:rPr>
                <w:rFonts w:hint="eastAsia" w:eastAsia="仿宋_GB2312"/>
                <w:sz w:val="21"/>
                <w:szCs w:val="21"/>
              </w:rPr>
              <w:t>34.7</w:t>
            </w:r>
          </w:p>
        </w:tc>
        <w:tc>
          <w:tcPr>
            <w:tcW w:w="628" w:type="pct"/>
            <w:vAlign w:val="center"/>
          </w:tcPr>
          <w:p>
            <w:pPr>
              <w:widowControl/>
              <w:spacing w:line="240" w:lineRule="auto"/>
              <w:ind w:firstLine="0" w:firstLineChars="0"/>
              <w:jc w:val="center"/>
              <w:rPr>
                <w:rFonts w:eastAsia="仿宋_GB2312"/>
                <w:sz w:val="21"/>
                <w:szCs w:val="21"/>
              </w:rPr>
            </w:pPr>
            <w:r>
              <w:rPr>
                <w:rFonts w:hint="eastAsia" w:eastAsia="仿宋_GB2312"/>
                <w:sz w:val="21"/>
                <w:szCs w:val="21"/>
              </w:rPr>
              <w:t>34.8</w:t>
            </w:r>
          </w:p>
        </w:tc>
      </w:tr>
    </w:tbl>
    <w:p>
      <w:pPr>
        <w:tabs>
          <w:tab w:val="left" w:pos="840"/>
          <w:tab w:val="left" w:pos="1485"/>
        </w:tabs>
        <w:ind w:firstLine="480"/>
        <w:rPr>
          <w:rFonts w:eastAsia="仿宋_GB2312"/>
        </w:rPr>
      </w:pPr>
    </w:p>
    <w:p>
      <w:pPr>
        <w:tabs>
          <w:tab w:val="left" w:pos="840"/>
          <w:tab w:val="left" w:pos="1485"/>
        </w:tabs>
        <w:spacing w:line="240" w:lineRule="auto"/>
        <w:ind w:firstLine="0" w:firstLineChars="0"/>
        <w:jc w:val="center"/>
        <w:rPr>
          <w:rFonts w:eastAsia="仿宋_GB2312"/>
          <w:b/>
        </w:rPr>
      </w:pPr>
      <w:r>
        <w:rPr>
          <w:rFonts w:eastAsia="仿宋_GB2312"/>
          <w:b/>
        </w:rPr>
        <w:t>表4.</w:t>
      </w:r>
      <w:r>
        <w:rPr>
          <w:rFonts w:hint="eastAsia" w:eastAsia="仿宋_GB2312"/>
          <w:b/>
        </w:rPr>
        <w:t>1</w:t>
      </w:r>
      <w:r>
        <w:rPr>
          <w:rFonts w:eastAsia="仿宋_GB2312"/>
          <w:b/>
        </w:rPr>
        <w:t>-</w:t>
      </w:r>
      <w:r>
        <w:rPr>
          <w:rFonts w:hint="eastAsia" w:eastAsia="仿宋_GB2312"/>
          <w:b/>
        </w:rPr>
        <w:t>2第十四师</w:t>
      </w:r>
      <w:r>
        <w:rPr>
          <w:rFonts w:eastAsia="仿宋_GB2312"/>
          <w:b/>
        </w:rPr>
        <w:t>水土流失</w:t>
      </w:r>
      <w:r>
        <w:rPr>
          <w:rFonts w:hint="eastAsia" w:eastAsia="仿宋_GB2312"/>
          <w:b/>
        </w:rPr>
        <w:t>类型及强度分布</w:t>
      </w:r>
    </w:p>
    <w:tbl>
      <w:tblPr>
        <w:tblStyle w:val="40"/>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098"/>
        <w:gridCol w:w="926"/>
        <w:gridCol w:w="926"/>
        <w:gridCol w:w="926"/>
        <w:gridCol w:w="927"/>
        <w:gridCol w:w="927"/>
        <w:gridCol w:w="927"/>
        <w:gridCol w:w="927"/>
        <w:gridCol w:w="93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45" w:type="pct"/>
            <w:vMerge w:val="restart"/>
            <w:shd w:val="clear" w:color="auto" w:fill="auto"/>
            <w:noWrap/>
            <w:vAlign w:val="center"/>
          </w:tcPr>
          <w:p>
            <w:pPr>
              <w:widowControl/>
              <w:spacing w:line="240" w:lineRule="auto"/>
              <w:ind w:firstLine="0" w:firstLineChars="0"/>
              <w:jc w:val="center"/>
              <w:rPr>
                <w:rFonts w:eastAsia="仿宋_GB2312"/>
                <w:sz w:val="21"/>
                <w:szCs w:val="21"/>
              </w:rPr>
            </w:pPr>
            <w:r>
              <w:rPr>
                <w:rFonts w:hint="eastAsia" w:eastAsia="仿宋_GB2312"/>
                <w:sz w:val="21"/>
                <w:szCs w:val="21"/>
              </w:rPr>
              <w:t>所属师部</w:t>
            </w:r>
          </w:p>
        </w:tc>
        <w:tc>
          <w:tcPr>
            <w:tcW w:w="1632" w:type="pct"/>
            <w:gridSpan w:val="3"/>
            <w:shd w:val="clear" w:color="auto" w:fill="auto"/>
            <w:noWrap/>
            <w:vAlign w:val="center"/>
          </w:tcPr>
          <w:p>
            <w:pPr>
              <w:widowControl/>
              <w:spacing w:line="240" w:lineRule="auto"/>
              <w:ind w:firstLine="0" w:firstLineChars="0"/>
              <w:jc w:val="center"/>
              <w:rPr>
                <w:rFonts w:eastAsia="仿宋_GB2312"/>
                <w:sz w:val="21"/>
                <w:szCs w:val="21"/>
              </w:rPr>
            </w:pPr>
            <w:r>
              <w:rPr>
                <w:rFonts w:hint="eastAsia" w:eastAsia="仿宋_GB2312"/>
                <w:sz w:val="21"/>
                <w:szCs w:val="21"/>
              </w:rPr>
              <w:t>水力侵蚀面积（km</w:t>
            </w:r>
            <w:r>
              <w:rPr>
                <w:rFonts w:hint="eastAsia" w:eastAsia="仿宋_GB2312"/>
                <w:sz w:val="21"/>
                <w:szCs w:val="21"/>
                <w:vertAlign w:val="superscript"/>
              </w:rPr>
              <w:t>2</w:t>
            </w:r>
            <w:r>
              <w:rPr>
                <w:rFonts w:hint="eastAsia" w:eastAsia="仿宋_GB2312"/>
                <w:sz w:val="21"/>
                <w:szCs w:val="21"/>
              </w:rPr>
              <w:t>）</w:t>
            </w:r>
          </w:p>
        </w:tc>
        <w:tc>
          <w:tcPr>
            <w:tcW w:w="2723" w:type="pct"/>
            <w:gridSpan w:val="5"/>
            <w:shd w:val="clear" w:color="auto" w:fill="auto"/>
            <w:vAlign w:val="center"/>
          </w:tcPr>
          <w:p>
            <w:pPr>
              <w:widowControl/>
              <w:spacing w:line="240" w:lineRule="auto"/>
              <w:ind w:firstLine="0" w:firstLineChars="0"/>
              <w:jc w:val="center"/>
              <w:rPr>
                <w:rFonts w:eastAsia="仿宋_GB2312"/>
                <w:sz w:val="21"/>
                <w:szCs w:val="21"/>
              </w:rPr>
            </w:pPr>
            <w:r>
              <w:rPr>
                <w:rFonts w:hint="eastAsia" w:eastAsia="仿宋_GB2312"/>
                <w:sz w:val="21"/>
                <w:szCs w:val="21"/>
              </w:rPr>
              <w:t>风力侵蚀面积（km</w:t>
            </w:r>
            <w:r>
              <w:rPr>
                <w:rFonts w:hint="eastAsia" w:eastAsia="仿宋_GB2312"/>
                <w:sz w:val="21"/>
                <w:szCs w:val="21"/>
                <w:vertAlign w:val="superscript"/>
              </w:rPr>
              <w:t>2</w:t>
            </w:r>
            <w:r>
              <w:rPr>
                <w:rFonts w:hint="eastAsia" w:eastAsia="仿宋_GB2312"/>
                <w:sz w:val="21"/>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45" w:type="pct"/>
            <w:vMerge w:val="continue"/>
            <w:shd w:val="clear" w:color="auto" w:fill="auto"/>
            <w:noWrap/>
            <w:vAlign w:val="center"/>
          </w:tcPr>
          <w:p>
            <w:pPr>
              <w:widowControl/>
              <w:spacing w:line="240" w:lineRule="auto"/>
              <w:ind w:firstLine="0" w:firstLineChars="0"/>
              <w:jc w:val="center"/>
              <w:rPr>
                <w:rFonts w:eastAsia="仿宋_GB2312"/>
                <w:sz w:val="21"/>
                <w:szCs w:val="21"/>
              </w:rPr>
            </w:pPr>
          </w:p>
        </w:tc>
        <w:tc>
          <w:tcPr>
            <w:tcW w:w="544" w:type="pct"/>
            <w:shd w:val="clear" w:color="auto" w:fill="auto"/>
            <w:noWrap/>
            <w:vAlign w:val="center"/>
          </w:tcPr>
          <w:p>
            <w:pPr>
              <w:widowControl/>
              <w:spacing w:line="240" w:lineRule="auto"/>
              <w:ind w:firstLine="0" w:firstLineChars="0"/>
              <w:jc w:val="center"/>
              <w:rPr>
                <w:rFonts w:eastAsia="仿宋_GB2312"/>
                <w:sz w:val="21"/>
                <w:szCs w:val="21"/>
              </w:rPr>
            </w:pPr>
            <w:r>
              <w:rPr>
                <w:rFonts w:hint="eastAsia" w:eastAsia="仿宋_GB2312"/>
                <w:sz w:val="21"/>
                <w:szCs w:val="21"/>
              </w:rPr>
              <w:t>小计</w:t>
            </w:r>
          </w:p>
        </w:tc>
        <w:tc>
          <w:tcPr>
            <w:tcW w:w="544" w:type="pct"/>
            <w:vAlign w:val="center"/>
          </w:tcPr>
          <w:p>
            <w:pPr>
              <w:widowControl/>
              <w:spacing w:line="240" w:lineRule="auto"/>
              <w:ind w:firstLine="0" w:firstLineChars="0"/>
              <w:jc w:val="center"/>
              <w:rPr>
                <w:rFonts w:eastAsia="仿宋_GB2312"/>
                <w:sz w:val="21"/>
                <w:szCs w:val="21"/>
              </w:rPr>
            </w:pPr>
            <w:r>
              <w:rPr>
                <w:rFonts w:hint="eastAsia" w:eastAsia="仿宋_GB2312"/>
                <w:sz w:val="21"/>
                <w:szCs w:val="21"/>
              </w:rPr>
              <w:t>轻度</w:t>
            </w:r>
          </w:p>
        </w:tc>
        <w:tc>
          <w:tcPr>
            <w:tcW w:w="544" w:type="pct"/>
            <w:vAlign w:val="center"/>
          </w:tcPr>
          <w:p>
            <w:pPr>
              <w:widowControl/>
              <w:spacing w:line="240" w:lineRule="auto"/>
              <w:ind w:firstLine="0" w:firstLineChars="0"/>
              <w:jc w:val="center"/>
              <w:rPr>
                <w:rFonts w:eastAsia="仿宋_GB2312"/>
                <w:sz w:val="21"/>
                <w:szCs w:val="21"/>
              </w:rPr>
            </w:pPr>
            <w:r>
              <w:rPr>
                <w:rFonts w:hint="eastAsia" w:eastAsia="仿宋_GB2312"/>
                <w:sz w:val="21"/>
                <w:szCs w:val="21"/>
              </w:rPr>
              <w:t>中度</w:t>
            </w:r>
          </w:p>
        </w:tc>
        <w:tc>
          <w:tcPr>
            <w:tcW w:w="544" w:type="pct"/>
            <w:vAlign w:val="center"/>
          </w:tcPr>
          <w:p>
            <w:pPr>
              <w:widowControl/>
              <w:spacing w:line="240" w:lineRule="auto"/>
              <w:ind w:firstLine="0" w:firstLineChars="0"/>
              <w:jc w:val="center"/>
              <w:rPr>
                <w:rFonts w:eastAsia="仿宋_GB2312"/>
                <w:sz w:val="21"/>
                <w:szCs w:val="21"/>
              </w:rPr>
            </w:pPr>
            <w:r>
              <w:rPr>
                <w:rFonts w:hint="eastAsia" w:eastAsia="仿宋_GB2312"/>
                <w:sz w:val="21"/>
                <w:szCs w:val="21"/>
              </w:rPr>
              <w:t>小计</w:t>
            </w:r>
          </w:p>
        </w:tc>
        <w:tc>
          <w:tcPr>
            <w:tcW w:w="544" w:type="pct"/>
            <w:shd w:val="clear" w:color="auto" w:fill="auto"/>
            <w:noWrap/>
            <w:vAlign w:val="center"/>
          </w:tcPr>
          <w:p>
            <w:pPr>
              <w:widowControl/>
              <w:spacing w:line="240" w:lineRule="auto"/>
              <w:ind w:firstLine="0" w:firstLineChars="0"/>
              <w:jc w:val="center"/>
              <w:rPr>
                <w:rFonts w:eastAsia="仿宋_GB2312"/>
                <w:sz w:val="21"/>
                <w:szCs w:val="21"/>
              </w:rPr>
            </w:pPr>
            <w:r>
              <w:rPr>
                <w:rFonts w:hint="eastAsia" w:eastAsia="仿宋_GB2312"/>
                <w:sz w:val="21"/>
                <w:szCs w:val="21"/>
              </w:rPr>
              <w:t>轻度</w:t>
            </w:r>
          </w:p>
        </w:tc>
        <w:tc>
          <w:tcPr>
            <w:tcW w:w="544" w:type="pct"/>
            <w:vAlign w:val="center"/>
          </w:tcPr>
          <w:p>
            <w:pPr>
              <w:widowControl/>
              <w:spacing w:line="240" w:lineRule="auto"/>
              <w:ind w:firstLine="0" w:firstLineChars="0"/>
              <w:jc w:val="center"/>
              <w:rPr>
                <w:rFonts w:eastAsia="仿宋_GB2312"/>
                <w:sz w:val="21"/>
                <w:szCs w:val="21"/>
              </w:rPr>
            </w:pPr>
            <w:r>
              <w:rPr>
                <w:rFonts w:hint="eastAsia" w:eastAsia="仿宋_GB2312"/>
                <w:sz w:val="21"/>
                <w:szCs w:val="21"/>
              </w:rPr>
              <w:t>中度</w:t>
            </w:r>
          </w:p>
        </w:tc>
        <w:tc>
          <w:tcPr>
            <w:tcW w:w="544" w:type="pct"/>
            <w:vAlign w:val="center"/>
          </w:tcPr>
          <w:p>
            <w:pPr>
              <w:widowControl/>
              <w:spacing w:line="240" w:lineRule="auto"/>
              <w:ind w:firstLine="0" w:firstLineChars="0"/>
              <w:jc w:val="center"/>
              <w:rPr>
                <w:rFonts w:eastAsia="仿宋_GB2312"/>
                <w:sz w:val="21"/>
                <w:szCs w:val="21"/>
              </w:rPr>
            </w:pPr>
            <w:r>
              <w:rPr>
                <w:rFonts w:hint="eastAsia" w:eastAsia="仿宋_GB2312"/>
                <w:sz w:val="21"/>
                <w:szCs w:val="21"/>
              </w:rPr>
              <w:t>强烈</w:t>
            </w:r>
          </w:p>
        </w:tc>
        <w:tc>
          <w:tcPr>
            <w:tcW w:w="546" w:type="pct"/>
            <w:vAlign w:val="center"/>
          </w:tcPr>
          <w:p>
            <w:pPr>
              <w:widowControl/>
              <w:spacing w:line="240" w:lineRule="auto"/>
              <w:ind w:firstLine="0" w:firstLineChars="0"/>
              <w:jc w:val="center"/>
              <w:rPr>
                <w:rFonts w:eastAsia="仿宋_GB2312"/>
                <w:sz w:val="21"/>
                <w:szCs w:val="21"/>
              </w:rPr>
            </w:pPr>
            <w:r>
              <w:rPr>
                <w:rFonts w:hint="eastAsia" w:eastAsia="仿宋_GB2312"/>
                <w:sz w:val="21"/>
                <w:szCs w:val="21"/>
              </w:rPr>
              <w:t>极强烈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45" w:type="pct"/>
            <w:shd w:val="clear" w:color="auto" w:fill="auto"/>
            <w:noWrap/>
            <w:vAlign w:val="center"/>
          </w:tcPr>
          <w:p>
            <w:pPr>
              <w:widowControl/>
              <w:spacing w:line="240" w:lineRule="auto"/>
              <w:ind w:firstLine="0" w:firstLineChars="0"/>
              <w:jc w:val="center"/>
              <w:rPr>
                <w:rFonts w:eastAsia="仿宋_GB2312"/>
                <w:sz w:val="21"/>
                <w:szCs w:val="21"/>
              </w:rPr>
            </w:pPr>
            <w:r>
              <w:rPr>
                <w:rFonts w:hint="eastAsia" w:eastAsia="仿宋_GB2312"/>
                <w:sz w:val="21"/>
                <w:szCs w:val="21"/>
              </w:rPr>
              <w:t>第十四师</w:t>
            </w:r>
          </w:p>
        </w:tc>
        <w:tc>
          <w:tcPr>
            <w:tcW w:w="544" w:type="pct"/>
            <w:shd w:val="clear" w:color="auto" w:fill="auto"/>
            <w:noWrap/>
            <w:vAlign w:val="center"/>
          </w:tcPr>
          <w:p>
            <w:pPr>
              <w:widowControl/>
              <w:spacing w:line="240" w:lineRule="auto"/>
              <w:ind w:firstLine="0" w:firstLineChars="0"/>
              <w:jc w:val="center"/>
              <w:rPr>
                <w:rFonts w:eastAsia="仿宋_GB2312"/>
                <w:sz w:val="21"/>
                <w:szCs w:val="21"/>
              </w:rPr>
            </w:pPr>
            <w:r>
              <w:rPr>
                <w:rFonts w:hint="eastAsia" w:eastAsia="仿宋_GB2312"/>
                <w:sz w:val="21"/>
                <w:szCs w:val="21"/>
              </w:rPr>
              <w:t>1.56</w:t>
            </w:r>
          </w:p>
        </w:tc>
        <w:tc>
          <w:tcPr>
            <w:tcW w:w="544" w:type="pct"/>
            <w:vAlign w:val="center"/>
          </w:tcPr>
          <w:p>
            <w:pPr>
              <w:widowControl/>
              <w:spacing w:line="240" w:lineRule="auto"/>
              <w:ind w:firstLine="0" w:firstLineChars="0"/>
              <w:jc w:val="center"/>
              <w:rPr>
                <w:rFonts w:eastAsia="仿宋_GB2312"/>
                <w:sz w:val="21"/>
                <w:szCs w:val="21"/>
              </w:rPr>
            </w:pPr>
            <w:r>
              <w:rPr>
                <w:rFonts w:hint="eastAsia" w:eastAsia="仿宋_GB2312"/>
                <w:sz w:val="21"/>
                <w:szCs w:val="21"/>
              </w:rPr>
              <w:t>1.54</w:t>
            </w:r>
          </w:p>
        </w:tc>
        <w:tc>
          <w:tcPr>
            <w:tcW w:w="544" w:type="pct"/>
            <w:vAlign w:val="center"/>
          </w:tcPr>
          <w:p>
            <w:pPr>
              <w:widowControl/>
              <w:spacing w:line="240" w:lineRule="auto"/>
              <w:ind w:firstLine="0" w:firstLineChars="0"/>
              <w:jc w:val="center"/>
              <w:rPr>
                <w:rFonts w:eastAsia="仿宋_GB2312"/>
                <w:sz w:val="21"/>
                <w:szCs w:val="21"/>
              </w:rPr>
            </w:pPr>
            <w:r>
              <w:rPr>
                <w:rFonts w:hint="eastAsia" w:eastAsia="仿宋_GB2312"/>
                <w:sz w:val="21"/>
                <w:szCs w:val="21"/>
              </w:rPr>
              <w:t>0.02</w:t>
            </w:r>
          </w:p>
        </w:tc>
        <w:tc>
          <w:tcPr>
            <w:tcW w:w="544" w:type="pct"/>
            <w:vAlign w:val="center"/>
          </w:tcPr>
          <w:p>
            <w:pPr>
              <w:widowControl/>
              <w:spacing w:line="240" w:lineRule="auto"/>
              <w:ind w:firstLine="0" w:firstLineChars="0"/>
              <w:jc w:val="center"/>
              <w:rPr>
                <w:rFonts w:eastAsia="仿宋_GB2312"/>
                <w:sz w:val="21"/>
                <w:szCs w:val="21"/>
              </w:rPr>
            </w:pPr>
            <w:r>
              <w:rPr>
                <w:rFonts w:hint="eastAsia" w:eastAsia="仿宋_GB2312"/>
                <w:sz w:val="21"/>
                <w:szCs w:val="21"/>
              </w:rPr>
              <w:t>583.50</w:t>
            </w:r>
          </w:p>
        </w:tc>
        <w:tc>
          <w:tcPr>
            <w:tcW w:w="544" w:type="pct"/>
            <w:shd w:val="clear" w:color="auto" w:fill="auto"/>
            <w:noWrap/>
            <w:vAlign w:val="center"/>
          </w:tcPr>
          <w:p>
            <w:pPr>
              <w:widowControl/>
              <w:spacing w:line="240" w:lineRule="auto"/>
              <w:ind w:firstLine="0" w:firstLineChars="0"/>
              <w:jc w:val="center"/>
              <w:rPr>
                <w:rFonts w:eastAsia="仿宋_GB2312"/>
                <w:sz w:val="21"/>
                <w:szCs w:val="21"/>
              </w:rPr>
            </w:pPr>
            <w:r>
              <w:rPr>
                <w:rFonts w:hint="eastAsia" w:eastAsia="仿宋_GB2312"/>
                <w:sz w:val="21"/>
                <w:szCs w:val="21"/>
              </w:rPr>
              <w:t>119.51</w:t>
            </w:r>
          </w:p>
        </w:tc>
        <w:tc>
          <w:tcPr>
            <w:tcW w:w="544" w:type="pct"/>
            <w:vAlign w:val="center"/>
          </w:tcPr>
          <w:p>
            <w:pPr>
              <w:widowControl/>
              <w:spacing w:line="240" w:lineRule="auto"/>
              <w:ind w:firstLine="0" w:firstLineChars="0"/>
              <w:jc w:val="center"/>
              <w:rPr>
                <w:rFonts w:eastAsia="仿宋_GB2312"/>
                <w:sz w:val="21"/>
                <w:szCs w:val="21"/>
              </w:rPr>
            </w:pPr>
            <w:r>
              <w:rPr>
                <w:rFonts w:hint="eastAsia" w:eastAsia="仿宋_GB2312"/>
                <w:sz w:val="21"/>
                <w:szCs w:val="21"/>
              </w:rPr>
              <w:t>154.46</w:t>
            </w:r>
          </w:p>
        </w:tc>
        <w:tc>
          <w:tcPr>
            <w:tcW w:w="544" w:type="pct"/>
            <w:vAlign w:val="center"/>
          </w:tcPr>
          <w:p>
            <w:pPr>
              <w:widowControl/>
              <w:spacing w:line="240" w:lineRule="auto"/>
              <w:ind w:firstLine="0" w:firstLineChars="0"/>
              <w:jc w:val="center"/>
              <w:rPr>
                <w:rFonts w:eastAsia="仿宋_GB2312"/>
                <w:sz w:val="21"/>
                <w:szCs w:val="21"/>
              </w:rPr>
            </w:pPr>
            <w:r>
              <w:rPr>
                <w:rFonts w:hint="eastAsia" w:eastAsia="仿宋_GB2312"/>
                <w:sz w:val="21"/>
                <w:szCs w:val="21"/>
              </w:rPr>
              <w:t>79.34</w:t>
            </w:r>
          </w:p>
        </w:tc>
        <w:tc>
          <w:tcPr>
            <w:tcW w:w="546" w:type="pct"/>
            <w:vAlign w:val="center"/>
          </w:tcPr>
          <w:p>
            <w:pPr>
              <w:widowControl/>
              <w:spacing w:line="240" w:lineRule="auto"/>
              <w:ind w:firstLine="0" w:firstLineChars="0"/>
              <w:jc w:val="center"/>
              <w:rPr>
                <w:rFonts w:eastAsia="仿宋_GB2312"/>
                <w:sz w:val="21"/>
                <w:szCs w:val="21"/>
              </w:rPr>
            </w:pPr>
            <w:r>
              <w:rPr>
                <w:rFonts w:hint="eastAsia" w:eastAsia="仿宋_GB2312"/>
                <w:sz w:val="21"/>
                <w:szCs w:val="21"/>
              </w:rPr>
              <w:t>230.19</w:t>
            </w:r>
          </w:p>
        </w:tc>
      </w:tr>
    </w:tbl>
    <w:p>
      <w:pPr>
        <w:pStyle w:val="4"/>
        <w:keepLines/>
        <w:widowControl/>
        <w:numPr>
          <w:ilvl w:val="2"/>
          <w:numId w:val="1"/>
        </w:numPr>
        <w:tabs>
          <w:tab w:val="clear" w:pos="432"/>
          <w:tab w:val="clear" w:pos="960"/>
        </w:tabs>
        <w:kinsoku/>
        <w:overflowPunct/>
        <w:topLinePunct w:val="0"/>
        <w:autoSpaceDE/>
        <w:autoSpaceDN/>
        <w:adjustRightInd/>
        <w:snapToGrid/>
        <w:spacing w:beforeLines="100"/>
        <w:ind w:left="0" w:firstLine="0"/>
        <w:jc w:val="both"/>
        <w:rPr>
          <w:rFonts w:eastAsia="仿宋_GB2312"/>
        </w:rPr>
      </w:pPr>
      <w:r>
        <w:rPr>
          <w:rFonts w:eastAsia="仿宋_GB2312"/>
        </w:rPr>
        <w:t>工程区水土流失现状</w:t>
      </w:r>
    </w:p>
    <w:p>
      <w:pPr>
        <w:tabs>
          <w:tab w:val="left" w:pos="840"/>
          <w:tab w:val="left" w:pos="1485"/>
        </w:tabs>
        <w:ind w:firstLine="480"/>
        <w:rPr>
          <w:rFonts w:eastAsia="仿宋_GB2312"/>
        </w:rPr>
      </w:pPr>
      <w:bookmarkStart w:id="220" w:name="_Toc420589330"/>
      <w:bookmarkStart w:id="221" w:name="_Toc419985302"/>
      <w:r>
        <w:rPr>
          <w:rFonts w:eastAsia="仿宋_GB2312"/>
        </w:rPr>
        <w:t>项目区地处</w:t>
      </w:r>
      <w:r>
        <w:rPr>
          <w:rFonts w:hint="eastAsia" w:eastAsia="仿宋_GB2312"/>
        </w:rPr>
        <w:t>新疆生产建设兵团第十四师224团境内</w:t>
      </w:r>
      <w:r>
        <w:rPr>
          <w:rFonts w:eastAsia="仿宋_GB2312"/>
        </w:rPr>
        <w:t>，位于《全国水土保持区域（试行）》中划定的“北方风沙区”。根据《全国水土保持规划国家级水土流失重点预防区和重点治理区复核划分成果》，</w:t>
      </w:r>
      <w:r>
        <w:rPr>
          <w:rFonts w:hint="eastAsia" w:eastAsia="仿宋_GB2312"/>
        </w:rPr>
        <w:t>224团（按墨玉县考虑）</w:t>
      </w:r>
      <w:r>
        <w:rPr>
          <w:rFonts w:eastAsia="仿宋_GB2312"/>
        </w:rPr>
        <w:t>属于塔里木河国家级水土流失重点预防区。</w:t>
      </w:r>
      <w:r>
        <w:rPr>
          <w:rFonts w:hint="eastAsia" w:eastAsia="仿宋_GB2312"/>
        </w:rPr>
        <w:t>根据</w:t>
      </w:r>
      <w:r>
        <w:rPr>
          <w:rFonts w:eastAsia="仿宋_GB2312"/>
        </w:rPr>
        <w:t>《关于印发新疆自治区级水土流失重点预防区和重点治理区复核划分成果的通知》（新水水保[2019]4号）</w:t>
      </w:r>
      <w:r>
        <w:rPr>
          <w:rFonts w:hint="eastAsia" w:eastAsia="仿宋_GB2312"/>
        </w:rPr>
        <w:t>，224团（按墨玉县考虑）不属于</w:t>
      </w:r>
      <w:r>
        <w:rPr>
          <w:rFonts w:eastAsia="仿宋_GB2312"/>
        </w:rPr>
        <w:t>新疆自治区级水土流失重点预防区和重点治理区</w:t>
      </w:r>
      <w:r>
        <w:rPr>
          <w:rFonts w:hint="eastAsia" w:eastAsia="仿宋_GB2312"/>
        </w:rPr>
        <w:t>。</w:t>
      </w:r>
      <w:r>
        <w:rPr>
          <w:rFonts w:eastAsia="仿宋_GB2312"/>
        </w:rPr>
        <w:t>根据《新疆生产建设兵团水土保持规划（2015-2030）》，</w:t>
      </w:r>
      <w:r>
        <w:rPr>
          <w:rFonts w:hint="eastAsia" w:eastAsia="仿宋_GB2312"/>
        </w:rPr>
        <w:t>第十四师224团</w:t>
      </w:r>
      <w:r>
        <w:rPr>
          <w:rFonts w:eastAsia="仿宋_GB2312"/>
        </w:rPr>
        <w:t>属于</w:t>
      </w:r>
      <w:r>
        <w:rPr>
          <w:rFonts w:hint="eastAsia" w:eastAsia="仿宋_GB2312"/>
        </w:rPr>
        <w:t>塔里木河流域兵团级水土流失重点治理区。</w:t>
      </w:r>
      <w:r>
        <w:rPr>
          <w:rFonts w:eastAsia="仿宋_GB2312"/>
        </w:rPr>
        <w:t>按照《生产建设项目水土流失防治标准》（GB/T50434-2018）</w:t>
      </w:r>
      <w:r>
        <w:rPr>
          <w:rFonts w:hint="eastAsia" w:eastAsia="仿宋_GB2312"/>
        </w:rPr>
        <w:t>及《全国水土保持区划（试行）》</w:t>
      </w:r>
      <w:r>
        <w:rPr>
          <w:rFonts w:eastAsia="仿宋_GB2312"/>
        </w:rPr>
        <w:t>的基本要求和规定，本工程水土流失防治执行北方风沙区建设类一级防治标准。</w:t>
      </w:r>
    </w:p>
    <w:p>
      <w:pPr>
        <w:tabs>
          <w:tab w:val="left" w:pos="840"/>
          <w:tab w:val="left" w:pos="1485"/>
        </w:tabs>
        <w:ind w:firstLine="480"/>
        <w:rPr>
          <w:rFonts w:eastAsia="仿宋_GB2312"/>
        </w:rPr>
      </w:pPr>
      <w:r>
        <w:rPr>
          <w:rFonts w:eastAsia="仿宋_GB2312"/>
        </w:rPr>
        <w:t>根据现场踏勘情况，项目区土壤侵蚀类型主要为轻度风力侵蚀、微度水力侵蚀</w:t>
      </w:r>
      <w:r>
        <w:rPr>
          <w:rFonts w:hint="eastAsia" w:eastAsia="仿宋_GB2312"/>
        </w:rPr>
        <w:t>。</w:t>
      </w:r>
      <w:r>
        <w:rPr>
          <w:rFonts w:eastAsia="仿宋_GB2312"/>
        </w:rPr>
        <w:t>根据项目区自然环境概况，结合全疆第二次水土流失普查结果，在参考《土壤侵蚀分类分级标准》（SL190-2007）的基础上，结合对项目区水土流失现状调查情况，初步判定原生土壤侵蚀模数为</w:t>
      </w:r>
      <w:r>
        <w:rPr>
          <w:rFonts w:hint="eastAsia" w:eastAsia="仿宋_GB2312"/>
        </w:rPr>
        <w:t>15</w:t>
      </w:r>
      <w:r>
        <w:rPr>
          <w:rFonts w:eastAsia="仿宋_GB2312"/>
        </w:rPr>
        <w:t>00t/km</w:t>
      </w:r>
      <w:r>
        <w:rPr>
          <w:rFonts w:eastAsia="仿宋_GB2312"/>
          <w:vertAlign w:val="superscript"/>
        </w:rPr>
        <w:t>2</w:t>
      </w:r>
      <w:r>
        <w:rPr>
          <w:rFonts w:eastAsia="仿宋_GB2312"/>
        </w:rPr>
        <w:t>·a</w:t>
      </w:r>
      <w:r>
        <w:rPr>
          <w:rFonts w:hint="eastAsia" w:eastAsia="仿宋_GB2312"/>
        </w:rPr>
        <w:t>，</w:t>
      </w:r>
      <w:r>
        <w:rPr>
          <w:rFonts w:eastAsia="仿宋_GB2312"/>
        </w:rPr>
        <w:t>容许土壤流失量</w:t>
      </w:r>
      <w:r>
        <w:rPr>
          <w:rFonts w:hint="eastAsia" w:eastAsia="仿宋_GB2312"/>
        </w:rPr>
        <w:t>为15</w:t>
      </w:r>
      <w:r>
        <w:rPr>
          <w:rFonts w:eastAsia="仿宋_GB2312"/>
        </w:rPr>
        <w:t>00t/km</w:t>
      </w:r>
      <w:r>
        <w:rPr>
          <w:rFonts w:eastAsia="仿宋_GB2312"/>
          <w:vertAlign w:val="superscript"/>
        </w:rPr>
        <w:t>2</w:t>
      </w:r>
      <w:r>
        <w:rPr>
          <w:rFonts w:eastAsia="仿宋_GB2312"/>
        </w:rPr>
        <w:t>·a。</w:t>
      </w:r>
    </w:p>
    <w:p>
      <w:pPr>
        <w:pStyle w:val="3"/>
        <w:widowControl/>
        <w:numPr>
          <w:ilvl w:val="1"/>
          <w:numId w:val="1"/>
        </w:numPr>
        <w:tabs>
          <w:tab w:val="clear" w:pos="1002"/>
        </w:tabs>
        <w:topLinePunct w:val="0"/>
        <w:adjustRightInd/>
        <w:snapToGrid/>
        <w:ind w:left="0" w:firstLine="0"/>
        <w:jc w:val="both"/>
        <w:rPr>
          <w:rFonts w:eastAsia="仿宋_GB2312"/>
        </w:rPr>
      </w:pPr>
      <w:bookmarkStart w:id="222" w:name="_Toc47381540"/>
      <w:bookmarkStart w:id="223" w:name="_Toc7801561"/>
      <w:bookmarkStart w:id="224" w:name="_Toc7801468"/>
      <w:bookmarkStart w:id="225" w:name="_Toc7801401"/>
      <w:r>
        <w:rPr>
          <w:rFonts w:eastAsia="仿宋_GB2312"/>
        </w:rPr>
        <w:t>水土流失影响因素分析</w:t>
      </w:r>
      <w:bookmarkEnd w:id="222"/>
      <w:bookmarkEnd w:id="223"/>
      <w:bookmarkEnd w:id="224"/>
      <w:bookmarkEnd w:id="225"/>
    </w:p>
    <w:p>
      <w:pPr>
        <w:pStyle w:val="4"/>
        <w:keepLines/>
        <w:widowControl/>
        <w:numPr>
          <w:ilvl w:val="2"/>
          <w:numId w:val="1"/>
        </w:numPr>
        <w:tabs>
          <w:tab w:val="clear" w:pos="432"/>
          <w:tab w:val="clear" w:pos="960"/>
        </w:tabs>
        <w:kinsoku/>
        <w:overflowPunct/>
        <w:topLinePunct w:val="0"/>
        <w:autoSpaceDE/>
        <w:autoSpaceDN/>
        <w:adjustRightInd/>
        <w:snapToGrid/>
        <w:ind w:left="0" w:firstLine="0"/>
        <w:jc w:val="both"/>
        <w:rPr>
          <w:rFonts w:eastAsia="仿宋_GB2312"/>
        </w:rPr>
      </w:pPr>
      <w:r>
        <w:rPr>
          <w:rFonts w:hint="eastAsia" w:eastAsia="仿宋_GB2312"/>
        </w:rPr>
        <w:t>工程建设与生产对水土流失的影响</w:t>
      </w:r>
    </w:p>
    <w:p>
      <w:pPr>
        <w:tabs>
          <w:tab w:val="left" w:pos="600"/>
          <w:tab w:val="left" w:pos="1485"/>
        </w:tabs>
        <w:ind w:firstLine="480"/>
        <w:rPr>
          <w:rFonts w:eastAsia="仿宋_GB2312"/>
        </w:rPr>
      </w:pPr>
      <w:r>
        <w:rPr>
          <w:rFonts w:eastAsia="仿宋_GB2312"/>
        </w:rPr>
        <w:t>工程建设中，造成土壤侵蚀加速发展的因素包括自然因素和人为因素，人为因素是主导因素。影响该区域水土流失的自然因素主要有气候、地质、地形、地貌、土壤和植被等；人为因素有场地平整和清理、</w:t>
      </w:r>
      <w:r>
        <w:rPr>
          <w:rFonts w:hint="eastAsia" w:eastAsia="仿宋_GB2312"/>
        </w:rPr>
        <w:t>基础</w:t>
      </w:r>
      <w:r>
        <w:rPr>
          <w:rFonts w:eastAsia="仿宋_GB2312"/>
        </w:rPr>
        <w:t>开挖等施工活动，以上施工活动改变了外营力与土体抵抗力之间形成的自然相对平衡，潜在的自然因素在人为因素的诱发下加速土壤侵蚀，形成新的水土流失</w:t>
      </w:r>
      <w:r>
        <w:rPr>
          <w:rFonts w:hint="eastAsia" w:eastAsia="仿宋_GB2312"/>
        </w:rPr>
        <w:t>。</w:t>
      </w:r>
      <w:r>
        <w:rPr>
          <w:rFonts w:eastAsia="仿宋_GB2312"/>
        </w:rPr>
        <w:t>根据工程的建设特点，施工建设活动主要从以下几方面形成新增水土流失：</w:t>
      </w:r>
    </w:p>
    <w:p>
      <w:pPr>
        <w:tabs>
          <w:tab w:val="left" w:pos="840"/>
          <w:tab w:val="left" w:pos="1485"/>
        </w:tabs>
        <w:ind w:firstLine="480"/>
        <w:rPr>
          <w:rFonts w:eastAsia="仿宋_GB2312"/>
        </w:rPr>
      </w:pPr>
      <w:r>
        <w:rPr>
          <w:rFonts w:eastAsia="仿宋_GB2312"/>
        </w:rPr>
        <w:t>（</w:t>
      </w:r>
      <w:r>
        <w:rPr>
          <w:rFonts w:hint="eastAsia" w:eastAsia="仿宋_GB2312"/>
        </w:rPr>
        <w:t>1</w:t>
      </w:r>
      <w:r>
        <w:rPr>
          <w:rFonts w:eastAsia="仿宋_GB2312"/>
        </w:rPr>
        <w:t>）扰动和破坏原生植被</w:t>
      </w:r>
    </w:p>
    <w:p>
      <w:pPr>
        <w:tabs>
          <w:tab w:val="left" w:pos="840"/>
          <w:tab w:val="left" w:pos="1485"/>
        </w:tabs>
        <w:ind w:firstLine="480"/>
        <w:rPr>
          <w:rFonts w:eastAsia="仿宋_GB2312"/>
        </w:rPr>
      </w:pPr>
      <w:r>
        <w:rPr>
          <w:rFonts w:eastAsia="仿宋_GB2312"/>
        </w:rPr>
        <w:t>由于项目的建设，增加了人流、物流的强度，扩大了人类活动范围，增大了对地表土壤和植被的扰动强度。原生植被在以下几方面遭到破坏：地面平整、开挖、填筑等形成较大范围的裸露面；场地平整，</w:t>
      </w:r>
      <w:r>
        <w:rPr>
          <w:rFonts w:hint="eastAsia" w:eastAsia="仿宋_GB2312"/>
        </w:rPr>
        <w:t>基础</w:t>
      </w:r>
      <w:r>
        <w:rPr>
          <w:rFonts w:eastAsia="仿宋_GB2312"/>
        </w:rPr>
        <w:t>开挖等占压地面、损坏植被；施工机械的碾压和人员践踏等生产与生活活动破坏植被，并可能使周边区域的植被也受到影响。</w:t>
      </w:r>
    </w:p>
    <w:p>
      <w:pPr>
        <w:tabs>
          <w:tab w:val="left" w:pos="840"/>
          <w:tab w:val="left" w:pos="1485"/>
        </w:tabs>
        <w:ind w:firstLine="480"/>
        <w:rPr>
          <w:rFonts w:eastAsia="仿宋_GB2312"/>
        </w:rPr>
      </w:pPr>
      <w:r>
        <w:rPr>
          <w:rFonts w:eastAsia="仿宋_GB2312"/>
        </w:rPr>
        <w:t>（</w:t>
      </w:r>
      <w:r>
        <w:rPr>
          <w:rFonts w:hint="eastAsia" w:eastAsia="仿宋_GB2312"/>
        </w:rPr>
        <w:t>2</w:t>
      </w:r>
      <w:r>
        <w:rPr>
          <w:rFonts w:eastAsia="仿宋_GB2312"/>
        </w:rPr>
        <w:t>）土壤表层松散性加大</w:t>
      </w:r>
    </w:p>
    <w:p>
      <w:pPr>
        <w:tabs>
          <w:tab w:val="left" w:pos="840"/>
          <w:tab w:val="left" w:pos="1485"/>
        </w:tabs>
        <w:ind w:firstLine="480"/>
        <w:rPr>
          <w:rFonts w:eastAsia="仿宋_GB2312"/>
        </w:rPr>
      </w:pPr>
      <w:r>
        <w:rPr>
          <w:rFonts w:eastAsia="仿宋_GB2312"/>
        </w:rPr>
        <w:t>土壤是侵蚀过程中被侵蚀的对象。本项目建设区占地</w:t>
      </w:r>
      <w:r>
        <w:rPr>
          <w:rFonts w:hint="eastAsia" w:eastAsia="仿宋_GB2312"/>
        </w:rPr>
        <w:t>类型</w:t>
      </w:r>
      <w:r>
        <w:rPr>
          <w:rFonts w:eastAsia="仿宋_GB2312"/>
        </w:rPr>
        <w:t>均为</w:t>
      </w:r>
      <w:r>
        <w:rPr>
          <w:rFonts w:hint="eastAsia" w:eastAsia="仿宋_GB2312"/>
        </w:rPr>
        <w:t>建设用地</w:t>
      </w:r>
      <w:r>
        <w:rPr>
          <w:rFonts w:eastAsia="仿宋_GB2312"/>
        </w:rPr>
        <w:t>，土表具有较强的抗风蚀能力。由于项目的建设，产生</w:t>
      </w:r>
      <w:r>
        <w:rPr>
          <w:rFonts w:hint="eastAsia" w:eastAsia="仿宋_GB2312"/>
        </w:rPr>
        <w:t>一定量的</w:t>
      </w:r>
      <w:r>
        <w:rPr>
          <w:rFonts w:eastAsia="仿宋_GB2312"/>
        </w:rPr>
        <w:t>土石方开挖，</w:t>
      </w:r>
      <w:r>
        <w:rPr>
          <w:rFonts w:hint="eastAsia" w:eastAsia="仿宋_GB2312"/>
        </w:rPr>
        <w:t>这些</w:t>
      </w:r>
      <w:r>
        <w:rPr>
          <w:rFonts w:eastAsia="仿宋_GB2312"/>
        </w:rPr>
        <w:t>松散</w:t>
      </w:r>
      <w:r>
        <w:rPr>
          <w:rFonts w:hint="eastAsia" w:eastAsia="仿宋_GB2312"/>
        </w:rPr>
        <w:t>的</w:t>
      </w:r>
      <w:r>
        <w:rPr>
          <w:rFonts w:eastAsia="仿宋_GB2312"/>
        </w:rPr>
        <w:t>表土发生运移和重新堆积，使土壤水分大量散失，土体的机械组成混杂不一，丧失了原地表土壤的抗蚀力。在当地大风及强降雨的作用下，裸露带极易形成较强的水土流失。</w:t>
      </w:r>
    </w:p>
    <w:p>
      <w:pPr>
        <w:tabs>
          <w:tab w:val="left" w:pos="840"/>
          <w:tab w:val="left" w:pos="1485"/>
        </w:tabs>
        <w:ind w:firstLine="480"/>
        <w:rPr>
          <w:rFonts w:eastAsia="仿宋_GB2312"/>
        </w:rPr>
      </w:pPr>
      <w:r>
        <w:rPr>
          <w:rFonts w:eastAsia="仿宋_GB2312"/>
        </w:rPr>
        <w:t>（</w:t>
      </w:r>
      <w:r>
        <w:rPr>
          <w:rFonts w:hint="eastAsia" w:eastAsia="仿宋_GB2312"/>
        </w:rPr>
        <w:t>3</w:t>
      </w:r>
      <w:r>
        <w:rPr>
          <w:rFonts w:eastAsia="仿宋_GB2312"/>
        </w:rPr>
        <w:t>）原地貌形态改变</w:t>
      </w:r>
    </w:p>
    <w:p>
      <w:pPr>
        <w:tabs>
          <w:tab w:val="left" w:pos="840"/>
          <w:tab w:val="left" w:pos="1485"/>
        </w:tabs>
        <w:ind w:firstLine="480"/>
        <w:rPr>
          <w:rFonts w:eastAsia="仿宋_GB2312"/>
        </w:rPr>
      </w:pPr>
      <w:r>
        <w:rPr>
          <w:rFonts w:eastAsia="仿宋_GB2312"/>
        </w:rPr>
        <w:t>项目建设中，开挖、填筑及临时堆土场等处形成了有较大坡度的人工地貌，改变了相对平坦的原地貌，使表土变的疏松、裸露，如果无适当的保护措施，当发生短历时、强降雨时，易在人工开挖、填、垫和临时堆土场边坡形成水力侵蚀</w:t>
      </w:r>
      <w:r>
        <w:rPr>
          <w:rFonts w:hint="eastAsia" w:eastAsia="仿宋_GB2312"/>
        </w:rPr>
        <w:t>。</w:t>
      </w:r>
    </w:p>
    <w:p>
      <w:pPr>
        <w:pStyle w:val="4"/>
        <w:keepLines/>
        <w:widowControl/>
        <w:numPr>
          <w:ilvl w:val="2"/>
          <w:numId w:val="1"/>
        </w:numPr>
        <w:tabs>
          <w:tab w:val="clear" w:pos="432"/>
          <w:tab w:val="clear" w:pos="960"/>
        </w:tabs>
        <w:kinsoku/>
        <w:overflowPunct/>
        <w:topLinePunct w:val="0"/>
        <w:autoSpaceDE/>
        <w:autoSpaceDN/>
        <w:adjustRightInd/>
        <w:snapToGrid/>
        <w:ind w:left="0" w:firstLine="0"/>
        <w:jc w:val="both"/>
        <w:rPr>
          <w:rFonts w:eastAsia="仿宋_GB2312"/>
        </w:rPr>
      </w:pPr>
      <w:r>
        <w:rPr>
          <w:rFonts w:eastAsia="仿宋_GB2312"/>
        </w:rPr>
        <w:t>扰动地表、损坏水土保持设施预测</w:t>
      </w:r>
    </w:p>
    <w:p>
      <w:pPr>
        <w:tabs>
          <w:tab w:val="left" w:pos="840"/>
          <w:tab w:val="left" w:pos="1485"/>
        </w:tabs>
        <w:ind w:firstLine="480"/>
        <w:rPr>
          <w:rFonts w:eastAsia="仿宋_GB2312"/>
        </w:rPr>
      </w:pPr>
      <w:r>
        <w:rPr>
          <w:rFonts w:eastAsia="仿宋_GB2312"/>
        </w:rPr>
        <w:t>根据工程设计和现场调查分析评价，本项目建设区</w:t>
      </w:r>
      <w:r>
        <w:rPr>
          <w:rFonts w:hint="eastAsia" w:eastAsia="仿宋_GB2312"/>
        </w:rPr>
        <w:t>场地</w:t>
      </w:r>
      <w:r>
        <w:rPr>
          <w:rFonts w:eastAsia="仿宋_GB2312"/>
        </w:rPr>
        <w:t>硬化、加固层、植被、原始表土均为具有水土保持功能的设施，工程建设区域由于场地平整、基础施工、管沟开挖施工，原始地表、结皮、硬化层、植被、土壤等均将被破坏，因而损坏水土保持设施面积为工程建设占地扰动地表面积，共计</w:t>
      </w:r>
      <w:r>
        <w:rPr>
          <w:rFonts w:hint="eastAsia" w:eastAsia="仿宋_GB2312"/>
        </w:rPr>
        <w:t>1.84h</w:t>
      </w:r>
      <w:r>
        <w:rPr>
          <w:rFonts w:eastAsia="仿宋_GB2312"/>
        </w:rPr>
        <w:t>m²。扰动地表、损坏水土保持设施面积统计表，见表4.2-1。</w:t>
      </w:r>
    </w:p>
    <w:p>
      <w:pPr>
        <w:tabs>
          <w:tab w:val="left" w:pos="840"/>
          <w:tab w:val="left" w:pos="1485"/>
        </w:tabs>
        <w:spacing w:line="240" w:lineRule="auto"/>
        <w:ind w:firstLine="0" w:firstLineChars="0"/>
        <w:jc w:val="center"/>
        <w:rPr>
          <w:rFonts w:eastAsia="仿宋_GB2312"/>
          <w:b/>
        </w:rPr>
      </w:pPr>
      <w:r>
        <w:rPr>
          <w:rFonts w:eastAsia="仿宋_GB2312"/>
          <w:b/>
        </w:rPr>
        <w:t>表4.2-1  扰动地表、损坏水土保持设施面积统计表</w:t>
      </w:r>
    </w:p>
    <w:tbl>
      <w:tblPr>
        <w:tblStyle w:val="40"/>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818"/>
        <w:gridCol w:w="1897"/>
        <w:gridCol w:w="1046"/>
        <w:gridCol w:w="1594"/>
        <w:gridCol w:w="1558"/>
        <w:gridCol w:w="160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80" w:type="pct"/>
            <w:vAlign w:val="center"/>
          </w:tcPr>
          <w:p>
            <w:pPr>
              <w:tabs>
                <w:tab w:val="left" w:pos="840"/>
                <w:tab w:val="left" w:pos="1485"/>
              </w:tabs>
              <w:spacing w:line="240" w:lineRule="auto"/>
              <w:ind w:firstLine="0" w:firstLineChars="0"/>
              <w:jc w:val="center"/>
              <w:rPr>
                <w:rFonts w:eastAsia="仿宋_GB2312"/>
                <w:sz w:val="21"/>
                <w:szCs w:val="21"/>
              </w:rPr>
            </w:pPr>
            <w:r>
              <w:rPr>
                <w:rFonts w:eastAsia="仿宋_GB2312"/>
                <w:sz w:val="21"/>
                <w:szCs w:val="21"/>
              </w:rPr>
              <w:t>序号</w:t>
            </w:r>
          </w:p>
        </w:tc>
        <w:tc>
          <w:tcPr>
            <w:tcW w:w="1114" w:type="pct"/>
            <w:vAlign w:val="center"/>
          </w:tcPr>
          <w:p>
            <w:pPr>
              <w:tabs>
                <w:tab w:val="left" w:pos="840"/>
                <w:tab w:val="left" w:pos="1485"/>
              </w:tabs>
              <w:spacing w:line="240" w:lineRule="auto"/>
              <w:ind w:firstLine="0" w:firstLineChars="0"/>
              <w:jc w:val="center"/>
              <w:rPr>
                <w:rFonts w:eastAsia="仿宋_GB2312"/>
                <w:sz w:val="21"/>
                <w:szCs w:val="21"/>
              </w:rPr>
            </w:pPr>
            <w:r>
              <w:rPr>
                <w:rFonts w:eastAsia="仿宋_GB2312"/>
                <w:sz w:val="21"/>
                <w:szCs w:val="21"/>
              </w:rPr>
              <w:t>水土流失防治区</w:t>
            </w:r>
          </w:p>
        </w:tc>
        <w:tc>
          <w:tcPr>
            <w:tcW w:w="614" w:type="pct"/>
            <w:vAlign w:val="center"/>
          </w:tcPr>
          <w:p>
            <w:pPr>
              <w:tabs>
                <w:tab w:val="left" w:pos="840"/>
                <w:tab w:val="left" w:pos="1485"/>
              </w:tabs>
              <w:spacing w:line="240" w:lineRule="auto"/>
              <w:ind w:firstLine="0" w:firstLineChars="0"/>
              <w:jc w:val="center"/>
              <w:rPr>
                <w:rFonts w:eastAsia="仿宋_GB2312"/>
                <w:sz w:val="21"/>
                <w:szCs w:val="21"/>
              </w:rPr>
            </w:pPr>
            <w:r>
              <w:rPr>
                <w:rFonts w:eastAsia="仿宋_GB2312"/>
                <w:sz w:val="21"/>
                <w:szCs w:val="21"/>
              </w:rPr>
              <w:t>单位</w:t>
            </w:r>
          </w:p>
        </w:tc>
        <w:tc>
          <w:tcPr>
            <w:tcW w:w="936" w:type="pct"/>
            <w:vAlign w:val="center"/>
          </w:tcPr>
          <w:p>
            <w:pPr>
              <w:tabs>
                <w:tab w:val="left" w:pos="840"/>
                <w:tab w:val="left" w:pos="1485"/>
              </w:tabs>
              <w:spacing w:line="240" w:lineRule="auto"/>
              <w:ind w:firstLine="0" w:firstLineChars="0"/>
              <w:jc w:val="center"/>
              <w:rPr>
                <w:rFonts w:eastAsia="仿宋_GB2312"/>
                <w:sz w:val="21"/>
                <w:szCs w:val="21"/>
              </w:rPr>
            </w:pPr>
            <w:r>
              <w:rPr>
                <w:rFonts w:eastAsia="仿宋_GB2312"/>
                <w:sz w:val="21"/>
                <w:szCs w:val="21"/>
              </w:rPr>
              <w:t>占地面积</w:t>
            </w:r>
          </w:p>
        </w:tc>
        <w:tc>
          <w:tcPr>
            <w:tcW w:w="915" w:type="pct"/>
            <w:vAlign w:val="center"/>
          </w:tcPr>
          <w:p>
            <w:pPr>
              <w:tabs>
                <w:tab w:val="left" w:pos="840"/>
                <w:tab w:val="left" w:pos="1485"/>
              </w:tabs>
              <w:spacing w:line="240" w:lineRule="auto"/>
              <w:ind w:firstLine="0" w:firstLineChars="0"/>
              <w:jc w:val="center"/>
              <w:rPr>
                <w:rFonts w:eastAsia="仿宋_GB2312"/>
                <w:sz w:val="21"/>
                <w:szCs w:val="21"/>
              </w:rPr>
            </w:pPr>
            <w:r>
              <w:rPr>
                <w:rFonts w:eastAsia="仿宋_GB2312"/>
                <w:sz w:val="21"/>
                <w:szCs w:val="21"/>
              </w:rPr>
              <w:t>扰动地表面积</w:t>
            </w:r>
          </w:p>
        </w:tc>
        <w:tc>
          <w:tcPr>
            <w:tcW w:w="941" w:type="pct"/>
            <w:vAlign w:val="center"/>
          </w:tcPr>
          <w:p>
            <w:pPr>
              <w:tabs>
                <w:tab w:val="left" w:pos="840"/>
                <w:tab w:val="left" w:pos="1485"/>
              </w:tabs>
              <w:spacing w:line="240" w:lineRule="auto"/>
              <w:ind w:firstLine="0" w:firstLineChars="0"/>
              <w:jc w:val="center"/>
              <w:rPr>
                <w:rFonts w:eastAsia="仿宋_GB2312"/>
                <w:sz w:val="21"/>
                <w:szCs w:val="21"/>
              </w:rPr>
            </w:pPr>
            <w:r>
              <w:rPr>
                <w:rFonts w:eastAsia="仿宋_GB2312"/>
                <w:sz w:val="21"/>
                <w:szCs w:val="21"/>
              </w:rPr>
              <w:t>土地利用类型</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80" w:type="pct"/>
            <w:vAlign w:val="center"/>
          </w:tcPr>
          <w:p>
            <w:pPr>
              <w:tabs>
                <w:tab w:val="left" w:pos="840"/>
                <w:tab w:val="left" w:pos="1485"/>
              </w:tabs>
              <w:spacing w:line="240" w:lineRule="auto"/>
              <w:ind w:firstLine="0" w:firstLineChars="0"/>
              <w:jc w:val="center"/>
              <w:rPr>
                <w:rFonts w:eastAsia="仿宋_GB2312"/>
                <w:sz w:val="21"/>
                <w:szCs w:val="21"/>
              </w:rPr>
            </w:pPr>
            <w:r>
              <w:rPr>
                <w:rFonts w:hint="eastAsia" w:eastAsia="仿宋_GB2312"/>
                <w:sz w:val="21"/>
                <w:szCs w:val="21"/>
              </w:rPr>
              <w:t>1</w:t>
            </w:r>
          </w:p>
        </w:tc>
        <w:tc>
          <w:tcPr>
            <w:tcW w:w="1114" w:type="pct"/>
            <w:vAlign w:val="center"/>
          </w:tcPr>
          <w:p>
            <w:pPr>
              <w:tabs>
                <w:tab w:val="left" w:pos="840"/>
                <w:tab w:val="left" w:pos="1485"/>
              </w:tabs>
              <w:spacing w:line="240" w:lineRule="auto"/>
              <w:ind w:firstLine="0" w:firstLineChars="0"/>
              <w:jc w:val="center"/>
              <w:rPr>
                <w:rFonts w:eastAsia="仿宋_GB2312"/>
                <w:sz w:val="21"/>
                <w:szCs w:val="21"/>
              </w:rPr>
            </w:pPr>
            <w:r>
              <w:rPr>
                <w:rFonts w:hint="eastAsia" w:eastAsia="仿宋_GB2312"/>
                <w:sz w:val="21"/>
                <w:szCs w:val="21"/>
              </w:rPr>
              <w:t>管道工程区</w:t>
            </w:r>
          </w:p>
        </w:tc>
        <w:tc>
          <w:tcPr>
            <w:tcW w:w="614" w:type="pct"/>
            <w:vAlign w:val="center"/>
          </w:tcPr>
          <w:p>
            <w:pPr>
              <w:tabs>
                <w:tab w:val="left" w:pos="840"/>
                <w:tab w:val="left" w:pos="1485"/>
              </w:tabs>
              <w:spacing w:line="240" w:lineRule="auto"/>
              <w:ind w:firstLine="0" w:firstLineChars="0"/>
              <w:jc w:val="center"/>
              <w:rPr>
                <w:rFonts w:eastAsia="仿宋_GB2312"/>
                <w:sz w:val="21"/>
                <w:szCs w:val="21"/>
              </w:rPr>
            </w:pPr>
            <w:r>
              <w:rPr>
                <w:rFonts w:hint="eastAsia" w:eastAsia="仿宋_GB2312"/>
                <w:sz w:val="21"/>
                <w:szCs w:val="21"/>
              </w:rPr>
              <w:t>hm</w:t>
            </w:r>
            <w:r>
              <w:rPr>
                <w:rFonts w:hint="eastAsia" w:eastAsia="仿宋_GB2312"/>
                <w:sz w:val="21"/>
                <w:szCs w:val="21"/>
                <w:vertAlign w:val="superscript"/>
              </w:rPr>
              <w:t>2</w:t>
            </w:r>
          </w:p>
        </w:tc>
        <w:tc>
          <w:tcPr>
            <w:tcW w:w="936" w:type="pct"/>
            <w:vAlign w:val="center"/>
          </w:tcPr>
          <w:p>
            <w:pPr>
              <w:tabs>
                <w:tab w:val="left" w:pos="840"/>
                <w:tab w:val="left" w:pos="1485"/>
              </w:tabs>
              <w:spacing w:line="240" w:lineRule="auto"/>
              <w:ind w:firstLine="0" w:firstLineChars="0"/>
              <w:jc w:val="center"/>
              <w:rPr>
                <w:rFonts w:eastAsia="仿宋_GB2312"/>
                <w:sz w:val="21"/>
                <w:szCs w:val="21"/>
              </w:rPr>
            </w:pPr>
            <w:r>
              <w:rPr>
                <w:rFonts w:hint="eastAsia" w:eastAsia="仿宋_GB2312"/>
                <w:sz w:val="21"/>
                <w:szCs w:val="21"/>
              </w:rPr>
              <w:t>1.73</w:t>
            </w:r>
          </w:p>
        </w:tc>
        <w:tc>
          <w:tcPr>
            <w:tcW w:w="915" w:type="pct"/>
            <w:vAlign w:val="center"/>
          </w:tcPr>
          <w:p>
            <w:pPr>
              <w:tabs>
                <w:tab w:val="left" w:pos="840"/>
                <w:tab w:val="left" w:pos="1485"/>
              </w:tabs>
              <w:spacing w:line="240" w:lineRule="auto"/>
              <w:ind w:firstLine="0" w:firstLineChars="0"/>
              <w:jc w:val="center"/>
              <w:rPr>
                <w:rFonts w:eastAsia="仿宋_GB2312"/>
                <w:sz w:val="21"/>
                <w:szCs w:val="21"/>
              </w:rPr>
            </w:pPr>
            <w:r>
              <w:rPr>
                <w:rFonts w:hint="eastAsia" w:eastAsia="仿宋_GB2312"/>
                <w:sz w:val="21"/>
                <w:szCs w:val="21"/>
              </w:rPr>
              <w:t>1.73</w:t>
            </w:r>
          </w:p>
        </w:tc>
        <w:tc>
          <w:tcPr>
            <w:tcW w:w="941" w:type="pct"/>
            <w:vAlign w:val="center"/>
          </w:tcPr>
          <w:p>
            <w:pPr>
              <w:tabs>
                <w:tab w:val="left" w:pos="840"/>
                <w:tab w:val="left" w:pos="1485"/>
              </w:tabs>
              <w:spacing w:line="240" w:lineRule="auto"/>
              <w:ind w:firstLine="0" w:firstLineChars="0"/>
              <w:jc w:val="center"/>
              <w:rPr>
                <w:rFonts w:eastAsia="仿宋_GB2312"/>
                <w:sz w:val="21"/>
                <w:szCs w:val="21"/>
              </w:rPr>
            </w:pPr>
            <w:r>
              <w:rPr>
                <w:rFonts w:hint="eastAsia" w:eastAsia="仿宋_GB2312"/>
                <w:sz w:val="21"/>
                <w:szCs w:val="21"/>
              </w:rPr>
              <w:t>建设用地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80" w:type="pct"/>
            <w:vAlign w:val="center"/>
          </w:tcPr>
          <w:p>
            <w:pPr>
              <w:tabs>
                <w:tab w:val="left" w:pos="840"/>
                <w:tab w:val="left" w:pos="1485"/>
              </w:tabs>
              <w:spacing w:line="240" w:lineRule="auto"/>
              <w:ind w:firstLine="0" w:firstLineChars="0"/>
              <w:jc w:val="center"/>
              <w:rPr>
                <w:rFonts w:eastAsia="仿宋_GB2312"/>
                <w:sz w:val="21"/>
                <w:szCs w:val="21"/>
              </w:rPr>
            </w:pPr>
            <w:r>
              <w:rPr>
                <w:rFonts w:hint="eastAsia" w:eastAsia="仿宋_GB2312"/>
                <w:sz w:val="21"/>
                <w:szCs w:val="21"/>
              </w:rPr>
              <w:t>2</w:t>
            </w:r>
          </w:p>
        </w:tc>
        <w:tc>
          <w:tcPr>
            <w:tcW w:w="1114" w:type="pct"/>
            <w:vAlign w:val="center"/>
          </w:tcPr>
          <w:p>
            <w:pPr>
              <w:tabs>
                <w:tab w:val="left" w:pos="840"/>
                <w:tab w:val="left" w:pos="1485"/>
              </w:tabs>
              <w:spacing w:line="240" w:lineRule="auto"/>
              <w:ind w:firstLine="0" w:firstLineChars="0"/>
              <w:jc w:val="center"/>
              <w:rPr>
                <w:rFonts w:eastAsia="仿宋_GB2312"/>
                <w:sz w:val="21"/>
                <w:szCs w:val="21"/>
              </w:rPr>
            </w:pPr>
            <w:r>
              <w:rPr>
                <w:rFonts w:hint="eastAsia" w:eastAsia="仿宋_GB2312"/>
                <w:sz w:val="21"/>
                <w:szCs w:val="21"/>
              </w:rPr>
              <w:t>附属构筑物区</w:t>
            </w:r>
          </w:p>
        </w:tc>
        <w:tc>
          <w:tcPr>
            <w:tcW w:w="614" w:type="pct"/>
            <w:vAlign w:val="center"/>
          </w:tcPr>
          <w:p>
            <w:pPr>
              <w:tabs>
                <w:tab w:val="left" w:pos="840"/>
                <w:tab w:val="left" w:pos="1485"/>
              </w:tabs>
              <w:spacing w:line="240" w:lineRule="auto"/>
              <w:ind w:firstLine="0" w:firstLineChars="0"/>
              <w:jc w:val="center"/>
              <w:rPr>
                <w:rFonts w:eastAsia="仿宋_GB2312"/>
                <w:sz w:val="21"/>
                <w:szCs w:val="21"/>
              </w:rPr>
            </w:pPr>
            <w:r>
              <w:rPr>
                <w:rFonts w:hint="eastAsia" w:eastAsia="仿宋_GB2312"/>
                <w:sz w:val="21"/>
                <w:szCs w:val="21"/>
              </w:rPr>
              <w:t>hm</w:t>
            </w:r>
            <w:r>
              <w:rPr>
                <w:rFonts w:hint="eastAsia" w:eastAsia="仿宋_GB2312"/>
                <w:sz w:val="21"/>
                <w:szCs w:val="21"/>
                <w:vertAlign w:val="superscript"/>
              </w:rPr>
              <w:t>2</w:t>
            </w:r>
          </w:p>
        </w:tc>
        <w:tc>
          <w:tcPr>
            <w:tcW w:w="936" w:type="pct"/>
            <w:vAlign w:val="center"/>
          </w:tcPr>
          <w:p>
            <w:pPr>
              <w:tabs>
                <w:tab w:val="left" w:pos="840"/>
                <w:tab w:val="left" w:pos="1485"/>
              </w:tabs>
              <w:spacing w:line="240" w:lineRule="auto"/>
              <w:ind w:firstLine="0" w:firstLineChars="0"/>
              <w:jc w:val="center"/>
              <w:rPr>
                <w:rFonts w:eastAsia="仿宋_GB2312"/>
                <w:sz w:val="21"/>
                <w:szCs w:val="21"/>
              </w:rPr>
            </w:pPr>
            <w:r>
              <w:rPr>
                <w:rFonts w:hint="eastAsia" w:eastAsia="仿宋_GB2312"/>
                <w:sz w:val="21"/>
                <w:szCs w:val="21"/>
              </w:rPr>
              <w:t>0.11</w:t>
            </w:r>
          </w:p>
        </w:tc>
        <w:tc>
          <w:tcPr>
            <w:tcW w:w="915" w:type="pct"/>
            <w:vAlign w:val="center"/>
          </w:tcPr>
          <w:p>
            <w:pPr>
              <w:tabs>
                <w:tab w:val="left" w:pos="840"/>
                <w:tab w:val="left" w:pos="1485"/>
              </w:tabs>
              <w:spacing w:line="240" w:lineRule="auto"/>
              <w:ind w:firstLine="0" w:firstLineChars="0"/>
              <w:jc w:val="center"/>
              <w:rPr>
                <w:rFonts w:eastAsia="仿宋_GB2312"/>
                <w:sz w:val="21"/>
                <w:szCs w:val="21"/>
              </w:rPr>
            </w:pPr>
            <w:r>
              <w:rPr>
                <w:rFonts w:hint="eastAsia" w:eastAsia="仿宋_GB2312"/>
                <w:sz w:val="21"/>
                <w:szCs w:val="21"/>
              </w:rPr>
              <w:t>0.11</w:t>
            </w:r>
          </w:p>
        </w:tc>
        <w:tc>
          <w:tcPr>
            <w:tcW w:w="941" w:type="pct"/>
            <w:vAlign w:val="center"/>
          </w:tcPr>
          <w:p>
            <w:pPr>
              <w:tabs>
                <w:tab w:val="left" w:pos="840"/>
                <w:tab w:val="left" w:pos="1485"/>
              </w:tabs>
              <w:spacing w:line="240" w:lineRule="auto"/>
              <w:ind w:firstLine="0" w:firstLineChars="0"/>
              <w:jc w:val="center"/>
              <w:rPr>
                <w:rFonts w:eastAsia="仿宋_GB2312"/>
                <w:sz w:val="21"/>
                <w:szCs w:val="21"/>
              </w:rPr>
            </w:pPr>
            <w:r>
              <w:rPr>
                <w:rFonts w:hint="eastAsia" w:eastAsia="仿宋_GB2312"/>
                <w:sz w:val="21"/>
                <w:szCs w:val="21"/>
              </w:rPr>
              <w:t>建设用地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80" w:type="pct"/>
            <w:vAlign w:val="center"/>
          </w:tcPr>
          <w:p>
            <w:pPr>
              <w:tabs>
                <w:tab w:val="left" w:pos="840"/>
                <w:tab w:val="left" w:pos="1485"/>
              </w:tabs>
              <w:spacing w:line="240" w:lineRule="auto"/>
              <w:ind w:firstLine="0" w:firstLineChars="0"/>
              <w:jc w:val="center"/>
              <w:rPr>
                <w:rFonts w:eastAsia="仿宋_GB2312"/>
                <w:sz w:val="21"/>
                <w:szCs w:val="21"/>
              </w:rPr>
            </w:pPr>
            <w:r>
              <w:rPr>
                <w:rFonts w:hint="eastAsia" w:eastAsia="仿宋_GB2312"/>
                <w:sz w:val="21"/>
                <w:szCs w:val="21"/>
              </w:rPr>
              <w:t>3</w:t>
            </w:r>
          </w:p>
        </w:tc>
        <w:tc>
          <w:tcPr>
            <w:tcW w:w="1114" w:type="pct"/>
            <w:vAlign w:val="center"/>
          </w:tcPr>
          <w:p>
            <w:pPr>
              <w:tabs>
                <w:tab w:val="left" w:pos="840"/>
                <w:tab w:val="left" w:pos="1485"/>
              </w:tabs>
              <w:spacing w:line="240" w:lineRule="auto"/>
              <w:ind w:firstLine="0" w:firstLineChars="0"/>
              <w:jc w:val="center"/>
              <w:rPr>
                <w:rFonts w:eastAsia="仿宋_GB2312"/>
                <w:sz w:val="21"/>
                <w:szCs w:val="21"/>
              </w:rPr>
            </w:pPr>
            <w:r>
              <w:rPr>
                <w:rFonts w:eastAsia="仿宋_GB2312"/>
                <w:sz w:val="21"/>
                <w:szCs w:val="21"/>
              </w:rPr>
              <w:t>合计</w:t>
            </w:r>
          </w:p>
        </w:tc>
        <w:tc>
          <w:tcPr>
            <w:tcW w:w="614" w:type="pct"/>
            <w:vAlign w:val="center"/>
          </w:tcPr>
          <w:p>
            <w:pPr>
              <w:tabs>
                <w:tab w:val="left" w:pos="840"/>
                <w:tab w:val="left" w:pos="1485"/>
              </w:tabs>
              <w:spacing w:line="240" w:lineRule="auto"/>
              <w:ind w:firstLine="0" w:firstLineChars="0"/>
              <w:jc w:val="center"/>
              <w:rPr>
                <w:rFonts w:eastAsia="仿宋_GB2312"/>
                <w:sz w:val="21"/>
                <w:szCs w:val="21"/>
              </w:rPr>
            </w:pPr>
          </w:p>
        </w:tc>
        <w:tc>
          <w:tcPr>
            <w:tcW w:w="936" w:type="pct"/>
            <w:vAlign w:val="center"/>
          </w:tcPr>
          <w:p>
            <w:pPr>
              <w:tabs>
                <w:tab w:val="left" w:pos="840"/>
                <w:tab w:val="left" w:pos="1485"/>
              </w:tabs>
              <w:spacing w:line="240" w:lineRule="auto"/>
              <w:ind w:firstLine="0" w:firstLineChars="0"/>
              <w:jc w:val="center"/>
              <w:rPr>
                <w:rFonts w:eastAsia="仿宋_GB2312"/>
                <w:sz w:val="21"/>
                <w:szCs w:val="21"/>
              </w:rPr>
            </w:pPr>
            <w:r>
              <w:rPr>
                <w:rFonts w:hint="eastAsia" w:eastAsia="仿宋_GB2312"/>
                <w:sz w:val="21"/>
                <w:szCs w:val="21"/>
              </w:rPr>
              <w:t>1.84</w:t>
            </w:r>
          </w:p>
        </w:tc>
        <w:tc>
          <w:tcPr>
            <w:tcW w:w="915" w:type="pct"/>
            <w:vAlign w:val="center"/>
          </w:tcPr>
          <w:p>
            <w:pPr>
              <w:tabs>
                <w:tab w:val="left" w:pos="840"/>
                <w:tab w:val="left" w:pos="1485"/>
              </w:tabs>
              <w:spacing w:line="240" w:lineRule="auto"/>
              <w:ind w:firstLine="0" w:firstLineChars="0"/>
              <w:jc w:val="center"/>
              <w:rPr>
                <w:rFonts w:eastAsia="仿宋_GB2312"/>
                <w:sz w:val="21"/>
                <w:szCs w:val="21"/>
              </w:rPr>
            </w:pPr>
            <w:r>
              <w:rPr>
                <w:rFonts w:hint="eastAsia" w:eastAsia="仿宋_GB2312"/>
                <w:sz w:val="21"/>
                <w:szCs w:val="21"/>
              </w:rPr>
              <w:t>1.84</w:t>
            </w:r>
          </w:p>
        </w:tc>
        <w:tc>
          <w:tcPr>
            <w:tcW w:w="941" w:type="pct"/>
            <w:vAlign w:val="center"/>
          </w:tcPr>
          <w:p>
            <w:pPr>
              <w:autoSpaceDE w:val="0"/>
              <w:autoSpaceDN w:val="0"/>
              <w:spacing w:line="0" w:lineRule="atLeast"/>
              <w:ind w:right="-20" w:firstLine="0" w:firstLineChars="0"/>
              <w:jc w:val="center"/>
              <w:rPr>
                <w:rFonts w:eastAsia="仿宋_GB2312"/>
                <w:position w:val="-2"/>
                <w:sz w:val="21"/>
                <w:szCs w:val="21"/>
              </w:rPr>
            </w:pPr>
          </w:p>
        </w:tc>
      </w:tr>
    </w:tbl>
    <w:p>
      <w:pPr>
        <w:pStyle w:val="4"/>
        <w:keepLines/>
        <w:widowControl/>
        <w:numPr>
          <w:ilvl w:val="2"/>
          <w:numId w:val="1"/>
        </w:numPr>
        <w:tabs>
          <w:tab w:val="clear" w:pos="432"/>
          <w:tab w:val="clear" w:pos="960"/>
        </w:tabs>
        <w:kinsoku/>
        <w:overflowPunct/>
        <w:topLinePunct w:val="0"/>
        <w:autoSpaceDE/>
        <w:autoSpaceDN/>
        <w:adjustRightInd/>
        <w:snapToGrid/>
        <w:spacing w:beforeLines="100"/>
        <w:ind w:left="0" w:firstLine="0"/>
        <w:jc w:val="both"/>
        <w:rPr>
          <w:rFonts w:eastAsia="仿宋_GB2312"/>
        </w:rPr>
      </w:pPr>
      <w:r>
        <w:rPr>
          <w:rFonts w:eastAsia="仿宋_GB2312"/>
        </w:rPr>
        <w:t>弃土弃渣量预测</w:t>
      </w:r>
    </w:p>
    <w:p>
      <w:pPr>
        <w:tabs>
          <w:tab w:val="left" w:pos="840"/>
          <w:tab w:val="left" w:pos="1485"/>
        </w:tabs>
        <w:ind w:firstLine="480"/>
        <w:rPr>
          <w:rFonts w:eastAsia="仿宋_GB2312"/>
        </w:rPr>
      </w:pPr>
      <w:r>
        <w:rPr>
          <w:rFonts w:hint="eastAsia" w:eastAsia="仿宋_GB2312"/>
        </w:rPr>
        <w:t>第十四师224团小区给水管网改造项目总挖方共计0.68万</w:t>
      </w:r>
      <w:r>
        <w:rPr>
          <w:rFonts w:eastAsia="仿宋_GB2312"/>
        </w:rPr>
        <w:t>m</w:t>
      </w:r>
      <w:r>
        <w:rPr>
          <w:rFonts w:eastAsia="仿宋_GB2312"/>
          <w:vertAlign w:val="superscript"/>
        </w:rPr>
        <w:t>3</w:t>
      </w:r>
      <w:r>
        <w:rPr>
          <w:rFonts w:hint="eastAsia" w:eastAsia="仿宋_GB2312"/>
        </w:rPr>
        <w:t>，总填方共计0.68万</w:t>
      </w:r>
      <w:r>
        <w:rPr>
          <w:rFonts w:eastAsia="仿宋_GB2312"/>
        </w:rPr>
        <w:t>m</w:t>
      </w:r>
      <w:r>
        <w:rPr>
          <w:rFonts w:eastAsia="仿宋_GB2312"/>
          <w:vertAlign w:val="superscript"/>
        </w:rPr>
        <w:t>3</w:t>
      </w:r>
      <w:r>
        <w:rPr>
          <w:rFonts w:hint="eastAsia" w:eastAsia="仿宋_GB2312"/>
        </w:rPr>
        <w:t>，开挖土方通过内部调运大部分土方回填利用，剩余土方平摊至施工范围内，全部按填方考虑。</w:t>
      </w:r>
      <w:r>
        <w:rPr>
          <w:rFonts w:hint="eastAsia" w:eastAsia="仿宋_GB2312"/>
          <w:color w:val="000000"/>
        </w:rPr>
        <w:t>本项目仅有少量路面拆除垃圾运至垃圾场处理。</w:t>
      </w:r>
      <w:r>
        <w:rPr>
          <w:rFonts w:hint="eastAsia" w:eastAsia="仿宋_GB2312"/>
        </w:rPr>
        <w:t>工程总体挖填平衡，无永久废弃土石方，不会产生水土流失影响。</w:t>
      </w:r>
    </w:p>
    <w:p>
      <w:pPr>
        <w:pStyle w:val="3"/>
        <w:widowControl/>
        <w:numPr>
          <w:ilvl w:val="1"/>
          <w:numId w:val="1"/>
        </w:numPr>
        <w:tabs>
          <w:tab w:val="clear" w:pos="1002"/>
        </w:tabs>
        <w:topLinePunct w:val="0"/>
        <w:adjustRightInd/>
        <w:snapToGrid/>
        <w:ind w:left="0" w:firstLine="0"/>
        <w:jc w:val="both"/>
        <w:rPr>
          <w:rFonts w:eastAsia="仿宋_GB2312"/>
        </w:rPr>
      </w:pPr>
      <w:bookmarkStart w:id="226" w:name="_Toc7801562"/>
      <w:bookmarkStart w:id="227" w:name="_Toc7801469"/>
      <w:bookmarkStart w:id="228" w:name="_Toc7801402"/>
      <w:bookmarkStart w:id="229" w:name="_Toc47381541"/>
      <w:r>
        <w:rPr>
          <w:rFonts w:eastAsia="仿宋_GB2312"/>
        </w:rPr>
        <w:t>土壤流失量预测</w:t>
      </w:r>
      <w:bookmarkEnd w:id="220"/>
      <w:bookmarkEnd w:id="221"/>
      <w:bookmarkEnd w:id="226"/>
      <w:bookmarkEnd w:id="227"/>
      <w:bookmarkEnd w:id="228"/>
      <w:bookmarkEnd w:id="229"/>
    </w:p>
    <w:p>
      <w:pPr>
        <w:pStyle w:val="4"/>
        <w:keepLines/>
        <w:widowControl/>
        <w:numPr>
          <w:ilvl w:val="2"/>
          <w:numId w:val="1"/>
        </w:numPr>
        <w:tabs>
          <w:tab w:val="clear" w:pos="432"/>
          <w:tab w:val="clear" w:pos="960"/>
        </w:tabs>
        <w:kinsoku/>
        <w:overflowPunct/>
        <w:topLinePunct w:val="0"/>
        <w:autoSpaceDE/>
        <w:autoSpaceDN/>
        <w:adjustRightInd/>
        <w:snapToGrid/>
        <w:ind w:left="0" w:firstLine="0"/>
        <w:jc w:val="both"/>
        <w:rPr>
          <w:rFonts w:eastAsia="仿宋_GB2312"/>
        </w:rPr>
      </w:pPr>
      <w:r>
        <w:rPr>
          <w:rFonts w:eastAsia="仿宋_GB2312"/>
        </w:rPr>
        <w:t>预测单元</w:t>
      </w:r>
    </w:p>
    <w:p>
      <w:pPr>
        <w:tabs>
          <w:tab w:val="left" w:pos="840"/>
          <w:tab w:val="left" w:pos="1485"/>
        </w:tabs>
        <w:ind w:firstLine="480"/>
        <w:rPr>
          <w:rFonts w:eastAsia="仿宋_GB2312"/>
        </w:rPr>
      </w:pPr>
      <w:bookmarkStart w:id="230" w:name="_Toc294538842"/>
      <w:r>
        <w:rPr>
          <w:rFonts w:eastAsia="仿宋_GB2312"/>
        </w:rPr>
        <w:t>本项目水土流失发生在建设区范围内，工程建设扰动的区域都会发生水土流失，但是根据不同的扰动情况，各区水土流失强度不尽相同。</w:t>
      </w:r>
    </w:p>
    <w:p>
      <w:pPr>
        <w:tabs>
          <w:tab w:val="left" w:pos="840"/>
          <w:tab w:val="left" w:pos="1485"/>
        </w:tabs>
        <w:ind w:firstLine="480"/>
        <w:rPr>
          <w:rFonts w:eastAsia="仿宋_GB2312"/>
        </w:rPr>
      </w:pPr>
      <w:r>
        <w:rPr>
          <w:rFonts w:eastAsia="仿宋_GB2312"/>
        </w:rPr>
        <w:t>根据主体工程总体布局及项目特点，结合现场踏勘与实地调查，本水土保持方案新增水土流失预测范围为项目水土流失防治责任范围，按扰动方式、扰动后地表物质组成等因素，预测单元包括</w:t>
      </w:r>
      <w:r>
        <w:rPr>
          <w:rFonts w:hint="eastAsia" w:eastAsia="仿宋_GB2312"/>
        </w:rPr>
        <w:t>管道工程区、附属构筑物区</w:t>
      </w:r>
      <w:r>
        <w:rPr>
          <w:rFonts w:eastAsia="仿宋_GB2312"/>
        </w:rPr>
        <w:t>。经统计计算，共计预测范围</w:t>
      </w:r>
      <w:r>
        <w:rPr>
          <w:rFonts w:hint="eastAsia" w:eastAsia="仿宋_GB2312"/>
        </w:rPr>
        <w:t>1.84h</w:t>
      </w:r>
      <w:r>
        <w:rPr>
          <w:rFonts w:eastAsia="仿宋_GB2312"/>
        </w:rPr>
        <w:t>m²，为各项目建设区占地面积。</w:t>
      </w:r>
    </w:p>
    <w:p>
      <w:pPr>
        <w:ind w:firstLine="480"/>
        <w:rPr>
          <w:rFonts w:eastAsia="仿宋_GB2312"/>
          <w:color w:val="000000"/>
        </w:rPr>
      </w:pPr>
      <w:r>
        <w:rPr>
          <w:rFonts w:eastAsia="仿宋_GB2312"/>
          <w:color w:val="000000"/>
        </w:rPr>
        <w:t>各时期各建设区水土流失面积统计计算见表4.3-1。</w:t>
      </w:r>
    </w:p>
    <w:p>
      <w:pPr>
        <w:spacing w:line="240" w:lineRule="auto"/>
        <w:ind w:firstLine="480"/>
        <w:jc w:val="center"/>
        <w:rPr>
          <w:rFonts w:eastAsia="仿宋_GB2312"/>
          <w:b/>
          <w:color w:val="000000"/>
        </w:rPr>
      </w:pPr>
      <w:r>
        <w:rPr>
          <w:rFonts w:eastAsia="仿宋_GB2312"/>
          <w:b/>
          <w:color w:val="000000"/>
        </w:rPr>
        <w:t>表4.3-1  不同时期水土流失预测范围统计表</w:t>
      </w:r>
    </w:p>
    <w:tbl>
      <w:tblPr>
        <w:tblStyle w:val="40"/>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3105"/>
        <w:gridCol w:w="2705"/>
        <w:gridCol w:w="270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823" w:type="pct"/>
            <w:vMerge w:val="restart"/>
            <w:vAlign w:val="center"/>
          </w:tcPr>
          <w:p>
            <w:pPr>
              <w:tabs>
                <w:tab w:val="left" w:pos="840"/>
                <w:tab w:val="left" w:pos="1485"/>
              </w:tabs>
              <w:spacing w:line="240" w:lineRule="auto"/>
              <w:ind w:firstLine="0" w:firstLineChars="0"/>
              <w:jc w:val="center"/>
              <w:rPr>
                <w:rFonts w:eastAsia="仿宋_GB2312"/>
                <w:sz w:val="21"/>
                <w:szCs w:val="21"/>
              </w:rPr>
            </w:pPr>
            <w:r>
              <w:rPr>
                <w:rFonts w:eastAsia="仿宋_GB2312"/>
                <w:sz w:val="21"/>
                <w:szCs w:val="21"/>
              </w:rPr>
              <w:t>预测单元</w:t>
            </w:r>
          </w:p>
        </w:tc>
        <w:tc>
          <w:tcPr>
            <w:tcW w:w="3177" w:type="pct"/>
            <w:gridSpan w:val="2"/>
            <w:vAlign w:val="center"/>
          </w:tcPr>
          <w:p>
            <w:pPr>
              <w:tabs>
                <w:tab w:val="left" w:pos="840"/>
                <w:tab w:val="left" w:pos="1485"/>
              </w:tabs>
              <w:spacing w:line="240" w:lineRule="auto"/>
              <w:ind w:firstLine="0" w:firstLineChars="0"/>
              <w:jc w:val="center"/>
              <w:rPr>
                <w:rFonts w:eastAsia="仿宋_GB2312"/>
                <w:sz w:val="21"/>
                <w:szCs w:val="21"/>
              </w:rPr>
            </w:pPr>
            <w:r>
              <w:rPr>
                <w:rFonts w:eastAsia="仿宋_GB2312"/>
                <w:sz w:val="21"/>
                <w:szCs w:val="21"/>
              </w:rPr>
              <w:t>预测范围（</w:t>
            </w:r>
            <w:r>
              <w:rPr>
                <w:rFonts w:hint="eastAsia" w:eastAsia="仿宋_GB2312"/>
                <w:sz w:val="21"/>
                <w:szCs w:val="21"/>
              </w:rPr>
              <w:t>h</w:t>
            </w:r>
            <w:r>
              <w:rPr>
                <w:rFonts w:eastAsia="仿宋_GB2312"/>
                <w:sz w:val="21"/>
                <w:szCs w:val="21"/>
              </w:rPr>
              <w:t>m²）</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823" w:type="pct"/>
            <w:vMerge w:val="continue"/>
            <w:vAlign w:val="center"/>
          </w:tcPr>
          <w:p>
            <w:pPr>
              <w:tabs>
                <w:tab w:val="left" w:pos="840"/>
                <w:tab w:val="left" w:pos="1485"/>
              </w:tabs>
              <w:spacing w:line="240" w:lineRule="auto"/>
              <w:ind w:firstLine="0" w:firstLineChars="0"/>
              <w:jc w:val="center"/>
              <w:rPr>
                <w:rFonts w:eastAsia="仿宋_GB2312"/>
                <w:sz w:val="21"/>
                <w:szCs w:val="21"/>
              </w:rPr>
            </w:pPr>
          </w:p>
        </w:tc>
        <w:tc>
          <w:tcPr>
            <w:tcW w:w="1588" w:type="pct"/>
            <w:vAlign w:val="center"/>
          </w:tcPr>
          <w:p>
            <w:pPr>
              <w:tabs>
                <w:tab w:val="left" w:pos="840"/>
                <w:tab w:val="left" w:pos="1485"/>
              </w:tabs>
              <w:spacing w:line="240" w:lineRule="auto"/>
              <w:ind w:firstLine="0" w:firstLineChars="0"/>
              <w:jc w:val="center"/>
              <w:rPr>
                <w:rFonts w:eastAsia="仿宋_GB2312"/>
                <w:sz w:val="21"/>
                <w:szCs w:val="21"/>
              </w:rPr>
            </w:pPr>
            <w:r>
              <w:rPr>
                <w:rFonts w:eastAsia="仿宋_GB2312"/>
                <w:sz w:val="21"/>
                <w:szCs w:val="21"/>
              </w:rPr>
              <w:t>施工期</w:t>
            </w:r>
          </w:p>
        </w:tc>
        <w:tc>
          <w:tcPr>
            <w:tcW w:w="1589" w:type="pct"/>
            <w:vAlign w:val="center"/>
          </w:tcPr>
          <w:p>
            <w:pPr>
              <w:tabs>
                <w:tab w:val="left" w:pos="840"/>
                <w:tab w:val="left" w:pos="1485"/>
              </w:tabs>
              <w:spacing w:line="240" w:lineRule="auto"/>
              <w:ind w:firstLine="0" w:firstLineChars="0"/>
              <w:jc w:val="center"/>
              <w:rPr>
                <w:rFonts w:eastAsia="仿宋_GB2312"/>
                <w:sz w:val="21"/>
                <w:szCs w:val="21"/>
              </w:rPr>
            </w:pPr>
            <w:r>
              <w:rPr>
                <w:rFonts w:eastAsia="仿宋_GB2312"/>
                <w:sz w:val="21"/>
                <w:szCs w:val="21"/>
              </w:rPr>
              <w:t>自然恢复期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823" w:type="pct"/>
            <w:vAlign w:val="center"/>
          </w:tcPr>
          <w:p>
            <w:pPr>
              <w:tabs>
                <w:tab w:val="left" w:pos="840"/>
                <w:tab w:val="left" w:pos="1485"/>
              </w:tabs>
              <w:spacing w:line="240" w:lineRule="auto"/>
              <w:ind w:firstLine="0" w:firstLineChars="0"/>
              <w:jc w:val="center"/>
              <w:rPr>
                <w:rFonts w:eastAsia="仿宋_GB2312"/>
                <w:sz w:val="21"/>
                <w:szCs w:val="21"/>
              </w:rPr>
            </w:pPr>
            <w:r>
              <w:rPr>
                <w:rFonts w:hint="eastAsia" w:eastAsia="仿宋_GB2312"/>
                <w:sz w:val="21"/>
                <w:szCs w:val="21"/>
              </w:rPr>
              <w:t>管道工程区</w:t>
            </w:r>
          </w:p>
        </w:tc>
        <w:tc>
          <w:tcPr>
            <w:tcW w:w="1588" w:type="pct"/>
            <w:vAlign w:val="center"/>
          </w:tcPr>
          <w:p>
            <w:pPr>
              <w:tabs>
                <w:tab w:val="left" w:pos="840"/>
                <w:tab w:val="left" w:pos="1485"/>
              </w:tabs>
              <w:spacing w:line="240" w:lineRule="auto"/>
              <w:ind w:firstLine="0" w:firstLineChars="0"/>
              <w:jc w:val="center"/>
              <w:rPr>
                <w:rFonts w:eastAsia="仿宋_GB2312"/>
                <w:sz w:val="21"/>
                <w:szCs w:val="21"/>
              </w:rPr>
            </w:pPr>
            <w:r>
              <w:rPr>
                <w:rFonts w:hint="eastAsia" w:eastAsia="仿宋_GB2312"/>
                <w:sz w:val="21"/>
                <w:szCs w:val="21"/>
              </w:rPr>
              <w:t>1.73</w:t>
            </w:r>
          </w:p>
        </w:tc>
        <w:tc>
          <w:tcPr>
            <w:tcW w:w="1589" w:type="pct"/>
            <w:vAlign w:val="center"/>
          </w:tcPr>
          <w:p>
            <w:pPr>
              <w:tabs>
                <w:tab w:val="left" w:pos="840"/>
                <w:tab w:val="left" w:pos="1485"/>
              </w:tabs>
              <w:spacing w:line="240" w:lineRule="auto"/>
              <w:ind w:firstLine="0" w:firstLineChars="0"/>
              <w:jc w:val="center"/>
              <w:rPr>
                <w:rFonts w:eastAsia="仿宋_GB2312"/>
                <w:sz w:val="21"/>
                <w:szCs w:val="21"/>
              </w:rPr>
            </w:pPr>
            <w:r>
              <w:rPr>
                <w:rFonts w:hint="eastAsia" w:eastAsia="仿宋_GB2312"/>
                <w:sz w:val="21"/>
                <w:szCs w:val="21"/>
              </w:rPr>
              <w:t>0.55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823" w:type="pct"/>
            <w:vAlign w:val="center"/>
          </w:tcPr>
          <w:p>
            <w:pPr>
              <w:tabs>
                <w:tab w:val="left" w:pos="840"/>
                <w:tab w:val="left" w:pos="1485"/>
              </w:tabs>
              <w:spacing w:line="240" w:lineRule="auto"/>
              <w:ind w:firstLine="0" w:firstLineChars="0"/>
              <w:jc w:val="center"/>
              <w:rPr>
                <w:rFonts w:eastAsia="仿宋_GB2312"/>
                <w:sz w:val="21"/>
                <w:szCs w:val="21"/>
              </w:rPr>
            </w:pPr>
            <w:r>
              <w:rPr>
                <w:rFonts w:hint="eastAsia" w:eastAsia="仿宋_GB2312"/>
                <w:sz w:val="21"/>
                <w:szCs w:val="21"/>
              </w:rPr>
              <w:t>附属构筑物区</w:t>
            </w:r>
          </w:p>
        </w:tc>
        <w:tc>
          <w:tcPr>
            <w:tcW w:w="1588" w:type="pct"/>
            <w:vAlign w:val="center"/>
          </w:tcPr>
          <w:p>
            <w:pPr>
              <w:tabs>
                <w:tab w:val="left" w:pos="840"/>
                <w:tab w:val="left" w:pos="1485"/>
              </w:tabs>
              <w:spacing w:line="240" w:lineRule="auto"/>
              <w:ind w:firstLine="0" w:firstLineChars="0"/>
              <w:jc w:val="center"/>
              <w:rPr>
                <w:rFonts w:eastAsia="仿宋_GB2312"/>
                <w:sz w:val="21"/>
                <w:szCs w:val="21"/>
              </w:rPr>
            </w:pPr>
            <w:r>
              <w:rPr>
                <w:rFonts w:hint="eastAsia" w:eastAsia="仿宋_GB2312"/>
                <w:sz w:val="21"/>
                <w:szCs w:val="21"/>
              </w:rPr>
              <w:t>0.11</w:t>
            </w:r>
          </w:p>
        </w:tc>
        <w:tc>
          <w:tcPr>
            <w:tcW w:w="1589" w:type="pct"/>
            <w:vAlign w:val="center"/>
          </w:tcPr>
          <w:p>
            <w:pPr>
              <w:tabs>
                <w:tab w:val="left" w:pos="840"/>
                <w:tab w:val="left" w:pos="1485"/>
              </w:tabs>
              <w:spacing w:line="240" w:lineRule="auto"/>
              <w:ind w:firstLine="0" w:firstLineChars="0"/>
              <w:jc w:val="center"/>
              <w:rPr>
                <w:rFonts w:eastAsia="仿宋_GB2312"/>
                <w:sz w:val="21"/>
                <w:szCs w:val="21"/>
              </w:rPr>
            </w:pPr>
            <w:r>
              <w:rPr>
                <w:rFonts w:hint="eastAsia" w:eastAsia="仿宋_GB2312"/>
                <w:sz w:val="21"/>
                <w:szCs w:val="21"/>
              </w:rPr>
              <w:t>0.09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823" w:type="pct"/>
            <w:vAlign w:val="center"/>
          </w:tcPr>
          <w:p>
            <w:pPr>
              <w:tabs>
                <w:tab w:val="left" w:pos="840"/>
                <w:tab w:val="left" w:pos="1485"/>
              </w:tabs>
              <w:spacing w:line="240" w:lineRule="auto"/>
              <w:ind w:firstLine="0" w:firstLineChars="0"/>
              <w:jc w:val="center"/>
              <w:rPr>
                <w:rFonts w:eastAsia="仿宋_GB2312"/>
                <w:sz w:val="21"/>
                <w:szCs w:val="21"/>
              </w:rPr>
            </w:pPr>
            <w:r>
              <w:rPr>
                <w:rFonts w:eastAsia="仿宋_GB2312"/>
                <w:sz w:val="21"/>
                <w:szCs w:val="21"/>
              </w:rPr>
              <w:t>合计</w:t>
            </w:r>
          </w:p>
        </w:tc>
        <w:tc>
          <w:tcPr>
            <w:tcW w:w="1588" w:type="pct"/>
            <w:vAlign w:val="center"/>
          </w:tcPr>
          <w:p>
            <w:pPr>
              <w:tabs>
                <w:tab w:val="left" w:pos="840"/>
                <w:tab w:val="left" w:pos="1485"/>
              </w:tabs>
              <w:spacing w:line="240" w:lineRule="auto"/>
              <w:ind w:firstLine="0" w:firstLineChars="0"/>
              <w:jc w:val="center"/>
              <w:rPr>
                <w:rFonts w:eastAsia="仿宋_GB2312"/>
                <w:sz w:val="21"/>
                <w:szCs w:val="21"/>
              </w:rPr>
            </w:pPr>
            <w:r>
              <w:rPr>
                <w:rFonts w:hint="eastAsia" w:eastAsia="仿宋_GB2312"/>
                <w:sz w:val="21"/>
                <w:szCs w:val="21"/>
              </w:rPr>
              <w:t>1.84</w:t>
            </w:r>
          </w:p>
        </w:tc>
        <w:tc>
          <w:tcPr>
            <w:tcW w:w="1589" w:type="pct"/>
            <w:vAlign w:val="center"/>
          </w:tcPr>
          <w:p>
            <w:pPr>
              <w:tabs>
                <w:tab w:val="left" w:pos="840"/>
                <w:tab w:val="left" w:pos="1485"/>
              </w:tabs>
              <w:spacing w:line="240" w:lineRule="auto"/>
              <w:ind w:firstLine="0" w:firstLineChars="0"/>
              <w:jc w:val="center"/>
              <w:rPr>
                <w:rFonts w:eastAsia="仿宋_GB2312"/>
                <w:sz w:val="21"/>
                <w:szCs w:val="21"/>
              </w:rPr>
            </w:pPr>
            <w:r>
              <w:rPr>
                <w:rFonts w:hint="eastAsia" w:eastAsia="仿宋_GB2312"/>
                <w:sz w:val="21"/>
                <w:szCs w:val="21"/>
              </w:rPr>
              <w:t>0.64</w:t>
            </w:r>
          </w:p>
        </w:tc>
      </w:tr>
    </w:tbl>
    <w:p>
      <w:pPr>
        <w:pStyle w:val="4"/>
        <w:keepLines/>
        <w:widowControl/>
        <w:numPr>
          <w:ilvl w:val="2"/>
          <w:numId w:val="1"/>
        </w:numPr>
        <w:tabs>
          <w:tab w:val="clear" w:pos="432"/>
          <w:tab w:val="clear" w:pos="960"/>
        </w:tabs>
        <w:kinsoku/>
        <w:overflowPunct/>
        <w:topLinePunct w:val="0"/>
        <w:autoSpaceDE/>
        <w:autoSpaceDN/>
        <w:adjustRightInd/>
        <w:snapToGrid/>
        <w:spacing w:beforeLines="100"/>
        <w:ind w:left="0" w:firstLine="0"/>
        <w:jc w:val="both"/>
        <w:rPr>
          <w:rFonts w:eastAsia="仿宋_GB2312"/>
        </w:rPr>
      </w:pPr>
      <w:r>
        <w:rPr>
          <w:rFonts w:eastAsia="仿宋_GB2312"/>
        </w:rPr>
        <w:t>预测时段</w:t>
      </w:r>
      <w:bookmarkEnd w:id="230"/>
    </w:p>
    <w:p>
      <w:pPr>
        <w:autoSpaceDE w:val="0"/>
        <w:autoSpaceDN w:val="0"/>
        <w:ind w:firstLine="480"/>
        <w:rPr>
          <w:rFonts w:eastAsia="仿宋_GB2312"/>
          <w:kern w:val="10"/>
          <w:lang w:val="zh-CN"/>
        </w:rPr>
      </w:pPr>
      <w:r>
        <w:rPr>
          <w:rFonts w:eastAsia="仿宋_GB2312"/>
          <w:kern w:val="10"/>
          <w:lang w:val="zh-CN"/>
        </w:rPr>
        <w:t>由于本项目为建设类项目，结合</w:t>
      </w:r>
      <w:bookmarkStart w:id="231" w:name="OLE_LINK11"/>
      <w:r>
        <w:rPr>
          <w:rFonts w:eastAsia="仿宋_GB2312"/>
          <w:kern w:val="10"/>
          <w:lang w:val="zh-CN"/>
        </w:rPr>
        <w:t>工程建设过程中</w:t>
      </w:r>
      <w:bookmarkEnd w:id="231"/>
      <w:r>
        <w:rPr>
          <w:rFonts w:eastAsia="仿宋_GB2312"/>
          <w:kern w:val="10"/>
          <w:lang w:val="zh-CN"/>
        </w:rPr>
        <w:t>水土流失发生和发展具体情况，将水土流失预测期分为施工期（含施工准备期）、自然恢复期两个时段。项目建设期为施工期，竣工以后建设期扰动区则进入自然恢复期。</w:t>
      </w:r>
    </w:p>
    <w:p>
      <w:pPr>
        <w:autoSpaceDE w:val="0"/>
        <w:autoSpaceDN w:val="0"/>
        <w:ind w:firstLine="480"/>
        <w:rPr>
          <w:rFonts w:eastAsia="仿宋_GB2312"/>
          <w:kern w:val="10"/>
          <w:lang w:val="zh-CN"/>
        </w:rPr>
      </w:pPr>
      <w:r>
        <w:rPr>
          <w:rFonts w:hint="eastAsia" w:eastAsia="仿宋_GB2312" w:cs="宋体"/>
        </w:rPr>
        <w:t>自然恢复期是指单项工程完工后不采取任何措施情况下，植被自然恢复，使土壤侵蚀模数达到原背景值所需的时间，通过对区域降雨、土壤以及自然植被生长状况的调查，确定本项目自然恢复期为5年。</w:t>
      </w:r>
    </w:p>
    <w:p>
      <w:pPr>
        <w:autoSpaceDE w:val="0"/>
        <w:autoSpaceDN w:val="0"/>
        <w:ind w:firstLine="480"/>
        <w:rPr>
          <w:rFonts w:eastAsia="仿宋_GB2312"/>
          <w:kern w:val="10"/>
          <w:lang w:val="zh-CN"/>
        </w:rPr>
      </w:pPr>
      <w:r>
        <w:rPr>
          <w:rFonts w:eastAsia="仿宋_GB2312"/>
          <w:kern w:val="10"/>
          <w:lang w:val="zh-CN"/>
        </w:rPr>
        <w:t>各防治分区的预测时段根据生产建设特点、施工安排、工程建设时间，结合产生水土流失的季节，以最不利时段确定预测时段，即施工时段超过风季、雨季长度的按全年计算，不超过风、雨季长度的按占风季或雨季长度的比例计算。</w:t>
      </w:r>
    </w:p>
    <w:p>
      <w:pPr>
        <w:autoSpaceDE w:val="0"/>
        <w:autoSpaceDN w:val="0"/>
        <w:ind w:firstLine="480"/>
        <w:rPr>
          <w:rFonts w:eastAsia="仿宋_GB2312"/>
          <w:kern w:val="10"/>
          <w:lang w:val="zh-CN"/>
        </w:rPr>
      </w:pPr>
      <w:r>
        <w:rPr>
          <w:rFonts w:eastAsia="仿宋_GB2312"/>
          <w:kern w:val="10"/>
          <w:lang w:val="zh-CN"/>
        </w:rPr>
        <w:t>根据项目建设实际情况，本项目建设期各工程区水土流失预测单元及预测时间见表4.3-2。</w:t>
      </w:r>
    </w:p>
    <w:p>
      <w:pPr>
        <w:autoSpaceDE w:val="0"/>
        <w:autoSpaceDN w:val="0"/>
        <w:spacing w:line="240" w:lineRule="auto"/>
        <w:ind w:firstLine="0" w:firstLineChars="0"/>
        <w:jc w:val="center"/>
        <w:rPr>
          <w:rFonts w:eastAsia="仿宋_GB2312"/>
          <w:b/>
          <w:bCs/>
          <w:kern w:val="10"/>
          <w:lang w:val="zh-CN"/>
        </w:rPr>
      </w:pPr>
      <w:r>
        <w:rPr>
          <w:rFonts w:eastAsia="仿宋_GB2312"/>
          <w:b/>
          <w:bCs/>
          <w:kern w:val="10"/>
          <w:lang w:val="zh-CN"/>
        </w:rPr>
        <w:t xml:space="preserve">表4.3-2    </w:t>
      </w:r>
      <w:bookmarkStart w:id="232" w:name="RANGE!B4:F9"/>
      <w:bookmarkEnd w:id="232"/>
      <w:bookmarkStart w:id="233" w:name="RANGE!B4:F7"/>
      <w:bookmarkEnd w:id="233"/>
      <w:r>
        <w:rPr>
          <w:rFonts w:eastAsia="仿宋_GB2312"/>
          <w:b/>
          <w:bCs/>
          <w:kern w:val="10"/>
          <w:lang w:val="zh-CN"/>
        </w:rPr>
        <w:t>工程建设产生水土流失预测时段统计表</w:t>
      </w:r>
    </w:p>
    <w:tbl>
      <w:tblPr>
        <w:tblStyle w:val="40"/>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809"/>
        <w:gridCol w:w="2340"/>
        <w:gridCol w:w="2701"/>
        <w:gridCol w:w="166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062" w:type="pct"/>
            <w:vMerge w:val="restart"/>
            <w:vAlign w:val="center"/>
          </w:tcPr>
          <w:p>
            <w:pPr>
              <w:spacing w:line="0" w:lineRule="atLeast"/>
              <w:ind w:firstLine="0" w:firstLineChars="0"/>
              <w:jc w:val="center"/>
              <w:rPr>
                <w:rFonts w:eastAsia="仿宋_GB2312"/>
                <w:sz w:val="21"/>
                <w:szCs w:val="21"/>
              </w:rPr>
            </w:pPr>
            <w:r>
              <w:rPr>
                <w:rFonts w:eastAsia="仿宋_GB2312"/>
                <w:sz w:val="21"/>
                <w:szCs w:val="21"/>
              </w:rPr>
              <w:t>一级分区</w:t>
            </w:r>
          </w:p>
        </w:tc>
        <w:tc>
          <w:tcPr>
            <w:tcW w:w="1374" w:type="pct"/>
            <w:vMerge w:val="restart"/>
            <w:vAlign w:val="center"/>
          </w:tcPr>
          <w:p>
            <w:pPr>
              <w:spacing w:line="0" w:lineRule="atLeast"/>
              <w:ind w:firstLine="0" w:firstLineChars="0"/>
              <w:jc w:val="center"/>
              <w:rPr>
                <w:rFonts w:eastAsia="仿宋_GB2312"/>
                <w:sz w:val="21"/>
                <w:szCs w:val="21"/>
              </w:rPr>
            </w:pPr>
            <w:r>
              <w:rPr>
                <w:rFonts w:eastAsia="仿宋_GB2312"/>
                <w:sz w:val="21"/>
                <w:szCs w:val="21"/>
              </w:rPr>
              <w:t>二级分区</w:t>
            </w:r>
          </w:p>
        </w:tc>
        <w:tc>
          <w:tcPr>
            <w:tcW w:w="2564" w:type="pct"/>
            <w:gridSpan w:val="2"/>
            <w:vAlign w:val="center"/>
          </w:tcPr>
          <w:p>
            <w:pPr>
              <w:spacing w:line="0" w:lineRule="atLeast"/>
              <w:ind w:firstLine="420"/>
              <w:jc w:val="center"/>
              <w:rPr>
                <w:rFonts w:eastAsia="仿宋_GB2312"/>
                <w:b/>
                <w:sz w:val="21"/>
                <w:szCs w:val="21"/>
              </w:rPr>
            </w:pPr>
            <w:r>
              <w:rPr>
                <w:rFonts w:eastAsia="仿宋_GB2312"/>
                <w:sz w:val="21"/>
                <w:szCs w:val="21"/>
              </w:rPr>
              <w:t>预测年限（年）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062" w:type="pct"/>
            <w:vMerge w:val="continue"/>
            <w:vAlign w:val="center"/>
          </w:tcPr>
          <w:p>
            <w:pPr>
              <w:spacing w:line="0" w:lineRule="atLeast"/>
              <w:ind w:firstLine="420"/>
              <w:jc w:val="center"/>
              <w:rPr>
                <w:rFonts w:eastAsia="仿宋_GB2312"/>
                <w:b/>
                <w:sz w:val="21"/>
                <w:szCs w:val="21"/>
              </w:rPr>
            </w:pPr>
          </w:p>
        </w:tc>
        <w:tc>
          <w:tcPr>
            <w:tcW w:w="1374" w:type="pct"/>
            <w:vMerge w:val="continue"/>
            <w:vAlign w:val="center"/>
          </w:tcPr>
          <w:p>
            <w:pPr>
              <w:spacing w:line="0" w:lineRule="atLeast"/>
              <w:ind w:firstLine="420"/>
              <w:jc w:val="center"/>
              <w:rPr>
                <w:rFonts w:eastAsia="仿宋_GB2312"/>
                <w:b/>
                <w:sz w:val="21"/>
                <w:szCs w:val="21"/>
              </w:rPr>
            </w:pPr>
          </w:p>
        </w:tc>
        <w:tc>
          <w:tcPr>
            <w:tcW w:w="1586" w:type="pct"/>
            <w:vAlign w:val="center"/>
          </w:tcPr>
          <w:p>
            <w:pPr>
              <w:autoSpaceDE w:val="0"/>
              <w:autoSpaceDN w:val="0"/>
              <w:spacing w:line="0" w:lineRule="atLeast"/>
              <w:ind w:firstLine="0" w:firstLineChars="0"/>
              <w:jc w:val="center"/>
              <w:rPr>
                <w:rFonts w:eastAsia="仿宋_GB2312"/>
                <w:sz w:val="21"/>
                <w:szCs w:val="21"/>
              </w:rPr>
            </w:pPr>
            <w:r>
              <w:rPr>
                <w:rFonts w:eastAsia="仿宋_GB2312"/>
                <w:sz w:val="21"/>
                <w:szCs w:val="21"/>
              </w:rPr>
              <w:t>施工期（含施工准备期）</w:t>
            </w:r>
          </w:p>
        </w:tc>
        <w:tc>
          <w:tcPr>
            <w:tcW w:w="978" w:type="pct"/>
            <w:vAlign w:val="center"/>
          </w:tcPr>
          <w:p>
            <w:pPr>
              <w:spacing w:line="0" w:lineRule="atLeast"/>
              <w:ind w:firstLine="0" w:firstLineChars="0"/>
              <w:jc w:val="center"/>
              <w:rPr>
                <w:rFonts w:eastAsia="仿宋_GB2312"/>
                <w:sz w:val="21"/>
                <w:szCs w:val="21"/>
              </w:rPr>
            </w:pPr>
            <w:r>
              <w:rPr>
                <w:rFonts w:eastAsia="仿宋_GB2312"/>
                <w:sz w:val="21"/>
                <w:szCs w:val="21"/>
              </w:rPr>
              <w:t>自然恢复</w:t>
            </w:r>
            <w:r>
              <w:rPr>
                <w:rFonts w:hint="eastAsia" w:eastAsia="仿宋_GB2312"/>
                <w:sz w:val="21"/>
                <w:szCs w:val="21"/>
              </w:rPr>
              <w:t>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062" w:type="pct"/>
            <w:vMerge w:val="restart"/>
            <w:vAlign w:val="center"/>
          </w:tcPr>
          <w:p>
            <w:pPr>
              <w:spacing w:line="0" w:lineRule="atLeast"/>
              <w:ind w:firstLine="0" w:firstLineChars="0"/>
              <w:jc w:val="center"/>
              <w:rPr>
                <w:rFonts w:eastAsia="仿宋_GB2312"/>
                <w:sz w:val="21"/>
                <w:szCs w:val="21"/>
              </w:rPr>
            </w:pPr>
            <w:r>
              <w:rPr>
                <w:rFonts w:hint="eastAsia" w:eastAsia="仿宋_GB2312"/>
                <w:sz w:val="21"/>
                <w:szCs w:val="21"/>
              </w:rPr>
              <w:t>冲洪积平原区</w:t>
            </w:r>
          </w:p>
        </w:tc>
        <w:tc>
          <w:tcPr>
            <w:tcW w:w="1374" w:type="pct"/>
            <w:vAlign w:val="center"/>
          </w:tcPr>
          <w:p>
            <w:pPr>
              <w:tabs>
                <w:tab w:val="left" w:pos="840"/>
                <w:tab w:val="left" w:pos="1485"/>
              </w:tabs>
              <w:spacing w:line="240" w:lineRule="auto"/>
              <w:ind w:firstLine="0" w:firstLineChars="0"/>
              <w:jc w:val="center"/>
              <w:rPr>
                <w:rFonts w:eastAsia="仿宋_GB2312"/>
                <w:sz w:val="21"/>
                <w:szCs w:val="21"/>
              </w:rPr>
            </w:pPr>
            <w:r>
              <w:rPr>
                <w:rFonts w:hint="eastAsia" w:eastAsia="仿宋_GB2312"/>
                <w:sz w:val="21"/>
                <w:szCs w:val="21"/>
              </w:rPr>
              <w:t>管道工程区</w:t>
            </w:r>
          </w:p>
        </w:tc>
        <w:tc>
          <w:tcPr>
            <w:tcW w:w="1586" w:type="pct"/>
            <w:vAlign w:val="center"/>
          </w:tcPr>
          <w:p>
            <w:pPr>
              <w:spacing w:line="0" w:lineRule="atLeast"/>
              <w:ind w:firstLine="0" w:firstLineChars="0"/>
              <w:jc w:val="center"/>
              <w:rPr>
                <w:rFonts w:eastAsia="仿宋_GB2312"/>
                <w:sz w:val="21"/>
                <w:szCs w:val="21"/>
              </w:rPr>
            </w:pPr>
            <w:r>
              <w:rPr>
                <w:rFonts w:hint="eastAsia" w:eastAsia="仿宋_GB2312"/>
                <w:sz w:val="21"/>
                <w:szCs w:val="21"/>
              </w:rPr>
              <w:t>0.42</w:t>
            </w:r>
          </w:p>
        </w:tc>
        <w:tc>
          <w:tcPr>
            <w:tcW w:w="978" w:type="pct"/>
            <w:vAlign w:val="center"/>
          </w:tcPr>
          <w:p>
            <w:pPr>
              <w:spacing w:line="0" w:lineRule="atLeast"/>
              <w:ind w:firstLine="0" w:firstLineChars="0"/>
              <w:jc w:val="center"/>
              <w:rPr>
                <w:rFonts w:eastAsia="仿宋_GB2312"/>
                <w:color w:val="FF0000"/>
                <w:sz w:val="21"/>
                <w:szCs w:val="21"/>
              </w:rPr>
            </w:pPr>
            <w:r>
              <w:rPr>
                <w:rFonts w:hint="eastAsia" w:eastAsia="仿宋_GB2312"/>
                <w:sz w:val="21"/>
                <w:szCs w:val="21"/>
              </w:rPr>
              <w:t>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062" w:type="pct"/>
            <w:vMerge w:val="continue"/>
            <w:vAlign w:val="center"/>
          </w:tcPr>
          <w:p>
            <w:pPr>
              <w:spacing w:line="0" w:lineRule="atLeast"/>
              <w:ind w:firstLine="0" w:firstLineChars="0"/>
              <w:jc w:val="center"/>
              <w:rPr>
                <w:rFonts w:eastAsia="仿宋_GB2312"/>
                <w:sz w:val="21"/>
                <w:szCs w:val="21"/>
              </w:rPr>
            </w:pPr>
          </w:p>
        </w:tc>
        <w:tc>
          <w:tcPr>
            <w:tcW w:w="1374" w:type="pct"/>
            <w:vAlign w:val="center"/>
          </w:tcPr>
          <w:p>
            <w:pPr>
              <w:tabs>
                <w:tab w:val="left" w:pos="840"/>
                <w:tab w:val="left" w:pos="1485"/>
              </w:tabs>
              <w:spacing w:line="240" w:lineRule="auto"/>
              <w:ind w:firstLine="0" w:firstLineChars="0"/>
              <w:jc w:val="center"/>
              <w:rPr>
                <w:rFonts w:eastAsia="仿宋_GB2312"/>
                <w:sz w:val="21"/>
                <w:szCs w:val="21"/>
              </w:rPr>
            </w:pPr>
            <w:r>
              <w:rPr>
                <w:rFonts w:hint="eastAsia" w:eastAsia="仿宋_GB2312"/>
                <w:sz w:val="21"/>
                <w:szCs w:val="21"/>
              </w:rPr>
              <w:t>附属构筑物区</w:t>
            </w:r>
          </w:p>
        </w:tc>
        <w:tc>
          <w:tcPr>
            <w:tcW w:w="1586" w:type="pct"/>
            <w:vAlign w:val="center"/>
          </w:tcPr>
          <w:p>
            <w:pPr>
              <w:spacing w:line="0" w:lineRule="atLeast"/>
              <w:ind w:firstLine="0" w:firstLineChars="0"/>
              <w:jc w:val="center"/>
              <w:rPr>
                <w:rFonts w:eastAsia="仿宋_GB2312"/>
                <w:sz w:val="21"/>
                <w:szCs w:val="21"/>
              </w:rPr>
            </w:pPr>
            <w:r>
              <w:rPr>
                <w:rFonts w:hint="eastAsia" w:eastAsia="仿宋_GB2312"/>
                <w:sz w:val="21"/>
                <w:szCs w:val="21"/>
              </w:rPr>
              <w:t>0.42</w:t>
            </w:r>
          </w:p>
        </w:tc>
        <w:tc>
          <w:tcPr>
            <w:tcW w:w="978" w:type="pct"/>
            <w:vAlign w:val="center"/>
          </w:tcPr>
          <w:p>
            <w:pPr>
              <w:spacing w:line="0" w:lineRule="atLeast"/>
              <w:ind w:firstLine="0" w:firstLineChars="0"/>
              <w:jc w:val="center"/>
              <w:rPr>
                <w:rFonts w:eastAsia="仿宋_GB2312"/>
                <w:color w:val="FF0000"/>
                <w:sz w:val="21"/>
                <w:szCs w:val="21"/>
              </w:rPr>
            </w:pPr>
            <w:r>
              <w:rPr>
                <w:rFonts w:hint="eastAsia" w:eastAsia="仿宋_GB2312"/>
                <w:sz w:val="21"/>
                <w:szCs w:val="21"/>
              </w:rPr>
              <w:t>5</w:t>
            </w:r>
          </w:p>
        </w:tc>
      </w:tr>
    </w:tbl>
    <w:p>
      <w:pPr>
        <w:pStyle w:val="4"/>
        <w:keepLines/>
        <w:widowControl/>
        <w:numPr>
          <w:ilvl w:val="2"/>
          <w:numId w:val="1"/>
        </w:numPr>
        <w:tabs>
          <w:tab w:val="clear" w:pos="432"/>
          <w:tab w:val="clear" w:pos="960"/>
        </w:tabs>
        <w:kinsoku/>
        <w:overflowPunct/>
        <w:topLinePunct w:val="0"/>
        <w:autoSpaceDE/>
        <w:autoSpaceDN/>
        <w:adjustRightInd/>
        <w:snapToGrid/>
        <w:spacing w:beforeLines="100"/>
        <w:ind w:left="0" w:firstLine="0"/>
        <w:jc w:val="both"/>
        <w:rPr>
          <w:rFonts w:eastAsia="仿宋_GB2312"/>
        </w:rPr>
      </w:pPr>
      <w:r>
        <w:rPr>
          <w:rFonts w:eastAsia="仿宋_GB2312"/>
        </w:rPr>
        <w:t>土壤侵蚀模数</w:t>
      </w:r>
    </w:p>
    <w:p>
      <w:pPr>
        <w:pStyle w:val="5"/>
        <w:rPr>
          <w:kern w:val="2"/>
          <w:szCs w:val="28"/>
        </w:rPr>
      </w:pPr>
      <w:r>
        <w:rPr>
          <w:kern w:val="2"/>
          <w:szCs w:val="28"/>
        </w:rPr>
        <w:t>预测方法</w:t>
      </w:r>
    </w:p>
    <w:p>
      <w:pPr>
        <w:tabs>
          <w:tab w:val="left" w:pos="840"/>
          <w:tab w:val="left" w:pos="1485"/>
        </w:tabs>
        <w:ind w:firstLine="480"/>
        <w:rPr>
          <w:rFonts w:eastAsia="仿宋_GB2312"/>
        </w:rPr>
      </w:pPr>
      <w:r>
        <w:rPr>
          <w:rFonts w:eastAsia="仿宋_GB2312"/>
        </w:rPr>
        <w:t>造成水土流失量的来源有两方面：一是扰动地表损坏原地貌植被，使水土保持功能降低或丧失，形成加速侵蚀区而增加的水土流失量；二是由于堆放、排弃土石而增加的水土流失量；因此水土流失的预测应分区、分时段进行。本项目区水土流失量预测采取经验公式法计算：</w:t>
      </w:r>
    </w:p>
    <w:p>
      <w:pPr>
        <w:tabs>
          <w:tab w:val="left" w:pos="840"/>
          <w:tab w:val="left" w:pos="1485"/>
        </w:tabs>
        <w:ind w:firstLine="480"/>
        <w:rPr>
          <w:rFonts w:eastAsia="仿宋_GB2312"/>
        </w:rPr>
      </w:pPr>
      <w:r>
        <w:rPr>
          <w:rFonts w:eastAsia="仿宋_GB2312"/>
        </w:rPr>
        <w:t>（1）原生水土流失量预测</w:t>
      </w:r>
    </w:p>
    <w:p>
      <w:pPr>
        <w:tabs>
          <w:tab w:val="left" w:pos="840"/>
          <w:tab w:val="left" w:pos="1485"/>
        </w:tabs>
        <w:ind w:firstLine="480"/>
        <w:rPr>
          <w:rFonts w:eastAsia="仿宋_GB2312"/>
        </w:rPr>
      </w:pPr>
      <w:r>
        <w:rPr>
          <w:rFonts w:eastAsia="仿宋_GB2312"/>
        </w:rPr>
        <w:t>原生水土流失量预测采用土壤侵蚀模数法进行分析计算：</w:t>
      </w:r>
    </w:p>
    <w:p>
      <w:pPr>
        <w:tabs>
          <w:tab w:val="left" w:pos="840"/>
          <w:tab w:val="left" w:pos="1485"/>
        </w:tabs>
        <w:ind w:firstLine="480"/>
        <w:rPr>
          <w:rFonts w:eastAsia="仿宋_GB2312"/>
        </w:rPr>
      </w:pPr>
      <w:r>
        <w:rPr>
          <w:rFonts w:eastAsia="仿宋_GB2312"/>
        </w:rPr>
        <w:object>
          <v:shape id="_x0000_i1026" o:spt="75" type="#_x0000_t75" style="height:40.5pt;width:135.75pt;" o:ole="t" filled="f" o:preferrelative="t" stroked="f" coordsize="21600,21600">
            <v:path/>
            <v:fill on="f" focussize="0,0"/>
            <v:stroke on="f" joinstyle="miter"/>
            <v:imagedata r:id="rId39" o:title=""/>
            <o:lock v:ext="edit" aspectratio="t"/>
            <w10:wrap type="none"/>
            <w10:anchorlock/>
          </v:shape>
          <o:OLEObject Type="Embed" ProgID="Equation.3" ShapeID="_x0000_i1026" DrawAspect="Content" ObjectID="_1468075726" r:id="rId38">
            <o:LockedField>false</o:LockedField>
          </o:OLEObject>
        </w:object>
      </w:r>
    </w:p>
    <w:p>
      <w:pPr>
        <w:tabs>
          <w:tab w:val="left" w:pos="840"/>
          <w:tab w:val="left" w:pos="1485"/>
        </w:tabs>
        <w:ind w:firstLine="480"/>
        <w:rPr>
          <w:rFonts w:eastAsia="仿宋_GB2312"/>
        </w:rPr>
      </w:pPr>
      <w:r>
        <w:rPr>
          <w:rFonts w:eastAsia="仿宋_GB2312"/>
        </w:rPr>
        <w:t>式中：W原：原地貌水土流失量，t；i：不同土地利用类型；Mi：原地貌土壤侵蚀模数，</w:t>
      </w:r>
      <w:bookmarkStart w:id="234" w:name="OLE_LINK109"/>
      <w:r>
        <w:rPr>
          <w:rFonts w:eastAsia="仿宋_GB2312"/>
        </w:rPr>
        <w:t>t/km²·a</w:t>
      </w:r>
      <w:bookmarkEnd w:id="234"/>
      <w:r>
        <w:rPr>
          <w:rFonts w:eastAsia="仿宋_GB2312"/>
        </w:rPr>
        <w:t>；Fi：不同的地貌单元面积，km²；Ti：水土流失预测时段，年（a）。</w:t>
      </w:r>
    </w:p>
    <w:p>
      <w:pPr>
        <w:tabs>
          <w:tab w:val="left" w:pos="840"/>
          <w:tab w:val="left" w:pos="1485"/>
        </w:tabs>
        <w:ind w:firstLine="480"/>
        <w:rPr>
          <w:rFonts w:eastAsia="仿宋_GB2312"/>
        </w:rPr>
      </w:pPr>
      <w:r>
        <w:rPr>
          <w:rFonts w:eastAsia="仿宋_GB2312"/>
        </w:rPr>
        <w:t>（2）扰动后的水土流失量计算方法</w:t>
      </w:r>
    </w:p>
    <w:p>
      <w:pPr>
        <w:tabs>
          <w:tab w:val="left" w:pos="840"/>
          <w:tab w:val="left" w:pos="1485"/>
        </w:tabs>
        <w:ind w:firstLine="480"/>
        <w:rPr>
          <w:rFonts w:eastAsia="仿宋_GB2312"/>
        </w:rPr>
      </w:pPr>
      <w:r>
        <w:rPr>
          <w:rFonts w:eastAsia="仿宋_GB2312"/>
        </w:rPr>
        <w:t>扰动后水土流失预测按下式进行</w:t>
      </w:r>
      <w:r>
        <w:rPr>
          <w:rFonts w:hint="eastAsia" w:eastAsia="仿宋_GB2312"/>
        </w:rPr>
        <w:t>计算</w:t>
      </w:r>
      <w:r>
        <w:rPr>
          <w:rFonts w:eastAsia="仿宋_GB2312"/>
        </w:rPr>
        <w:t>。</w:t>
      </w:r>
    </w:p>
    <w:p>
      <w:pPr>
        <w:tabs>
          <w:tab w:val="left" w:pos="840"/>
          <w:tab w:val="left" w:pos="1485"/>
        </w:tabs>
        <w:ind w:firstLine="480"/>
        <w:rPr>
          <w:rFonts w:eastAsia="仿宋_GB2312"/>
        </w:rPr>
      </w:pPr>
      <w:r>
        <w:rPr>
          <w:rFonts w:eastAsia="仿宋_GB2312"/>
        </w:rPr>
        <w:object>
          <v:shape id="_x0000_i1027" o:spt="75" type="#_x0000_t75" style="height:40.5pt;width:135.75pt;" o:ole="t" filled="f" o:preferrelative="t" stroked="f" coordsize="21600,21600">
            <v:path/>
            <v:fill on="f" focussize="0,0"/>
            <v:stroke on="f" joinstyle="miter"/>
            <v:imagedata r:id="rId41" o:title=""/>
            <o:lock v:ext="edit" aspectratio="t"/>
            <w10:wrap type="none"/>
            <w10:anchorlock/>
          </v:shape>
          <o:OLEObject Type="Embed" ProgID="Equation.3" ShapeID="_x0000_i1027" DrawAspect="Content" ObjectID="_1468075727" r:id="rId40">
            <o:LockedField>false</o:LockedField>
          </o:OLEObject>
        </w:object>
      </w:r>
    </w:p>
    <w:p>
      <w:pPr>
        <w:tabs>
          <w:tab w:val="left" w:pos="840"/>
          <w:tab w:val="left" w:pos="1485"/>
        </w:tabs>
        <w:ind w:firstLine="480"/>
        <w:rPr>
          <w:rFonts w:eastAsia="仿宋_GB2312"/>
        </w:rPr>
      </w:pPr>
      <w:r>
        <w:rPr>
          <w:rFonts w:eastAsia="仿宋_GB2312"/>
        </w:rPr>
        <w:t>式中：W扰：扰动后的水土流失量，t；i：预测单元，1、2、3…，n-1，n；Fi：第i个预测单元的面积，km²；Mi：扰动后的土壤侵蚀模数，t/km²·a；Ti：预测时段，a。</w:t>
      </w:r>
    </w:p>
    <w:p>
      <w:pPr>
        <w:tabs>
          <w:tab w:val="left" w:pos="840"/>
          <w:tab w:val="left" w:pos="1485"/>
        </w:tabs>
        <w:ind w:firstLine="480"/>
        <w:rPr>
          <w:rFonts w:eastAsia="仿宋_GB2312"/>
        </w:rPr>
      </w:pPr>
      <w:r>
        <w:rPr>
          <w:rFonts w:eastAsia="仿宋_GB2312"/>
        </w:rPr>
        <w:t>（3）新增水土流失量预测</w:t>
      </w:r>
    </w:p>
    <w:p>
      <w:pPr>
        <w:tabs>
          <w:tab w:val="left" w:pos="840"/>
          <w:tab w:val="left" w:pos="1485"/>
        </w:tabs>
        <w:ind w:firstLine="480"/>
        <w:rPr>
          <w:rFonts w:eastAsia="仿宋_GB2312"/>
        </w:rPr>
      </w:pPr>
      <w:bookmarkStart w:id="235" w:name="OLE_LINK102"/>
      <w:r>
        <w:rPr>
          <w:rFonts w:eastAsia="仿宋_GB2312"/>
        </w:rPr>
        <w:t>可能新增水土流失量按下式计算：</w:t>
      </w:r>
    </w:p>
    <w:p>
      <w:pPr>
        <w:tabs>
          <w:tab w:val="left" w:pos="840"/>
          <w:tab w:val="left" w:pos="1485"/>
        </w:tabs>
        <w:ind w:firstLine="480"/>
        <w:rPr>
          <w:rFonts w:eastAsia="仿宋_GB2312"/>
        </w:rPr>
      </w:pPr>
      <w:r>
        <w:rPr>
          <w:rFonts w:eastAsia="仿宋_GB2312"/>
        </w:rPr>
        <w:t>W新=W扰-W原</w:t>
      </w:r>
    </w:p>
    <w:p>
      <w:pPr>
        <w:tabs>
          <w:tab w:val="left" w:pos="840"/>
          <w:tab w:val="left" w:pos="1485"/>
        </w:tabs>
        <w:ind w:firstLine="480"/>
        <w:rPr>
          <w:rFonts w:eastAsia="仿宋_GB2312"/>
        </w:rPr>
      </w:pPr>
      <w:r>
        <w:rPr>
          <w:rFonts w:eastAsia="仿宋_GB2312"/>
        </w:rPr>
        <w:t>式中：W新：工程建设新增水土流失量，t； W扰：工程建设扰动地表水土流失量，t；W原：工程区原生水土流失量，t。</w:t>
      </w:r>
    </w:p>
    <w:bookmarkEnd w:id="235"/>
    <w:p>
      <w:pPr>
        <w:tabs>
          <w:tab w:val="left" w:pos="840"/>
          <w:tab w:val="left" w:pos="1485"/>
        </w:tabs>
        <w:ind w:firstLine="480"/>
        <w:rPr>
          <w:rFonts w:eastAsia="仿宋_GB2312"/>
        </w:rPr>
      </w:pPr>
      <w:r>
        <w:rPr>
          <w:rFonts w:eastAsia="仿宋_GB2312"/>
        </w:rPr>
        <w:t>在具体计算时，将根据有关调查资料并结合工程区域的自然条件，经综合分析确定有关的计算参数。</w:t>
      </w:r>
    </w:p>
    <w:p>
      <w:pPr>
        <w:pStyle w:val="5"/>
        <w:rPr>
          <w:bCs w:val="0"/>
          <w:kern w:val="2"/>
        </w:rPr>
      </w:pPr>
      <w:r>
        <w:rPr>
          <w:bCs w:val="0"/>
          <w:kern w:val="2"/>
        </w:rPr>
        <w:t>土壤侵蚀模数的确定</w:t>
      </w:r>
    </w:p>
    <w:p>
      <w:pPr>
        <w:ind w:firstLine="480"/>
        <w:jc w:val="left"/>
        <w:rPr>
          <w:rFonts w:eastAsia="仿宋_GB2312"/>
          <w:color w:val="000000"/>
        </w:rPr>
      </w:pPr>
      <w:bookmarkStart w:id="236" w:name="_Toc294538848"/>
      <w:r>
        <w:rPr>
          <w:rFonts w:eastAsia="仿宋_GB2312"/>
          <w:color w:val="000000"/>
        </w:rPr>
        <w:t>一、原生土壤侵蚀模数选取</w:t>
      </w:r>
    </w:p>
    <w:p>
      <w:pPr>
        <w:tabs>
          <w:tab w:val="left" w:pos="840"/>
          <w:tab w:val="left" w:pos="1485"/>
        </w:tabs>
        <w:ind w:firstLine="480"/>
        <w:rPr>
          <w:rFonts w:eastAsia="仿宋_GB2312"/>
        </w:rPr>
      </w:pPr>
      <w:r>
        <w:rPr>
          <w:rFonts w:eastAsia="仿宋_GB2312"/>
        </w:rPr>
        <w:t>项目区位于</w:t>
      </w:r>
      <w:r>
        <w:rPr>
          <w:rFonts w:hint="eastAsia" w:eastAsia="仿宋_GB2312"/>
        </w:rPr>
        <w:t>第十四师224团</w:t>
      </w:r>
      <w:r>
        <w:rPr>
          <w:rFonts w:eastAsia="仿宋_GB2312"/>
        </w:rPr>
        <w:t>，场区主要处于</w:t>
      </w:r>
      <w:r>
        <w:rPr>
          <w:rFonts w:hint="eastAsia" w:eastAsia="仿宋_GB2312"/>
        </w:rPr>
        <w:t>冲洪积平原区</w:t>
      </w:r>
      <w:r>
        <w:rPr>
          <w:rFonts w:eastAsia="仿宋_GB2312"/>
        </w:rPr>
        <w:t>，以轻度风力侵蚀为主。参考全国第二次遥感影像图及《新疆维吾尔自治区水土保持规划》中对该区域风力侵蚀特点的描述，通过现场踏勘对当地未扰动区域水土流失现状进行初步勘测，根据项目区土壤、植被情况，最终确定工程区原生地貌侵蚀模数为</w:t>
      </w:r>
      <w:r>
        <w:rPr>
          <w:rFonts w:hint="eastAsia" w:eastAsia="仿宋_GB2312"/>
        </w:rPr>
        <w:t>15</w:t>
      </w:r>
      <w:r>
        <w:rPr>
          <w:rFonts w:eastAsia="仿宋_GB2312"/>
        </w:rPr>
        <w:t>00t/（km²·a）。</w:t>
      </w:r>
    </w:p>
    <w:p>
      <w:pPr>
        <w:ind w:firstLine="480"/>
        <w:jc w:val="left"/>
        <w:rPr>
          <w:rFonts w:eastAsia="仿宋_GB2312"/>
          <w:color w:val="000000"/>
        </w:rPr>
      </w:pPr>
      <w:r>
        <w:rPr>
          <w:rFonts w:eastAsia="仿宋_GB2312"/>
          <w:color w:val="000000"/>
        </w:rPr>
        <w:t>二、扰动后侵蚀模数的确定</w:t>
      </w:r>
    </w:p>
    <w:p>
      <w:pPr>
        <w:tabs>
          <w:tab w:val="left" w:pos="840"/>
          <w:tab w:val="left" w:pos="1485"/>
        </w:tabs>
        <w:ind w:firstLine="480"/>
        <w:rPr>
          <w:rFonts w:eastAsia="仿宋_GB2312"/>
          <w:color w:val="FF0000"/>
        </w:rPr>
      </w:pPr>
      <w:r>
        <w:rPr>
          <w:rFonts w:eastAsia="仿宋_GB2312"/>
        </w:rPr>
        <w:t>本项目属</w:t>
      </w:r>
      <w:r>
        <w:rPr>
          <w:rFonts w:hint="eastAsia" w:eastAsia="仿宋_GB2312"/>
        </w:rPr>
        <w:t>线型</w:t>
      </w:r>
      <w:r>
        <w:rPr>
          <w:rFonts w:eastAsia="仿宋_GB2312"/>
        </w:rPr>
        <w:t>工程，按照地貌类型划分为</w:t>
      </w:r>
      <w:r>
        <w:rPr>
          <w:rFonts w:hint="eastAsia" w:eastAsia="仿宋_GB2312"/>
        </w:rPr>
        <w:t>冲洪积平原区</w:t>
      </w:r>
      <w:r>
        <w:rPr>
          <w:rFonts w:eastAsia="仿宋_GB2312"/>
        </w:rPr>
        <w:t>。由于本项目没有实测的土壤流失资料，分区土壤侵蚀模数只有通过类比法确定。本项目所在区域原生地貌侵蚀模数的选取是依据本项目区的气象资料、地表物质及植被、地形地貌等自然特征分析，在对项目区现场踏勘和基础上，</w:t>
      </w:r>
      <w:r>
        <w:rPr>
          <w:rFonts w:hint="eastAsia" w:eastAsia="仿宋_GB2312"/>
        </w:rPr>
        <w:t>类比工程选择</w:t>
      </w:r>
      <w:r>
        <w:rPr>
          <w:rFonts w:eastAsia="仿宋_GB2312"/>
        </w:rPr>
        <w:t>G315</w:t>
      </w:r>
      <w:r>
        <w:rPr>
          <w:rFonts w:hint="eastAsia" w:eastAsia="仿宋_GB2312"/>
        </w:rPr>
        <w:t>线叶城至墨玉公路建设工程，项目已由新疆公路工程咨询公司在</w:t>
      </w:r>
      <w:r>
        <w:rPr>
          <w:rFonts w:eastAsia="仿宋_GB2312"/>
        </w:rPr>
        <w:t>2017-2018</w:t>
      </w:r>
      <w:r>
        <w:rPr>
          <w:rFonts w:hint="eastAsia" w:eastAsia="仿宋_GB2312"/>
        </w:rPr>
        <w:t>年负责完成监测且</w:t>
      </w:r>
      <w:r>
        <w:rPr>
          <w:rFonts w:eastAsia="仿宋_GB2312"/>
        </w:rPr>
        <w:t>2018</w:t>
      </w:r>
      <w:r>
        <w:rPr>
          <w:rFonts w:hint="eastAsia" w:eastAsia="仿宋_GB2312"/>
        </w:rPr>
        <w:t>年</w:t>
      </w:r>
      <w:r>
        <w:rPr>
          <w:rFonts w:eastAsia="仿宋_GB2312"/>
        </w:rPr>
        <w:t>11</w:t>
      </w:r>
      <w:r>
        <w:rPr>
          <w:rFonts w:hint="eastAsia" w:eastAsia="仿宋_GB2312"/>
        </w:rPr>
        <w:t>月自治区公路管理局完成了水土保持自主验收，该工程途径叶城县和墨玉县，与本项目相距较近，地表土壤和侵蚀类型也基本相同，具有很高的类比性，但考虑到本项目地表植被覆盖度较高，施工对地表扰动范围较小、程度较轻，故通过查阅《</w:t>
      </w:r>
      <w:r>
        <w:rPr>
          <w:rFonts w:eastAsia="仿宋_GB2312"/>
        </w:rPr>
        <w:t>G315</w:t>
      </w:r>
      <w:r>
        <w:rPr>
          <w:rFonts w:hint="eastAsia" w:eastAsia="仿宋_GB2312"/>
        </w:rPr>
        <w:t>线叶城至墨玉公路建设工程水土保持监测总结报告》，结合在对项目区现场踏勘和基础上，确定本项目区的土壤侵蚀模数。</w:t>
      </w:r>
    </w:p>
    <w:p>
      <w:pPr>
        <w:tabs>
          <w:tab w:val="left" w:pos="840"/>
          <w:tab w:val="left" w:pos="1485"/>
        </w:tabs>
        <w:ind w:firstLine="480"/>
        <w:rPr>
          <w:rFonts w:eastAsia="仿宋_GB2312"/>
        </w:rPr>
      </w:pPr>
      <w:r>
        <w:rPr>
          <w:rFonts w:eastAsia="仿宋_GB2312"/>
        </w:rPr>
        <w:t>本项目与类比工程基本情况对比见表4.3-3。</w:t>
      </w:r>
    </w:p>
    <w:p>
      <w:pPr>
        <w:spacing w:line="240" w:lineRule="auto"/>
        <w:ind w:right="482" w:firstLine="480"/>
        <w:jc w:val="center"/>
        <w:rPr>
          <w:rFonts w:eastAsia="仿宋_GB2312"/>
          <w:b/>
          <w:bCs/>
          <w:color w:val="000000"/>
        </w:rPr>
      </w:pPr>
      <w:r>
        <w:rPr>
          <w:rFonts w:eastAsia="仿宋_GB2312"/>
          <w:b/>
          <w:bCs/>
          <w:color w:val="000000"/>
        </w:rPr>
        <w:t>表4.3-3  类比工程土壤侵蚀因素对比表</w:t>
      </w:r>
    </w:p>
    <w:tbl>
      <w:tblPr>
        <w:tblStyle w:val="40"/>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627"/>
        <w:gridCol w:w="1376"/>
        <w:gridCol w:w="3013"/>
        <w:gridCol w:w="350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68" w:type="pct"/>
            <w:vAlign w:val="center"/>
          </w:tcPr>
          <w:p>
            <w:pPr>
              <w:pStyle w:val="19"/>
              <w:tabs>
                <w:tab w:val="left" w:pos="2340"/>
                <w:tab w:val="left" w:pos="2520"/>
                <w:tab w:val="left" w:pos="3600"/>
              </w:tabs>
              <w:spacing w:after="0" w:line="240" w:lineRule="auto"/>
              <w:ind w:left="0" w:leftChars="0" w:firstLine="0" w:firstLineChars="0"/>
              <w:jc w:val="center"/>
              <w:rPr>
                <w:rFonts w:eastAsia="仿宋_GB2312"/>
                <w:color w:val="000000"/>
                <w:kern w:val="10"/>
                <w:sz w:val="21"/>
                <w:szCs w:val="21"/>
              </w:rPr>
            </w:pPr>
            <w:r>
              <w:rPr>
                <w:rFonts w:eastAsia="仿宋_GB2312"/>
                <w:color w:val="000000"/>
                <w:sz w:val="21"/>
                <w:szCs w:val="21"/>
              </w:rPr>
              <w:t>序号</w:t>
            </w:r>
          </w:p>
        </w:tc>
        <w:tc>
          <w:tcPr>
            <w:tcW w:w="808" w:type="pct"/>
            <w:vAlign w:val="center"/>
          </w:tcPr>
          <w:p>
            <w:pPr>
              <w:pStyle w:val="19"/>
              <w:tabs>
                <w:tab w:val="left" w:pos="2340"/>
                <w:tab w:val="left" w:pos="2520"/>
                <w:tab w:val="left" w:pos="3600"/>
              </w:tabs>
              <w:spacing w:after="0" w:line="240" w:lineRule="auto"/>
              <w:ind w:left="0" w:leftChars="0" w:firstLine="0" w:firstLineChars="0"/>
              <w:jc w:val="center"/>
              <w:rPr>
                <w:rFonts w:eastAsia="仿宋_GB2312"/>
                <w:color w:val="000000"/>
                <w:kern w:val="10"/>
                <w:sz w:val="21"/>
                <w:szCs w:val="21"/>
              </w:rPr>
            </w:pPr>
            <w:r>
              <w:rPr>
                <w:rFonts w:eastAsia="仿宋_GB2312"/>
                <w:color w:val="000000"/>
                <w:sz w:val="21"/>
                <w:szCs w:val="21"/>
              </w:rPr>
              <w:t>项目</w:t>
            </w:r>
          </w:p>
        </w:tc>
        <w:tc>
          <w:tcPr>
            <w:tcW w:w="1769" w:type="pct"/>
            <w:vAlign w:val="center"/>
          </w:tcPr>
          <w:p>
            <w:pPr>
              <w:pStyle w:val="19"/>
              <w:tabs>
                <w:tab w:val="left" w:pos="2340"/>
                <w:tab w:val="left" w:pos="2520"/>
                <w:tab w:val="left" w:pos="3600"/>
              </w:tabs>
              <w:spacing w:after="0" w:line="240" w:lineRule="auto"/>
              <w:ind w:left="0" w:leftChars="0" w:firstLine="0" w:firstLineChars="0"/>
              <w:jc w:val="center"/>
              <w:rPr>
                <w:rFonts w:eastAsia="仿宋_GB2312"/>
                <w:kern w:val="10"/>
                <w:sz w:val="21"/>
                <w:szCs w:val="21"/>
              </w:rPr>
            </w:pPr>
            <w:r>
              <w:rPr>
                <w:rFonts w:eastAsia="仿宋_GB2312"/>
                <w:sz w:val="21"/>
                <w:szCs w:val="21"/>
              </w:rPr>
              <w:t>类比工程</w:t>
            </w:r>
          </w:p>
        </w:tc>
        <w:tc>
          <w:tcPr>
            <w:tcW w:w="2055" w:type="pct"/>
            <w:vAlign w:val="center"/>
          </w:tcPr>
          <w:p>
            <w:pPr>
              <w:pStyle w:val="19"/>
              <w:tabs>
                <w:tab w:val="left" w:pos="2340"/>
                <w:tab w:val="left" w:pos="2520"/>
                <w:tab w:val="left" w:pos="3600"/>
              </w:tabs>
              <w:spacing w:after="0" w:line="240" w:lineRule="auto"/>
              <w:ind w:left="0" w:leftChars="0" w:firstLine="0" w:firstLineChars="0"/>
              <w:jc w:val="center"/>
              <w:rPr>
                <w:rFonts w:eastAsia="仿宋_GB2312"/>
                <w:kern w:val="10"/>
                <w:sz w:val="21"/>
                <w:szCs w:val="21"/>
              </w:rPr>
            </w:pPr>
            <w:r>
              <w:rPr>
                <w:rFonts w:eastAsia="仿宋_GB2312"/>
                <w:sz w:val="21"/>
                <w:szCs w:val="21"/>
              </w:rPr>
              <w:t>拟建项目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68" w:type="pct"/>
            <w:vAlign w:val="center"/>
          </w:tcPr>
          <w:p>
            <w:pPr>
              <w:pStyle w:val="19"/>
              <w:tabs>
                <w:tab w:val="left" w:pos="2340"/>
                <w:tab w:val="left" w:pos="2520"/>
                <w:tab w:val="left" w:pos="3600"/>
              </w:tabs>
              <w:spacing w:after="0" w:line="240" w:lineRule="auto"/>
              <w:ind w:left="0" w:leftChars="0" w:firstLine="0" w:firstLineChars="0"/>
              <w:jc w:val="center"/>
              <w:rPr>
                <w:rFonts w:eastAsia="仿宋_GB2312"/>
                <w:color w:val="000000"/>
                <w:kern w:val="10"/>
                <w:sz w:val="21"/>
                <w:szCs w:val="21"/>
              </w:rPr>
            </w:pPr>
            <w:r>
              <w:rPr>
                <w:rFonts w:eastAsia="仿宋_GB2312"/>
                <w:color w:val="000000"/>
                <w:sz w:val="21"/>
                <w:szCs w:val="21"/>
              </w:rPr>
              <w:t>1</w:t>
            </w:r>
          </w:p>
        </w:tc>
        <w:tc>
          <w:tcPr>
            <w:tcW w:w="808" w:type="pct"/>
            <w:vAlign w:val="center"/>
          </w:tcPr>
          <w:p>
            <w:pPr>
              <w:pStyle w:val="19"/>
              <w:tabs>
                <w:tab w:val="left" w:pos="2340"/>
                <w:tab w:val="left" w:pos="2520"/>
                <w:tab w:val="left" w:pos="3600"/>
              </w:tabs>
              <w:spacing w:after="0" w:line="240" w:lineRule="auto"/>
              <w:ind w:left="0" w:leftChars="0" w:firstLine="0" w:firstLineChars="0"/>
              <w:jc w:val="center"/>
              <w:rPr>
                <w:rFonts w:eastAsia="仿宋_GB2312"/>
                <w:color w:val="000000"/>
                <w:kern w:val="10"/>
                <w:sz w:val="21"/>
                <w:szCs w:val="21"/>
              </w:rPr>
            </w:pPr>
            <w:r>
              <w:rPr>
                <w:rFonts w:eastAsia="仿宋_GB2312"/>
                <w:color w:val="000000"/>
                <w:sz w:val="21"/>
                <w:szCs w:val="21"/>
              </w:rPr>
              <w:t>名称</w:t>
            </w:r>
          </w:p>
        </w:tc>
        <w:tc>
          <w:tcPr>
            <w:tcW w:w="1769" w:type="pct"/>
            <w:vAlign w:val="center"/>
          </w:tcPr>
          <w:p>
            <w:pPr>
              <w:pStyle w:val="19"/>
              <w:tabs>
                <w:tab w:val="left" w:pos="2340"/>
                <w:tab w:val="left" w:pos="2520"/>
                <w:tab w:val="left" w:pos="3600"/>
              </w:tabs>
              <w:spacing w:after="0" w:line="240" w:lineRule="auto"/>
              <w:ind w:left="0" w:leftChars="0" w:firstLine="0" w:firstLineChars="0"/>
              <w:jc w:val="center"/>
              <w:rPr>
                <w:rFonts w:eastAsia="仿宋_GB2312"/>
                <w:color w:val="FF0000"/>
                <w:sz w:val="21"/>
                <w:szCs w:val="21"/>
              </w:rPr>
            </w:pPr>
            <w:r>
              <w:rPr>
                <w:rFonts w:eastAsia="仿宋_GB2312"/>
                <w:sz w:val="21"/>
                <w:szCs w:val="21"/>
              </w:rPr>
              <w:t>G315</w:t>
            </w:r>
            <w:r>
              <w:rPr>
                <w:rFonts w:hint="eastAsia" w:eastAsia="仿宋_GB2312"/>
                <w:sz w:val="21"/>
                <w:szCs w:val="21"/>
              </w:rPr>
              <w:t>线叶城至墨玉公路建设工程</w:t>
            </w:r>
          </w:p>
        </w:tc>
        <w:tc>
          <w:tcPr>
            <w:tcW w:w="2055" w:type="pct"/>
            <w:vAlign w:val="center"/>
          </w:tcPr>
          <w:p>
            <w:pPr>
              <w:pStyle w:val="19"/>
              <w:tabs>
                <w:tab w:val="left" w:pos="2340"/>
                <w:tab w:val="left" w:pos="2520"/>
                <w:tab w:val="left" w:pos="3600"/>
              </w:tabs>
              <w:spacing w:after="0" w:line="240" w:lineRule="auto"/>
              <w:ind w:left="0" w:leftChars="0" w:firstLine="0" w:firstLineChars="0"/>
              <w:jc w:val="center"/>
              <w:rPr>
                <w:rFonts w:eastAsia="仿宋_GB2312"/>
                <w:color w:val="000000"/>
                <w:sz w:val="21"/>
                <w:szCs w:val="21"/>
              </w:rPr>
            </w:pPr>
            <w:r>
              <w:rPr>
                <w:rFonts w:hint="eastAsia" w:eastAsia="仿宋_GB2312"/>
                <w:color w:val="000000"/>
                <w:sz w:val="21"/>
                <w:szCs w:val="21"/>
              </w:rPr>
              <w:t>第十四师224团小区给水管网改造项目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68" w:type="pct"/>
            <w:vAlign w:val="center"/>
          </w:tcPr>
          <w:p>
            <w:pPr>
              <w:pStyle w:val="19"/>
              <w:tabs>
                <w:tab w:val="left" w:pos="2340"/>
                <w:tab w:val="left" w:pos="2520"/>
                <w:tab w:val="left" w:pos="3600"/>
              </w:tabs>
              <w:spacing w:after="0" w:line="240" w:lineRule="auto"/>
              <w:ind w:left="0" w:leftChars="0" w:firstLine="0" w:firstLineChars="0"/>
              <w:jc w:val="center"/>
              <w:rPr>
                <w:rFonts w:eastAsia="仿宋_GB2312"/>
                <w:color w:val="000000"/>
                <w:sz w:val="21"/>
                <w:szCs w:val="21"/>
              </w:rPr>
            </w:pPr>
            <w:r>
              <w:rPr>
                <w:rFonts w:eastAsia="仿宋_GB2312"/>
                <w:color w:val="000000"/>
                <w:sz w:val="21"/>
                <w:szCs w:val="21"/>
              </w:rPr>
              <w:t>2</w:t>
            </w:r>
          </w:p>
        </w:tc>
        <w:tc>
          <w:tcPr>
            <w:tcW w:w="808" w:type="pct"/>
            <w:vAlign w:val="center"/>
          </w:tcPr>
          <w:p>
            <w:pPr>
              <w:pStyle w:val="19"/>
              <w:tabs>
                <w:tab w:val="left" w:pos="2340"/>
                <w:tab w:val="left" w:pos="2520"/>
                <w:tab w:val="left" w:pos="3600"/>
              </w:tabs>
              <w:spacing w:after="0" w:line="240" w:lineRule="auto"/>
              <w:ind w:left="0" w:leftChars="0" w:firstLine="0" w:firstLineChars="0"/>
              <w:jc w:val="center"/>
              <w:rPr>
                <w:rFonts w:eastAsia="仿宋_GB2312"/>
                <w:color w:val="000000"/>
                <w:sz w:val="21"/>
                <w:szCs w:val="21"/>
              </w:rPr>
            </w:pPr>
            <w:r>
              <w:rPr>
                <w:rFonts w:eastAsia="仿宋_GB2312"/>
                <w:color w:val="000000"/>
                <w:sz w:val="21"/>
                <w:szCs w:val="21"/>
              </w:rPr>
              <w:t>地形地貌</w:t>
            </w:r>
          </w:p>
        </w:tc>
        <w:tc>
          <w:tcPr>
            <w:tcW w:w="1769" w:type="pct"/>
            <w:tcBorders>
              <w:right w:val="single" w:color="auto" w:sz="4" w:space="0"/>
            </w:tcBorders>
            <w:vAlign w:val="center"/>
          </w:tcPr>
          <w:p>
            <w:pPr>
              <w:pStyle w:val="19"/>
              <w:tabs>
                <w:tab w:val="left" w:pos="2340"/>
                <w:tab w:val="left" w:pos="2520"/>
                <w:tab w:val="left" w:pos="3600"/>
              </w:tabs>
              <w:spacing w:after="0" w:line="240" w:lineRule="auto"/>
              <w:ind w:left="0" w:leftChars="0" w:firstLine="0" w:firstLineChars="0"/>
              <w:jc w:val="center"/>
              <w:rPr>
                <w:rFonts w:eastAsia="仿宋_GB2312"/>
                <w:color w:val="FF0000"/>
                <w:sz w:val="21"/>
                <w:szCs w:val="21"/>
              </w:rPr>
            </w:pPr>
            <w:r>
              <w:rPr>
                <w:rFonts w:hint="eastAsia" w:eastAsia="仿宋_GB2312"/>
                <w:sz w:val="21"/>
                <w:szCs w:val="21"/>
              </w:rPr>
              <w:t>戈壁平原区</w:t>
            </w:r>
          </w:p>
        </w:tc>
        <w:tc>
          <w:tcPr>
            <w:tcW w:w="2055" w:type="pct"/>
            <w:tcBorders>
              <w:left w:val="single" w:color="auto" w:sz="4" w:space="0"/>
            </w:tcBorders>
            <w:vAlign w:val="center"/>
          </w:tcPr>
          <w:p>
            <w:pPr>
              <w:pStyle w:val="19"/>
              <w:tabs>
                <w:tab w:val="left" w:pos="2340"/>
                <w:tab w:val="left" w:pos="2520"/>
                <w:tab w:val="left" w:pos="3600"/>
              </w:tabs>
              <w:spacing w:after="0" w:line="240" w:lineRule="auto"/>
              <w:ind w:left="0" w:leftChars="0" w:firstLine="0" w:firstLineChars="0"/>
              <w:jc w:val="center"/>
              <w:rPr>
                <w:rFonts w:eastAsia="仿宋_GB2312"/>
                <w:color w:val="000000"/>
                <w:sz w:val="21"/>
                <w:szCs w:val="21"/>
              </w:rPr>
            </w:pPr>
            <w:r>
              <w:rPr>
                <w:rFonts w:hint="eastAsia" w:eastAsia="仿宋_GB2312"/>
                <w:color w:val="000000"/>
                <w:sz w:val="21"/>
                <w:szCs w:val="21"/>
              </w:rPr>
              <w:t>冲洪积平原地貌</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68" w:type="pct"/>
            <w:vAlign w:val="center"/>
          </w:tcPr>
          <w:p>
            <w:pPr>
              <w:pStyle w:val="19"/>
              <w:tabs>
                <w:tab w:val="left" w:pos="2340"/>
                <w:tab w:val="left" w:pos="2520"/>
                <w:tab w:val="left" w:pos="3600"/>
              </w:tabs>
              <w:spacing w:after="0" w:line="240" w:lineRule="auto"/>
              <w:ind w:left="0" w:leftChars="0" w:firstLine="0" w:firstLineChars="0"/>
              <w:jc w:val="center"/>
              <w:rPr>
                <w:rFonts w:eastAsia="仿宋_GB2312"/>
                <w:color w:val="000000"/>
                <w:sz w:val="21"/>
                <w:szCs w:val="21"/>
              </w:rPr>
            </w:pPr>
            <w:r>
              <w:rPr>
                <w:rFonts w:eastAsia="仿宋_GB2312"/>
                <w:color w:val="000000"/>
                <w:sz w:val="21"/>
                <w:szCs w:val="21"/>
              </w:rPr>
              <w:t>3</w:t>
            </w:r>
          </w:p>
        </w:tc>
        <w:tc>
          <w:tcPr>
            <w:tcW w:w="808" w:type="pct"/>
            <w:vAlign w:val="center"/>
          </w:tcPr>
          <w:p>
            <w:pPr>
              <w:pStyle w:val="19"/>
              <w:tabs>
                <w:tab w:val="left" w:pos="2340"/>
                <w:tab w:val="left" w:pos="2520"/>
                <w:tab w:val="left" w:pos="3600"/>
              </w:tabs>
              <w:spacing w:after="0" w:line="240" w:lineRule="auto"/>
              <w:ind w:left="0" w:leftChars="0" w:firstLine="0" w:firstLineChars="0"/>
              <w:jc w:val="center"/>
              <w:rPr>
                <w:rFonts w:eastAsia="仿宋_GB2312"/>
                <w:color w:val="000000"/>
                <w:sz w:val="21"/>
                <w:szCs w:val="21"/>
              </w:rPr>
            </w:pPr>
            <w:r>
              <w:rPr>
                <w:rFonts w:eastAsia="仿宋_GB2312"/>
                <w:color w:val="000000"/>
                <w:sz w:val="21"/>
                <w:szCs w:val="21"/>
              </w:rPr>
              <w:t>气候</w:t>
            </w:r>
          </w:p>
        </w:tc>
        <w:tc>
          <w:tcPr>
            <w:tcW w:w="1769" w:type="pct"/>
            <w:tcBorders>
              <w:right w:val="single" w:color="auto" w:sz="4" w:space="0"/>
            </w:tcBorders>
            <w:vAlign w:val="center"/>
          </w:tcPr>
          <w:p>
            <w:pPr>
              <w:pStyle w:val="19"/>
              <w:tabs>
                <w:tab w:val="left" w:pos="2340"/>
                <w:tab w:val="left" w:pos="2520"/>
                <w:tab w:val="left" w:pos="3600"/>
              </w:tabs>
              <w:spacing w:after="0" w:line="240" w:lineRule="auto"/>
              <w:ind w:left="0" w:leftChars="0" w:firstLine="0" w:firstLineChars="0"/>
              <w:jc w:val="center"/>
              <w:rPr>
                <w:rFonts w:eastAsia="仿宋_GB2312"/>
                <w:color w:val="FF0000"/>
                <w:sz w:val="21"/>
                <w:szCs w:val="21"/>
              </w:rPr>
            </w:pPr>
            <w:r>
              <w:rPr>
                <w:rFonts w:hint="eastAsia" w:eastAsia="仿宋_GB2312"/>
                <w:sz w:val="21"/>
                <w:szCs w:val="21"/>
              </w:rPr>
              <w:t>项目区为典型的温带大陆性干旱气候，年平均气温</w:t>
            </w:r>
            <w:r>
              <w:rPr>
                <w:rFonts w:eastAsia="仿宋_GB2312"/>
                <w:sz w:val="21"/>
                <w:szCs w:val="21"/>
              </w:rPr>
              <w:t>11.4°C</w:t>
            </w:r>
            <w:r>
              <w:rPr>
                <w:rFonts w:hint="eastAsia" w:eastAsia="仿宋_GB2312"/>
                <w:sz w:val="21"/>
                <w:szCs w:val="21"/>
              </w:rPr>
              <w:t>；年平均降水量</w:t>
            </w:r>
            <w:r>
              <w:rPr>
                <w:rFonts w:eastAsia="仿宋_GB2312"/>
                <w:sz w:val="21"/>
                <w:szCs w:val="21"/>
              </w:rPr>
              <w:t>52.7mm</w:t>
            </w:r>
            <w:r>
              <w:rPr>
                <w:rFonts w:hint="eastAsia" w:eastAsia="仿宋_GB2312"/>
                <w:sz w:val="21"/>
                <w:szCs w:val="21"/>
              </w:rPr>
              <w:t>，最大风速</w:t>
            </w:r>
            <w:r>
              <w:rPr>
                <w:rFonts w:eastAsia="仿宋_GB2312"/>
                <w:sz w:val="21"/>
                <w:szCs w:val="21"/>
              </w:rPr>
              <w:t>2.2m/s</w:t>
            </w:r>
            <w:r>
              <w:rPr>
                <w:rFonts w:hint="eastAsia" w:eastAsia="仿宋_GB2312"/>
                <w:sz w:val="21"/>
                <w:szCs w:val="21"/>
              </w:rPr>
              <w:t>。</w:t>
            </w:r>
          </w:p>
        </w:tc>
        <w:tc>
          <w:tcPr>
            <w:tcW w:w="2055" w:type="pct"/>
            <w:tcBorders>
              <w:left w:val="single" w:color="auto" w:sz="4" w:space="0"/>
            </w:tcBorders>
            <w:vAlign w:val="center"/>
          </w:tcPr>
          <w:p>
            <w:pPr>
              <w:pStyle w:val="19"/>
              <w:tabs>
                <w:tab w:val="left" w:pos="2340"/>
                <w:tab w:val="left" w:pos="2520"/>
                <w:tab w:val="left" w:pos="3600"/>
              </w:tabs>
              <w:spacing w:after="0" w:line="240" w:lineRule="auto"/>
              <w:ind w:left="0" w:leftChars="0" w:firstLine="0" w:firstLineChars="0"/>
              <w:jc w:val="center"/>
              <w:rPr>
                <w:rFonts w:eastAsia="仿宋_GB2312"/>
                <w:color w:val="000000"/>
                <w:sz w:val="21"/>
                <w:szCs w:val="21"/>
              </w:rPr>
            </w:pPr>
            <w:r>
              <w:rPr>
                <w:rFonts w:hint="eastAsia" w:eastAsia="仿宋_GB2312"/>
                <w:color w:val="000000"/>
                <w:sz w:val="21"/>
                <w:szCs w:val="21"/>
              </w:rPr>
              <w:t>项目区</w:t>
            </w:r>
            <w:r>
              <w:rPr>
                <w:rFonts w:eastAsia="仿宋_GB2312"/>
                <w:color w:val="000000"/>
                <w:sz w:val="21"/>
                <w:szCs w:val="21"/>
              </w:rPr>
              <w:t>属暖温带内陆干旱荒漠气候，</w:t>
            </w:r>
          </w:p>
          <w:p>
            <w:pPr>
              <w:pStyle w:val="19"/>
              <w:tabs>
                <w:tab w:val="left" w:pos="2340"/>
                <w:tab w:val="left" w:pos="2520"/>
                <w:tab w:val="left" w:pos="3600"/>
              </w:tabs>
              <w:spacing w:after="0" w:line="240" w:lineRule="auto"/>
              <w:ind w:left="0" w:leftChars="0" w:firstLine="0" w:firstLineChars="0"/>
              <w:jc w:val="center"/>
              <w:rPr>
                <w:rFonts w:eastAsia="仿宋_GB2312"/>
                <w:color w:val="000000"/>
                <w:sz w:val="21"/>
                <w:szCs w:val="21"/>
              </w:rPr>
            </w:pPr>
            <w:r>
              <w:rPr>
                <w:rFonts w:eastAsia="仿宋_GB2312"/>
                <w:color w:val="000000"/>
                <w:sz w:val="21"/>
                <w:szCs w:val="21"/>
              </w:rPr>
              <w:t>多年平均气温</w:t>
            </w:r>
            <w:r>
              <w:rPr>
                <w:rFonts w:hint="eastAsia" w:eastAsia="仿宋_GB2312"/>
                <w:color w:val="000000"/>
                <w:sz w:val="21"/>
                <w:szCs w:val="21"/>
              </w:rPr>
              <w:t>12.2℃</w:t>
            </w:r>
            <w:r>
              <w:rPr>
                <w:rFonts w:eastAsia="仿宋_GB2312"/>
                <w:color w:val="000000"/>
                <w:sz w:val="21"/>
                <w:szCs w:val="21"/>
              </w:rPr>
              <w:t>，多年平均降水量</w:t>
            </w:r>
            <w:r>
              <w:rPr>
                <w:rFonts w:hint="eastAsia" w:eastAsia="仿宋_GB2312"/>
                <w:color w:val="000000"/>
                <w:sz w:val="21"/>
                <w:szCs w:val="21"/>
              </w:rPr>
              <w:t>33.4</w:t>
            </w:r>
            <w:r>
              <w:rPr>
                <w:rFonts w:eastAsia="仿宋_GB2312"/>
                <w:color w:val="000000"/>
                <w:sz w:val="21"/>
                <w:szCs w:val="21"/>
              </w:rPr>
              <w:t>mm，多年平均蒸发量</w:t>
            </w:r>
            <w:r>
              <w:rPr>
                <w:rFonts w:hint="eastAsia" w:eastAsia="仿宋_GB2312"/>
                <w:color w:val="000000"/>
                <w:sz w:val="21"/>
                <w:szCs w:val="21"/>
              </w:rPr>
              <w:t>2602</w:t>
            </w:r>
            <w:r>
              <w:rPr>
                <w:rFonts w:eastAsia="仿宋_GB2312"/>
                <w:color w:val="000000"/>
                <w:sz w:val="21"/>
                <w:szCs w:val="21"/>
              </w:rPr>
              <w:t>mm</w:t>
            </w:r>
            <w:r>
              <w:rPr>
                <w:rFonts w:hint="eastAsia" w:eastAsia="仿宋_GB2312"/>
                <w:color w:val="000000"/>
                <w:sz w:val="21"/>
                <w:szCs w:val="21"/>
              </w:rPr>
              <w:t>，</w:t>
            </w:r>
            <w:r>
              <w:rPr>
                <w:rFonts w:eastAsia="仿宋_GB2312"/>
                <w:color w:val="000000"/>
                <w:sz w:val="21"/>
                <w:szCs w:val="21"/>
              </w:rPr>
              <w:t>年平均风速</w:t>
            </w:r>
            <w:r>
              <w:rPr>
                <w:rFonts w:hint="eastAsia" w:eastAsia="仿宋_GB2312"/>
                <w:color w:val="000000"/>
                <w:sz w:val="21"/>
                <w:szCs w:val="21"/>
              </w:rPr>
              <w:t>2.1</w:t>
            </w:r>
            <w:r>
              <w:rPr>
                <w:rFonts w:eastAsia="仿宋_GB2312"/>
                <w:color w:val="000000"/>
                <w:sz w:val="21"/>
                <w:szCs w:val="21"/>
              </w:rPr>
              <w:t>m/s</w:t>
            </w:r>
            <w:r>
              <w:rPr>
                <w:rFonts w:hint="eastAsia" w:eastAsia="仿宋_GB2312"/>
                <w:color w:val="000000"/>
                <w:sz w:val="21"/>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68" w:type="pct"/>
            <w:vAlign w:val="center"/>
          </w:tcPr>
          <w:p>
            <w:pPr>
              <w:pStyle w:val="19"/>
              <w:tabs>
                <w:tab w:val="left" w:pos="2340"/>
                <w:tab w:val="left" w:pos="2520"/>
                <w:tab w:val="left" w:pos="3600"/>
              </w:tabs>
              <w:spacing w:after="0" w:line="240" w:lineRule="auto"/>
              <w:ind w:left="0" w:leftChars="0" w:firstLine="0" w:firstLineChars="0"/>
              <w:jc w:val="center"/>
              <w:rPr>
                <w:rFonts w:eastAsia="仿宋_GB2312"/>
                <w:color w:val="000000"/>
                <w:sz w:val="21"/>
                <w:szCs w:val="21"/>
              </w:rPr>
            </w:pPr>
            <w:r>
              <w:rPr>
                <w:rFonts w:eastAsia="仿宋_GB2312"/>
                <w:color w:val="000000"/>
                <w:sz w:val="21"/>
                <w:szCs w:val="21"/>
              </w:rPr>
              <w:t>5</w:t>
            </w:r>
          </w:p>
        </w:tc>
        <w:tc>
          <w:tcPr>
            <w:tcW w:w="808" w:type="pct"/>
            <w:vAlign w:val="center"/>
          </w:tcPr>
          <w:p>
            <w:pPr>
              <w:pStyle w:val="19"/>
              <w:tabs>
                <w:tab w:val="left" w:pos="2340"/>
                <w:tab w:val="left" w:pos="2520"/>
                <w:tab w:val="left" w:pos="3600"/>
              </w:tabs>
              <w:spacing w:after="0" w:line="240" w:lineRule="auto"/>
              <w:ind w:left="0" w:leftChars="0" w:firstLine="0" w:firstLineChars="0"/>
              <w:jc w:val="center"/>
              <w:rPr>
                <w:rFonts w:eastAsia="仿宋_GB2312"/>
                <w:color w:val="000000"/>
                <w:sz w:val="21"/>
                <w:szCs w:val="21"/>
              </w:rPr>
            </w:pPr>
            <w:r>
              <w:rPr>
                <w:rFonts w:eastAsia="仿宋_GB2312"/>
                <w:color w:val="000000"/>
                <w:sz w:val="21"/>
                <w:szCs w:val="21"/>
              </w:rPr>
              <w:t>土壤条件</w:t>
            </w:r>
          </w:p>
        </w:tc>
        <w:tc>
          <w:tcPr>
            <w:tcW w:w="1769" w:type="pct"/>
            <w:vAlign w:val="center"/>
          </w:tcPr>
          <w:p>
            <w:pPr>
              <w:pStyle w:val="19"/>
              <w:tabs>
                <w:tab w:val="left" w:pos="2340"/>
                <w:tab w:val="left" w:pos="2520"/>
                <w:tab w:val="left" w:pos="3600"/>
              </w:tabs>
              <w:spacing w:after="0" w:line="240" w:lineRule="auto"/>
              <w:ind w:left="0" w:leftChars="0" w:firstLine="0" w:firstLineChars="0"/>
              <w:jc w:val="center"/>
              <w:rPr>
                <w:rFonts w:eastAsia="仿宋_GB2312"/>
                <w:sz w:val="21"/>
                <w:szCs w:val="21"/>
              </w:rPr>
            </w:pPr>
            <w:r>
              <w:rPr>
                <w:rFonts w:hint="eastAsia" w:eastAsia="仿宋_GB2312"/>
                <w:sz w:val="21"/>
                <w:szCs w:val="21"/>
              </w:rPr>
              <w:t>棕漠土</w:t>
            </w:r>
          </w:p>
        </w:tc>
        <w:tc>
          <w:tcPr>
            <w:tcW w:w="2055" w:type="pct"/>
            <w:vAlign w:val="center"/>
          </w:tcPr>
          <w:p>
            <w:pPr>
              <w:pStyle w:val="19"/>
              <w:tabs>
                <w:tab w:val="left" w:pos="2340"/>
                <w:tab w:val="left" w:pos="2520"/>
                <w:tab w:val="left" w:pos="3600"/>
              </w:tabs>
              <w:spacing w:after="0" w:line="240" w:lineRule="auto"/>
              <w:ind w:left="0" w:leftChars="0" w:firstLine="0" w:firstLineChars="0"/>
              <w:jc w:val="center"/>
              <w:rPr>
                <w:rFonts w:eastAsia="仿宋_GB2312"/>
                <w:sz w:val="21"/>
                <w:szCs w:val="21"/>
              </w:rPr>
            </w:pPr>
            <w:r>
              <w:rPr>
                <w:rFonts w:hint="eastAsia" w:eastAsia="仿宋_GB2312"/>
                <w:sz w:val="21"/>
                <w:szCs w:val="21"/>
              </w:rPr>
              <w:t>棕漠土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68" w:type="pct"/>
            <w:vAlign w:val="center"/>
          </w:tcPr>
          <w:p>
            <w:pPr>
              <w:pStyle w:val="19"/>
              <w:tabs>
                <w:tab w:val="left" w:pos="2340"/>
                <w:tab w:val="left" w:pos="2520"/>
                <w:tab w:val="left" w:pos="3600"/>
              </w:tabs>
              <w:spacing w:after="0" w:line="240" w:lineRule="auto"/>
              <w:ind w:left="0" w:leftChars="0" w:firstLine="0" w:firstLineChars="0"/>
              <w:jc w:val="center"/>
              <w:rPr>
                <w:rFonts w:eastAsia="仿宋_GB2312"/>
                <w:color w:val="000000"/>
                <w:sz w:val="21"/>
                <w:szCs w:val="21"/>
              </w:rPr>
            </w:pPr>
            <w:r>
              <w:rPr>
                <w:rFonts w:eastAsia="仿宋_GB2312"/>
                <w:color w:val="000000"/>
                <w:sz w:val="21"/>
                <w:szCs w:val="21"/>
              </w:rPr>
              <w:t>6</w:t>
            </w:r>
          </w:p>
        </w:tc>
        <w:tc>
          <w:tcPr>
            <w:tcW w:w="808" w:type="pct"/>
            <w:vAlign w:val="center"/>
          </w:tcPr>
          <w:p>
            <w:pPr>
              <w:pStyle w:val="19"/>
              <w:tabs>
                <w:tab w:val="left" w:pos="2340"/>
                <w:tab w:val="left" w:pos="2520"/>
                <w:tab w:val="left" w:pos="3600"/>
              </w:tabs>
              <w:spacing w:after="0" w:line="240" w:lineRule="auto"/>
              <w:ind w:left="0" w:leftChars="0" w:firstLine="0" w:firstLineChars="0"/>
              <w:jc w:val="center"/>
              <w:rPr>
                <w:rFonts w:eastAsia="仿宋_GB2312"/>
                <w:color w:val="000000"/>
                <w:sz w:val="21"/>
                <w:szCs w:val="21"/>
              </w:rPr>
            </w:pPr>
            <w:r>
              <w:rPr>
                <w:rFonts w:eastAsia="仿宋_GB2312"/>
                <w:color w:val="000000"/>
                <w:sz w:val="21"/>
                <w:szCs w:val="21"/>
              </w:rPr>
              <w:t>植被</w:t>
            </w:r>
          </w:p>
        </w:tc>
        <w:tc>
          <w:tcPr>
            <w:tcW w:w="1769" w:type="pct"/>
            <w:vAlign w:val="center"/>
          </w:tcPr>
          <w:p>
            <w:pPr>
              <w:pStyle w:val="19"/>
              <w:tabs>
                <w:tab w:val="left" w:pos="2340"/>
                <w:tab w:val="left" w:pos="2520"/>
                <w:tab w:val="left" w:pos="3600"/>
              </w:tabs>
              <w:spacing w:after="0" w:line="240" w:lineRule="auto"/>
              <w:ind w:left="0" w:leftChars="0" w:firstLine="0" w:firstLineChars="0"/>
              <w:jc w:val="center"/>
              <w:rPr>
                <w:rFonts w:eastAsia="仿宋_GB2312"/>
                <w:sz w:val="21"/>
                <w:szCs w:val="21"/>
              </w:rPr>
            </w:pPr>
            <w:r>
              <w:rPr>
                <w:rFonts w:hint="eastAsia" w:eastAsia="仿宋_GB2312"/>
                <w:sz w:val="21"/>
                <w:szCs w:val="21"/>
              </w:rPr>
              <w:t>荒漠植被，植被覆盖度为</w:t>
            </w:r>
            <w:r>
              <w:rPr>
                <w:rFonts w:eastAsia="仿宋_GB2312"/>
                <w:sz w:val="21"/>
                <w:szCs w:val="21"/>
              </w:rPr>
              <w:t>5%</w:t>
            </w:r>
          </w:p>
        </w:tc>
        <w:tc>
          <w:tcPr>
            <w:tcW w:w="2055" w:type="pct"/>
            <w:vAlign w:val="center"/>
          </w:tcPr>
          <w:p>
            <w:pPr>
              <w:pStyle w:val="19"/>
              <w:tabs>
                <w:tab w:val="left" w:pos="2340"/>
                <w:tab w:val="left" w:pos="2520"/>
                <w:tab w:val="left" w:pos="3600"/>
              </w:tabs>
              <w:spacing w:after="0" w:line="240" w:lineRule="auto"/>
              <w:ind w:left="0" w:leftChars="0" w:firstLine="0" w:firstLineChars="0"/>
              <w:jc w:val="center"/>
              <w:rPr>
                <w:rFonts w:eastAsia="仿宋_GB2312"/>
                <w:sz w:val="21"/>
                <w:szCs w:val="21"/>
              </w:rPr>
            </w:pPr>
            <w:r>
              <w:rPr>
                <w:rFonts w:hint="eastAsia" w:eastAsia="仿宋_GB2312"/>
                <w:sz w:val="21"/>
                <w:szCs w:val="21"/>
              </w:rPr>
              <w:t>人工植被</w:t>
            </w:r>
            <w:r>
              <w:rPr>
                <w:rFonts w:eastAsia="仿宋_GB2312"/>
                <w:sz w:val="21"/>
                <w:szCs w:val="21"/>
              </w:rPr>
              <w:t>，</w:t>
            </w:r>
            <w:r>
              <w:rPr>
                <w:rFonts w:hint="eastAsia" w:eastAsia="仿宋_GB2312"/>
                <w:sz w:val="21"/>
                <w:szCs w:val="21"/>
              </w:rPr>
              <w:t>植被分布有榆树、榆叶梅、黑麦草等</w:t>
            </w:r>
            <w:r>
              <w:rPr>
                <w:rFonts w:eastAsia="仿宋_GB2312"/>
                <w:sz w:val="21"/>
                <w:szCs w:val="21"/>
              </w:rPr>
              <w:t>，植被覆盖度</w:t>
            </w:r>
            <w:r>
              <w:rPr>
                <w:rFonts w:hint="eastAsia" w:eastAsia="仿宋_GB2312"/>
                <w:sz w:val="21"/>
                <w:szCs w:val="21"/>
              </w:rPr>
              <w:t>约10</w:t>
            </w:r>
            <w:r>
              <w:rPr>
                <w:rFonts w:eastAsia="仿宋_GB2312"/>
                <w:sz w:val="21"/>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68" w:type="pct"/>
            <w:vAlign w:val="center"/>
          </w:tcPr>
          <w:p>
            <w:pPr>
              <w:pStyle w:val="19"/>
              <w:tabs>
                <w:tab w:val="left" w:pos="2340"/>
                <w:tab w:val="left" w:pos="2520"/>
                <w:tab w:val="left" w:pos="3600"/>
              </w:tabs>
              <w:spacing w:after="0" w:line="240" w:lineRule="auto"/>
              <w:ind w:left="0" w:leftChars="0" w:firstLine="0" w:firstLineChars="0"/>
              <w:jc w:val="center"/>
              <w:rPr>
                <w:rFonts w:eastAsia="仿宋_GB2312"/>
                <w:color w:val="000000"/>
                <w:sz w:val="21"/>
                <w:szCs w:val="21"/>
              </w:rPr>
            </w:pPr>
            <w:r>
              <w:rPr>
                <w:rFonts w:eastAsia="仿宋_GB2312"/>
                <w:color w:val="000000"/>
                <w:sz w:val="21"/>
                <w:szCs w:val="21"/>
              </w:rPr>
              <w:t>7</w:t>
            </w:r>
          </w:p>
        </w:tc>
        <w:tc>
          <w:tcPr>
            <w:tcW w:w="808" w:type="pct"/>
            <w:vAlign w:val="center"/>
          </w:tcPr>
          <w:p>
            <w:pPr>
              <w:pStyle w:val="19"/>
              <w:tabs>
                <w:tab w:val="left" w:pos="2340"/>
                <w:tab w:val="left" w:pos="2520"/>
                <w:tab w:val="left" w:pos="3600"/>
              </w:tabs>
              <w:spacing w:after="0" w:line="240" w:lineRule="auto"/>
              <w:ind w:left="0" w:leftChars="0" w:firstLine="0" w:firstLineChars="0"/>
              <w:jc w:val="center"/>
              <w:rPr>
                <w:rFonts w:eastAsia="仿宋_GB2312"/>
                <w:color w:val="000000"/>
                <w:sz w:val="21"/>
                <w:szCs w:val="21"/>
              </w:rPr>
            </w:pPr>
            <w:r>
              <w:rPr>
                <w:rFonts w:eastAsia="仿宋_GB2312"/>
                <w:color w:val="000000"/>
                <w:sz w:val="21"/>
                <w:szCs w:val="21"/>
              </w:rPr>
              <w:t>流失类型</w:t>
            </w:r>
          </w:p>
        </w:tc>
        <w:tc>
          <w:tcPr>
            <w:tcW w:w="1769" w:type="pct"/>
            <w:vAlign w:val="center"/>
          </w:tcPr>
          <w:p>
            <w:pPr>
              <w:pStyle w:val="19"/>
              <w:tabs>
                <w:tab w:val="left" w:pos="2340"/>
                <w:tab w:val="left" w:pos="2520"/>
                <w:tab w:val="left" w:pos="3600"/>
              </w:tabs>
              <w:spacing w:after="0" w:line="240" w:lineRule="auto"/>
              <w:ind w:left="0" w:leftChars="0" w:firstLine="0" w:firstLineChars="0"/>
              <w:jc w:val="center"/>
              <w:rPr>
                <w:rFonts w:eastAsia="仿宋_GB2312"/>
                <w:sz w:val="21"/>
                <w:szCs w:val="21"/>
              </w:rPr>
            </w:pPr>
            <w:r>
              <w:rPr>
                <w:rFonts w:hint="eastAsia" w:eastAsia="仿宋_GB2312"/>
                <w:sz w:val="21"/>
                <w:szCs w:val="21"/>
              </w:rPr>
              <w:t>轻度风力侵蚀、微度水力侵蚀</w:t>
            </w:r>
          </w:p>
        </w:tc>
        <w:tc>
          <w:tcPr>
            <w:tcW w:w="2055" w:type="pct"/>
            <w:vAlign w:val="center"/>
          </w:tcPr>
          <w:p>
            <w:pPr>
              <w:pStyle w:val="19"/>
              <w:tabs>
                <w:tab w:val="left" w:pos="2340"/>
                <w:tab w:val="left" w:pos="2520"/>
                <w:tab w:val="left" w:pos="3600"/>
              </w:tabs>
              <w:spacing w:after="0" w:line="240" w:lineRule="auto"/>
              <w:ind w:left="0" w:leftChars="0" w:firstLine="0" w:firstLineChars="0"/>
              <w:jc w:val="center"/>
              <w:rPr>
                <w:rFonts w:eastAsia="仿宋_GB2312"/>
                <w:sz w:val="21"/>
                <w:szCs w:val="21"/>
              </w:rPr>
            </w:pPr>
            <w:r>
              <w:rPr>
                <w:rFonts w:hint="eastAsia" w:eastAsia="仿宋_GB2312"/>
                <w:sz w:val="21"/>
                <w:szCs w:val="21"/>
              </w:rPr>
              <w:t>轻度风力侵蚀、微度水力侵蚀</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68" w:type="pct"/>
            <w:vAlign w:val="center"/>
          </w:tcPr>
          <w:p>
            <w:pPr>
              <w:pStyle w:val="19"/>
              <w:tabs>
                <w:tab w:val="left" w:pos="2340"/>
                <w:tab w:val="left" w:pos="2520"/>
                <w:tab w:val="left" w:pos="3600"/>
              </w:tabs>
              <w:spacing w:after="0" w:line="240" w:lineRule="auto"/>
              <w:ind w:left="0" w:leftChars="0" w:firstLine="0" w:firstLineChars="0"/>
              <w:jc w:val="center"/>
              <w:rPr>
                <w:rFonts w:eastAsia="仿宋_GB2312"/>
                <w:color w:val="000000"/>
                <w:sz w:val="21"/>
                <w:szCs w:val="21"/>
              </w:rPr>
            </w:pPr>
            <w:r>
              <w:rPr>
                <w:rFonts w:eastAsia="仿宋_GB2312"/>
                <w:color w:val="000000"/>
                <w:sz w:val="21"/>
                <w:szCs w:val="21"/>
              </w:rPr>
              <w:t>8</w:t>
            </w:r>
          </w:p>
        </w:tc>
        <w:tc>
          <w:tcPr>
            <w:tcW w:w="808" w:type="pct"/>
            <w:vAlign w:val="center"/>
          </w:tcPr>
          <w:p>
            <w:pPr>
              <w:pStyle w:val="19"/>
              <w:tabs>
                <w:tab w:val="left" w:pos="2340"/>
                <w:tab w:val="left" w:pos="2520"/>
                <w:tab w:val="left" w:pos="3600"/>
              </w:tabs>
              <w:spacing w:after="0" w:line="240" w:lineRule="auto"/>
              <w:ind w:left="0" w:leftChars="0" w:firstLine="0" w:firstLineChars="0"/>
              <w:jc w:val="center"/>
              <w:rPr>
                <w:rFonts w:eastAsia="仿宋_GB2312"/>
                <w:color w:val="000000"/>
                <w:sz w:val="21"/>
                <w:szCs w:val="21"/>
              </w:rPr>
            </w:pPr>
            <w:r>
              <w:rPr>
                <w:rFonts w:eastAsia="仿宋_GB2312"/>
                <w:color w:val="000000"/>
                <w:sz w:val="21"/>
                <w:szCs w:val="21"/>
              </w:rPr>
              <w:t>原生地貌土壤侵蚀模数</w:t>
            </w:r>
          </w:p>
        </w:tc>
        <w:tc>
          <w:tcPr>
            <w:tcW w:w="1769" w:type="pct"/>
            <w:vAlign w:val="center"/>
          </w:tcPr>
          <w:p>
            <w:pPr>
              <w:pStyle w:val="19"/>
              <w:tabs>
                <w:tab w:val="left" w:pos="2340"/>
                <w:tab w:val="left" w:pos="2520"/>
                <w:tab w:val="left" w:pos="3600"/>
              </w:tabs>
              <w:spacing w:after="0" w:line="240" w:lineRule="auto"/>
              <w:ind w:left="0" w:leftChars="0" w:firstLine="0" w:firstLineChars="0"/>
              <w:jc w:val="center"/>
              <w:rPr>
                <w:rFonts w:eastAsia="仿宋_GB2312"/>
                <w:sz w:val="21"/>
                <w:szCs w:val="21"/>
              </w:rPr>
            </w:pPr>
            <w:r>
              <w:rPr>
                <w:rFonts w:hint="eastAsia" w:eastAsia="仿宋_GB2312"/>
                <w:sz w:val="21"/>
                <w:szCs w:val="21"/>
              </w:rPr>
              <w:t>1500</w:t>
            </w:r>
            <w:r>
              <w:rPr>
                <w:rFonts w:eastAsia="仿宋_GB2312"/>
                <w:sz w:val="21"/>
                <w:szCs w:val="21"/>
              </w:rPr>
              <w:t>t/（km²·a）</w:t>
            </w:r>
          </w:p>
        </w:tc>
        <w:tc>
          <w:tcPr>
            <w:tcW w:w="2055" w:type="pct"/>
            <w:vAlign w:val="center"/>
          </w:tcPr>
          <w:p>
            <w:pPr>
              <w:pStyle w:val="19"/>
              <w:tabs>
                <w:tab w:val="left" w:pos="2340"/>
                <w:tab w:val="left" w:pos="2520"/>
                <w:tab w:val="left" w:pos="3600"/>
              </w:tabs>
              <w:spacing w:after="0" w:line="240" w:lineRule="auto"/>
              <w:ind w:left="0" w:leftChars="0" w:firstLine="0" w:firstLineChars="0"/>
              <w:jc w:val="center"/>
              <w:rPr>
                <w:rFonts w:eastAsia="仿宋_GB2312"/>
                <w:color w:val="000000"/>
                <w:sz w:val="21"/>
                <w:szCs w:val="21"/>
              </w:rPr>
            </w:pPr>
            <w:r>
              <w:rPr>
                <w:rFonts w:hint="eastAsia" w:eastAsia="仿宋_GB2312"/>
                <w:color w:val="000000"/>
                <w:sz w:val="21"/>
                <w:szCs w:val="21"/>
              </w:rPr>
              <w:t>15</w:t>
            </w:r>
            <w:r>
              <w:rPr>
                <w:rFonts w:eastAsia="仿宋_GB2312"/>
                <w:color w:val="000000"/>
                <w:sz w:val="21"/>
                <w:szCs w:val="21"/>
              </w:rPr>
              <w:t>00t/（km²·a）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68" w:type="pct"/>
            <w:vAlign w:val="center"/>
          </w:tcPr>
          <w:p>
            <w:pPr>
              <w:pStyle w:val="19"/>
              <w:tabs>
                <w:tab w:val="left" w:pos="2340"/>
                <w:tab w:val="left" w:pos="2520"/>
                <w:tab w:val="left" w:pos="3600"/>
              </w:tabs>
              <w:spacing w:after="0" w:line="240" w:lineRule="auto"/>
              <w:ind w:left="0" w:leftChars="0" w:firstLine="0" w:firstLineChars="0"/>
              <w:jc w:val="center"/>
              <w:rPr>
                <w:rFonts w:eastAsia="仿宋_GB2312"/>
                <w:color w:val="000000"/>
                <w:sz w:val="21"/>
                <w:szCs w:val="21"/>
              </w:rPr>
            </w:pPr>
            <w:r>
              <w:rPr>
                <w:rFonts w:eastAsia="仿宋_GB2312"/>
                <w:color w:val="000000"/>
                <w:sz w:val="21"/>
                <w:szCs w:val="21"/>
              </w:rPr>
              <w:t>9</w:t>
            </w:r>
          </w:p>
        </w:tc>
        <w:tc>
          <w:tcPr>
            <w:tcW w:w="808" w:type="pct"/>
            <w:vAlign w:val="center"/>
          </w:tcPr>
          <w:p>
            <w:pPr>
              <w:pStyle w:val="19"/>
              <w:tabs>
                <w:tab w:val="left" w:pos="2340"/>
                <w:tab w:val="left" w:pos="2520"/>
                <w:tab w:val="left" w:pos="3600"/>
              </w:tabs>
              <w:spacing w:after="0" w:line="240" w:lineRule="auto"/>
              <w:ind w:left="0" w:leftChars="0" w:firstLine="0" w:firstLineChars="0"/>
              <w:jc w:val="center"/>
              <w:rPr>
                <w:rFonts w:eastAsia="仿宋_GB2312"/>
                <w:color w:val="000000"/>
                <w:sz w:val="21"/>
                <w:szCs w:val="21"/>
              </w:rPr>
            </w:pPr>
            <w:r>
              <w:rPr>
                <w:rFonts w:eastAsia="仿宋_GB2312"/>
                <w:color w:val="000000"/>
                <w:sz w:val="21"/>
                <w:szCs w:val="21"/>
              </w:rPr>
              <w:t>扰动后土壤侵蚀模数</w:t>
            </w:r>
          </w:p>
        </w:tc>
        <w:tc>
          <w:tcPr>
            <w:tcW w:w="1769" w:type="pct"/>
            <w:vAlign w:val="center"/>
          </w:tcPr>
          <w:p>
            <w:pPr>
              <w:pStyle w:val="19"/>
              <w:tabs>
                <w:tab w:val="left" w:pos="2340"/>
                <w:tab w:val="left" w:pos="2520"/>
                <w:tab w:val="left" w:pos="3600"/>
              </w:tabs>
              <w:spacing w:after="0" w:line="240" w:lineRule="auto"/>
              <w:ind w:left="0" w:leftChars="0" w:firstLine="0" w:firstLineChars="0"/>
              <w:jc w:val="center"/>
              <w:rPr>
                <w:rFonts w:eastAsia="仿宋_GB2312"/>
                <w:sz w:val="21"/>
                <w:szCs w:val="21"/>
              </w:rPr>
            </w:pPr>
            <w:r>
              <w:rPr>
                <w:rFonts w:hint="eastAsia" w:eastAsia="仿宋_GB2312"/>
                <w:sz w:val="21"/>
                <w:szCs w:val="21"/>
              </w:rPr>
              <w:t>5000</w:t>
            </w:r>
            <w:r>
              <w:rPr>
                <w:rFonts w:eastAsia="仿宋_GB2312"/>
                <w:sz w:val="21"/>
                <w:szCs w:val="21"/>
              </w:rPr>
              <w:t>t/（km²·a）</w:t>
            </w:r>
          </w:p>
        </w:tc>
        <w:tc>
          <w:tcPr>
            <w:tcW w:w="2055" w:type="pct"/>
            <w:vAlign w:val="center"/>
          </w:tcPr>
          <w:p>
            <w:pPr>
              <w:pStyle w:val="19"/>
              <w:tabs>
                <w:tab w:val="left" w:pos="2340"/>
                <w:tab w:val="left" w:pos="2520"/>
                <w:tab w:val="left" w:pos="3600"/>
              </w:tabs>
              <w:spacing w:after="0" w:line="240" w:lineRule="auto"/>
              <w:ind w:left="0" w:leftChars="0" w:firstLine="0" w:firstLineChars="0"/>
              <w:jc w:val="center"/>
              <w:rPr>
                <w:rFonts w:eastAsia="仿宋_GB2312"/>
                <w:color w:val="000000"/>
                <w:sz w:val="21"/>
                <w:szCs w:val="21"/>
              </w:rPr>
            </w:pPr>
            <w:r>
              <w:rPr>
                <w:rFonts w:hint="eastAsia" w:eastAsia="仿宋_GB2312"/>
                <w:color w:val="000000"/>
                <w:sz w:val="21"/>
                <w:szCs w:val="21"/>
              </w:rPr>
              <w:t>45</w:t>
            </w:r>
            <w:r>
              <w:rPr>
                <w:rFonts w:eastAsia="仿宋_GB2312"/>
                <w:color w:val="000000"/>
                <w:sz w:val="21"/>
                <w:szCs w:val="21"/>
              </w:rPr>
              <w:t>00t/（km²·a）</w:t>
            </w:r>
          </w:p>
        </w:tc>
      </w:tr>
    </w:tbl>
    <w:p>
      <w:pPr>
        <w:spacing w:beforeLines="50"/>
        <w:ind w:firstLine="480"/>
        <w:rPr>
          <w:rFonts w:eastAsia="仿宋_GB2312"/>
          <w:color w:val="000000"/>
        </w:rPr>
      </w:pPr>
      <w:r>
        <w:rPr>
          <w:rFonts w:eastAsia="仿宋_GB2312"/>
        </w:rPr>
        <w:t>项目区属于轻度风力侵蚀、微度水力侵蚀，工程区容许土壤流失量为</w:t>
      </w:r>
      <w:r>
        <w:rPr>
          <w:rFonts w:hint="eastAsia" w:eastAsia="仿宋_GB2312"/>
        </w:rPr>
        <w:t>15</w:t>
      </w:r>
      <w:r>
        <w:rPr>
          <w:rFonts w:eastAsia="仿宋_GB2312"/>
        </w:rPr>
        <w:t>00t/（km</w:t>
      </w:r>
      <w:r>
        <w:rPr>
          <w:rFonts w:eastAsia="仿宋_GB2312"/>
          <w:vertAlign w:val="superscript"/>
        </w:rPr>
        <w:t>2</w:t>
      </w:r>
      <w:r>
        <w:rPr>
          <w:rFonts w:eastAsia="仿宋_GB2312"/>
        </w:rPr>
        <w:t>·a），原生土壤流失量为</w:t>
      </w:r>
      <w:r>
        <w:rPr>
          <w:rFonts w:hint="eastAsia" w:eastAsia="仿宋_GB2312"/>
        </w:rPr>
        <w:t>150</w:t>
      </w:r>
      <w:r>
        <w:rPr>
          <w:rFonts w:eastAsia="仿宋_GB2312"/>
        </w:rPr>
        <w:t>0t/（km²·a），</w:t>
      </w:r>
      <w:r>
        <w:rPr>
          <w:rFonts w:hint="eastAsia" w:eastAsia="仿宋_GB2312"/>
          <w:color w:val="FF0000"/>
        </w:rPr>
        <w:t>由于本项目位于平原区，且施工期较短，项目类型较类比工程对地表扰动程度轻、范围小，产生的水土流失也相对较小，</w:t>
      </w:r>
      <w:r>
        <w:rPr>
          <w:rFonts w:hint="eastAsia" w:eastAsia="仿宋_GB2312"/>
        </w:rPr>
        <w:t>因此，</w:t>
      </w:r>
      <w:r>
        <w:rPr>
          <w:rFonts w:eastAsia="仿宋_GB2312"/>
        </w:rPr>
        <w:t>确定本项目区扰动后土壤侵蚀模数为</w:t>
      </w:r>
      <w:r>
        <w:rPr>
          <w:rFonts w:hint="eastAsia" w:eastAsia="仿宋_GB2312"/>
        </w:rPr>
        <w:t>45</w:t>
      </w:r>
      <w:r>
        <w:rPr>
          <w:rFonts w:eastAsia="仿宋_GB2312"/>
        </w:rPr>
        <w:t>00t/（km²·a）。在治理后的自然恢复期，由于施工建设期内地表所受人为扰动减少，扰动地表水土流失量逐渐稳定，土体抗侵蚀能力增加。综合以上因素分析和相关工程经验，初步确定自然恢复期第一年土壤侵蚀模数值为</w:t>
      </w:r>
      <w:r>
        <w:rPr>
          <w:rFonts w:hint="eastAsia" w:eastAsia="仿宋_GB2312"/>
        </w:rPr>
        <w:t>25</w:t>
      </w:r>
      <w:r>
        <w:rPr>
          <w:rFonts w:eastAsia="仿宋_GB2312"/>
        </w:rPr>
        <w:t>00t/（km²·a），自然恢复期第二年土壤侵蚀模数为</w:t>
      </w:r>
      <w:r>
        <w:rPr>
          <w:rFonts w:hint="eastAsia" w:eastAsia="仿宋_GB2312"/>
        </w:rPr>
        <w:t>210</w:t>
      </w:r>
      <w:r>
        <w:rPr>
          <w:rFonts w:eastAsia="仿宋_GB2312"/>
        </w:rPr>
        <w:t>0t/（km²·a）</w:t>
      </w:r>
      <w:r>
        <w:rPr>
          <w:rFonts w:hint="eastAsia" w:eastAsia="仿宋_GB2312"/>
        </w:rPr>
        <w:t>，</w:t>
      </w:r>
      <w:r>
        <w:rPr>
          <w:rFonts w:eastAsia="仿宋_GB2312"/>
        </w:rPr>
        <w:t>自然恢复期第</w:t>
      </w:r>
      <w:r>
        <w:rPr>
          <w:rFonts w:hint="eastAsia" w:eastAsia="仿宋_GB2312"/>
        </w:rPr>
        <w:t>三</w:t>
      </w:r>
      <w:r>
        <w:rPr>
          <w:rFonts w:eastAsia="仿宋_GB2312"/>
        </w:rPr>
        <w:t>年土壤侵蚀模数值为</w:t>
      </w:r>
      <w:r>
        <w:rPr>
          <w:rFonts w:hint="eastAsia" w:eastAsia="仿宋_GB2312"/>
        </w:rPr>
        <w:t>18</w:t>
      </w:r>
      <w:r>
        <w:rPr>
          <w:rFonts w:eastAsia="仿宋_GB2312"/>
        </w:rPr>
        <w:t>00t/（km²·a），自然恢复期第</w:t>
      </w:r>
      <w:r>
        <w:rPr>
          <w:rFonts w:hint="eastAsia" w:eastAsia="仿宋_GB2312"/>
        </w:rPr>
        <w:t>四</w:t>
      </w:r>
      <w:r>
        <w:rPr>
          <w:rFonts w:eastAsia="仿宋_GB2312"/>
        </w:rPr>
        <w:t>年土壤侵蚀模数值为</w:t>
      </w:r>
      <w:r>
        <w:rPr>
          <w:rFonts w:hint="eastAsia" w:eastAsia="仿宋_GB2312"/>
        </w:rPr>
        <w:t>16</w:t>
      </w:r>
      <w:r>
        <w:rPr>
          <w:rFonts w:eastAsia="仿宋_GB2312"/>
        </w:rPr>
        <w:t>00t/（km²·a），自然恢复期第</w:t>
      </w:r>
      <w:r>
        <w:rPr>
          <w:rFonts w:hint="eastAsia" w:eastAsia="仿宋_GB2312"/>
        </w:rPr>
        <w:t>五</w:t>
      </w:r>
      <w:r>
        <w:rPr>
          <w:rFonts w:eastAsia="仿宋_GB2312"/>
        </w:rPr>
        <w:t>年土壤侵蚀模数为</w:t>
      </w:r>
      <w:r>
        <w:rPr>
          <w:rFonts w:hint="eastAsia" w:eastAsia="仿宋_GB2312"/>
        </w:rPr>
        <w:t>15</w:t>
      </w:r>
      <w:r>
        <w:rPr>
          <w:rFonts w:eastAsia="仿宋_GB2312"/>
        </w:rPr>
        <w:t>00t/（km²·a）。</w:t>
      </w:r>
    </w:p>
    <w:p>
      <w:pPr>
        <w:tabs>
          <w:tab w:val="left" w:pos="840"/>
          <w:tab w:val="left" w:pos="1485"/>
        </w:tabs>
        <w:ind w:firstLine="480"/>
        <w:rPr>
          <w:rFonts w:eastAsia="仿宋_GB2312"/>
        </w:rPr>
      </w:pPr>
      <w:r>
        <w:rPr>
          <w:rFonts w:eastAsia="仿宋_GB2312"/>
          <w:color w:val="000000"/>
        </w:rPr>
        <w:t>各防治区土壤侵蚀模数值统计见表4.3-4。</w:t>
      </w:r>
    </w:p>
    <w:p>
      <w:pPr>
        <w:spacing w:line="240" w:lineRule="auto"/>
        <w:ind w:right="482" w:firstLine="480"/>
        <w:jc w:val="center"/>
        <w:rPr>
          <w:rFonts w:eastAsia="仿宋_GB2312"/>
          <w:b/>
          <w:bCs/>
          <w:color w:val="000000"/>
        </w:rPr>
      </w:pPr>
      <w:r>
        <w:rPr>
          <w:rFonts w:eastAsia="仿宋_GB2312"/>
          <w:b/>
          <w:bCs/>
          <w:color w:val="000000"/>
        </w:rPr>
        <w:t>表4.3-4       各建设区土壤侵蚀模数单位：t/km</w:t>
      </w:r>
      <w:r>
        <w:rPr>
          <w:rFonts w:eastAsia="仿宋_GB2312"/>
          <w:b/>
          <w:bCs/>
          <w:color w:val="000000"/>
          <w:vertAlign w:val="superscript"/>
        </w:rPr>
        <w:t>2</w:t>
      </w:r>
      <w:r>
        <w:rPr>
          <w:rFonts w:eastAsia="仿宋_GB2312"/>
          <w:b/>
          <w:bCs/>
          <w:color w:val="000000"/>
        </w:rPr>
        <w:t>·a</w:t>
      </w:r>
    </w:p>
    <w:tbl>
      <w:tblPr>
        <w:tblStyle w:val="40"/>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667"/>
        <w:gridCol w:w="2017"/>
        <w:gridCol w:w="966"/>
        <w:gridCol w:w="966"/>
        <w:gridCol w:w="968"/>
        <w:gridCol w:w="966"/>
        <w:gridCol w:w="96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979" w:type="pct"/>
            <w:vMerge w:val="restart"/>
            <w:shd w:val="clear" w:color="auto" w:fill="auto"/>
            <w:noWrap/>
            <w:vAlign w:val="center"/>
          </w:tcPr>
          <w:p>
            <w:pPr>
              <w:widowControl/>
              <w:topLinePunct w:val="0"/>
              <w:adjustRightInd/>
              <w:snapToGrid/>
              <w:spacing w:line="240" w:lineRule="auto"/>
              <w:ind w:firstLine="0" w:firstLineChars="0"/>
              <w:jc w:val="center"/>
              <w:rPr>
                <w:rFonts w:eastAsia="仿宋_GB2312"/>
                <w:sz w:val="21"/>
                <w:szCs w:val="21"/>
              </w:rPr>
            </w:pPr>
            <w:r>
              <w:rPr>
                <w:rFonts w:eastAsia="仿宋_GB2312"/>
                <w:sz w:val="21"/>
                <w:szCs w:val="21"/>
              </w:rPr>
              <w:t>预测单元</w:t>
            </w:r>
          </w:p>
        </w:tc>
        <w:tc>
          <w:tcPr>
            <w:tcW w:w="1184" w:type="pct"/>
            <w:vMerge w:val="restart"/>
            <w:shd w:val="clear" w:color="auto" w:fill="auto"/>
            <w:vAlign w:val="center"/>
          </w:tcPr>
          <w:p>
            <w:pPr>
              <w:widowControl/>
              <w:topLinePunct w:val="0"/>
              <w:adjustRightInd/>
              <w:snapToGrid/>
              <w:spacing w:line="240" w:lineRule="auto"/>
              <w:ind w:firstLine="0" w:firstLineChars="0"/>
              <w:jc w:val="center"/>
              <w:rPr>
                <w:rFonts w:eastAsia="仿宋_GB2312"/>
                <w:sz w:val="21"/>
                <w:szCs w:val="21"/>
              </w:rPr>
            </w:pPr>
            <w:r>
              <w:rPr>
                <w:rFonts w:eastAsia="仿宋_GB2312"/>
                <w:sz w:val="21"/>
                <w:szCs w:val="21"/>
              </w:rPr>
              <w:t>施工期</w:t>
            </w:r>
          </w:p>
          <w:p>
            <w:pPr>
              <w:widowControl/>
              <w:topLinePunct w:val="0"/>
              <w:adjustRightInd/>
              <w:snapToGrid/>
              <w:spacing w:line="240" w:lineRule="auto"/>
              <w:ind w:firstLine="0" w:firstLineChars="0"/>
              <w:jc w:val="center"/>
              <w:rPr>
                <w:rFonts w:eastAsia="仿宋_GB2312"/>
                <w:sz w:val="21"/>
                <w:szCs w:val="21"/>
              </w:rPr>
            </w:pPr>
            <w:r>
              <w:rPr>
                <w:rFonts w:eastAsia="仿宋_GB2312"/>
                <w:sz w:val="21"/>
                <w:szCs w:val="21"/>
              </w:rPr>
              <w:t>（施工准备期）</w:t>
            </w:r>
          </w:p>
        </w:tc>
        <w:tc>
          <w:tcPr>
            <w:tcW w:w="2836" w:type="pct"/>
            <w:gridSpan w:val="5"/>
            <w:shd w:val="clear" w:color="auto" w:fill="auto"/>
            <w:noWrap/>
            <w:vAlign w:val="center"/>
          </w:tcPr>
          <w:p>
            <w:pPr>
              <w:widowControl/>
              <w:topLinePunct w:val="0"/>
              <w:adjustRightInd/>
              <w:snapToGrid/>
              <w:spacing w:line="240" w:lineRule="auto"/>
              <w:ind w:firstLine="0" w:firstLineChars="0"/>
              <w:jc w:val="center"/>
              <w:rPr>
                <w:rFonts w:eastAsia="仿宋_GB2312"/>
                <w:sz w:val="21"/>
                <w:szCs w:val="21"/>
              </w:rPr>
            </w:pPr>
            <w:r>
              <w:rPr>
                <w:rFonts w:eastAsia="仿宋_GB2312"/>
                <w:sz w:val="21"/>
                <w:szCs w:val="21"/>
              </w:rPr>
              <w:t>自然恢复期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979" w:type="pct"/>
            <w:vMerge w:val="continue"/>
            <w:vAlign w:val="center"/>
          </w:tcPr>
          <w:p>
            <w:pPr>
              <w:widowControl/>
              <w:topLinePunct w:val="0"/>
              <w:adjustRightInd/>
              <w:snapToGrid/>
              <w:spacing w:line="240" w:lineRule="auto"/>
              <w:ind w:firstLine="0" w:firstLineChars="0"/>
              <w:jc w:val="center"/>
              <w:rPr>
                <w:rFonts w:eastAsia="仿宋_GB2312"/>
                <w:sz w:val="21"/>
                <w:szCs w:val="21"/>
              </w:rPr>
            </w:pPr>
          </w:p>
        </w:tc>
        <w:tc>
          <w:tcPr>
            <w:tcW w:w="1184" w:type="pct"/>
            <w:vMerge w:val="continue"/>
            <w:vAlign w:val="center"/>
          </w:tcPr>
          <w:p>
            <w:pPr>
              <w:widowControl/>
              <w:topLinePunct w:val="0"/>
              <w:adjustRightInd/>
              <w:snapToGrid/>
              <w:spacing w:line="240" w:lineRule="auto"/>
              <w:ind w:firstLine="0" w:firstLineChars="0"/>
              <w:jc w:val="center"/>
              <w:rPr>
                <w:rFonts w:eastAsia="仿宋_GB2312"/>
                <w:sz w:val="21"/>
                <w:szCs w:val="21"/>
              </w:rPr>
            </w:pPr>
          </w:p>
        </w:tc>
        <w:tc>
          <w:tcPr>
            <w:tcW w:w="567" w:type="pct"/>
            <w:shd w:val="clear" w:color="auto" w:fill="auto"/>
            <w:noWrap/>
            <w:vAlign w:val="center"/>
          </w:tcPr>
          <w:p>
            <w:pPr>
              <w:widowControl/>
              <w:topLinePunct w:val="0"/>
              <w:adjustRightInd/>
              <w:snapToGrid/>
              <w:spacing w:line="240" w:lineRule="auto"/>
              <w:ind w:firstLine="0" w:firstLineChars="0"/>
              <w:jc w:val="center"/>
              <w:rPr>
                <w:rFonts w:eastAsia="仿宋_GB2312"/>
                <w:sz w:val="21"/>
                <w:szCs w:val="21"/>
              </w:rPr>
            </w:pPr>
            <w:r>
              <w:rPr>
                <w:rFonts w:eastAsia="仿宋_GB2312"/>
                <w:sz w:val="21"/>
                <w:szCs w:val="21"/>
              </w:rPr>
              <w:t>第一年</w:t>
            </w:r>
          </w:p>
        </w:tc>
        <w:tc>
          <w:tcPr>
            <w:tcW w:w="567" w:type="pct"/>
            <w:shd w:val="clear" w:color="auto" w:fill="auto"/>
            <w:noWrap/>
            <w:vAlign w:val="center"/>
          </w:tcPr>
          <w:p>
            <w:pPr>
              <w:widowControl/>
              <w:topLinePunct w:val="0"/>
              <w:adjustRightInd/>
              <w:snapToGrid/>
              <w:spacing w:line="240" w:lineRule="auto"/>
              <w:ind w:firstLine="0" w:firstLineChars="0"/>
              <w:jc w:val="center"/>
              <w:rPr>
                <w:rFonts w:eastAsia="仿宋_GB2312"/>
                <w:sz w:val="21"/>
                <w:szCs w:val="21"/>
              </w:rPr>
            </w:pPr>
            <w:r>
              <w:rPr>
                <w:rFonts w:eastAsia="仿宋_GB2312"/>
                <w:sz w:val="21"/>
                <w:szCs w:val="21"/>
              </w:rPr>
              <w:t>第二年</w:t>
            </w:r>
          </w:p>
        </w:tc>
        <w:tc>
          <w:tcPr>
            <w:tcW w:w="568" w:type="pct"/>
            <w:vAlign w:val="center"/>
          </w:tcPr>
          <w:p>
            <w:pPr>
              <w:widowControl/>
              <w:topLinePunct w:val="0"/>
              <w:adjustRightInd/>
              <w:snapToGrid/>
              <w:spacing w:line="240" w:lineRule="auto"/>
              <w:ind w:firstLine="0" w:firstLineChars="0"/>
              <w:jc w:val="center"/>
              <w:rPr>
                <w:rFonts w:eastAsia="仿宋_GB2312"/>
                <w:sz w:val="21"/>
                <w:szCs w:val="21"/>
              </w:rPr>
            </w:pPr>
            <w:r>
              <w:rPr>
                <w:rFonts w:eastAsia="仿宋_GB2312"/>
                <w:sz w:val="21"/>
                <w:szCs w:val="21"/>
              </w:rPr>
              <w:t>第</w:t>
            </w:r>
            <w:r>
              <w:rPr>
                <w:rFonts w:hint="eastAsia" w:eastAsia="仿宋_GB2312"/>
                <w:sz w:val="21"/>
                <w:szCs w:val="21"/>
              </w:rPr>
              <w:t>三</w:t>
            </w:r>
            <w:r>
              <w:rPr>
                <w:rFonts w:eastAsia="仿宋_GB2312"/>
                <w:sz w:val="21"/>
                <w:szCs w:val="21"/>
              </w:rPr>
              <w:t>年</w:t>
            </w:r>
          </w:p>
        </w:tc>
        <w:tc>
          <w:tcPr>
            <w:tcW w:w="567" w:type="pct"/>
            <w:vAlign w:val="center"/>
          </w:tcPr>
          <w:p>
            <w:pPr>
              <w:widowControl/>
              <w:topLinePunct w:val="0"/>
              <w:adjustRightInd/>
              <w:snapToGrid/>
              <w:spacing w:line="240" w:lineRule="auto"/>
              <w:ind w:firstLine="0" w:firstLineChars="0"/>
              <w:jc w:val="center"/>
              <w:rPr>
                <w:rFonts w:eastAsia="仿宋_GB2312"/>
                <w:sz w:val="21"/>
                <w:szCs w:val="21"/>
              </w:rPr>
            </w:pPr>
            <w:r>
              <w:rPr>
                <w:rFonts w:eastAsia="仿宋_GB2312"/>
                <w:sz w:val="21"/>
                <w:szCs w:val="21"/>
              </w:rPr>
              <w:t>第</w:t>
            </w:r>
            <w:r>
              <w:rPr>
                <w:rFonts w:hint="eastAsia" w:eastAsia="仿宋_GB2312"/>
                <w:sz w:val="21"/>
                <w:szCs w:val="21"/>
              </w:rPr>
              <w:t>四</w:t>
            </w:r>
            <w:r>
              <w:rPr>
                <w:rFonts w:eastAsia="仿宋_GB2312"/>
                <w:sz w:val="21"/>
                <w:szCs w:val="21"/>
              </w:rPr>
              <w:t>年</w:t>
            </w:r>
          </w:p>
        </w:tc>
        <w:tc>
          <w:tcPr>
            <w:tcW w:w="567" w:type="pct"/>
            <w:vAlign w:val="center"/>
          </w:tcPr>
          <w:p>
            <w:pPr>
              <w:widowControl/>
              <w:topLinePunct w:val="0"/>
              <w:adjustRightInd/>
              <w:snapToGrid/>
              <w:spacing w:line="240" w:lineRule="auto"/>
              <w:ind w:firstLine="0" w:firstLineChars="0"/>
              <w:jc w:val="center"/>
              <w:rPr>
                <w:rFonts w:eastAsia="仿宋_GB2312"/>
                <w:sz w:val="21"/>
                <w:szCs w:val="21"/>
              </w:rPr>
            </w:pPr>
            <w:r>
              <w:rPr>
                <w:rFonts w:eastAsia="仿宋_GB2312"/>
                <w:sz w:val="21"/>
                <w:szCs w:val="21"/>
              </w:rPr>
              <w:t>第</w:t>
            </w:r>
            <w:r>
              <w:rPr>
                <w:rFonts w:hint="eastAsia" w:eastAsia="仿宋_GB2312"/>
                <w:sz w:val="21"/>
                <w:szCs w:val="21"/>
              </w:rPr>
              <w:t>五</w:t>
            </w:r>
            <w:r>
              <w:rPr>
                <w:rFonts w:eastAsia="仿宋_GB2312"/>
                <w:sz w:val="21"/>
                <w:szCs w:val="21"/>
              </w:rPr>
              <w:t>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979" w:type="pct"/>
            <w:vAlign w:val="center"/>
          </w:tcPr>
          <w:p>
            <w:pPr>
              <w:widowControl/>
              <w:topLinePunct w:val="0"/>
              <w:adjustRightInd/>
              <w:snapToGrid/>
              <w:spacing w:line="240" w:lineRule="auto"/>
              <w:ind w:firstLine="0" w:firstLineChars="0"/>
              <w:jc w:val="center"/>
              <w:rPr>
                <w:rFonts w:eastAsia="仿宋_GB2312"/>
                <w:sz w:val="21"/>
                <w:szCs w:val="21"/>
              </w:rPr>
            </w:pPr>
            <w:r>
              <w:rPr>
                <w:rFonts w:hint="eastAsia" w:eastAsia="仿宋_GB2312"/>
                <w:sz w:val="21"/>
                <w:szCs w:val="21"/>
              </w:rPr>
              <w:t>管道工程区</w:t>
            </w:r>
          </w:p>
        </w:tc>
        <w:tc>
          <w:tcPr>
            <w:tcW w:w="1184" w:type="pct"/>
            <w:vAlign w:val="center"/>
          </w:tcPr>
          <w:p>
            <w:pPr>
              <w:widowControl/>
              <w:topLinePunct w:val="0"/>
              <w:adjustRightInd/>
              <w:snapToGrid/>
              <w:spacing w:line="240" w:lineRule="auto"/>
              <w:ind w:firstLine="0" w:firstLineChars="0"/>
              <w:jc w:val="center"/>
              <w:rPr>
                <w:rFonts w:eastAsia="仿宋_GB2312"/>
                <w:sz w:val="21"/>
                <w:szCs w:val="21"/>
              </w:rPr>
            </w:pPr>
            <w:r>
              <w:rPr>
                <w:rFonts w:hint="eastAsia" w:eastAsia="仿宋_GB2312"/>
                <w:sz w:val="21"/>
                <w:szCs w:val="21"/>
              </w:rPr>
              <w:t>4500</w:t>
            </w:r>
          </w:p>
        </w:tc>
        <w:tc>
          <w:tcPr>
            <w:tcW w:w="567" w:type="pct"/>
            <w:shd w:val="clear" w:color="auto" w:fill="auto"/>
            <w:noWrap/>
            <w:vAlign w:val="center"/>
          </w:tcPr>
          <w:p>
            <w:pPr>
              <w:widowControl/>
              <w:topLinePunct w:val="0"/>
              <w:adjustRightInd/>
              <w:snapToGrid/>
              <w:spacing w:line="240" w:lineRule="auto"/>
              <w:ind w:firstLine="0" w:firstLineChars="0"/>
              <w:jc w:val="center"/>
              <w:rPr>
                <w:rFonts w:eastAsia="仿宋_GB2312"/>
                <w:sz w:val="21"/>
                <w:szCs w:val="21"/>
              </w:rPr>
            </w:pPr>
            <w:r>
              <w:rPr>
                <w:rFonts w:hint="eastAsia" w:eastAsia="仿宋_GB2312"/>
                <w:sz w:val="21"/>
                <w:szCs w:val="21"/>
              </w:rPr>
              <w:t>2500</w:t>
            </w:r>
          </w:p>
        </w:tc>
        <w:tc>
          <w:tcPr>
            <w:tcW w:w="567" w:type="pct"/>
            <w:shd w:val="clear" w:color="auto" w:fill="auto"/>
            <w:noWrap/>
            <w:vAlign w:val="center"/>
          </w:tcPr>
          <w:p>
            <w:pPr>
              <w:widowControl/>
              <w:topLinePunct w:val="0"/>
              <w:adjustRightInd/>
              <w:snapToGrid/>
              <w:spacing w:line="240" w:lineRule="auto"/>
              <w:ind w:firstLine="0" w:firstLineChars="0"/>
              <w:jc w:val="center"/>
              <w:rPr>
                <w:rFonts w:eastAsia="仿宋_GB2312"/>
                <w:sz w:val="21"/>
                <w:szCs w:val="21"/>
              </w:rPr>
            </w:pPr>
            <w:r>
              <w:rPr>
                <w:rFonts w:hint="eastAsia" w:eastAsia="仿宋_GB2312"/>
                <w:sz w:val="21"/>
                <w:szCs w:val="21"/>
              </w:rPr>
              <w:t>2100</w:t>
            </w:r>
          </w:p>
        </w:tc>
        <w:tc>
          <w:tcPr>
            <w:tcW w:w="568" w:type="pct"/>
            <w:vAlign w:val="center"/>
          </w:tcPr>
          <w:p>
            <w:pPr>
              <w:widowControl/>
              <w:topLinePunct w:val="0"/>
              <w:adjustRightInd/>
              <w:snapToGrid/>
              <w:spacing w:line="240" w:lineRule="auto"/>
              <w:ind w:firstLine="0" w:firstLineChars="0"/>
              <w:jc w:val="center"/>
              <w:rPr>
                <w:rFonts w:eastAsia="仿宋_GB2312"/>
                <w:sz w:val="21"/>
                <w:szCs w:val="21"/>
              </w:rPr>
            </w:pPr>
            <w:r>
              <w:rPr>
                <w:rFonts w:hint="eastAsia" w:eastAsia="仿宋_GB2312"/>
                <w:sz w:val="21"/>
                <w:szCs w:val="21"/>
              </w:rPr>
              <w:t>1800</w:t>
            </w:r>
          </w:p>
        </w:tc>
        <w:tc>
          <w:tcPr>
            <w:tcW w:w="567" w:type="pct"/>
            <w:vAlign w:val="center"/>
          </w:tcPr>
          <w:p>
            <w:pPr>
              <w:widowControl/>
              <w:topLinePunct w:val="0"/>
              <w:adjustRightInd/>
              <w:snapToGrid/>
              <w:spacing w:line="240" w:lineRule="auto"/>
              <w:ind w:firstLine="0" w:firstLineChars="0"/>
              <w:jc w:val="center"/>
              <w:rPr>
                <w:rFonts w:eastAsia="仿宋_GB2312"/>
                <w:sz w:val="21"/>
                <w:szCs w:val="21"/>
              </w:rPr>
            </w:pPr>
            <w:r>
              <w:rPr>
                <w:rFonts w:hint="eastAsia" w:eastAsia="仿宋_GB2312"/>
                <w:sz w:val="21"/>
                <w:szCs w:val="21"/>
              </w:rPr>
              <w:t>1600</w:t>
            </w:r>
          </w:p>
        </w:tc>
        <w:tc>
          <w:tcPr>
            <w:tcW w:w="567" w:type="pct"/>
            <w:vAlign w:val="center"/>
          </w:tcPr>
          <w:p>
            <w:pPr>
              <w:widowControl/>
              <w:topLinePunct w:val="0"/>
              <w:adjustRightInd/>
              <w:snapToGrid/>
              <w:spacing w:line="240" w:lineRule="auto"/>
              <w:ind w:firstLine="0" w:firstLineChars="0"/>
              <w:jc w:val="center"/>
              <w:rPr>
                <w:rFonts w:eastAsia="仿宋_GB2312"/>
                <w:sz w:val="21"/>
                <w:szCs w:val="21"/>
              </w:rPr>
            </w:pPr>
            <w:r>
              <w:rPr>
                <w:rFonts w:hint="eastAsia" w:eastAsia="仿宋_GB2312"/>
                <w:sz w:val="21"/>
                <w:szCs w:val="21"/>
              </w:rPr>
              <w:t>1500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979" w:type="pct"/>
            <w:vAlign w:val="center"/>
          </w:tcPr>
          <w:p>
            <w:pPr>
              <w:widowControl/>
              <w:topLinePunct w:val="0"/>
              <w:adjustRightInd/>
              <w:snapToGrid/>
              <w:spacing w:line="240" w:lineRule="auto"/>
              <w:ind w:firstLine="0" w:firstLineChars="0"/>
              <w:jc w:val="center"/>
              <w:rPr>
                <w:rFonts w:eastAsia="仿宋_GB2312"/>
                <w:sz w:val="21"/>
                <w:szCs w:val="21"/>
              </w:rPr>
            </w:pPr>
            <w:r>
              <w:rPr>
                <w:rFonts w:hint="eastAsia" w:eastAsia="仿宋_GB2312"/>
                <w:sz w:val="21"/>
                <w:szCs w:val="21"/>
              </w:rPr>
              <w:t>附属构筑物区</w:t>
            </w:r>
          </w:p>
        </w:tc>
        <w:tc>
          <w:tcPr>
            <w:tcW w:w="1184" w:type="pct"/>
            <w:vAlign w:val="center"/>
          </w:tcPr>
          <w:p>
            <w:pPr>
              <w:widowControl/>
              <w:topLinePunct w:val="0"/>
              <w:adjustRightInd/>
              <w:snapToGrid/>
              <w:spacing w:line="240" w:lineRule="auto"/>
              <w:ind w:firstLine="0" w:firstLineChars="0"/>
              <w:jc w:val="center"/>
              <w:rPr>
                <w:rFonts w:eastAsia="仿宋_GB2312"/>
                <w:sz w:val="21"/>
                <w:szCs w:val="21"/>
              </w:rPr>
            </w:pPr>
            <w:r>
              <w:rPr>
                <w:rFonts w:hint="eastAsia" w:eastAsia="仿宋_GB2312"/>
                <w:sz w:val="21"/>
                <w:szCs w:val="21"/>
              </w:rPr>
              <w:t>4500</w:t>
            </w:r>
          </w:p>
        </w:tc>
        <w:tc>
          <w:tcPr>
            <w:tcW w:w="567" w:type="pct"/>
            <w:shd w:val="clear" w:color="auto" w:fill="auto"/>
            <w:noWrap/>
            <w:vAlign w:val="center"/>
          </w:tcPr>
          <w:p>
            <w:pPr>
              <w:widowControl/>
              <w:topLinePunct w:val="0"/>
              <w:adjustRightInd/>
              <w:snapToGrid/>
              <w:spacing w:line="240" w:lineRule="auto"/>
              <w:ind w:firstLine="0" w:firstLineChars="0"/>
              <w:jc w:val="center"/>
              <w:rPr>
                <w:rFonts w:eastAsia="仿宋_GB2312"/>
                <w:sz w:val="21"/>
                <w:szCs w:val="21"/>
              </w:rPr>
            </w:pPr>
            <w:r>
              <w:rPr>
                <w:rFonts w:hint="eastAsia" w:eastAsia="仿宋_GB2312"/>
                <w:sz w:val="21"/>
                <w:szCs w:val="21"/>
              </w:rPr>
              <w:t>2500</w:t>
            </w:r>
          </w:p>
        </w:tc>
        <w:tc>
          <w:tcPr>
            <w:tcW w:w="567" w:type="pct"/>
            <w:shd w:val="clear" w:color="auto" w:fill="auto"/>
            <w:noWrap/>
            <w:vAlign w:val="center"/>
          </w:tcPr>
          <w:p>
            <w:pPr>
              <w:widowControl/>
              <w:topLinePunct w:val="0"/>
              <w:adjustRightInd/>
              <w:snapToGrid/>
              <w:spacing w:line="240" w:lineRule="auto"/>
              <w:ind w:firstLine="0" w:firstLineChars="0"/>
              <w:jc w:val="center"/>
              <w:rPr>
                <w:rFonts w:eastAsia="仿宋_GB2312"/>
                <w:sz w:val="21"/>
                <w:szCs w:val="21"/>
              </w:rPr>
            </w:pPr>
            <w:r>
              <w:rPr>
                <w:rFonts w:hint="eastAsia" w:eastAsia="仿宋_GB2312"/>
                <w:sz w:val="21"/>
                <w:szCs w:val="21"/>
              </w:rPr>
              <w:t>2100</w:t>
            </w:r>
          </w:p>
        </w:tc>
        <w:tc>
          <w:tcPr>
            <w:tcW w:w="568" w:type="pct"/>
            <w:vAlign w:val="center"/>
          </w:tcPr>
          <w:p>
            <w:pPr>
              <w:widowControl/>
              <w:topLinePunct w:val="0"/>
              <w:adjustRightInd/>
              <w:snapToGrid/>
              <w:spacing w:line="240" w:lineRule="auto"/>
              <w:ind w:firstLine="0" w:firstLineChars="0"/>
              <w:jc w:val="center"/>
              <w:rPr>
                <w:rFonts w:eastAsia="仿宋_GB2312"/>
                <w:sz w:val="21"/>
                <w:szCs w:val="21"/>
              </w:rPr>
            </w:pPr>
            <w:r>
              <w:rPr>
                <w:rFonts w:hint="eastAsia" w:eastAsia="仿宋_GB2312"/>
                <w:sz w:val="21"/>
                <w:szCs w:val="21"/>
              </w:rPr>
              <w:t>1800</w:t>
            </w:r>
          </w:p>
        </w:tc>
        <w:tc>
          <w:tcPr>
            <w:tcW w:w="567" w:type="pct"/>
            <w:vAlign w:val="center"/>
          </w:tcPr>
          <w:p>
            <w:pPr>
              <w:widowControl/>
              <w:topLinePunct w:val="0"/>
              <w:adjustRightInd/>
              <w:snapToGrid/>
              <w:spacing w:line="240" w:lineRule="auto"/>
              <w:ind w:firstLine="0" w:firstLineChars="0"/>
              <w:jc w:val="center"/>
              <w:rPr>
                <w:rFonts w:eastAsia="仿宋_GB2312"/>
                <w:sz w:val="21"/>
                <w:szCs w:val="21"/>
              </w:rPr>
            </w:pPr>
            <w:r>
              <w:rPr>
                <w:rFonts w:hint="eastAsia" w:eastAsia="仿宋_GB2312"/>
                <w:sz w:val="21"/>
                <w:szCs w:val="21"/>
              </w:rPr>
              <w:t>1600</w:t>
            </w:r>
          </w:p>
        </w:tc>
        <w:tc>
          <w:tcPr>
            <w:tcW w:w="567" w:type="pct"/>
            <w:vAlign w:val="center"/>
          </w:tcPr>
          <w:p>
            <w:pPr>
              <w:widowControl/>
              <w:topLinePunct w:val="0"/>
              <w:adjustRightInd/>
              <w:snapToGrid/>
              <w:spacing w:line="240" w:lineRule="auto"/>
              <w:ind w:firstLine="0" w:firstLineChars="0"/>
              <w:jc w:val="center"/>
              <w:rPr>
                <w:rFonts w:eastAsia="仿宋_GB2312"/>
                <w:sz w:val="21"/>
                <w:szCs w:val="21"/>
              </w:rPr>
            </w:pPr>
            <w:r>
              <w:rPr>
                <w:rFonts w:hint="eastAsia" w:eastAsia="仿宋_GB2312"/>
                <w:sz w:val="21"/>
                <w:szCs w:val="21"/>
              </w:rPr>
              <w:t>1500</w:t>
            </w:r>
          </w:p>
        </w:tc>
      </w:tr>
      <w:bookmarkEnd w:id="236"/>
    </w:tbl>
    <w:p>
      <w:pPr>
        <w:pStyle w:val="4"/>
        <w:keepLines/>
        <w:widowControl/>
        <w:numPr>
          <w:ilvl w:val="2"/>
          <w:numId w:val="1"/>
        </w:numPr>
        <w:tabs>
          <w:tab w:val="clear" w:pos="432"/>
          <w:tab w:val="clear" w:pos="960"/>
        </w:tabs>
        <w:kinsoku/>
        <w:overflowPunct/>
        <w:topLinePunct w:val="0"/>
        <w:autoSpaceDE/>
        <w:autoSpaceDN/>
        <w:adjustRightInd/>
        <w:snapToGrid/>
        <w:spacing w:beforeLines="100"/>
        <w:ind w:left="0" w:firstLine="0"/>
        <w:jc w:val="both"/>
        <w:rPr>
          <w:rFonts w:eastAsia="仿宋_GB2312"/>
        </w:rPr>
      </w:pPr>
      <w:r>
        <w:rPr>
          <w:rFonts w:eastAsia="仿宋_GB2312"/>
        </w:rPr>
        <w:t>预测结果</w:t>
      </w:r>
    </w:p>
    <w:p>
      <w:pPr>
        <w:tabs>
          <w:tab w:val="left" w:pos="840"/>
          <w:tab w:val="left" w:pos="1485"/>
        </w:tabs>
        <w:ind w:firstLine="480"/>
        <w:rPr>
          <w:rFonts w:eastAsia="仿宋_GB2312"/>
          <w:color w:val="000000"/>
        </w:rPr>
      </w:pPr>
      <w:r>
        <w:rPr>
          <w:rFonts w:eastAsia="仿宋_GB2312"/>
          <w:color w:val="000000"/>
        </w:rPr>
        <w:t>按前述确定的土壤侵蚀模数和水土流失面积，</w:t>
      </w:r>
      <w:bookmarkStart w:id="237" w:name="OLE_LINK119"/>
      <w:r>
        <w:rPr>
          <w:rFonts w:eastAsia="仿宋_GB2312"/>
          <w:color w:val="000000"/>
        </w:rPr>
        <w:t>预测</w:t>
      </w:r>
      <w:bookmarkStart w:id="238" w:name="OLE_LINK153"/>
      <w:r>
        <w:rPr>
          <w:rFonts w:eastAsia="仿宋_GB2312"/>
          <w:color w:val="000000"/>
        </w:rPr>
        <w:t>本项目建设扰动破坏地表可能造成的水土流失量为</w:t>
      </w:r>
      <w:r>
        <w:rPr>
          <w:rFonts w:hint="eastAsia" w:eastAsia="仿宋_GB2312"/>
          <w:color w:val="000000"/>
        </w:rPr>
        <w:t>96t</w:t>
      </w:r>
      <w:r>
        <w:rPr>
          <w:rFonts w:eastAsia="仿宋_GB2312"/>
          <w:color w:val="000000"/>
        </w:rPr>
        <w:t>，新增水土流失量为</w:t>
      </w:r>
      <w:r>
        <w:rPr>
          <w:rFonts w:hint="eastAsia" w:eastAsia="仿宋_GB2312"/>
          <w:color w:val="000000"/>
        </w:rPr>
        <w:t>36</w:t>
      </w:r>
      <w:r>
        <w:rPr>
          <w:rFonts w:eastAsia="仿宋_GB2312"/>
          <w:color w:val="000000"/>
        </w:rPr>
        <w:t>t。</w:t>
      </w:r>
      <w:bookmarkEnd w:id="237"/>
      <w:bookmarkEnd w:id="238"/>
      <w:r>
        <w:rPr>
          <w:rFonts w:eastAsia="仿宋_GB2312"/>
          <w:color w:val="000000"/>
        </w:rPr>
        <w:t>详见表4.3-5</w:t>
      </w:r>
      <w:r>
        <w:rPr>
          <w:rFonts w:hint="eastAsia" w:eastAsia="仿宋_GB2312"/>
          <w:color w:val="000000"/>
        </w:rPr>
        <w:t>、表4.3-6、表4.3-7</w:t>
      </w:r>
      <w:r>
        <w:rPr>
          <w:rFonts w:eastAsia="仿宋_GB2312"/>
          <w:color w:val="000000"/>
        </w:rPr>
        <w:t>和图4.3-1</w:t>
      </w:r>
      <w:r>
        <w:rPr>
          <w:rFonts w:hint="eastAsia" w:eastAsia="仿宋_GB2312"/>
          <w:color w:val="000000"/>
        </w:rPr>
        <w:t>、</w:t>
      </w:r>
      <w:r>
        <w:rPr>
          <w:rFonts w:eastAsia="仿宋_GB2312"/>
          <w:color w:val="000000"/>
        </w:rPr>
        <w:t>图4.3-</w:t>
      </w:r>
      <w:r>
        <w:rPr>
          <w:rFonts w:hint="eastAsia" w:eastAsia="仿宋_GB2312"/>
          <w:color w:val="000000"/>
        </w:rPr>
        <w:t>2</w:t>
      </w:r>
      <w:r>
        <w:rPr>
          <w:rFonts w:eastAsia="仿宋_GB2312"/>
          <w:color w:val="000000"/>
        </w:rPr>
        <w:t>。</w:t>
      </w:r>
    </w:p>
    <w:p>
      <w:pPr>
        <w:tabs>
          <w:tab w:val="left" w:pos="840"/>
          <w:tab w:val="left" w:pos="1485"/>
        </w:tabs>
        <w:spacing w:line="240" w:lineRule="auto"/>
        <w:ind w:firstLine="480"/>
        <w:jc w:val="center"/>
        <w:rPr>
          <w:rFonts w:eastAsia="仿宋_GB2312"/>
          <w:b/>
          <w:bCs/>
          <w:lang w:val="zh-CN"/>
        </w:rPr>
      </w:pPr>
      <w:r>
        <w:rPr>
          <w:rFonts w:eastAsia="仿宋_GB2312"/>
          <w:b/>
        </w:rPr>
        <w:t>表4.3-5</w:t>
      </w:r>
      <w:r>
        <w:rPr>
          <w:rFonts w:eastAsia="仿宋_GB2312"/>
          <w:b/>
          <w:bCs/>
          <w:lang w:val="zh-CN"/>
        </w:rPr>
        <w:t>水土流失预测表</w:t>
      </w:r>
    </w:p>
    <w:tbl>
      <w:tblPr>
        <w:tblStyle w:val="40"/>
        <w:tblW w:w="5000" w:type="pct"/>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819"/>
        <w:gridCol w:w="426"/>
        <w:gridCol w:w="991"/>
        <w:gridCol w:w="1276"/>
        <w:gridCol w:w="1276"/>
        <w:gridCol w:w="991"/>
        <w:gridCol w:w="709"/>
        <w:gridCol w:w="676"/>
        <w:gridCol w:w="676"/>
        <w:gridCol w:w="676"/>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40" w:hRule="atLeast"/>
        </w:trPr>
        <w:tc>
          <w:tcPr>
            <w:tcW w:w="480" w:type="pct"/>
            <w:shd w:val="clear" w:color="auto" w:fill="auto"/>
            <w:vAlign w:val="center"/>
          </w:tcPr>
          <w:p>
            <w:pPr>
              <w:widowControl/>
              <w:topLinePunct w:val="0"/>
              <w:adjustRightInd/>
              <w:snapToGrid/>
              <w:spacing w:line="240" w:lineRule="auto"/>
              <w:ind w:firstLine="0" w:firstLineChars="0"/>
              <w:jc w:val="center"/>
              <w:rPr>
                <w:rFonts w:eastAsia="仿宋_GB2312"/>
                <w:b/>
                <w:bCs/>
                <w:color w:val="000000"/>
                <w:sz w:val="21"/>
                <w:szCs w:val="21"/>
              </w:rPr>
            </w:pPr>
            <w:r>
              <w:rPr>
                <w:rFonts w:eastAsia="仿宋_GB2312"/>
                <w:b/>
                <w:bCs/>
                <w:color w:val="000000"/>
                <w:sz w:val="21"/>
                <w:szCs w:val="21"/>
              </w:rPr>
              <w:t>预测单元</w:t>
            </w:r>
          </w:p>
        </w:tc>
        <w:tc>
          <w:tcPr>
            <w:tcW w:w="832" w:type="pct"/>
            <w:gridSpan w:val="2"/>
            <w:shd w:val="clear" w:color="auto" w:fill="auto"/>
            <w:vAlign w:val="center"/>
          </w:tcPr>
          <w:p>
            <w:pPr>
              <w:widowControl/>
              <w:topLinePunct w:val="0"/>
              <w:adjustRightInd/>
              <w:snapToGrid/>
              <w:spacing w:line="240" w:lineRule="auto"/>
              <w:ind w:firstLine="0" w:firstLineChars="0"/>
              <w:jc w:val="center"/>
              <w:rPr>
                <w:rFonts w:eastAsia="仿宋_GB2312"/>
                <w:b/>
                <w:bCs/>
                <w:color w:val="000000"/>
                <w:sz w:val="21"/>
                <w:szCs w:val="21"/>
              </w:rPr>
            </w:pPr>
            <w:r>
              <w:rPr>
                <w:rFonts w:eastAsia="仿宋_GB2312"/>
                <w:b/>
                <w:bCs/>
                <w:color w:val="000000"/>
                <w:sz w:val="21"/>
                <w:szCs w:val="21"/>
              </w:rPr>
              <w:t>预测时段</w:t>
            </w:r>
          </w:p>
        </w:tc>
        <w:tc>
          <w:tcPr>
            <w:tcW w:w="749" w:type="pct"/>
            <w:shd w:val="clear" w:color="auto" w:fill="auto"/>
            <w:vAlign w:val="center"/>
          </w:tcPr>
          <w:p>
            <w:pPr>
              <w:widowControl/>
              <w:topLinePunct w:val="0"/>
              <w:adjustRightInd/>
              <w:snapToGrid/>
              <w:spacing w:line="240" w:lineRule="auto"/>
              <w:ind w:firstLine="0" w:firstLineChars="0"/>
              <w:jc w:val="center"/>
              <w:rPr>
                <w:rFonts w:eastAsia="仿宋_GB2312"/>
                <w:b/>
                <w:bCs/>
                <w:color w:val="000000"/>
                <w:sz w:val="21"/>
                <w:szCs w:val="21"/>
              </w:rPr>
            </w:pPr>
            <w:r>
              <w:rPr>
                <w:rFonts w:eastAsia="仿宋_GB2312"/>
                <w:b/>
                <w:bCs/>
                <w:color w:val="000000"/>
                <w:sz w:val="21"/>
                <w:szCs w:val="21"/>
              </w:rPr>
              <w:t>土壤侵蚀</w:t>
            </w:r>
          </w:p>
          <w:p>
            <w:pPr>
              <w:widowControl/>
              <w:topLinePunct w:val="0"/>
              <w:adjustRightInd/>
              <w:snapToGrid/>
              <w:spacing w:line="240" w:lineRule="auto"/>
              <w:ind w:firstLine="0" w:firstLineChars="0"/>
              <w:jc w:val="center"/>
              <w:rPr>
                <w:rFonts w:eastAsia="仿宋_GB2312"/>
                <w:b/>
                <w:bCs/>
                <w:color w:val="000000"/>
                <w:sz w:val="21"/>
                <w:szCs w:val="21"/>
              </w:rPr>
            </w:pPr>
            <w:r>
              <w:rPr>
                <w:rFonts w:eastAsia="仿宋_GB2312"/>
                <w:b/>
                <w:bCs/>
                <w:color w:val="000000"/>
                <w:sz w:val="21"/>
                <w:szCs w:val="21"/>
              </w:rPr>
              <w:t>背景值（t/km</w:t>
            </w:r>
            <w:r>
              <w:rPr>
                <w:rFonts w:eastAsia="仿宋_GB2312"/>
                <w:b/>
                <w:bCs/>
                <w:color w:val="000000"/>
                <w:sz w:val="21"/>
                <w:szCs w:val="21"/>
                <w:vertAlign w:val="superscript"/>
              </w:rPr>
              <w:t>2</w:t>
            </w:r>
            <w:r>
              <w:rPr>
                <w:rFonts w:eastAsia="仿宋_GB2312"/>
                <w:b/>
                <w:bCs/>
                <w:color w:val="000000"/>
                <w:sz w:val="21"/>
                <w:szCs w:val="21"/>
              </w:rPr>
              <w:t>·a）</w:t>
            </w:r>
          </w:p>
        </w:tc>
        <w:tc>
          <w:tcPr>
            <w:tcW w:w="749" w:type="pct"/>
            <w:shd w:val="clear" w:color="auto" w:fill="auto"/>
            <w:vAlign w:val="center"/>
          </w:tcPr>
          <w:p>
            <w:pPr>
              <w:widowControl/>
              <w:topLinePunct w:val="0"/>
              <w:adjustRightInd/>
              <w:snapToGrid/>
              <w:spacing w:line="240" w:lineRule="auto"/>
              <w:ind w:firstLine="0" w:firstLineChars="0"/>
              <w:jc w:val="center"/>
              <w:rPr>
                <w:rFonts w:eastAsia="仿宋_GB2312"/>
                <w:b/>
                <w:bCs/>
                <w:color w:val="000000"/>
                <w:sz w:val="21"/>
                <w:szCs w:val="21"/>
              </w:rPr>
            </w:pPr>
            <w:r>
              <w:rPr>
                <w:rFonts w:eastAsia="仿宋_GB2312"/>
                <w:b/>
                <w:bCs/>
                <w:color w:val="000000"/>
                <w:sz w:val="21"/>
                <w:szCs w:val="21"/>
              </w:rPr>
              <w:t>扰动后土壤侵蚀模数（t/km</w:t>
            </w:r>
            <w:r>
              <w:rPr>
                <w:rFonts w:eastAsia="仿宋_GB2312"/>
                <w:b/>
                <w:bCs/>
                <w:color w:val="000000"/>
                <w:sz w:val="21"/>
                <w:szCs w:val="21"/>
                <w:vertAlign w:val="superscript"/>
              </w:rPr>
              <w:t>2</w:t>
            </w:r>
            <w:r>
              <w:rPr>
                <w:rFonts w:eastAsia="仿宋_GB2312"/>
                <w:b/>
                <w:bCs/>
                <w:color w:val="000000"/>
                <w:sz w:val="21"/>
                <w:szCs w:val="21"/>
              </w:rPr>
              <w:t>·a）</w:t>
            </w:r>
          </w:p>
        </w:tc>
        <w:tc>
          <w:tcPr>
            <w:tcW w:w="582" w:type="pct"/>
            <w:shd w:val="clear" w:color="auto" w:fill="auto"/>
            <w:vAlign w:val="center"/>
          </w:tcPr>
          <w:p>
            <w:pPr>
              <w:widowControl/>
              <w:topLinePunct w:val="0"/>
              <w:adjustRightInd/>
              <w:snapToGrid/>
              <w:spacing w:line="240" w:lineRule="auto"/>
              <w:ind w:firstLine="0" w:firstLineChars="0"/>
              <w:jc w:val="center"/>
              <w:rPr>
                <w:rFonts w:eastAsia="仿宋_GB2312"/>
                <w:b/>
                <w:bCs/>
                <w:color w:val="000000"/>
                <w:sz w:val="21"/>
                <w:szCs w:val="21"/>
              </w:rPr>
            </w:pPr>
            <w:r>
              <w:rPr>
                <w:rFonts w:eastAsia="仿宋_GB2312"/>
                <w:b/>
                <w:bCs/>
                <w:color w:val="000000"/>
                <w:sz w:val="21"/>
                <w:szCs w:val="21"/>
              </w:rPr>
              <w:t>侵蚀</w:t>
            </w:r>
          </w:p>
          <w:p>
            <w:pPr>
              <w:widowControl/>
              <w:topLinePunct w:val="0"/>
              <w:adjustRightInd/>
              <w:snapToGrid/>
              <w:spacing w:line="240" w:lineRule="auto"/>
              <w:ind w:firstLine="0" w:firstLineChars="0"/>
              <w:jc w:val="center"/>
              <w:rPr>
                <w:rFonts w:eastAsia="仿宋_GB2312"/>
                <w:b/>
                <w:bCs/>
                <w:color w:val="000000"/>
                <w:sz w:val="21"/>
                <w:szCs w:val="21"/>
              </w:rPr>
            </w:pPr>
            <w:r>
              <w:rPr>
                <w:rFonts w:eastAsia="仿宋_GB2312"/>
                <w:b/>
                <w:bCs/>
                <w:color w:val="000000"/>
                <w:sz w:val="21"/>
                <w:szCs w:val="21"/>
              </w:rPr>
              <w:t>面积（hm</w:t>
            </w:r>
            <w:r>
              <w:rPr>
                <w:rFonts w:eastAsia="仿宋_GB2312"/>
                <w:b/>
                <w:bCs/>
                <w:color w:val="000000"/>
                <w:sz w:val="21"/>
                <w:szCs w:val="21"/>
                <w:vertAlign w:val="superscript"/>
              </w:rPr>
              <w:t>2</w:t>
            </w:r>
            <w:r>
              <w:rPr>
                <w:rFonts w:eastAsia="仿宋_GB2312"/>
                <w:b/>
                <w:bCs/>
                <w:color w:val="000000"/>
                <w:sz w:val="21"/>
                <w:szCs w:val="21"/>
              </w:rPr>
              <w:t>）</w:t>
            </w:r>
          </w:p>
        </w:tc>
        <w:tc>
          <w:tcPr>
            <w:tcW w:w="416" w:type="pct"/>
            <w:shd w:val="clear" w:color="auto" w:fill="auto"/>
            <w:vAlign w:val="center"/>
          </w:tcPr>
          <w:p>
            <w:pPr>
              <w:widowControl/>
              <w:topLinePunct w:val="0"/>
              <w:adjustRightInd/>
              <w:snapToGrid/>
              <w:spacing w:line="240" w:lineRule="auto"/>
              <w:ind w:firstLine="0" w:firstLineChars="0"/>
              <w:jc w:val="center"/>
              <w:rPr>
                <w:rFonts w:eastAsia="仿宋_GB2312"/>
                <w:b/>
                <w:bCs/>
                <w:color w:val="000000"/>
                <w:sz w:val="21"/>
                <w:szCs w:val="21"/>
              </w:rPr>
            </w:pPr>
            <w:r>
              <w:rPr>
                <w:rFonts w:eastAsia="仿宋_GB2312"/>
                <w:b/>
                <w:bCs/>
                <w:color w:val="000000"/>
                <w:sz w:val="21"/>
                <w:szCs w:val="21"/>
              </w:rPr>
              <w:t>侵蚀时间(a)</w:t>
            </w:r>
          </w:p>
        </w:tc>
        <w:tc>
          <w:tcPr>
            <w:tcW w:w="397" w:type="pct"/>
            <w:shd w:val="clear" w:color="auto" w:fill="auto"/>
            <w:vAlign w:val="center"/>
          </w:tcPr>
          <w:p>
            <w:pPr>
              <w:widowControl/>
              <w:topLinePunct w:val="0"/>
              <w:adjustRightInd/>
              <w:snapToGrid/>
              <w:spacing w:line="240" w:lineRule="auto"/>
              <w:ind w:firstLine="0" w:firstLineChars="0"/>
              <w:jc w:val="center"/>
              <w:rPr>
                <w:rFonts w:eastAsia="仿宋_GB2312"/>
                <w:b/>
                <w:bCs/>
                <w:color w:val="000000"/>
                <w:sz w:val="21"/>
                <w:szCs w:val="21"/>
              </w:rPr>
            </w:pPr>
            <w:r>
              <w:rPr>
                <w:rFonts w:eastAsia="仿宋_GB2312"/>
                <w:b/>
                <w:bCs/>
                <w:color w:val="000000"/>
                <w:sz w:val="21"/>
                <w:szCs w:val="21"/>
              </w:rPr>
              <w:t>背景流失量(t)</w:t>
            </w:r>
          </w:p>
        </w:tc>
        <w:tc>
          <w:tcPr>
            <w:tcW w:w="397" w:type="pct"/>
            <w:shd w:val="clear" w:color="auto" w:fill="auto"/>
            <w:vAlign w:val="center"/>
          </w:tcPr>
          <w:p>
            <w:pPr>
              <w:widowControl/>
              <w:topLinePunct w:val="0"/>
              <w:adjustRightInd/>
              <w:snapToGrid/>
              <w:spacing w:line="240" w:lineRule="auto"/>
              <w:ind w:firstLine="0" w:firstLineChars="0"/>
              <w:jc w:val="center"/>
              <w:rPr>
                <w:rFonts w:eastAsia="仿宋_GB2312"/>
                <w:b/>
                <w:bCs/>
                <w:color w:val="000000"/>
                <w:sz w:val="21"/>
                <w:szCs w:val="21"/>
              </w:rPr>
            </w:pPr>
            <w:r>
              <w:rPr>
                <w:rFonts w:eastAsia="仿宋_GB2312"/>
                <w:b/>
                <w:bCs/>
                <w:color w:val="000000"/>
                <w:sz w:val="21"/>
                <w:szCs w:val="21"/>
              </w:rPr>
              <w:t>预测流失量(t)</w:t>
            </w:r>
          </w:p>
        </w:tc>
        <w:tc>
          <w:tcPr>
            <w:tcW w:w="397" w:type="pct"/>
            <w:shd w:val="clear" w:color="auto" w:fill="auto"/>
            <w:vAlign w:val="center"/>
          </w:tcPr>
          <w:p>
            <w:pPr>
              <w:widowControl/>
              <w:topLinePunct w:val="0"/>
              <w:adjustRightInd/>
              <w:snapToGrid/>
              <w:spacing w:line="240" w:lineRule="auto"/>
              <w:ind w:firstLine="0" w:firstLineChars="0"/>
              <w:jc w:val="center"/>
              <w:rPr>
                <w:rFonts w:eastAsia="仿宋_GB2312"/>
                <w:b/>
                <w:bCs/>
                <w:color w:val="000000"/>
                <w:sz w:val="21"/>
                <w:szCs w:val="21"/>
              </w:rPr>
            </w:pPr>
            <w:r>
              <w:rPr>
                <w:rFonts w:eastAsia="仿宋_GB2312"/>
                <w:b/>
                <w:bCs/>
                <w:color w:val="000000"/>
                <w:sz w:val="21"/>
                <w:szCs w:val="21"/>
              </w:rPr>
              <w:t>新增流失量(t)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70" w:hRule="atLeast"/>
        </w:trPr>
        <w:tc>
          <w:tcPr>
            <w:tcW w:w="480" w:type="pct"/>
            <w:vMerge w:val="restar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管道工程区</w:t>
            </w:r>
          </w:p>
        </w:tc>
        <w:tc>
          <w:tcPr>
            <w:tcW w:w="832" w:type="pct"/>
            <w:gridSpan w:val="2"/>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施工期（含施工准备期）</w:t>
            </w:r>
          </w:p>
        </w:tc>
        <w:tc>
          <w:tcPr>
            <w:tcW w:w="749"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1500</w:t>
            </w:r>
          </w:p>
        </w:tc>
        <w:tc>
          <w:tcPr>
            <w:tcW w:w="749"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4500</w:t>
            </w:r>
          </w:p>
        </w:tc>
        <w:tc>
          <w:tcPr>
            <w:tcW w:w="582"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1.73</w:t>
            </w:r>
          </w:p>
        </w:tc>
        <w:tc>
          <w:tcPr>
            <w:tcW w:w="416"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0.42</w:t>
            </w:r>
          </w:p>
        </w:tc>
        <w:tc>
          <w:tcPr>
            <w:tcW w:w="397"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 xml:space="preserve">11 </w:t>
            </w:r>
          </w:p>
        </w:tc>
        <w:tc>
          <w:tcPr>
            <w:tcW w:w="397"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 xml:space="preserve">33 </w:t>
            </w:r>
          </w:p>
        </w:tc>
        <w:tc>
          <w:tcPr>
            <w:tcW w:w="397"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 xml:space="preserve">22 </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70" w:hRule="atLeast"/>
        </w:trPr>
        <w:tc>
          <w:tcPr>
            <w:tcW w:w="480" w:type="pct"/>
            <w:vMerge w:val="continue"/>
            <w:vAlign w:val="center"/>
          </w:tcPr>
          <w:p>
            <w:pPr>
              <w:widowControl/>
              <w:topLinePunct w:val="0"/>
              <w:adjustRightInd/>
              <w:snapToGrid/>
              <w:spacing w:line="240" w:lineRule="auto"/>
              <w:ind w:firstLine="0" w:firstLineChars="0"/>
              <w:jc w:val="left"/>
              <w:rPr>
                <w:rFonts w:eastAsia="仿宋_GB2312"/>
                <w:color w:val="000000"/>
                <w:sz w:val="21"/>
                <w:szCs w:val="21"/>
              </w:rPr>
            </w:pPr>
          </w:p>
        </w:tc>
        <w:tc>
          <w:tcPr>
            <w:tcW w:w="250" w:type="pct"/>
            <w:vMerge w:val="restart"/>
            <w:shd w:val="clear" w:color="auto" w:fill="auto"/>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自然恢复期</w:t>
            </w:r>
          </w:p>
        </w:tc>
        <w:tc>
          <w:tcPr>
            <w:tcW w:w="582"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第一年</w:t>
            </w:r>
          </w:p>
        </w:tc>
        <w:tc>
          <w:tcPr>
            <w:tcW w:w="749"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1500</w:t>
            </w:r>
          </w:p>
        </w:tc>
        <w:tc>
          <w:tcPr>
            <w:tcW w:w="749"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2500</w:t>
            </w:r>
          </w:p>
        </w:tc>
        <w:tc>
          <w:tcPr>
            <w:tcW w:w="582"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0.55</w:t>
            </w:r>
          </w:p>
        </w:tc>
        <w:tc>
          <w:tcPr>
            <w:tcW w:w="416"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1</w:t>
            </w:r>
          </w:p>
        </w:tc>
        <w:tc>
          <w:tcPr>
            <w:tcW w:w="397"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 xml:space="preserve">8 </w:t>
            </w:r>
          </w:p>
        </w:tc>
        <w:tc>
          <w:tcPr>
            <w:tcW w:w="397"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 xml:space="preserve">14 </w:t>
            </w:r>
          </w:p>
        </w:tc>
        <w:tc>
          <w:tcPr>
            <w:tcW w:w="397"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 xml:space="preserve">6 </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70" w:hRule="atLeast"/>
        </w:trPr>
        <w:tc>
          <w:tcPr>
            <w:tcW w:w="480" w:type="pct"/>
            <w:vMerge w:val="continue"/>
            <w:vAlign w:val="center"/>
          </w:tcPr>
          <w:p>
            <w:pPr>
              <w:widowControl/>
              <w:topLinePunct w:val="0"/>
              <w:adjustRightInd/>
              <w:snapToGrid/>
              <w:spacing w:line="240" w:lineRule="auto"/>
              <w:ind w:firstLine="0" w:firstLineChars="0"/>
              <w:jc w:val="left"/>
              <w:rPr>
                <w:rFonts w:eastAsia="仿宋_GB2312"/>
                <w:color w:val="000000"/>
                <w:sz w:val="21"/>
                <w:szCs w:val="21"/>
              </w:rPr>
            </w:pPr>
          </w:p>
        </w:tc>
        <w:tc>
          <w:tcPr>
            <w:tcW w:w="250" w:type="pct"/>
            <w:vMerge w:val="continue"/>
            <w:vAlign w:val="center"/>
          </w:tcPr>
          <w:p>
            <w:pPr>
              <w:widowControl/>
              <w:topLinePunct w:val="0"/>
              <w:adjustRightInd/>
              <w:snapToGrid/>
              <w:spacing w:line="240" w:lineRule="auto"/>
              <w:ind w:firstLine="0" w:firstLineChars="0"/>
              <w:jc w:val="left"/>
              <w:rPr>
                <w:rFonts w:eastAsia="仿宋_GB2312"/>
                <w:color w:val="000000"/>
                <w:sz w:val="21"/>
                <w:szCs w:val="21"/>
              </w:rPr>
            </w:pPr>
          </w:p>
        </w:tc>
        <w:tc>
          <w:tcPr>
            <w:tcW w:w="582"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第二年</w:t>
            </w:r>
          </w:p>
        </w:tc>
        <w:tc>
          <w:tcPr>
            <w:tcW w:w="749"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1500</w:t>
            </w:r>
          </w:p>
        </w:tc>
        <w:tc>
          <w:tcPr>
            <w:tcW w:w="749"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2100</w:t>
            </w:r>
          </w:p>
        </w:tc>
        <w:tc>
          <w:tcPr>
            <w:tcW w:w="582"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0.55</w:t>
            </w:r>
          </w:p>
        </w:tc>
        <w:tc>
          <w:tcPr>
            <w:tcW w:w="416"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1</w:t>
            </w:r>
          </w:p>
        </w:tc>
        <w:tc>
          <w:tcPr>
            <w:tcW w:w="397"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 xml:space="preserve">8 </w:t>
            </w:r>
          </w:p>
        </w:tc>
        <w:tc>
          <w:tcPr>
            <w:tcW w:w="397"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 xml:space="preserve">12 </w:t>
            </w:r>
          </w:p>
        </w:tc>
        <w:tc>
          <w:tcPr>
            <w:tcW w:w="397"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 xml:space="preserve">3 </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70" w:hRule="atLeast"/>
        </w:trPr>
        <w:tc>
          <w:tcPr>
            <w:tcW w:w="480" w:type="pct"/>
            <w:vMerge w:val="continue"/>
            <w:vAlign w:val="center"/>
          </w:tcPr>
          <w:p>
            <w:pPr>
              <w:widowControl/>
              <w:topLinePunct w:val="0"/>
              <w:adjustRightInd/>
              <w:snapToGrid/>
              <w:spacing w:line="240" w:lineRule="auto"/>
              <w:ind w:firstLine="0" w:firstLineChars="0"/>
              <w:jc w:val="left"/>
              <w:rPr>
                <w:rFonts w:eastAsia="仿宋_GB2312"/>
                <w:color w:val="000000"/>
                <w:sz w:val="21"/>
                <w:szCs w:val="21"/>
              </w:rPr>
            </w:pPr>
          </w:p>
        </w:tc>
        <w:tc>
          <w:tcPr>
            <w:tcW w:w="250" w:type="pct"/>
            <w:vMerge w:val="continue"/>
            <w:vAlign w:val="center"/>
          </w:tcPr>
          <w:p>
            <w:pPr>
              <w:widowControl/>
              <w:topLinePunct w:val="0"/>
              <w:adjustRightInd/>
              <w:snapToGrid/>
              <w:spacing w:line="240" w:lineRule="auto"/>
              <w:ind w:firstLine="0" w:firstLineChars="0"/>
              <w:jc w:val="left"/>
              <w:rPr>
                <w:rFonts w:eastAsia="仿宋_GB2312"/>
                <w:color w:val="000000"/>
                <w:sz w:val="21"/>
                <w:szCs w:val="21"/>
              </w:rPr>
            </w:pPr>
          </w:p>
        </w:tc>
        <w:tc>
          <w:tcPr>
            <w:tcW w:w="582"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第三年</w:t>
            </w:r>
          </w:p>
        </w:tc>
        <w:tc>
          <w:tcPr>
            <w:tcW w:w="749"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1500</w:t>
            </w:r>
          </w:p>
        </w:tc>
        <w:tc>
          <w:tcPr>
            <w:tcW w:w="749"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1800</w:t>
            </w:r>
          </w:p>
        </w:tc>
        <w:tc>
          <w:tcPr>
            <w:tcW w:w="582"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0.55</w:t>
            </w:r>
          </w:p>
        </w:tc>
        <w:tc>
          <w:tcPr>
            <w:tcW w:w="416"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1</w:t>
            </w:r>
          </w:p>
        </w:tc>
        <w:tc>
          <w:tcPr>
            <w:tcW w:w="397"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 xml:space="preserve">8 </w:t>
            </w:r>
          </w:p>
        </w:tc>
        <w:tc>
          <w:tcPr>
            <w:tcW w:w="397"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 xml:space="preserve">10 </w:t>
            </w:r>
          </w:p>
        </w:tc>
        <w:tc>
          <w:tcPr>
            <w:tcW w:w="397"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 xml:space="preserve">2 </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70" w:hRule="atLeast"/>
        </w:trPr>
        <w:tc>
          <w:tcPr>
            <w:tcW w:w="480" w:type="pct"/>
            <w:vMerge w:val="continue"/>
            <w:vAlign w:val="center"/>
          </w:tcPr>
          <w:p>
            <w:pPr>
              <w:widowControl/>
              <w:topLinePunct w:val="0"/>
              <w:adjustRightInd/>
              <w:snapToGrid/>
              <w:spacing w:line="240" w:lineRule="auto"/>
              <w:ind w:firstLine="0" w:firstLineChars="0"/>
              <w:jc w:val="left"/>
              <w:rPr>
                <w:rFonts w:eastAsia="仿宋_GB2312"/>
                <w:color w:val="000000"/>
                <w:sz w:val="21"/>
                <w:szCs w:val="21"/>
              </w:rPr>
            </w:pPr>
          </w:p>
        </w:tc>
        <w:tc>
          <w:tcPr>
            <w:tcW w:w="250" w:type="pct"/>
            <w:vMerge w:val="continue"/>
            <w:vAlign w:val="center"/>
          </w:tcPr>
          <w:p>
            <w:pPr>
              <w:widowControl/>
              <w:topLinePunct w:val="0"/>
              <w:adjustRightInd/>
              <w:snapToGrid/>
              <w:spacing w:line="240" w:lineRule="auto"/>
              <w:ind w:firstLine="0" w:firstLineChars="0"/>
              <w:jc w:val="left"/>
              <w:rPr>
                <w:rFonts w:eastAsia="仿宋_GB2312"/>
                <w:color w:val="000000"/>
                <w:sz w:val="21"/>
                <w:szCs w:val="21"/>
              </w:rPr>
            </w:pPr>
          </w:p>
        </w:tc>
        <w:tc>
          <w:tcPr>
            <w:tcW w:w="582"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第四年</w:t>
            </w:r>
          </w:p>
        </w:tc>
        <w:tc>
          <w:tcPr>
            <w:tcW w:w="749"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1500</w:t>
            </w:r>
          </w:p>
        </w:tc>
        <w:tc>
          <w:tcPr>
            <w:tcW w:w="749"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1600</w:t>
            </w:r>
          </w:p>
        </w:tc>
        <w:tc>
          <w:tcPr>
            <w:tcW w:w="582"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0.55</w:t>
            </w:r>
          </w:p>
        </w:tc>
        <w:tc>
          <w:tcPr>
            <w:tcW w:w="416"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1</w:t>
            </w:r>
          </w:p>
        </w:tc>
        <w:tc>
          <w:tcPr>
            <w:tcW w:w="397"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 xml:space="preserve">8 </w:t>
            </w:r>
          </w:p>
        </w:tc>
        <w:tc>
          <w:tcPr>
            <w:tcW w:w="397"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 xml:space="preserve">9 </w:t>
            </w:r>
          </w:p>
        </w:tc>
        <w:tc>
          <w:tcPr>
            <w:tcW w:w="397"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 xml:space="preserve">1 </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70" w:hRule="atLeast"/>
        </w:trPr>
        <w:tc>
          <w:tcPr>
            <w:tcW w:w="480" w:type="pct"/>
            <w:vMerge w:val="continue"/>
            <w:vAlign w:val="center"/>
          </w:tcPr>
          <w:p>
            <w:pPr>
              <w:widowControl/>
              <w:topLinePunct w:val="0"/>
              <w:adjustRightInd/>
              <w:snapToGrid/>
              <w:spacing w:line="240" w:lineRule="auto"/>
              <w:ind w:firstLine="0" w:firstLineChars="0"/>
              <w:jc w:val="left"/>
              <w:rPr>
                <w:rFonts w:eastAsia="仿宋_GB2312"/>
                <w:color w:val="000000"/>
                <w:sz w:val="21"/>
                <w:szCs w:val="21"/>
              </w:rPr>
            </w:pPr>
          </w:p>
        </w:tc>
        <w:tc>
          <w:tcPr>
            <w:tcW w:w="250" w:type="pct"/>
            <w:vMerge w:val="continue"/>
            <w:vAlign w:val="center"/>
          </w:tcPr>
          <w:p>
            <w:pPr>
              <w:widowControl/>
              <w:topLinePunct w:val="0"/>
              <w:adjustRightInd/>
              <w:snapToGrid/>
              <w:spacing w:line="240" w:lineRule="auto"/>
              <w:ind w:firstLine="0" w:firstLineChars="0"/>
              <w:jc w:val="left"/>
              <w:rPr>
                <w:rFonts w:eastAsia="仿宋_GB2312"/>
                <w:color w:val="000000"/>
                <w:sz w:val="21"/>
                <w:szCs w:val="21"/>
              </w:rPr>
            </w:pPr>
          </w:p>
        </w:tc>
        <w:tc>
          <w:tcPr>
            <w:tcW w:w="582"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第五年</w:t>
            </w:r>
          </w:p>
        </w:tc>
        <w:tc>
          <w:tcPr>
            <w:tcW w:w="749"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1500</w:t>
            </w:r>
          </w:p>
        </w:tc>
        <w:tc>
          <w:tcPr>
            <w:tcW w:w="749"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1500</w:t>
            </w:r>
          </w:p>
        </w:tc>
        <w:tc>
          <w:tcPr>
            <w:tcW w:w="582"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0.55</w:t>
            </w:r>
          </w:p>
        </w:tc>
        <w:tc>
          <w:tcPr>
            <w:tcW w:w="416"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1</w:t>
            </w:r>
          </w:p>
        </w:tc>
        <w:tc>
          <w:tcPr>
            <w:tcW w:w="397"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 xml:space="preserve">8 </w:t>
            </w:r>
          </w:p>
        </w:tc>
        <w:tc>
          <w:tcPr>
            <w:tcW w:w="397"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 xml:space="preserve">8 </w:t>
            </w:r>
          </w:p>
        </w:tc>
        <w:tc>
          <w:tcPr>
            <w:tcW w:w="397"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 xml:space="preserve">0 </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70" w:hRule="atLeast"/>
        </w:trPr>
        <w:tc>
          <w:tcPr>
            <w:tcW w:w="480" w:type="pct"/>
            <w:vMerge w:val="continue"/>
            <w:vAlign w:val="center"/>
          </w:tcPr>
          <w:p>
            <w:pPr>
              <w:widowControl/>
              <w:topLinePunct w:val="0"/>
              <w:adjustRightInd/>
              <w:snapToGrid/>
              <w:spacing w:line="240" w:lineRule="auto"/>
              <w:ind w:firstLine="0" w:firstLineChars="0"/>
              <w:jc w:val="left"/>
              <w:rPr>
                <w:rFonts w:eastAsia="仿宋_GB2312"/>
                <w:color w:val="000000"/>
                <w:sz w:val="21"/>
                <w:szCs w:val="21"/>
              </w:rPr>
            </w:pPr>
          </w:p>
        </w:tc>
        <w:tc>
          <w:tcPr>
            <w:tcW w:w="832" w:type="pct"/>
            <w:gridSpan w:val="2"/>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小计</w:t>
            </w:r>
          </w:p>
        </w:tc>
        <w:tc>
          <w:tcPr>
            <w:tcW w:w="749"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749"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582"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416"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397"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 xml:space="preserve">52 </w:t>
            </w:r>
          </w:p>
        </w:tc>
        <w:tc>
          <w:tcPr>
            <w:tcW w:w="397"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 xml:space="preserve">85 </w:t>
            </w:r>
          </w:p>
        </w:tc>
        <w:tc>
          <w:tcPr>
            <w:tcW w:w="397"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 xml:space="preserve">33 </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70" w:hRule="atLeast"/>
        </w:trPr>
        <w:tc>
          <w:tcPr>
            <w:tcW w:w="480" w:type="pct"/>
            <w:vMerge w:val="restar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附属构筑物区</w:t>
            </w:r>
          </w:p>
        </w:tc>
        <w:tc>
          <w:tcPr>
            <w:tcW w:w="832" w:type="pct"/>
            <w:gridSpan w:val="2"/>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施工期（含施工准备期）</w:t>
            </w:r>
          </w:p>
        </w:tc>
        <w:tc>
          <w:tcPr>
            <w:tcW w:w="749"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1500</w:t>
            </w:r>
          </w:p>
        </w:tc>
        <w:tc>
          <w:tcPr>
            <w:tcW w:w="749"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4500</w:t>
            </w:r>
          </w:p>
        </w:tc>
        <w:tc>
          <w:tcPr>
            <w:tcW w:w="582"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0.11</w:t>
            </w:r>
          </w:p>
        </w:tc>
        <w:tc>
          <w:tcPr>
            <w:tcW w:w="416"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0.42</w:t>
            </w:r>
          </w:p>
        </w:tc>
        <w:tc>
          <w:tcPr>
            <w:tcW w:w="397"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 xml:space="preserve">1 </w:t>
            </w:r>
          </w:p>
        </w:tc>
        <w:tc>
          <w:tcPr>
            <w:tcW w:w="397"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 xml:space="preserve">2 </w:t>
            </w:r>
          </w:p>
        </w:tc>
        <w:tc>
          <w:tcPr>
            <w:tcW w:w="397"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 xml:space="preserve">1 </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70" w:hRule="atLeast"/>
        </w:trPr>
        <w:tc>
          <w:tcPr>
            <w:tcW w:w="480" w:type="pct"/>
            <w:vMerge w:val="continue"/>
            <w:vAlign w:val="center"/>
          </w:tcPr>
          <w:p>
            <w:pPr>
              <w:widowControl/>
              <w:topLinePunct w:val="0"/>
              <w:adjustRightInd/>
              <w:snapToGrid/>
              <w:spacing w:line="240" w:lineRule="auto"/>
              <w:ind w:firstLine="0" w:firstLineChars="0"/>
              <w:jc w:val="left"/>
              <w:rPr>
                <w:rFonts w:eastAsia="仿宋_GB2312"/>
                <w:color w:val="000000"/>
                <w:sz w:val="21"/>
                <w:szCs w:val="21"/>
              </w:rPr>
            </w:pPr>
          </w:p>
        </w:tc>
        <w:tc>
          <w:tcPr>
            <w:tcW w:w="250" w:type="pct"/>
            <w:vMerge w:val="restart"/>
            <w:shd w:val="clear" w:color="auto" w:fill="auto"/>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自然恢复期</w:t>
            </w:r>
          </w:p>
        </w:tc>
        <w:tc>
          <w:tcPr>
            <w:tcW w:w="582"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第一年</w:t>
            </w:r>
          </w:p>
        </w:tc>
        <w:tc>
          <w:tcPr>
            <w:tcW w:w="749"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1500</w:t>
            </w:r>
          </w:p>
        </w:tc>
        <w:tc>
          <w:tcPr>
            <w:tcW w:w="749"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2500</w:t>
            </w:r>
          </w:p>
        </w:tc>
        <w:tc>
          <w:tcPr>
            <w:tcW w:w="582"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0.09</w:t>
            </w:r>
          </w:p>
        </w:tc>
        <w:tc>
          <w:tcPr>
            <w:tcW w:w="416"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1</w:t>
            </w:r>
          </w:p>
        </w:tc>
        <w:tc>
          <w:tcPr>
            <w:tcW w:w="397"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 xml:space="preserve">1 </w:t>
            </w:r>
          </w:p>
        </w:tc>
        <w:tc>
          <w:tcPr>
            <w:tcW w:w="397"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 xml:space="preserve">2 </w:t>
            </w:r>
          </w:p>
        </w:tc>
        <w:tc>
          <w:tcPr>
            <w:tcW w:w="397"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 xml:space="preserve">1 </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70" w:hRule="atLeast"/>
        </w:trPr>
        <w:tc>
          <w:tcPr>
            <w:tcW w:w="480" w:type="pct"/>
            <w:vMerge w:val="continue"/>
            <w:vAlign w:val="center"/>
          </w:tcPr>
          <w:p>
            <w:pPr>
              <w:widowControl/>
              <w:topLinePunct w:val="0"/>
              <w:adjustRightInd/>
              <w:snapToGrid/>
              <w:spacing w:line="240" w:lineRule="auto"/>
              <w:ind w:firstLine="0" w:firstLineChars="0"/>
              <w:jc w:val="left"/>
              <w:rPr>
                <w:rFonts w:eastAsia="仿宋_GB2312"/>
                <w:color w:val="000000"/>
                <w:sz w:val="21"/>
                <w:szCs w:val="21"/>
              </w:rPr>
            </w:pPr>
          </w:p>
        </w:tc>
        <w:tc>
          <w:tcPr>
            <w:tcW w:w="250" w:type="pct"/>
            <w:vMerge w:val="continue"/>
            <w:vAlign w:val="center"/>
          </w:tcPr>
          <w:p>
            <w:pPr>
              <w:widowControl/>
              <w:topLinePunct w:val="0"/>
              <w:adjustRightInd/>
              <w:snapToGrid/>
              <w:spacing w:line="240" w:lineRule="auto"/>
              <w:ind w:firstLine="0" w:firstLineChars="0"/>
              <w:jc w:val="left"/>
              <w:rPr>
                <w:rFonts w:eastAsia="仿宋_GB2312"/>
                <w:color w:val="000000"/>
                <w:sz w:val="21"/>
                <w:szCs w:val="21"/>
              </w:rPr>
            </w:pPr>
          </w:p>
        </w:tc>
        <w:tc>
          <w:tcPr>
            <w:tcW w:w="582"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第二年</w:t>
            </w:r>
          </w:p>
        </w:tc>
        <w:tc>
          <w:tcPr>
            <w:tcW w:w="749"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1500</w:t>
            </w:r>
          </w:p>
        </w:tc>
        <w:tc>
          <w:tcPr>
            <w:tcW w:w="749"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2100</w:t>
            </w:r>
          </w:p>
        </w:tc>
        <w:tc>
          <w:tcPr>
            <w:tcW w:w="582"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0.09</w:t>
            </w:r>
          </w:p>
        </w:tc>
        <w:tc>
          <w:tcPr>
            <w:tcW w:w="416"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1</w:t>
            </w:r>
          </w:p>
        </w:tc>
        <w:tc>
          <w:tcPr>
            <w:tcW w:w="397"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 xml:space="preserve">1 </w:t>
            </w:r>
          </w:p>
        </w:tc>
        <w:tc>
          <w:tcPr>
            <w:tcW w:w="397"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 xml:space="preserve">2 </w:t>
            </w:r>
          </w:p>
        </w:tc>
        <w:tc>
          <w:tcPr>
            <w:tcW w:w="397"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 xml:space="preserve">1 </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70" w:hRule="atLeast"/>
        </w:trPr>
        <w:tc>
          <w:tcPr>
            <w:tcW w:w="480" w:type="pct"/>
            <w:vMerge w:val="continue"/>
            <w:vAlign w:val="center"/>
          </w:tcPr>
          <w:p>
            <w:pPr>
              <w:widowControl/>
              <w:topLinePunct w:val="0"/>
              <w:adjustRightInd/>
              <w:snapToGrid/>
              <w:spacing w:line="240" w:lineRule="auto"/>
              <w:ind w:firstLine="0" w:firstLineChars="0"/>
              <w:jc w:val="left"/>
              <w:rPr>
                <w:rFonts w:eastAsia="仿宋_GB2312"/>
                <w:color w:val="000000"/>
                <w:sz w:val="21"/>
                <w:szCs w:val="21"/>
              </w:rPr>
            </w:pPr>
          </w:p>
        </w:tc>
        <w:tc>
          <w:tcPr>
            <w:tcW w:w="250" w:type="pct"/>
            <w:vMerge w:val="continue"/>
            <w:vAlign w:val="center"/>
          </w:tcPr>
          <w:p>
            <w:pPr>
              <w:widowControl/>
              <w:topLinePunct w:val="0"/>
              <w:adjustRightInd/>
              <w:snapToGrid/>
              <w:spacing w:line="240" w:lineRule="auto"/>
              <w:ind w:firstLine="0" w:firstLineChars="0"/>
              <w:jc w:val="left"/>
              <w:rPr>
                <w:rFonts w:eastAsia="仿宋_GB2312"/>
                <w:color w:val="000000"/>
                <w:sz w:val="21"/>
                <w:szCs w:val="21"/>
              </w:rPr>
            </w:pPr>
          </w:p>
        </w:tc>
        <w:tc>
          <w:tcPr>
            <w:tcW w:w="582"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第三年</w:t>
            </w:r>
          </w:p>
        </w:tc>
        <w:tc>
          <w:tcPr>
            <w:tcW w:w="749"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1500</w:t>
            </w:r>
          </w:p>
        </w:tc>
        <w:tc>
          <w:tcPr>
            <w:tcW w:w="749"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1800</w:t>
            </w:r>
          </w:p>
        </w:tc>
        <w:tc>
          <w:tcPr>
            <w:tcW w:w="582"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0.09</w:t>
            </w:r>
          </w:p>
        </w:tc>
        <w:tc>
          <w:tcPr>
            <w:tcW w:w="416"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1</w:t>
            </w:r>
          </w:p>
        </w:tc>
        <w:tc>
          <w:tcPr>
            <w:tcW w:w="397"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 xml:space="preserve">1 </w:t>
            </w:r>
          </w:p>
        </w:tc>
        <w:tc>
          <w:tcPr>
            <w:tcW w:w="397"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 xml:space="preserve">2 </w:t>
            </w:r>
          </w:p>
        </w:tc>
        <w:tc>
          <w:tcPr>
            <w:tcW w:w="397"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 xml:space="preserve">0 </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70" w:hRule="atLeast"/>
        </w:trPr>
        <w:tc>
          <w:tcPr>
            <w:tcW w:w="480" w:type="pct"/>
            <w:vMerge w:val="continue"/>
            <w:vAlign w:val="center"/>
          </w:tcPr>
          <w:p>
            <w:pPr>
              <w:widowControl/>
              <w:topLinePunct w:val="0"/>
              <w:adjustRightInd/>
              <w:snapToGrid/>
              <w:spacing w:line="240" w:lineRule="auto"/>
              <w:ind w:firstLine="0" w:firstLineChars="0"/>
              <w:jc w:val="left"/>
              <w:rPr>
                <w:rFonts w:eastAsia="仿宋_GB2312"/>
                <w:color w:val="000000"/>
                <w:sz w:val="21"/>
                <w:szCs w:val="21"/>
              </w:rPr>
            </w:pPr>
          </w:p>
        </w:tc>
        <w:tc>
          <w:tcPr>
            <w:tcW w:w="250" w:type="pct"/>
            <w:vMerge w:val="continue"/>
            <w:vAlign w:val="center"/>
          </w:tcPr>
          <w:p>
            <w:pPr>
              <w:widowControl/>
              <w:topLinePunct w:val="0"/>
              <w:adjustRightInd/>
              <w:snapToGrid/>
              <w:spacing w:line="240" w:lineRule="auto"/>
              <w:ind w:firstLine="0" w:firstLineChars="0"/>
              <w:jc w:val="left"/>
              <w:rPr>
                <w:rFonts w:eastAsia="仿宋_GB2312"/>
                <w:color w:val="000000"/>
                <w:sz w:val="21"/>
                <w:szCs w:val="21"/>
              </w:rPr>
            </w:pPr>
          </w:p>
        </w:tc>
        <w:tc>
          <w:tcPr>
            <w:tcW w:w="582"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第四年</w:t>
            </w:r>
          </w:p>
        </w:tc>
        <w:tc>
          <w:tcPr>
            <w:tcW w:w="749"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1500</w:t>
            </w:r>
          </w:p>
        </w:tc>
        <w:tc>
          <w:tcPr>
            <w:tcW w:w="749"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1600</w:t>
            </w:r>
          </w:p>
        </w:tc>
        <w:tc>
          <w:tcPr>
            <w:tcW w:w="582"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0.09</w:t>
            </w:r>
          </w:p>
        </w:tc>
        <w:tc>
          <w:tcPr>
            <w:tcW w:w="416"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1</w:t>
            </w:r>
          </w:p>
        </w:tc>
        <w:tc>
          <w:tcPr>
            <w:tcW w:w="397"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 xml:space="preserve">1 </w:t>
            </w:r>
          </w:p>
        </w:tc>
        <w:tc>
          <w:tcPr>
            <w:tcW w:w="397"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 xml:space="preserve">1 </w:t>
            </w:r>
          </w:p>
        </w:tc>
        <w:tc>
          <w:tcPr>
            <w:tcW w:w="397"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 xml:space="preserve">0 </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70" w:hRule="atLeast"/>
        </w:trPr>
        <w:tc>
          <w:tcPr>
            <w:tcW w:w="480" w:type="pct"/>
            <w:vMerge w:val="continue"/>
            <w:vAlign w:val="center"/>
          </w:tcPr>
          <w:p>
            <w:pPr>
              <w:widowControl/>
              <w:topLinePunct w:val="0"/>
              <w:adjustRightInd/>
              <w:snapToGrid/>
              <w:spacing w:line="240" w:lineRule="auto"/>
              <w:ind w:firstLine="0" w:firstLineChars="0"/>
              <w:jc w:val="left"/>
              <w:rPr>
                <w:rFonts w:eastAsia="仿宋_GB2312"/>
                <w:color w:val="000000"/>
                <w:sz w:val="21"/>
                <w:szCs w:val="21"/>
              </w:rPr>
            </w:pPr>
          </w:p>
        </w:tc>
        <w:tc>
          <w:tcPr>
            <w:tcW w:w="250" w:type="pct"/>
            <w:vMerge w:val="continue"/>
            <w:vAlign w:val="center"/>
          </w:tcPr>
          <w:p>
            <w:pPr>
              <w:widowControl/>
              <w:topLinePunct w:val="0"/>
              <w:adjustRightInd/>
              <w:snapToGrid/>
              <w:spacing w:line="240" w:lineRule="auto"/>
              <w:ind w:firstLine="0" w:firstLineChars="0"/>
              <w:jc w:val="left"/>
              <w:rPr>
                <w:rFonts w:eastAsia="仿宋_GB2312"/>
                <w:color w:val="000000"/>
                <w:sz w:val="21"/>
                <w:szCs w:val="21"/>
              </w:rPr>
            </w:pPr>
          </w:p>
        </w:tc>
        <w:tc>
          <w:tcPr>
            <w:tcW w:w="582"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第五年</w:t>
            </w:r>
          </w:p>
        </w:tc>
        <w:tc>
          <w:tcPr>
            <w:tcW w:w="749"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1500</w:t>
            </w:r>
          </w:p>
        </w:tc>
        <w:tc>
          <w:tcPr>
            <w:tcW w:w="749"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1500</w:t>
            </w:r>
          </w:p>
        </w:tc>
        <w:tc>
          <w:tcPr>
            <w:tcW w:w="582"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0.09</w:t>
            </w:r>
          </w:p>
        </w:tc>
        <w:tc>
          <w:tcPr>
            <w:tcW w:w="416"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1</w:t>
            </w:r>
          </w:p>
        </w:tc>
        <w:tc>
          <w:tcPr>
            <w:tcW w:w="397"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 xml:space="preserve">1 </w:t>
            </w:r>
          </w:p>
        </w:tc>
        <w:tc>
          <w:tcPr>
            <w:tcW w:w="397"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 xml:space="preserve">1 </w:t>
            </w:r>
          </w:p>
        </w:tc>
        <w:tc>
          <w:tcPr>
            <w:tcW w:w="397"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 xml:space="preserve">0 </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70" w:hRule="atLeast"/>
        </w:trPr>
        <w:tc>
          <w:tcPr>
            <w:tcW w:w="480" w:type="pct"/>
            <w:vMerge w:val="continue"/>
            <w:vAlign w:val="center"/>
          </w:tcPr>
          <w:p>
            <w:pPr>
              <w:widowControl/>
              <w:topLinePunct w:val="0"/>
              <w:adjustRightInd/>
              <w:snapToGrid/>
              <w:spacing w:line="240" w:lineRule="auto"/>
              <w:ind w:firstLine="0" w:firstLineChars="0"/>
              <w:jc w:val="left"/>
              <w:rPr>
                <w:rFonts w:eastAsia="仿宋_GB2312"/>
                <w:color w:val="000000"/>
                <w:sz w:val="21"/>
                <w:szCs w:val="21"/>
              </w:rPr>
            </w:pPr>
          </w:p>
        </w:tc>
        <w:tc>
          <w:tcPr>
            <w:tcW w:w="832" w:type="pct"/>
            <w:gridSpan w:val="2"/>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小计</w:t>
            </w:r>
          </w:p>
        </w:tc>
        <w:tc>
          <w:tcPr>
            <w:tcW w:w="749"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749"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582"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416"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397"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 xml:space="preserve">7 </w:t>
            </w:r>
          </w:p>
        </w:tc>
        <w:tc>
          <w:tcPr>
            <w:tcW w:w="397"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 xml:space="preserve">11 </w:t>
            </w:r>
          </w:p>
        </w:tc>
        <w:tc>
          <w:tcPr>
            <w:tcW w:w="397"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 xml:space="preserve">3 </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70" w:hRule="atLeast"/>
        </w:trPr>
        <w:tc>
          <w:tcPr>
            <w:tcW w:w="1312" w:type="pct"/>
            <w:gridSpan w:val="3"/>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合计</w:t>
            </w:r>
          </w:p>
        </w:tc>
        <w:tc>
          <w:tcPr>
            <w:tcW w:w="749"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749"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582"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416"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397"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 xml:space="preserve">60 </w:t>
            </w:r>
          </w:p>
        </w:tc>
        <w:tc>
          <w:tcPr>
            <w:tcW w:w="397"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 xml:space="preserve">96 </w:t>
            </w:r>
          </w:p>
        </w:tc>
        <w:tc>
          <w:tcPr>
            <w:tcW w:w="397"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 xml:space="preserve">36 </w:t>
            </w:r>
          </w:p>
        </w:tc>
      </w:tr>
    </w:tbl>
    <w:p>
      <w:pPr>
        <w:tabs>
          <w:tab w:val="left" w:pos="840"/>
          <w:tab w:val="left" w:pos="1485"/>
        </w:tabs>
        <w:spacing w:line="240" w:lineRule="auto"/>
        <w:ind w:firstLine="480"/>
        <w:jc w:val="center"/>
        <w:rPr>
          <w:rFonts w:eastAsia="仿宋_GB2312"/>
          <w:b/>
          <w:bCs/>
          <w:lang w:val="zh-CN"/>
        </w:rPr>
      </w:pPr>
    </w:p>
    <w:p>
      <w:pPr>
        <w:autoSpaceDE w:val="0"/>
        <w:autoSpaceDN w:val="0"/>
        <w:spacing w:line="240" w:lineRule="auto"/>
        <w:ind w:firstLine="480"/>
        <w:jc w:val="center"/>
        <w:rPr>
          <w:rFonts w:eastAsia="仿宋_GB2312"/>
          <w:b/>
          <w:bCs/>
          <w:lang w:val="zh-CN"/>
        </w:rPr>
      </w:pPr>
      <w:r>
        <w:rPr>
          <w:rFonts w:eastAsia="仿宋_GB2312"/>
          <w:b/>
          <w:bCs/>
          <w:lang w:val="zh-CN"/>
        </w:rPr>
        <w:t>表</w:t>
      </w:r>
      <w:r>
        <w:rPr>
          <w:rFonts w:hint="eastAsia" w:eastAsia="仿宋_GB2312"/>
          <w:b/>
          <w:bCs/>
          <w:lang w:val="zh-CN"/>
        </w:rPr>
        <w:t xml:space="preserve">4.3-6    </w:t>
      </w:r>
      <w:r>
        <w:rPr>
          <w:rFonts w:eastAsia="仿宋_GB2312"/>
          <w:b/>
          <w:bCs/>
          <w:lang w:val="zh-CN"/>
        </w:rPr>
        <w:t>工程建设各防治区水土流失量预测</w:t>
      </w:r>
      <w:r>
        <w:rPr>
          <w:rFonts w:hint="eastAsia" w:eastAsia="仿宋_GB2312"/>
          <w:b/>
          <w:bCs/>
          <w:lang w:val="zh-CN"/>
        </w:rPr>
        <w:t>统计</w:t>
      </w:r>
      <w:r>
        <w:rPr>
          <w:rFonts w:eastAsia="仿宋_GB2312"/>
          <w:b/>
          <w:bCs/>
          <w:lang w:val="zh-CN"/>
        </w:rPr>
        <w:t>表</w:t>
      </w:r>
    </w:p>
    <w:tbl>
      <w:tblPr>
        <w:tblStyle w:val="41"/>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973"/>
        <w:gridCol w:w="1850"/>
        <w:gridCol w:w="1848"/>
        <w:gridCol w:w="184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746" w:type="pct"/>
            <w:vAlign w:val="center"/>
          </w:tcPr>
          <w:p>
            <w:pPr>
              <w:topLinePunct w:val="0"/>
              <w:adjustRightInd/>
              <w:snapToGrid/>
              <w:spacing w:line="240" w:lineRule="auto"/>
              <w:ind w:firstLine="0" w:firstLineChars="0"/>
              <w:jc w:val="center"/>
              <w:rPr>
                <w:rFonts w:eastAsia="仿宋_GB2312"/>
                <w:sz w:val="21"/>
                <w:szCs w:val="21"/>
              </w:rPr>
            </w:pPr>
            <w:r>
              <w:rPr>
                <w:rFonts w:eastAsia="仿宋_GB2312"/>
                <w:sz w:val="21"/>
                <w:szCs w:val="21"/>
              </w:rPr>
              <w:t>预测单元</w:t>
            </w:r>
          </w:p>
        </w:tc>
        <w:tc>
          <w:tcPr>
            <w:tcW w:w="1086" w:type="pct"/>
            <w:vAlign w:val="center"/>
          </w:tcPr>
          <w:p>
            <w:pPr>
              <w:topLinePunct w:val="0"/>
              <w:adjustRightInd/>
              <w:snapToGrid/>
              <w:spacing w:line="240" w:lineRule="auto"/>
              <w:ind w:firstLine="0" w:firstLineChars="0"/>
              <w:jc w:val="center"/>
              <w:rPr>
                <w:rFonts w:eastAsia="仿宋_GB2312"/>
                <w:sz w:val="21"/>
                <w:szCs w:val="21"/>
              </w:rPr>
            </w:pPr>
            <w:r>
              <w:rPr>
                <w:rFonts w:eastAsia="仿宋_GB2312"/>
                <w:sz w:val="21"/>
                <w:szCs w:val="21"/>
              </w:rPr>
              <w:t>背景流失量(t)</w:t>
            </w:r>
          </w:p>
        </w:tc>
        <w:tc>
          <w:tcPr>
            <w:tcW w:w="1085" w:type="pct"/>
            <w:vAlign w:val="center"/>
          </w:tcPr>
          <w:p>
            <w:pPr>
              <w:topLinePunct w:val="0"/>
              <w:adjustRightInd/>
              <w:snapToGrid/>
              <w:spacing w:line="240" w:lineRule="auto"/>
              <w:ind w:firstLine="0" w:firstLineChars="0"/>
              <w:jc w:val="center"/>
              <w:rPr>
                <w:rFonts w:eastAsia="仿宋_GB2312"/>
                <w:sz w:val="21"/>
                <w:szCs w:val="21"/>
              </w:rPr>
            </w:pPr>
            <w:r>
              <w:rPr>
                <w:rFonts w:eastAsia="仿宋_GB2312"/>
                <w:sz w:val="21"/>
                <w:szCs w:val="21"/>
              </w:rPr>
              <w:t>预测流失量(t)</w:t>
            </w:r>
          </w:p>
        </w:tc>
        <w:tc>
          <w:tcPr>
            <w:tcW w:w="1083" w:type="pct"/>
            <w:vAlign w:val="center"/>
          </w:tcPr>
          <w:p>
            <w:pPr>
              <w:topLinePunct w:val="0"/>
              <w:adjustRightInd/>
              <w:snapToGrid/>
              <w:spacing w:line="240" w:lineRule="auto"/>
              <w:ind w:firstLine="0" w:firstLineChars="0"/>
              <w:jc w:val="center"/>
              <w:rPr>
                <w:rFonts w:eastAsia="仿宋_GB2312"/>
                <w:sz w:val="21"/>
                <w:szCs w:val="21"/>
              </w:rPr>
            </w:pPr>
            <w:r>
              <w:rPr>
                <w:rFonts w:eastAsia="仿宋_GB2312"/>
                <w:sz w:val="21"/>
                <w:szCs w:val="21"/>
              </w:rPr>
              <w:t>新增流失量(t)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746" w:type="pct"/>
            <w:vAlign w:val="center"/>
          </w:tcPr>
          <w:p>
            <w:pPr>
              <w:topLinePunct w:val="0"/>
              <w:adjustRightInd/>
              <w:snapToGrid/>
              <w:spacing w:line="240" w:lineRule="auto"/>
              <w:ind w:firstLine="0" w:firstLineChars="0"/>
              <w:jc w:val="center"/>
              <w:rPr>
                <w:rFonts w:eastAsia="仿宋_GB2312"/>
                <w:sz w:val="21"/>
                <w:szCs w:val="21"/>
              </w:rPr>
            </w:pPr>
            <w:r>
              <w:rPr>
                <w:rFonts w:hint="eastAsia" w:eastAsia="仿宋_GB2312"/>
                <w:sz w:val="21"/>
                <w:szCs w:val="21"/>
              </w:rPr>
              <w:t>管道工程区</w:t>
            </w:r>
          </w:p>
        </w:tc>
        <w:tc>
          <w:tcPr>
            <w:tcW w:w="1086" w:type="pct"/>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hint="eastAsia" w:eastAsia="仿宋_GB2312"/>
                <w:color w:val="000000"/>
                <w:sz w:val="21"/>
                <w:szCs w:val="21"/>
              </w:rPr>
              <w:t>52</w:t>
            </w:r>
          </w:p>
        </w:tc>
        <w:tc>
          <w:tcPr>
            <w:tcW w:w="1085" w:type="pct"/>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hint="eastAsia" w:eastAsia="仿宋_GB2312"/>
                <w:color w:val="000000"/>
                <w:sz w:val="21"/>
                <w:szCs w:val="21"/>
              </w:rPr>
              <w:t>85</w:t>
            </w:r>
          </w:p>
        </w:tc>
        <w:tc>
          <w:tcPr>
            <w:tcW w:w="1083" w:type="pct"/>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hint="eastAsia" w:eastAsia="仿宋_GB2312"/>
                <w:color w:val="000000"/>
                <w:sz w:val="21"/>
                <w:szCs w:val="21"/>
              </w:rPr>
              <w:t>33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746" w:type="pct"/>
            <w:vAlign w:val="center"/>
          </w:tcPr>
          <w:p>
            <w:pPr>
              <w:topLinePunct w:val="0"/>
              <w:adjustRightInd/>
              <w:snapToGrid/>
              <w:spacing w:line="240" w:lineRule="auto"/>
              <w:ind w:firstLine="0" w:firstLineChars="0"/>
              <w:jc w:val="center"/>
              <w:rPr>
                <w:rFonts w:eastAsia="仿宋_GB2312"/>
                <w:sz w:val="21"/>
                <w:szCs w:val="21"/>
              </w:rPr>
            </w:pPr>
            <w:r>
              <w:rPr>
                <w:rFonts w:hint="eastAsia" w:eastAsia="仿宋_GB2312"/>
                <w:sz w:val="21"/>
                <w:szCs w:val="21"/>
              </w:rPr>
              <w:t>附属构筑物区</w:t>
            </w:r>
          </w:p>
        </w:tc>
        <w:tc>
          <w:tcPr>
            <w:tcW w:w="1086" w:type="pct"/>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hint="eastAsia" w:eastAsia="仿宋_GB2312"/>
                <w:color w:val="000000"/>
                <w:sz w:val="21"/>
                <w:szCs w:val="21"/>
              </w:rPr>
              <w:t>7</w:t>
            </w:r>
          </w:p>
        </w:tc>
        <w:tc>
          <w:tcPr>
            <w:tcW w:w="1085" w:type="pct"/>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hint="eastAsia" w:eastAsia="仿宋_GB2312"/>
                <w:color w:val="000000"/>
                <w:sz w:val="21"/>
                <w:szCs w:val="21"/>
              </w:rPr>
              <w:t>11</w:t>
            </w:r>
          </w:p>
        </w:tc>
        <w:tc>
          <w:tcPr>
            <w:tcW w:w="1083" w:type="pct"/>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hint="eastAsia" w:eastAsia="仿宋_GB2312"/>
                <w:color w:val="000000"/>
                <w:sz w:val="21"/>
                <w:szCs w:val="21"/>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746" w:type="pct"/>
            <w:vAlign w:val="center"/>
          </w:tcPr>
          <w:p>
            <w:pPr>
              <w:topLinePunct w:val="0"/>
              <w:adjustRightInd/>
              <w:snapToGrid/>
              <w:spacing w:line="240" w:lineRule="auto"/>
              <w:ind w:firstLine="0" w:firstLineChars="0"/>
              <w:jc w:val="center"/>
              <w:rPr>
                <w:rFonts w:eastAsia="仿宋_GB2312"/>
                <w:sz w:val="21"/>
                <w:szCs w:val="21"/>
              </w:rPr>
            </w:pPr>
            <w:r>
              <w:rPr>
                <w:rFonts w:hint="eastAsia" w:eastAsia="仿宋_GB2312"/>
                <w:sz w:val="21"/>
                <w:szCs w:val="21"/>
              </w:rPr>
              <w:t>合计</w:t>
            </w:r>
          </w:p>
        </w:tc>
        <w:tc>
          <w:tcPr>
            <w:tcW w:w="1086" w:type="pct"/>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hint="eastAsia" w:eastAsia="仿宋_GB2312"/>
                <w:color w:val="000000"/>
                <w:sz w:val="21"/>
                <w:szCs w:val="21"/>
              </w:rPr>
              <w:t>60</w:t>
            </w:r>
          </w:p>
        </w:tc>
        <w:tc>
          <w:tcPr>
            <w:tcW w:w="1085" w:type="pct"/>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hint="eastAsia" w:eastAsia="仿宋_GB2312"/>
                <w:color w:val="000000"/>
                <w:sz w:val="21"/>
                <w:szCs w:val="21"/>
              </w:rPr>
              <w:t>96</w:t>
            </w:r>
          </w:p>
        </w:tc>
        <w:tc>
          <w:tcPr>
            <w:tcW w:w="1083" w:type="pct"/>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hint="eastAsia" w:eastAsia="仿宋_GB2312"/>
                <w:color w:val="000000"/>
                <w:sz w:val="21"/>
                <w:szCs w:val="21"/>
              </w:rPr>
              <w:t>36</w:t>
            </w:r>
          </w:p>
        </w:tc>
      </w:tr>
    </w:tbl>
    <w:p>
      <w:pPr>
        <w:autoSpaceDE w:val="0"/>
        <w:autoSpaceDN w:val="0"/>
        <w:spacing w:line="240" w:lineRule="auto"/>
        <w:ind w:firstLine="480"/>
        <w:jc w:val="center"/>
        <w:rPr>
          <w:rFonts w:eastAsia="仿宋_GB2312"/>
          <w:b/>
          <w:bCs/>
          <w:lang w:val="zh-CN"/>
        </w:rPr>
      </w:pPr>
    </w:p>
    <w:p>
      <w:pPr>
        <w:autoSpaceDE w:val="0"/>
        <w:autoSpaceDN w:val="0"/>
        <w:spacing w:line="240" w:lineRule="auto"/>
        <w:ind w:firstLine="480"/>
        <w:jc w:val="center"/>
        <w:rPr>
          <w:rFonts w:eastAsia="仿宋_GB2312"/>
          <w:b/>
          <w:bCs/>
          <w:lang w:val="zh-CN"/>
        </w:rPr>
      </w:pPr>
      <w:r>
        <w:rPr>
          <w:rFonts w:eastAsia="仿宋_GB2312"/>
          <w:b/>
          <w:bCs/>
          <w:lang w:val="zh-CN"/>
        </w:rPr>
        <w:t>表</w:t>
      </w:r>
      <w:r>
        <w:rPr>
          <w:rFonts w:hint="eastAsia" w:eastAsia="仿宋_GB2312"/>
          <w:b/>
          <w:bCs/>
          <w:lang w:val="zh-CN"/>
        </w:rPr>
        <w:t xml:space="preserve">4.3-7    </w:t>
      </w:r>
      <w:r>
        <w:rPr>
          <w:rFonts w:eastAsia="仿宋_GB2312"/>
          <w:b/>
          <w:bCs/>
          <w:lang w:val="zh-CN"/>
        </w:rPr>
        <w:t>各防治区</w:t>
      </w:r>
      <w:r>
        <w:rPr>
          <w:rFonts w:hint="eastAsia" w:eastAsia="仿宋_GB2312"/>
          <w:b/>
          <w:bCs/>
          <w:lang w:val="zh-CN"/>
        </w:rPr>
        <w:t>新增</w:t>
      </w:r>
      <w:r>
        <w:rPr>
          <w:rFonts w:eastAsia="仿宋_GB2312"/>
          <w:b/>
          <w:bCs/>
          <w:lang w:val="zh-CN"/>
        </w:rPr>
        <w:t>水土流失量预测</w:t>
      </w:r>
      <w:r>
        <w:rPr>
          <w:rFonts w:hint="eastAsia" w:eastAsia="仿宋_GB2312"/>
          <w:b/>
          <w:bCs/>
          <w:lang w:val="zh-CN"/>
        </w:rPr>
        <w:t>统计</w:t>
      </w:r>
      <w:r>
        <w:rPr>
          <w:rFonts w:eastAsia="仿宋_GB2312"/>
          <w:b/>
          <w:bCs/>
          <w:lang w:val="zh-CN"/>
        </w:rPr>
        <w:t>表</w:t>
      </w:r>
    </w:p>
    <w:tbl>
      <w:tblPr>
        <w:tblStyle w:val="40"/>
        <w:tblW w:w="5000" w:type="pct"/>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108" w:type="dxa"/>
          <w:bottom w:w="0" w:type="dxa"/>
          <w:right w:w="108" w:type="dxa"/>
        </w:tblCellMar>
      </w:tblPr>
      <w:tblGrid>
        <w:gridCol w:w="3377"/>
        <w:gridCol w:w="2253"/>
        <w:gridCol w:w="2886"/>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1983"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预测单元</w:t>
            </w:r>
          </w:p>
        </w:tc>
        <w:tc>
          <w:tcPr>
            <w:tcW w:w="1323"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施工期</w:t>
            </w:r>
            <w:r>
              <w:rPr>
                <w:rFonts w:eastAsia="仿宋_GB2312"/>
                <w:sz w:val="21"/>
                <w:szCs w:val="21"/>
              </w:rPr>
              <w:t>(t)</w:t>
            </w:r>
          </w:p>
        </w:tc>
        <w:tc>
          <w:tcPr>
            <w:tcW w:w="1694"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自然恢复期</w:t>
            </w:r>
            <w:r>
              <w:rPr>
                <w:rFonts w:eastAsia="仿宋_GB2312"/>
                <w:sz w:val="21"/>
                <w:szCs w:val="21"/>
              </w:rPr>
              <w:t>(t)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1983" w:type="pct"/>
            <w:shd w:val="clear" w:color="auto" w:fill="auto"/>
            <w:noWrap/>
            <w:vAlign w:val="center"/>
          </w:tcPr>
          <w:p>
            <w:pPr>
              <w:topLinePunct w:val="0"/>
              <w:adjustRightInd/>
              <w:snapToGrid/>
              <w:spacing w:line="240" w:lineRule="auto"/>
              <w:ind w:firstLine="0" w:firstLineChars="0"/>
              <w:jc w:val="center"/>
              <w:rPr>
                <w:rFonts w:eastAsia="仿宋_GB2312"/>
                <w:sz w:val="21"/>
                <w:szCs w:val="21"/>
              </w:rPr>
            </w:pPr>
            <w:r>
              <w:rPr>
                <w:rFonts w:hint="eastAsia" w:eastAsia="仿宋_GB2312"/>
                <w:sz w:val="21"/>
                <w:szCs w:val="21"/>
              </w:rPr>
              <w:t>管道工程区</w:t>
            </w:r>
          </w:p>
        </w:tc>
        <w:tc>
          <w:tcPr>
            <w:tcW w:w="1323" w:type="pct"/>
            <w:shd w:val="clear" w:color="auto" w:fill="auto"/>
            <w:noWrap/>
            <w:vAlign w:val="center"/>
          </w:tcPr>
          <w:p>
            <w:pPr>
              <w:topLinePunct w:val="0"/>
              <w:adjustRightInd/>
              <w:snapToGrid/>
              <w:spacing w:line="240" w:lineRule="auto"/>
              <w:ind w:firstLine="0" w:firstLineChars="0"/>
              <w:jc w:val="center"/>
              <w:rPr>
                <w:rFonts w:eastAsia="仿宋_GB2312"/>
                <w:sz w:val="21"/>
                <w:szCs w:val="21"/>
              </w:rPr>
            </w:pPr>
            <w:r>
              <w:rPr>
                <w:rFonts w:hint="eastAsia" w:eastAsia="仿宋_GB2312"/>
                <w:sz w:val="21"/>
                <w:szCs w:val="21"/>
              </w:rPr>
              <w:t>22</w:t>
            </w:r>
          </w:p>
        </w:tc>
        <w:tc>
          <w:tcPr>
            <w:tcW w:w="1694" w:type="pct"/>
            <w:shd w:val="clear" w:color="auto" w:fill="auto"/>
            <w:noWrap/>
            <w:vAlign w:val="center"/>
          </w:tcPr>
          <w:p>
            <w:pPr>
              <w:topLinePunct w:val="0"/>
              <w:adjustRightInd/>
              <w:snapToGrid/>
              <w:spacing w:line="240" w:lineRule="auto"/>
              <w:ind w:firstLine="0" w:firstLineChars="0"/>
              <w:jc w:val="center"/>
              <w:rPr>
                <w:rFonts w:eastAsia="仿宋_GB2312"/>
                <w:sz w:val="21"/>
                <w:szCs w:val="21"/>
              </w:rPr>
            </w:pPr>
            <w:r>
              <w:rPr>
                <w:rFonts w:hint="eastAsia" w:eastAsia="仿宋_GB2312"/>
                <w:sz w:val="21"/>
                <w:szCs w:val="21"/>
              </w:rPr>
              <w:t>11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1983" w:type="pct"/>
            <w:shd w:val="clear" w:color="auto" w:fill="auto"/>
            <w:noWrap/>
            <w:vAlign w:val="center"/>
          </w:tcPr>
          <w:p>
            <w:pPr>
              <w:topLinePunct w:val="0"/>
              <w:adjustRightInd/>
              <w:snapToGrid/>
              <w:spacing w:line="240" w:lineRule="auto"/>
              <w:ind w:firstLine="0" w:firstLineChars="0"/>
              <w:jc w:val="center"/>
              <w:rPr>
                <w:rFonts w:eastAsia="仿宋_GB2312"/>
                <w:sz w:val="21"/>
                <w:szCs w:val="21"/>
              </w:rPr>
            </w:pPr>
            <w:r>
              <w:rPr>
                <w:rFonts w:hint="eastAsia" w:eastAsia="仿宋_GB2312"/>
                <w:sz w:val="21"/>
                <w:szCs w:val="21"/>
              </w:rPr>
              <w:t>附属构筑物区</w:t>
            </w:r>
          </w:p>
        </w:tc>
        <w:tc>
          <w:tcPr>
            <w:tcW w:w="1323" w:type="pct"/>
            <w:shd w:val="clear" w:color="auto" w:fill="auto"/>
            <w:noWrap/>
            <w:vAlign w:val="center"/>
          </w:tcPr>
          <w:p>
            <w:pPr>
              <w:topLinePunct w:val="0"/>
              <w:adjustRightInd/>
              <w:snapToGrid/>
              <w:spacing w:line="240" w:lineRule="auto"/>
              <w:ind w:firstLine="0" w:firstLineChars="0"/>
              <w:jc w:val="center"/>
              <w:rPr>
                <w:rFonts w:eastAsia="仿宋_GB2312"/>
                <w:sz w:val="21"/>
                <w:szCs w:val="21"/>
              </w:rPr>
            </w:pPr>
            <w:r>
              <w:rPr>
                <w:rFonts w:hint="eastAsia" w:eastAsia="仿宋_GB2312"/>
                <w:sz w:val="21"/>
                <w:szCs w:val="21"/>
              </w:rPr>
              <w:t>1</w:t>
            </w:r>
          </w:p>
        </w:tc>
        <w:tc>
          <w:tcPr>
            <w:tcW w:w="1694" w:type="pct"/>
            <w:shd w:val="clear" w:color="auto" w:fill="auto"/>
            <w:noWrap/>
            <w:vAlign w:val="center"/>
          </w:tcPr>
          <w:p>
            <w:pPr>
              <w:topLinePunct w:val="0"/>
              <w:adjustRightInd/>
              <w:snapToGrid/>
              <w:spacing w:line="240" w:lineRule="auto"/>
              <w:ind w:firstLine="0" w:firstLineChars="0"/>
              <w:jc w:val="center"/>
              <w:rPr>
                <w:rFonts w:eastAsia="仿宋_GB2312"/>
                <w:sz w:val="21"/>
                <w:szCs w:val="21"/>
              </w:rPr>
            </w:pPr>
            <w:r>
              <w:rPr>
                <w:rFonts w:hint="eastAsia" w:eastAsia="仿宋_GB2312"/>
                <w:sz w:val="21"/>
                <w:szCs w:val="21"/>
              </w:rPr>
              <w:t>2</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1983"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合计</w:t>
            </w:r>
          </w:p>
        </w:tc>
        <w:tc>
          <w:tcPr>
            <w:tcW w:w="1323" w:type="pct"/>
            <w:shd w:val="clear" w:color="auto" w:fill="auto"/>
            <w:noWrap/>
            <w:vAlign w:val="center"/>
          </w:tcPr>
          <w:p>
            <w:pPr>
              <w:topLinePunct w:val="0"/>
              <w:adjustRightInd/>
              <w:snapToGrid/>
              <w:spacing w:line="240" w:lineRule="auto"/>
              <w:ind w:firstLine="0" w:firstLineChars="0"/>
              <w:jc w:val="center"/>
              <w:rPr>
                <w:rFonts w:eastAsia="仿宋_GB2312"/>
                <w:sz w:val="21"/>
                <w:szCs w:val="21"/>
              </w:rPr>
            </w:pPr>
            <w:r>
              <w:rPr>
                <w:rFonts w:hint="eastAsia" w:eastAsia="仿宋_GB2312"/>
                <w:sz w:val="21"/>
                <w:szCs w:val="21"/>
              </w:rPr>
              <w:t>23</w:t>
            </w:r>
          </w:p>
        </w:tc>
        <w:tc>
          <w:tcPr>
            <w:tcW w:w="1694" w:type="pct"/>
            <w:shd w:val="clear" w:color="auto" w:fill="auto"/>
            <w:noWrap/>
            <w:vAlign w:val="center"/>
          </w:tcPr>
          <w:p>
            <w:pPr>
              <w:topLinePunct w:val="0"/>
              <w:adjustRightInd/>
              <w:snapToGrid/>
              <w:spacing w:line="240" w:lineRule="auto"/>
              <w:ind w:firstLine="0" w:firstLineChars="0"/>
              <w:jc w:val="center"/>
              <w:rPr>
                <w:rFonts w:eastAsia="仿宋_GB2312"/>
                <w:sz w:val="21"/>
                <w:szCs w:val="21"/>
              </w:rPr>
            </w:pPr>
            <w:r>
              <w:rPr>
                <w:rFonts w:hint="eastAsia" w:eastAsia="仿宋_GB2312"/>
                <w:sz w:val="21"/>
                <w:szCs w:val="21"/>
              </w:rPr>
              <w:t>13</w:t>
            </w:r>
          </w:p>
        </w:tc>
      </w:tr>
    </w:tbl>
    <w:p>
      <w:pPr>
        <w:autoSpaceDE w:val="0"/>
        <w:autoSpaceDN w:val="0"/>
        <w:spacing w:line="240" w:lineRule="auto"/>
        <w:ind w:firstLine="480"/>
        <w:jc w:val="center"/>
        <w:rPr>
          <w:rFonts w:eastAsia="仿宋_GB2312"/>
          <w:b/>
          <w:bCs/>
          <w:lang w:val="zh-CN"/>
        </w:rPr>
      </w:pPr>
    </w:p>
    <w:p>
      <w:pPr>
        <w:ind w:firstLine="0" w:firstLineChars="0"/>
        <w:jc w:val="center"/>
        <w:rPr>
          <w:color w:val="000000"/>
        </w:rPr>
      </w:pPr>
      <w:r>
        <w:drawing>
          <wp:inline distT="0" distB="0" distL="0" distR="0">
            <wp:extent cx="5166360" cy="2228850"/>
            <wp:effectExtent l="0" t="0" r="15240" b="19050"/>
            <wp:docPr id="6"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pPr>
        <w:spacing w:line="240" w:lineRule="auto"/>
        <w:ind w:firstLine="480"/>
        <w:jc w:val="center"/>
        <w:rPr>
          <w:rFonts w:eastAsia="仿宋_GB2312"/>
          <w:b/>
          <w:color w:val="000000"/>
        </w:rPr>
      </w:pPr>
      <w:r>
        <w:rPr>
          <w:rFonts w:eastAsia="仿宋_GB2312"/>
          <w:b/>
          <w:color w:val="000000"/>
        </w:rPr>
        <w:t>图4.3-1  水土流失总量预测</w:t>
      </w:r>
    </w:p>
    <w:p>
      <w:pPr>
        <w:spacing w:line="240" w:lineRule="auto"/>
        <w:ind w:firstLine="480"/>
        <w:jc w:val="center"/>
        <w:rPr>
          <w:rFonts w:eastAsia="仿宋_GB2312"/>
          <w:b/>
          <w:color w:val="000000"/>
        </w:rPr>
      </w:pPr>
    </w:p>
    <w:p>
      <w:pPr>
        <w:ind w:firstLine="0" w:firstLineChars="0"/>
        <w:jc w:val="center"/>
        <w:rPr>
          <w:rFonts w:eastAsia="仿宋_GB2312"/>
          <w:b/>
          <w:color w:val="000000"/>
        </w:rPr>
      </w:pPr>
      <w:r>
        <w:drawing>
          <wp:inline distT="0" distB="0" distL="0" distR="0">
            <wp:extent cx="5111115" cy="2571750"/>
            <wp:effectExtent l="0" t="0" r="13335" b="19050"/>
            <wp:docPr id="4"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pPr>
        <w:autoSpaceDE w:val="0"/>
        <w:autoSpaceDN w:val="0"/>
        <w:spacing w:line="240" w:lineRule="auto"/>
        <w:ind w:firstLine="480"/>
        <w:jc w:val="center"/>
        <w:rPr>
          <w:rFonts w:eastAsia="仿宋_GB2312"/>
          <w:b/>
          <w:color w:val="000000"/>
        </w:rPr>
      </w:pPr>
      <w:r>
        <w:rPr>
          <w:rFonts w:eastAsia="仿宋_GB2312"/>
          <w:b/>
          <w:color w:val="000000"/>
        </w:rPr>
        <w:t>图4.3-</w:t>
      </w:r>
      <w:r>
        <w:rPr>
          <w:rFonts w:hint="eastAsia" w:eastAsia="仿宋_GB2312"/>
          <w:b/>
          <w:color w:val="000000"/>
        </w:rPr>
        <w:t>2</w:t>
      </w:r>
      <w:r>
        <w:rPr>
          <w:rFonts w:eastAsia="仿宋_GB2312"/>
          <w:b/>
          <w:bCs/>
          <w:lang w:val="zh-CN"/>
        </w:rPr>
        <w:t>各防治区</w:t>
      </w:r>
      <w:r>
        <w:rPr>
          <w:rFonts w:hint="eastAsia" w:eastAsia="仿宋_GB2312"/>
          <w:b/>
          <w:bCs/>
          <w:lang w:val="zh-CN"/>
        </w:rPr>
        <w:t>新增</w:t>
      </w:r>
      <w:r>
        <w:rPr>
          <w:rFonts w:eastAsia="仿宋_GB2312"/>
          <w:b/>
          <w:bCs/>
          <w:lang w:val="zh-CN"/>
        </w:rPr>
        <w:t>水土流失量预测</w:t>
      </w:r>
    </w:p>
    <w:p>
      <w:pPr>
        <w:spacing w:beforeLines="100"/>
        <w:ind w:firstLine="480"/>
        <w:jc w:val="left"/>
        <w:rPr>
          <w:rFonts w:eastAsia="仿宋_GB2312"/>
        </w:rPr>
      </w:pPr>
      <w:r>
        <w:rPr>
          <w:rFonts w:eastAsia="仿宋_GB2312"/>
        </w:rPr>
        <w:t>根据表4.3-</w:t>
      </w:r>
      <w:r>
        <w:rPr>
          <w:rFonts w:hint="eastAsia" w:eastAsia="仿宋_GB2312"/>
        </w:rPr>
        <w:t>6、表4.3-7</w:t>
      </w:r>
      <w:r>
        <w:rPr>
          <w:rFonts w:eastAsia="仿宋_GB2312"/>
        </w:rPr>
        <w:t>和图4.3-1</w:t>
      </w:r>
      <w:r>
        <w:rPr>
          <w:rFonts w:hint="eastAsia" w:eastAsia="仿宋_GB2312"/>
        </w:rPr>
        <w:t>、图4.3-2</w:t>
      </w:r>
      <w:r>
        <w:rPr>
          <w:rFonts w:eastAsia="仿宋_GB2312"/>
        </w:rPr>
        <w:t>可知，本项目水土流失主要发生区为</w:t>
      </w:r>
      <w:r>
        <w:rPr>
          <w:rFonts w:hint="eastAsia" w:eastAsia="仿宋_GB2312"/>
        </w:rPr>
        <w:t>面积较大的管道工程区</w:t>
      </w:r>
      <w:r>
        <w:rPr>
          <w:rFonts w:eastAsia="仿宋_GB2312"/>
        </w:rPr>
        <w:t>，水土流失强度最大的时间段为</w:t>
      </w:r>
      <w:r>
        <w:rPr>
          <w:rFonts w:hint="eastAsia" w:eastAsia="仿宋_GB2312"/>
        </w:rPr>
        <w:t>施工期</w:t>
      </w:r>
      <w:r>
        <w:rPr>
          <w:rFonts w:eastAsia="仿宋_GB2312"/>
        </w:rPr>
        <w:t>，因而本项目水土流失防治的重点区域为</w:t>
      </w:r>
      <w:r>
        <w:rPr>
          <w:rFonts w:hint="eastAsia" w:eastAsia="仿宋_GB2312"/>
        </w:rPr>
        <w:t>管道工程区</w:t>
      </w:r>
      <w:r>
        <w:rPr>
          <w:rFonts w:eastAsia="仿宋_GB2312"/>
        </w:rPr>
        <w:t>，重点防治时段为</w:t>
      </w:r>
      <w:r>
        <w:rPr>
          <w:rFonts w:hint="eastAsia" w:eastAsia="仿宋_GB2312"/>
        </w:rPr>
        <w:t>施工期</w:t>
      </w:r>
      <w:r>
        <w:rPr>
          <w:rFonts w:eastAsia="仿宋_GB2312"/>
        </w:rPr>
        <w:t>。</w:t>
      </w:r>
    </w:p>
    <w:bookmarkEnd w:id="219"/>
    <w:p>
      <w:pPr>
        <w:pStyle w:val="3"/>
        <w:widowControl/>
        <w:numPr>
          <w:ilvl w:val="1"/>
          <w:numId w:val="1"/>
        </w:numPr>
        <w:tabs>
          <w:tab w:val="clear" w:pos="1002"/>
        </w:tabs>
        <w:topLinePunct w:val="0"/>
        <w:adjustRightInd/>
        <w:snapToGrid/>
        <w:ind w:left="0" w:firstLine="0"/>
        <w:jc w:val="both"/>
        <w:rPr>
          <w:rFonts w:eastAsia="仿宋_GB2312"/>
        </w:rPr>
      </w:pPr>
      <w:bookmarkStart w:id="239" w:name="_Toc458611479"/>
      <w:bookmarkStart w:id="240" w:name="_Toc7801403"/>
      <w:bookmarkStart w:id="241" w:name="_Toc7801470"/>
      <w:bookmarkStart w:id="242" w:name="_Toc7801563"/>
      <w:bookmarkStart w:id="243" w:name="_Toc47381542"/>
      <w:r>
        <w:rPr>
          <w:rFonts w:eastAsia="仿宋_GB2312"/>
        </w:rPr>
        <w:t>水土流失危害</w:t>
      </w:r>
      <w:bookmarkEnd w:id="239"/>
      <w:r>
        <w:rPr>
          <w:rFonts w:eastAsia="仿宋_GB2312"/>
        </w:rPr>
        <w:t>分析</w:t>
      </w:r>
      <w:bookmarkEnd w:id="240"/>
      <w:bookmarkEnd w:id="241"/>
      <w:bookmarkEnd w:id="242"/>
      <w:bookmarkEnd w:id="243"/>
    </w:p>
    <w:p>
      <w:pPr>
        <w:tabs>
          <w:tab w:val="left" w:pos="840"/>
          <w:tab w:val="left" w:pos="1485"/>
        </w:tabs>
        <w:ind w:firstLine="480"/>
        <w:rPr>
          <w:rFonts w:eastAsia="仿宋_GB2312"/>
        </w:rPr>
      </w:pPr>
      <w:r>
        <w:rPr>
          <w:rFonts w:eastAsia="仿宋_GB2312"/>
        </w:rPr>
        <w:t>各建设区场地平整、</w:t>
      </w:r>
      <w:r>
        <w:rPr>
          <w:rFonts w:hint="eastAsia" w:eastAsia="仿宋_GB2312"/>
        </w:rPr>
        <w:t>基础</w:t>
      </w:r>
      <w:r>
        <w:rPr>
          <w:rFonts w:eastAsia="仿宋_GB2312"/>
        </w:rPr>
        <w:t>开挖和临时堆土等，将加剧项目区水土流失，对项目区生态环境造成不良的影响。根据项目区地形地貌和施工建设特点，本项目建设不易引发泥石流、地面塌陷、大型滑坡等严重生态影响。项目建设引起的水土流失可能造成以下几个方面的危害：</w:t>
      </w:r>
    </w:p>
    <w:p>
      <w:pPr>
        <w:tabs>
          <w:tab w:val="left" w:pos="840"/>
          <w:tab w:val="left" w:pos="1485"/>
        </w:tabs>
        <w:ind w:firstLine="480"/>
        <w:rPr>
          <w:rFonts w:eastAsia="仿宋_GB2312"/>
        </w:rPr>
      </w:pPr>
      <w:r>
        <w:rPr>
          <w:rFonts w:eastAsia="仿宋_GB2312"/>
        </w:rPr>
        <w:t>（1）损毁土地和植被、加剧水土流失发展</w:t>
      </w:r>
    </w:p>
    <w:p>
      <w:pPr>
        <w:tabs>
          <w:tab w:val="left" w:pos="840"/>
          <w:tab w:val="left" w:pos="1485"/>
        </w:tabs>
        <w:ind w:firstLine="480"/>
        <w:rPr>
          <w:rFonts w:eastAsia="仿宋_GB2312"/>
        </w:rPr>
      </w:pPr>
      <w:r>
        <w:rPr>
          <w:rFonts w:eastAsia="仿宋_GB2312"/>
        </w:rPr>
        <w:t>项目建设过程中场地平整和</w:t>
      </w:r>
      <w:r>
        <w:rPr>
          <w:rFonts w:hint="eastAsia" w:eastAsia="仿宋_GB2312"/>
        </w:rPr>
        <w:t>基础</w:t>
      </w:r>
      <w:r>
        <w:rPr>
          <w:rFonts w:eastAsia="仿宋_GB2312"/>
        </w:rPr>
        <w:t>开挖产生大量的土石方，同时短期内造成大面积的松散裸露表土，以上裸露堆放的表土一旦发生水土流失，流失的砂土不仅压占周边原始地表，损毁原始地表植被，而且导致原本具有水土保持功能的地表结皮、植被、硬化层被易诱发水土流失的松散表土取代，将加剧水土流失的发生发展。</w:t>
      </w:r>
    </w:p>
    <w:p>
      <w:pPr>
        <w:tabs>
          <w:tab w:val="left" w:pos="840"/>
          <w:tab w:val="left" w:pos="1485"/>
        </w:tabs>
        <w:ind w:firstLine="480"/>
        <w:rPr>
          <w:rFonts w:eastAsia="仿宋_GB2312"/>
        </w:rPr>
      </w:pPr>
      <w:r>
        <w:rPr>
          <w:rFonts w:eastAsia="仿宋_GB2312"/>
        </w:rPr>
        <w:t>（2）降低土地生产力</w:t>
      </w:r>
    </w:p>
    <w:p>
      <w:pPr>
        <w:tabs>
          <w:tab w:val="left" w:pos="840"/>
          <w:tab w:val="left" w:pos="1485"/>
        </w:tabs>
        <w:ind w:firstLine="480"/>
        <w:rPr>
          <w:rFonts w:eastAsia="仿宋_GB2312"/>
        </w:rPr>
      </w:pPr>
      <w:r>
        <w:rPr>
          <w:rFonts w:eastAsia="仿宋_GB2312"/>
        </w:rPr>
        <w:t>如不采取水土保持措施，本项目的建设必然加剧区域水土流失。水土流失将使原始地表区土壤变的更加瘠薄，加剧土壤沙化、石化，而且流失的水土也会造成有机质的流失，将降低土壤肥力，流失的砂土也将使其他区域原始土壤结构被破坏，降低其他区域的土地生产力。</w:t>
      </w:r>
    </w:p>
    <w:p>
      <w:pPr>
        <w:tabs>
          <w:tab w:val="left" w:pos="840"/>
          <w:tab w:val="left" w:pos="1485"/>
        </w:tabs>
        <w:ind w:firstLine="480"/>
        <w:rPr>
          <w:rFonts w:eastAsia="仿宋_GB2312"/>
        </w:rPr>
      </w:pPr>
      <w:r>
        <w:rPr>
          <w:rFonts w:eastAsia="仿宋_GB2312"/>
        </w:rPr>
        <w:t>（3）影响施工安全</w:t>
      </w:r>
    </w:p>
    <w:p>
      <w:pPr>
        <w:tabs>
          <w:tab w:val="left" w:pos="840"/>
          <w:tab w:val="left" w:pos="1485"/>
        </w:tabs>
        <w:ind w:firstLine="480"/>
      </w:pPr>
      <w:r>
        <w:rPr>
          <w:rFonts w:eastAsia="仿宋_GB2312"/>
        </w:rPr>
        <w:t>项目建设诱发的水土流失不仅会带来严重的生态问题，而且会对项目的建设产生不利影响，项目区属于多风区，建设过程中松散的表土在大风时极易扬尘，扬尘不仅直接破坏周边生态环境，而且降低能见度，威胁运输和建设安全。此外水力侵蚀携带和冲刷的泥沙还有可能填埋地面设施，堵塞交通，影响设施和生产安全。</w:t>
      </w:r>
    </w:p>
    <w:p>
      <w:pPr>
        <w:pStyle w:val="3"/>
        <w:widowControl/>
        <w:numPr>
          <w:ilvl w:val="1"/>
          <w:numId w:val="1"/>
        </w:numPr>
        <w:tabs>
          <w:tab w:val="clear" w:pos="1002"/>
        </w:tabs>
        <w:topLinePunct w:val="0"/>
        <w:adjustRightInd/>
        <w:snapToGrid/>
        <w:ind w:left="0" w:firstLine="0"/>
        <w:jc w:val="both"/>
        <w:rPr>
          <w:rFonts w:eastAsia="仿宋_GB2312"/>
        </w:rPr>
      </w:pPr>
      <w:bookmarkStart w:id="244" w:name="_Toc7801471"/>
      <w:bookmarkStart w:id="245" w:name="_Toc47381543"/>
      <w:bookmarkStart w:id="246" w:name="_Toc7801564"/>
      <w:bookmarkStart w:id="247" w:name="_Toc7801404"/>
      <w:r>
        <w:rPr>
          <w:rFonts w:eastAsia="仿宋_GB2312"/>
        </w:rPr>
        <w:t>指导性意见</w:t>
      </w:r>
      <w:bookmarkEnd w:id="244"/>
      <w:bookmarkEnd w:id="245"/>
      <w:bookmarkEnd w:id="246"/>
      <w:bookmarkEnd w:id="247"/>
    </w:p>
    <w:bookmarkEnd w:id="209"/>
    <w:bookmarkEnd w:id="210"/>
    <w:p>
      <w:pPr>
        <w:tabs>
          <w:tab w:val="left" w:pos="840"/>
          <w:tab w:val="left" w:pos="1485"/>
        </w:tabs>
        <w:ind w:firstLine="480"/>
        <w:rPr>
          <w:rFonts w:eastAsia="仿宋_GB2312"/>
        </w:rPr>
      </w:pPr>
      <w:bookmarkStart w:id="248" w:name="_Toc249515128"/>
      <w:bookmarkStart w:id="249" w:name="_Toc272768065"/>
      <w:bookmarkStart w:id="250" w:name="_Toc259890548"/>
      <w:r>
        <w:rPr>
          <w:rFonts w:eastAsia="仿宋_GB2312"/>
        </w:rPr>
        <w:t>（1）综合分析</w:t>
      </w:r>
    </w:p>
    <w:p>
      <w:pPr>
        <w:tabs>
          <w:tab w:val="left" w:pos="840"/>
          <w:tab w:val="left" w:pos="1485"/>
        </w:tabs>
        <w:ind w:firstLine="480"/>
        <w:rPr>
          <w:rFonts w:eastAsia="仿宋_GB2312"/>
        </w:rPr>
      </w:pPr>
      <w:bookmarkStart w:id="251" w:name="_Toc196296842"/>
      <w:r>
        <w:rPr>
          <w:rFonts w:eastAsia="仿宋_GB2312"/>
        </w:rPr>
        <w:t>本项目施工作业场所是新增人为水土流失的主要地段，由于场区平整、</w:t>
      </w:r>
      <w:r>
        <w:rPr>
          <w:rFonts w:hint="eastAsia" w:eastAsia="仿宋_GB2312"/>
        </w:rPr>
        <w:t>管沟及基础</w:t>
      </w:r>
      <w:r>
        <w:rPr>
          <w:rFonts w:eastAsia="仿宋_GB2312"/>
        </w:rPr>
        <w:t>开挖、临时堆土等可能形成严重的风蚀和水蚀，因此建设期是重点防治时段，主要是防治场地平整过程中裸露区域、施工建设材料堆放场、开挖土方堆放场区水土流失问题。</w:t>
      </w:r>
    </w:p>
    <w:p>
      <w:pPr>
        <w:tabs>
          <w:tab w:val="left" w:pos="840"/>
          <w:tab w:val="left" w:pos="1485"/>
        </w:tabs>
        <w:ind w:firstLine="480"/>
        <w:rPr>
          <w:rFonts w:eastAsia="仿宋_GB2312"/>
        </w:rPr>
      </w:pPr>
      <w:r>
        <w:rPr>
          <w:rFonts w:eastAsia="仿宋_GB2312"/>
        </w:rPr>
        <w:t>除</w:t>
      </w:r>
      <w:r>
        <w:rPr>
          <w:rFonts w:hint="eastAsia" w:eastAsia="仿宋_GB2312"/>
        </w:rPr>
        <w:t>附属构筑物</w:t>
      </w:r>
      <w:r>
        <w:rPr>
          <w:rFonts w:eastAsia="仿宋_GB2312"/>
        </w:rPr>
        <w:t>永久占地外，工程建设扰动的占地</w:t>
      </w:r>
      <w:r>
        <w:rPr>
          <w:rFonts w:hint="eastAsia" w:eastAsia="仿宋_GB2312"/>
        </w:rPr>
        <w:t>通过实施水土防治措施和硬化</w:t>
      </w:r>
      <w:r>
        <w:rPr>
          <w:rFonts w:eastAsia="仿宋_GB2312"/>
        </w:rPr>
        <w:t>后，项目区水土保持功能基本恢复，应加强该类区域水土流失防治，因地制宜，因害设防，制定行之有效的防治方案，遏制新增水土流失的发生与发展。</w:t>
      </w:r>
      <w:bookmarkStart w:id="252" w:name="_Toc196296840"/>
    </w:p>
    <w:p>
      <w:pPr>
        <w:tabs>
          <w:tab w:val="left" w:pos="840"/>
          <w:tab w:val="left" w:pos="1485"/>
        </w:tabs>
        <w:ind w:firstLine="480"/>
        <w:rPr>
          <w:rFonts w:eastAsia="仿宋_GB2312"/>
        </w:rPr>
      </w:pPr>
      <w:r>
        <w:rPr>
          <w:rFonts w:eastAsia="仿宋_GB2312"/>
        </w:rPr>
        <w:t>（2）水土流失防治的指导性意见</w:t>
      </w:r>
      <w:bookmarkEnd w:id="252"/>
    </w:p>
    <w:p>
      <w:pPr>
        <w:tabs>
          <w:tab w:val="left" w:pos="840"/>
          <w:tab w:val="left" w:pos="1485"/>
        </w:tabs>
        <w:ind w:firstLine="480"/>
        <w:rPr>
          <w:rFonts w:eastAsia="仿宋_GB2312"/>
        </w:rPr>
      </w:pPr>
      <w:r>
        <w:rPr>
          <w:rFonts w:eastAsia="仿宋_GB2312"/>
        </w:rPr>
        <w:t>以上预测结果是在不采取防护措施的情况下可能发生的水土流失。产生水土流失的因素较多，地面坡度、地表物质组成与结构及降水强度是造成水力侵蚀强弱的主导因素，地面组成物质与结构和风力的大小是风力侵蚀强弱的主导因素。从以往的经验，防治风蚀最有效的手段是植物措施。在具体实施时，应针对不同工程的施工与建设区地域、地段，不同的施工工艺、施工特点与施工季节，因地制宜，因害设防，制定行之有效的防治方案，遏制新增水土流失的发生与发展。对于其它水土流失相对不突出的侵蚀区域，也应制定针对性的防治措施，以减少施工过程中的水土流失量。</w:t>
      </w:r>
      <w:bookmarkStart w:id="253" w:name="_Toc196296841"/>
    </w:p>
    <w:p>
      <w:pPr>
        <w:tabs>
          <w:tab w:val="left" w:pos="840"/>
          <w:tab w:val="left" w:pos="1485"/>
        </w:tabs>
        <w:ind w:firstLine="480"/>
        <w:rPr>
          <w:rFonts w:eastAsia="仿宋_GB2312"/>
        </w:rPr>
      </w:pPr>
      <w:r>
        <w:rPr>
          <w:rFonts w:eastAsia="仿宋_GB2312"/>
        </w:rPr>
        <w:t>本项目水土流失主要发生在施工期，因而要加强施工期的临时防护，并尽快对可采取水土保持措施的区段采取工程措施进行治理与保护。</w:t>
      </w:r>
    </w:p>
    <w:p>
      <w:pPr>
        <w:tabs>
          <w:tab w:val="left" w:pos="840"/>
          <w:tab w:val="left" w:pos="1485"/>
        </w:tabs>
        <w:ind w:firstLine="480"/>
        <w:rPr>
          <w:rFonts w:eastAsia="仿宋_GB2312"/>
        </w:rPr>
      </w:pPr>
      <w:r>
        <w:rPr>
          <w:rFonts w:eastAsia="仿宋_GB2312"/>
        </w:rPr>
        <w:t>（3）对施工进度安排的意见</w:t>
      </w:r>
      <w:bookmarkEnd w:id="253"/>
    </w:p>
    <w:p>
      <w:pPr>
        <w:tabs>
          <w:tab w:val="left" w:pos="840"/>
          <w:tab w:val="left" w:pos="1485"/>
        </w:tabs>
        <w:ind w:firstLine="480"/>
        <w:rPr>
          <w:rFonts w:eastAsia="仿宋_GB2312"/>
        </w:rPr>
      </w:pPr>
      <w:r>
        <w:rPr>
          <w:rFonts w:eastAsia="仿宋_GB2312"/>
        </w:rPr>
        <w:t>根据预测结果，施工期是新增水土流失较严重的时期，建议在施工中加强主体工程施工进度的紧凑安排，有效缩短强度流失时段。如：在</w:t>
      </w:r>
      <w:r>
        <w:rPr>
          <w:rFonts w:hint="eastAsia" w:eastAsia="仿宋_GB2312"/>
        </w:rPr>
        <w:t>基础</w:t>
      </w:r>
      <w:r>
        <w:rPr>
          <w:rFonts w:eastAsia="仿宋_GB2312"/>
        </w:rPr>
        <w:t>开挖临时堆土场地应加强风蚀的防治措施。</w:t>
      </w:r>
    </w:p>
    <w:bookmarkEnd w:id="251"/>
    <w:p>
      <w:pPr>
        <w:tabs>
          <w:tab w:val="left" w:pos="840"/>
          <w:tab w:val="left" w:pos="1485"/>
        </w:tabs>
        <w:ind w:firstLine="480"/>
        <w:rPr>
          <w:rFonts w:eastAsia="仿宋_GB2312"/>
        </w:rPr>
        <w:sectPr>
          <w:headerReference r:id="rId15" w:type="default"/>
          <w:pgSz w:w="11906" w:h="16838"/>
          <w:pgMar w:top="1440" w:right="1803" w:bottom="1440" w:left="1803" w:header="851" w:footer="992" w:gutter="0"/>
          <w:cols w:space="720" w:num="1"/>
          <w:docGrid w:linePitch="326" w:charSpace="0"/>
        </w:sectPr>
      </w:pPr>
    </w:p>
    <w:p>
      <w:pPr>
        <w:pStyle w:val="50"/>
        <w:widowControl/>
        <w:numPr>
          <w:ilvl w:val="0"/>
          <w:numId w:val="1"/>
        </w:numPr>
        <w:tabs>
          <w:tab w:val="clear" w:pos="432"/>
        </w:tabs>
        <w:spacing w:beforeLines="100" w:afterLines="100"/>
        <w:rPr>
          <w:rFonts w:eastAsia="仿宋_GB2312"/>
          <w:sz w:val="32"/>
          <w:szCs w:val="32"/>
        </w:rPr>
      </w:pPr>
      <w:bookmarkStart w:id="254" w:name="_Toc7801472"/>
      <w:bookmarkStart w:id="255" w:name="_Toc7801565"/>
      <w:bookmarkStart w:id="256" w:name="_Toc7801405"/>
      <w:bookmarkStart w:id="257" w:name="_Toc47381544"/>
      <w:r>
        <w:rPr>
          <w:rFonts w:eastAsia="仿宋_GB2312"/>
          <w:sz w:val="32"/>
          <w:szCs w:val="32"/>
        </w:rPr>
        <w:t>水土</w:t>
      </w:r>
      <w:bookmarkEnd w:id="248"/>
      <w:bookmarkEnd w:id="249"/>
      <w:bookmarkEnd w:id="250"/>
      <w:r>
        <w:rPr>
          <w:rFonts w:eastAsia="仿宋_GB2312"/>
          <w:sz w:val="32"/>
          <w:szCs w:val="32"/>
        </w:rPr>
        <w:t>保持措施</w:t>
      </w:r>
      <w:bookmarkEnd w:id="254"/>
      <w:bookmarkEnd w:id="255"/>
      <w:bookmarkEnd w:id="256"/>
      <w:bookmarkEnd w:id="257"/>
    </w:p>
    <w:p>
      <w:pPr>
        <w:pStyle w:val="3"/>
        <w:widowControl/>
        <w:numPr>
          <w:ilvl w:val="1"/>
          <w:numId w:val="1"/>
        </w:numPr>
        <w:tabs>
          <w:tab w:val="clear" w:pos="1002"/>
        </w:tabs>
        <w:topLinePunct w:val="0"/>
        <w:adjustRightInd/>
        <w:snapToGrid/>
        <w:ind w:left="0" w:firstLine="0"/>
        <w:jc w:val="both"/>
        <w:rPr>
          <w:rFonts w:eastAsia="仿宋_GB2312"/>
        </w:rPr>
      </w:pPr>
      <w:bookmarkStart w:id="258" w:name="_Toc47381545"/>
      <w:bookmarkStart w:id="259" w:name="_Toc7801473"/>
      <w:bookmarkStart w:id="260" w:name="_Toc7801566"/>
      <w:bookmarkStart w:id="261" w:name="_Toc7801406"/>
      <w:bookmarkStart w:id="262" w:name="_Toc249515129"/>
      <w:bookmarkStart w:id="263" w:name="_Toc272768066"/>
      <w:bookmarkStart w:id="264" w:name="_Toc259890549"/>
      <w:r>
        <w:rPr>
          <w:rFonts w:eastAsia="仿宋_GB2312"/>
        </w:rPr>
        <w:t>防治区划分</w:t>
      </w:r>
      <w:bookmarkEnd w:id="258"/>
      <w:bookmarkEnd w:id="259"/>
      <w:bookmarkEnd w:id="260"/>
      <w:bookmarkEnd w:id="261"/>
    </w:p>
    <w:p>
      <w:pPr>
        <w:pStyle w:val="4"/>
        <w:keepLines/>
        <w:widowControl/>
        <w:numPr>
          <w:ilvl w:val="2"/>
          <w:numId w:val="1"/>
        </w:numPr>
        <w:tabs>
          <w:tab w:val="clear" w:pos="432"/>
          <w:tab w:val="clear" w:pos="960"/>
        </w:tabs>
        <w:kinsoku/>
        <w:overflowPunct/>
        <w:topLinePunct w:val="0"/>
        <w:autoSpaceDE/>
        <w:autoSpaceDN/>
        <w:adjustRightInd/>
        <w:snapToGrid/>
        <w:spacing w:beforeLines="100"/>
        <w:ind w:left="0" w:firstLine="0"/>
        <w:jc w:val="both"/>
        <w:rPr>
          <w:rFonts w:eastAsia="仿宋_GB2312"/>
        </w:rPr>
      </w:pPr>
      <w:bookmarkStart w:id="265" w:name="_Toc291602407"/>
      <w:bookmarkStart w:id="266" w:name="_Toc176262265"/>
      <w:bookmarkStart w:id="267" w:name="_Toc176779585"/>
      <w:r>
        <w:rPr>
          <w:rFonts w:eastAsia="仿宋_GB2312"/>
        </w:rPr>
        <w:t>防治分区原则</w:t>
      </w:r>
      <w:bookmarkEnd w:id="265"/>
      <w:bookmarkEnd w:id="266"/>
      <w:bookmarkEnd w:id="267"/>
    </w:p>
    <w:p>
      <w:pPr>
        <w:autoSpaceDE w:val="0"/>
        <w:autoSpaceDN w:val="0"/>
        <w:ind w:firstLine="480"/>
        <w:rPr>
          <w:rFonts w:eastAsia="仿宋_GB2312"/>
          <w:color w:val="000000"/>
          <w:lang w:val="zh-CN"/>
        </w:rPr>
      </w:pPr>
      <w:bookmarkStart w:id="268" w:name="_Toc196296819"/>
      <w:r>
        <w:rPr>
          <w:rFonts w:eastAsia="仿宋_GB2312"/>
          <w:color w:val="000000"/>
        </w:rPr>
        <w:t>水土流失防治区划分主要以工程建设区的工程布局、施工扰动特点、建设时序、自然属性、地貌特征、水土流失影响等依据进行划分。具体划分时参照</w:t>
      </w:r>
      <w:r>
        <w:rPr>
          <w:rFonts w:eastAsia="仿宋_GB2312"/>
          <w:color w:val="000000"/>
          <w:lang w:val="zh-CN"/>
        </w:rPr>
        <w:t>以下原则进行：</w:t>
      </w:r>
      <w:bookmarkStart w:id="269" w:name="_Toc203614068"/>
    </w:p>
    <w:p>
      <w:pPr>
        <w:autoSpaceDE w:val="0"/>
        <w:autoSpaceDN w:val="0"/>
        <w:ind w:firstLine="480"/>
        <w:rPr>
          <w:rFonts w:eastAsia="仿宋_GB2312"/>
          <w:color w:val="000000"/>
        </w:rPr>
      </w:pPr>
      <w:r>
        <w:rPr>
          <w:rFonts w:eastAsia="仿宋_GB2312"/>
          <w:color w:val="000000"/>
          <w:lang w:val="zh-CN"/>
        </w:rPr>
        <w:t>1）</w:t>
      </w:r>
      <w:r>
        <w:rPr>
          <w:rFonts w:eastAsia="仿宋_GB2312"/>
          <w:color w:val="000000"/>
        </w:rPr>
        <w:t>各区之间具有显著差异性</w:t>
      </w:r>
      <w:bookmarkEnd w:id="269"/>
      <w:r>
        <w:rPr>
          <w:rFonts w:eastAsia="仿宋_GB2312"/>
          <w:color w:val="000000"/>
        </w:rPr>
        <w:t>；</w:t>
      </w:r>
    </w:p>
    <w:p>
      <w:pPr>
        <w:autoSpaceDE w:val="0"/>
        <w:autoSpaceDN w:val="0"/>
        <w:ind w:firstLine="480"/>
        <w:rPr>
          <w:rFonts w:eastAsia="仿宋_GB2312"/>
          <w:color w:val="000000"/>
        </w:rPr>
      </w:pPr>
      <w:r>
        <w:rPr>
          <w:rFonts w:eastAsia="仿宋_GB2312"/>
          <w:color w:val="000000"/>
        </w:rPr>
        <w:t>2）相同分区内造成水土流失的主导因子相近或相似；</w:t>
      </w:r>
    </w:p>
    <w:p>
      <w:pPr>
        <w:autoSpaceDE w:val="0"/>
        <w:autoSpaceDN w:val="0"/>
        <w:ind w:firstLine="480"/>
        <w:rPr>
          <w:rFonts w:eastAsia="仿宋_GB2312"/>
          <w:color w:val="000000"/>
        </w:rPr>
      </w:pPr>
      <w:r>
        <w:rPr>
          <w:rFonts w:eastAsia="仿宋_GB2312"/>
          <w:color w:val="000000"/>
        </w:rPr>
        <w:t>3）按地貌类型划分一级区，一级区应具有控制性、整体性、全局性；</w:t>
      </w:r>
    </w:p>
    <w:p>
      <w:pPr>
        <w:autoSpaceDE w:val="0"/>
        <w:autoSpaceDN w:val="0"/>
        <w:ind w:firstLine="480"/>
        <w:rPr>
          <w:rFonts w:eastAsia="仿宋_GB2312"/>
          <w:color w:val="000000"/>
        </w:rPr>
      </w:pPr>
      <w:r>
        <w:rPr>
          <w:rFonts w:eastAsia="仿宋_GB2312"/>
          <w:color w:val="000000"/>
        </w:rPr>
        <w:t>2）结合工程布局和施工特点进行二级分区；</w:t>
      </w:r>
    </w:p>
    <w:p>
      <w:pPr>
        <w:autoSpaceDE w:val="0"/>
        <w:autoSpaceDN w:val="0"/>
        <w:ind w:firstLine="480"/>
        <w:rPr>
          <w:rFonts w:eastAsia="仿宋_GB2312"/>
          <w:color w:val="000000"/>
        </w:rPr>
      </w:pPr>
      <w:r>
        <w:rPr>
          <w:rFonts w:eastAsia="仿宋_GB2312"/>
          <w:color w:val="000000"/>
        </w:rPr>
        <w:t>4）各级分区应层次分明，具有关联性和系统性；</w:t>
      </w:r>
    </w:p>
    <w:p>
      <w:pPr>
        <w:autoSpaceDE w:val="0"/>
        <w:autoSpaceDN w:val="0"/>
        <w:ind w:firstLine="480"/>
        <w:rPr>
          <w:rFonts w:eastAsia="仿宋_GB2312"/>
          <w:color w:val="000000"/>
          <w:lang w:val="zh-CN"/>
        </w:rPr>
      </w:pPr>
      <w:r>
        <w:rPr>
          <w:rFonts w:eastAsia="仿宋_GB2312"/>
          <w:color w:val="000000"/>
        </w:rPr>
        <w:t>5）有利于水土保持预测和对方案实施效果的技术评估。</w:t>
      </w:r>
      <w:bookmarkEnd w:id="268"/>
    </w:p>
    <w:p>
      <w:pPr>
        <w:pStyle w:val="4"/>
        <w:keepLines/>
        <w:widowControl/>
        <w:numPr>
          <w:ilvl w:val="2"/>
          <w:numId w:val="1"/>
        </w:numPr>
        <w:tabs>
          <w:tab w:val="clear" w:pos="432"/>
          <w:tab w:val="clear" w:pos="960"/>
        </w:tabs>
        <w:kinsoku/>
        <w:overflowPunct/>
        <w:topLinePunct w:val="0"/>
        <w:autoSpaceDE/>
        <w:autoSpaceDN/>
        <w:adjustRightInd/>
        <w:snapToGrid/>
        <w:spacing w:beforeLines="100"/>
        <w:ind w:left="0" w:firstLine="0"/>
        <w:jc w:val="both"/>
        <w:rPr>
          <w:rFonts w:eastAsia="仿宋_GB2312"/>
        </w:rPr>
      </w:pPr>
      <w:bookmarkStart w:id="270" w:name="_Toc176262266"/>
      <w:bookmarkStart w:id="271" w:name="_Toc176779586"/>
      <w:bookmarkStart w:id="272" w:name="_Toc291602408"/>
      <w:r>
        <w:rPr>
          <w:rFonts w:eastAsia="仿宋_GB2312"/>
        </w:rPr>
        <w:t>水土流失防治分区</w:t>
      </w:r>
      <w:bookmarkEnd w:id="270"/>
      <w:bookmarkEnd w:id="271"/>
      <w:r>
        <w:rPr>
          <w:rFonts w:eastAsia="仿宋_GB2312"/>
        </w:rPr>
        <w:t>结果</w:t>
      </w:r>
      <w:bookmarkEnd w:id="272"/>
    </w:p>
    <w:p>
      <w:pPr>
        <w:pStyle w:val="13"/>
        <w:ind w:firstLine="480"/>
        <w:rPr>
          <w:rFonts w:eastAsia="仿宋_GB2312"/>
        </w:rPr>
      </w:pPr>
      <w:bookmarkStart w:id="273" w:name="_Toc153967744"/>
      <w:r>
        <w:rPr>
          <w:rFonts w:eastAsia="仿宋_GB2312"/>
        </w:rPr>
        <w:t>根据项目的建设特点及划定的防治责任范围，将本工程项目区按地貌类型进行划分，本工程属于</w:t>
      </w:r>
      <w:r>
        <w:rPr>
          <w:rFonts w:hint="eastAsia" w:eastAsia="仿宋_GB2312"/>
        </w:rPr>
        <w:t>冲洪积</w:t>
      </w:r>
      <w:r>
        <w:rPr>
          <w:rFonts w:eastAsia="仿宋_GB2312"/>
        </w:rPr>
        <w:t>平原区；将项目区按侵蚀类型划分，本工程属于轻度风蚀、微度水蚀。再根据项目建设对水土流失的影响、区域自然条件、工程布局及不同部位水土流失特点等因素，将水土流失防治分区分为</w:t>
      </w:r>
      <w:r>
        <w:rPr>
          <w:rFonts w:hint="eastAsia" w:eastAsia="仿宋_GB2312"/>
          <w:lang w:val="zh-CN"/>
        </w:rPr>
        <w:t>管道工程区</w:t>
      </w:r>
      <w:r>
        <w:rPr>
          <w:rFonts w:eastAsia="仿宋_GB2312"/>
          <w:lang w:val="zh-CN"/>
        </w:rPr>
        <w:t>、</w:t>
      </w:r>
      <w:r>
        <w:rPr>
          <w:rFonts w:hint="eastAsia" w:eastAsia="仿宋_GB2312"/>
          <w:lang w:val="zh-CN"/>
        </w:rPr>
        <w:t>附属构筑物区</w:t>
      </w:r>
      <w:r>
        <w:rPr>
          <w:rFonts w:eastAsia="仿宋_GB2312"/>
        </w:rPr>
        <w:t>等</w:t>
      </w:r>
      <w:r>
        <w:rPr>
          <w:rFonts w:hint="eastAsia" w:eastAsia="仿宋_GB2312"/>
        </w:rPr>
        <w:t>2</w:t>
      </w:r>
      <w:r>
        <w:rPr>
          <w:rFonts w:eastAsia="仿宋_GB2312"/>
        </w:rPr>
        <w:t>个防治分区进行防治</w:t>
      </w:r>
      <w:r>
        <w:rPr>
          <w:rFonts w:eastAsia="仿宋_GB2312"/>
          <w:lang w:val="zh-CN"/>
        </w:rPr>
        <w:t>。</w:t>
      </w:r>
    </w:p>
    <w:p>
      <w:pPr>
        <w:pStyle w:val="13"/>
        <w:ind w:firstLine="480"/>
        <w:rPr>
          <w:rFonts w:eastAsia="仿宋_GB2312"/>
        </w:rPr>
      </w:pPr>
      <w:r>
        <w:rPr>
          <w:rFonts w:eastAsia="仿宋_GB2312"/>
        </w:rPr>
        <w:t>水土流失防治分区，见表5.1-1。</w:t>
      </w:r>
      <w:bookmarkEnd w:id="273"/>
    </w:p>
    <w:p>
      <w:pPr>
        <w:spacing w:line="240" w:lineRule="auto"/>
        <w:ind w:firstLine="480"/>
        <w:jc w:val="center"/>
        <w:rPr>
          <w:rFonts w:eastAsia="仿宋_GB2312"/>
          <w:b/>
          <w:bCs/>
        </w:rPr>
      </w:pPr>
      <w:r>
        <w:rPr>
          <w:rFonts w:eastAsia="仿宋_GB2312"/>
          <w:b/>
        </w:rPr>
        <w:t xml:space="preserve">表5.1-1   </w:t>
      </w:r>
      <w:r>
        <w:rPr>
          <w:rFonts w:eastAsia="仿宋_GB2312"/>
          <w:b/>
          <w:bCs/>
        </w:rPr>
        <w:t>水土流失防治分区表</w:t>
      </w:r>
    </w:p>
    <w:tbl>
      <w:tblPr>
        <w:tblStyle w:val="40"/>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100"/>
        <w:gridCol w:w="1226"/>
        <w:gridCol w:w="2214"/>
        <w:gridCol w:w="1567"/>
        <w:gridCol w:w="1306"/>
        <w:gridCol w:w="110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366" w:type="pct"/>
            <w:gridSpan w:val="2"/>
            <w:vAlign w:val="center"/>
          </w:tcPr>
          <w:p>
            <w:pPr>
              <w:widowControl/>
              <w:spacing w:line="0" w:lineRule="atLeast"/>
              <w:ind w:firstLine="0" w:firstLineChars="0"/>
              <w:jc w:val="center"/>
              <w:rPr>
                <w:rFonts w:eastAsia="仿宋_GB2312"/>
                <w:snapToGrid w:val="0"/>
                <w:sz w:val="21"/>
                <w:szCs w:val="21"/>
              </w:rPr>
            </w:pPr>
            <w:r>
              <w:rPr>
                <w:rFonts w:eastAsia="仿宋_GB2312"/>
                <w:snapToGrid w:val="0"/>
                <w:sz w:val="21"/>
                <w:szCs w:val="21"/>
              </w:rPr>
              <w:t>一级分区</w:t>
            </w:r>
          </w:p>
        </w:tc>
        <w:tc>
          <w:tcPr>
            <w:tcW w:w="1300" w:type="pct"/>
            <w:vMerge w:val="restart"/>
            <w:vAlign w:val="center"/>
          </w:tcPr>
          <w:p>
            <w:pPr>
              <w:widowControl/>
              <w:spacing w:line="0" w:lineRule="atLeast"/>
              <w:ind w:firstLine="0" w:firstLineChars="0"/>
              <w:jc w:val="center"/>
              <w:rPr>
                <w:rFonts w:eastAsia="仿宋_GB2312"/>
                <w:snapToGrid w:val="0"/>
                <w:sz w:val="21"/>
                <w:szCs w:val="21"/>
              </w:rPr>
            </w:pPr>
            <w:r>
              <w:rPr>
                <w:rFonts w:eastAsia="仿宋_GB2312"/>
                <w:snapToGrid w:val="0"/>
                <w:sz w:val="21"/>
                <w:szCs w:val="21"/>
              </w:rPr>
              <w:t>二级分区</w:t>
            </w:r>
          </w:p>
        </w:tc>
        <w:tc>
          <w:tcPr>
            <w:tcW w:w="920" w:type="pct"/>
            <w:vMerge w:val="restart"/>
            <w:vAlign w:val="center"/>
          </w:tcPr>
          <w:p>
            <w:pPr>
              <w:widowControl/>
              <w:spacing w:line="0" w:lineRule="atLeast"/>
              <w:ind w:firstLine="0" w:firstLineChars="0"/>
              <w:jc w:val="center"/>
              <w:rPr>
                <w:rFonts w:eastAsia="仿宋_GB2312"/>
                <w:snapToGrid w:val="0"/>
                <w:sz w:val="21"/>
                <w:szCs w:val="21"/>
              </w:rPr>
            </w:pPr>
            <w:r>
              <w:rPr>
                <w:rFonts w:eastAsia="仿宋_GB2312"/>
                <w:snapToGrid w:val="0"/>
                <w:sz w:val="21"/>
                <w:szCs w:val="21"/>
              </w:rPr>
              <w:t>面积(</w:t>
            </w:r>
            <w:r>
              <w:rPr>
                <w:rFonts w:hint="eastAsia" w:eastAsia="仿宋_GB2312"/>
                <w:snapToGrid w:val="0"/>
                <w:sz w:val="21"/>
                <w:szCs w:val="21"/>
              </w:rPr>
              <w:t>h</w:t>
            </w:r>
            <w:r>
              <w:rPr>
                <w:rFonts w:eastAsia="仿宋_GB2312"/>
                <w:snapToGrid w:val="0"/>
                <w:sz w:val="21"/>
                <w:szCs w:val="21"/>
              </w:rPr>
              <w:t>m</w:t>
            </w:r>
            <w:r>
              <w:rPr>
                <w:rFonts w:eastAsia="宋体"/>
                <w:snapToGrid w:val="0"/>
                <w:sz w:val="21"/>
                <w:szCs w:val="21"/>
              </w:rPr>
              <w:t>²</w:t>
            </w:r>
            <w:r>
              <w:rPr>
                <w:rFonts w:eastAsia="仿宋_GB2312"/>
                <w:snapToGrid w:val="0"/>
                <w:sz w:val="21"/>
                <w:szCs w:val="21"/>
              </w:rPr>
              <w:t>)</w:t>
            </w:r>
          </w:p>
        </w:tc>
        <w:tc>
          <w:tcPr>
            <w:tcW w:w="767" w:type="pct"/>
            <w:vMerge w:val="restart"/>
            <w:vAlign w:val="center"/>
          </w:tcPr>
          <w:p>
            <w:pPr>
              <w:pStyle w:val="73"/>
              <w:widowControl w:val="0"/>
              <w:topLinePunct/>
              <w:adjustRightInd w:val="0"/>
              <w:snapToGrid w:val="0"/>
              <w:spacing w:line="240" w:lineRule="auto"/>
              <w:jc w:val="center"/>
              <w:textAlignment w:val="center"/>
              <w:rPr>
                <w:color w:val="auto"/>
              </w:rPr>
            </w:pPr>
            <w:r>
              <w:rPr>
                <w:rFonts w:hint="eastAsia"/>
                <w:color w:val="auto"/>
              </w:rPr>
              <w:t>边界条件</w:t>
            </w:r>
          </w:p>
        </w:tc>
        <w:tc>
          <w:tcPr>
            <w:tcW w:w="647" w:type="pct"/>
            <w:vMerge w:val="restart"/>
            <w:vAlign w:val="center"/>
          </w:tcPr>
          <w:p>
            <w:pPr>
              <w:widowControl/>
              <w:spacing w:line="0" w:lineRule="atLeast"/>
              <w:ind w:firstLine="0" w:firstLineChars="0"/>
              <w:jc w:val="center"/>
              <w:rPr>
                <w:rFonts w:eastAsia="仿宋_GB2312"/>
                <w:snapToGrid w:val="0"/>
                <w:sz w:val="21"/>
                <w:szCs w:val="21"/>
              </w:rPr>
            </w:pPr>
            <w:r>
              <w:rPr>
                <w:rFonts w:eastAsia="仿宋_GB2312"/>
                <w:snapToGrid w:val="0"/>
                <w:sz w:val="21"/>
                <w:szCs w:val="21"/>
              </w:rPr>
              <w:t>行政区划</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46" w:type="pct"/>
            <w:vAlign w:val="center"/>
          </w:tcPr>
          <w:p>
            <w:pPr>
              <w:widowControl/>
              <w:spacing w:line="0" w:lineRule="atLeast"/>
              <w:ind w:firstLine="0" w:firstLineChars="0"/>
              <w:jc w:val="center"/>
              <w:rPr>
                <w:rFonts w:eastAsia="仿宋_GB2312"/>
                <w:snapToGrid w:val="0"/>
                <w:sz w:val="21"/>
                <w:szCs w:val="21"/>
              </w:rPr>
            </w:pPr>
            <w:r>
              <w:rPr>
                <w:rFonts w:eastAsia="仿宋_GB2312"/>
                <w:snapToGrid w:val="0"/>
                <w:sz w:val="21"/>
                <w:szCs w:val="21"/>
              </w:rPr>
              <w:t>地形地貌</w:t>
            </w:r>
          </w:p>
        </w:tc>
        <w:tc>
          <w:tcPr>
            <w:tcW w:w="720" w:type="pct"/>
            <w:vAlign w:val="center"/>
          </w:tcPr>
          <w:p>
            <w:pPr>
              <w:widowControl/>
              <w:spacing w:line="0" w:lineRule="atLeast"/>
              <w:ind w:firstLine="0" w:firstLineChars="0"/>
              <w:jc w:val="center"/>
              <w:rPr>
                <w:rFonts w:eastAsia="仿宋_GB2312"/>
                <w:snapToGrid w:val="0"/>
                <w:sz w:val="21"/>
                <w:szCs w:val="21"/>
              </w:rPr>
            </w:pPr>
            <w:r>
              <w:rPr>
                <w:rFonts w:eastAsia="仿宋_GB2312"/>
                <w:snapToGrid w:val="0"/>
                <w:sz w:val="21"/>
                <w:szCs w:val="21"/>
              </w:rPr>
              <w:t>侵蚀类型</w:t>
            </w:r>
          </w:p>
        </w:tc>
        <w:tc>
          <w:tcPr>
            <w:tcW w:w="1300" w:type="pct"/>
            <w:vMerge w:val="continue"/>
            <w:vAlign w:val="center"/>
          </w:tcPr>
          <w:p>
            <w:pPr>
              <w:widowControl/>
              <w:spacing w:line="0" w:lineRule="atLeast"/>
              <w:ind w:firstLine="420"/>
              <w:jc w:val="center"/>
              <w:rPr>
                <w:rFonts w:eastAsia="仿宋_GB2312"/>
                <w:snapToGrid w:val="0"/>
                <w:sz w:val="21"/>
                <w:szCs w:val="21"/>
              </w:rPr>
            </w:pPr>
          </w:p>
        </w:tc>
        <w:tc>
          <w:tcPr>
            <w:tcW w:w="920" w:type="pct"/>
            <w:vMerge w:val="continue"/>
            <w:vAlign w:val="center"/>
          </w:tcPr>
          <w:p>
            <w:pPr>
              <w:widowControl/>
              <w:spacing w:line="0" w:lineRule="atLeast"/>
              <w:ind w:firstLine="420"/>
              <w:jc w:val="center"/>
              <w:rPr>
                <w:rFonts w:eastAsia="仿宋_GB2312"/>
                <w:snapToGrid w:val="0"/>
                <w:sz w:val="21"/>
                <w:szCs w:val="21"/>
              </w:rPr>
            </w:pPr>
          </w:p>
        </w:tc>
        <w:tc>
          <w:tcPr>
            <w:tcW w:w="767" w:type="pct"/>
            <w:vMerge w:val="continue"/>
            <w:vAlign w:val="center"/>
          </w:tcPr>
          <w:p>
            <w:pPr>
              <w:pStyle w:val="73"/>
              <w:widowControl w:val="0"/>
              <w:topLinePunct/>
              <w:adjustRightInd w:val="0"/>
              <w:snapToGrid w:val="0"/>
              <w:spacing w:line="240" w:lineRule="auto"/>
              <w:jc w:val="center"/>
              <w:textAlignment w:val="center"/>
              <w:rPr>
                <w:color w:val="auto"/>
              </w:rPr>
            </w:pPr>
          </w:p>
        </w:tc>
        <w:tc>
          <w:tcPr>
            <w:tcW w:w="647" w:type="pct"/>
            <w:vMerge w:val="continue"/>
            <w:vAlign w:val="center"/>
          </w:tcPr>
          <w:p>
            <w:pPr>
              <w:widowControl/>
              <w:spacing w:line="0" w:lineRule="atLeast"/>
              <w:ind w:firstLine="420"/>
              <w:jc w:val="center"/>
              <w:rPr>
                <w:rFonts w:eastAsia="仿宋_GB2312"/>
                <w:snapToGrid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46" w:type="pct"/>
            <w:vMerge w:val="restart"/>
            <w:vAlign w:val="center"/>
          </w:tcPr>
          <w:p>
            <w:pPr>
              <w:widowControl/>
              <w:spacing w:line="0" w:lineRule="atLeast"/>
              <w:ind w:firstLine="0" w:firstLineChars="0"/>
              <w:jc w:val="center"/>
              <w:rPr>
                <w:rFonts w:eastAsia="仿宋_GB2312"/>
                <w:snapToGrid w:val="0"/>
                <w:sz w:val="21"/>
                <w:szCs w:val="21"/>
              </w:rPr>
            </w:pPr>
            <w:r>
              <w:rPr>
                <w:rFonts w:hint="eastAsia" w:eastAsia="仿宋_GB2312"/>
                <w:snapToGrid w:val="0"/>
                <w:sz w:val="21"/>
                <w:szCs w:val="21"/>
              </w:rPr>
              <w:t>冲洪积平原区</w:t>
            </w:r>
          </w:p>
        </w:tc>
        <w:tc>
          <w:tcPr>
            <w:tcW w:w="720" w:type="pct"/>
            <w:vMerge w:val="restart"/>
            <w:vAlign w:val="center"/>
          </w:tcPr>
          <w:p>
            <w:pPr>
              <w:widowControl/>
              <w:spacing w:line="0" w:lineRule="atLeast"/>
              <w:ind w:firstLine="0" w:firstLineChars="0"/>
              <w:jc w:val="center"/>
              <w:rPr>
                <w:rFonts w:eastAsia="仿宋_GB2312"/>
                <w:snapToGrid w:val="0"/>
                <w:sz w:val="21"/>
                <w:szCs w:val="21"/>
              </w:rPr>
            </w:pPr>
            <w:r>
              <w:rPr>
                <w:rFonts w:eastAsia="仿宋_GB2312"/>
                <w:snapToGrid w:val="0"/>
                <w:sz w:val="21"/>
                <w:szCs w:val="21"/>
              </w:rPr>
              <w:t>轻度风蚀</w:t>
            </w:r>
            <w:r>
              <w:rPr>
                <w:rFonts w:hint="eastAsia" w:eastAsia="仿宋_GB2312"/>
                <w:snapToGrid w:val="0"/>
                <w:sz w:val="21"/>
                <w:szCs w:val="21"/>
              </w:rPr>
              <w:t>、微度水蚀</w:t>
            </w:r>
          </w:p>
        </w:tc>
        <w:tc>
          <w:tcPr>
            <w:tcW w:w="1300" w:type="pct"/>
            <w:vAlign w:val="center"/>
          </w:tcPr>
          <w:p>
            <w:pPr>
              <w:widowControl/>
              <w:spacing w:line="0" w:lineRule="atLeast"/>
              <w:ind w:firstLine="0" w:firstLineChars="0"/>
              <w:jc w:val="center"/>
              <w:rPr>
                <w:rFonts w:eastAsia="仿宋_GB2312"/>
                <w:snapToGrid w:val="0"/>
                <w:sz w:val="21"/>
                <w:szCs w:val="21"/>
              </w:rPr>
            </w:pPr>
            <w:r>
              <w:rPr>
                <w:rFonts w:hint="eastAsia" w:eastAsia="仿宋_GB2312"/>
                <w:snapToGrid w:val="0"/>
                <w:sz w:val="21"/>
                <w:szCs w:val="21"/>
              </w:rPr>
              <w:t>管道工程区</w:t>
            </w:r>
          </w:p>
        </w:tc>
        <w:tc>
          <w:tcPr>
            <w:tcW w:w="920" w:type="pct"/>
            <w:vAlign w:val="center"/>
          </w:tcPr>
          <w:p>
            <w:pPr>
              <w:widowControl/>
              <w:spacing w:line="0" w:lineRule="atLeast"/>
              <w:ind w:firstLine="0" w:firstLineChars="0"/>
              <w:jc w:val="center"/>
              <w:rPr>
                <w:rFonts w:eastAsia="仿宋_GB2312"/>
                <w:snapToGrid w:val="0"/>
                <w:sz w:val="21"/>
                <w:szCs w:val="21"/>
              </w:rPr>
            </w:pPr>
            <w:r>
              <w:rPr>
                <w:rFonts w:hint="eastAsia" w:eastAsia="仿宋_GB2312"/>
                <w:snapToGrid w:val="0"/>
                <w:sz w:val="21"/>
                <w:szCs w:val="21"/>
              </w:rPr>
              <w:t>1.73</w:t>
            </w:r>
          </w:p>
        </w:tc>
        <w:tc>
          <w:tcPr>
            <w:tcW w:w="767" w:type="pct"/>
            <w:vAlign w:val="center"/>
          </w:tcPr>
          <w:p>
            <w:pPr>
              <w:pStyle w:val="73"/>
              <w:widowControl w:val="0"/>
              <w:topLinePunct/>
              <w:adjustRightInd w:val="0"/>
              <w:snapToGrid w:val="0"/>
              <w:spacing w:line="240" w:lineRule="auto"/>
              <w:jc w:val="center"/>
              <w:textAlignment w:val="center"/>
              <w:rPr>
                <w:color w:val="auto"/>
              </w:rPr>
            </w:pPr>
            <w:r>
              <w:rPr>
                <w:rFonts w:hint="eastAsia"/>
                <w:color w:val="auto"/>
              </w:rPr>
              <w:t>实际占地</w:t>
            </w:r>
          </w:p>
        </w:tc>
        <w:tc>
          <w:tcPr>
            <w:tcW w:w="647" w:type="pct"/>
            <w:vMerge w:val="restart"/>
            <w:vAlign w:val="center"/>
          </w:tcPr>
          <w:p>
            <w:pPr>
              <w:widowControl/>
              <w:spacing w:line="0" w:lineRule="atLeast"/>
              <w:ind w:firstLine="0" w:firstLineChars="0"/>
              <w:jc w:val="center"/>
              <w:rPr>
                <w:rFonts w:eastAsia="仿宋_GB2312"/>
                <w:snapToGrid w:val="0"/>
                <w:sz w:val="21"/>
                <w:szCs w:val="21"/>
              </w:rPr>
            </w:pPr>
            <w:r>
              <w:rPr>
                <w:rFonts w:hint="eastAsia" w:eastAsia="仿宋_GB2312"/>
                <w:snapToGrid w:val="0"/>
                <w:sz w:val="21"/>
                <w:szCs w:val="21"/>
              </w:rPr>
              <w:t>第十四师224团</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46" w:type="pct"/>
            <w:vMerge w:val="continue"/>
            <w:vAlign w:val="center"/>
          </w:tcPr>
          <w:p>
            <w:pPr>
              <w:widowControl/>
              <w:spacing w:line="0" w:lineRule="atLeast"/>
              <w:ind w:firstLine="0" w:firstLineChars="0"/>
              <w:jc w:val="center"/>
              <w:rPr>
                <w:rFonts w:eastAsia="仿宋_GB2312"/>
                <w:snapToGrid w:val="0"/>
                <w:sz w:val="21"/>
                <w:szCs w:val="21"/>
              </w:rPr>
            </w:pPr>
          </w:p>
        </w:tc>
        <w:tc>
          <w:tcPr>
            <w:tcW w:w="720" w:type="pct"/>
            <w:vMerge w:val="continue"/>
            <w:vAlign w:val="center"/>
          </w:tcPr>
          <w:p>
            <w:pPr>
              <w:widowControl/>
              <w:spacing w:line="0" w:lineRule="atLeast"/>
              <w:ind w:firstLine="0" w:firstLineChars="0"/>
              <w:jc w:val="center"/>
              <w:rPr>
                <w:rFonts w:eastAsia="仿宋_GB2312"/>
                <w:snapToGrid w:val="0"/>
                <w:sz w:val="21"/>
                <w:szCs w:val="21"/>
              </w:rPr>
            </w:pPr>
          </w:p>
        </w:tc>
        <w:tc>
          <w:tcPr>
            <w:tcW w:w="1300" w:type="pct"/>
            <w:vAlign w:val="center"/>
          </w:tcPr>
          <w:p>
            <w:pPr>
              <w:widowControl/>
              <w:spacing w:line="0" w:lineRule="atLeast"/>
              <w:ind w:firstLine="0" w:firstLineChars="0"/>
              <w:jc w:val="center"/>
              <w:rPr>
                <w:rFonts w:eastAsia="仿宋_GB2312"/>
                <w:snapToGrid w:val="0"/>
                <w:sz w:val="21"/>
                <w:szCs w:val="21"/>
              </w:rPr>
            </w:pPr>
            <w:r>
              <w:rPr>
                <w:rFonts w:hint="eastAsia" w:eastAsia="仿宋_GB2312"/>
                <w:snapToGrid w:val="0"/>
                <w:sz w:val="21"/>
                <w:szCs w:val="21"/>
              </w:rPr>
              <w:t>附属构筑物区</w:t>
            </w:r>
          </w:p>
        </w:tc>
        <w:tc>
          <w:tcPr>
            <w:tcW w:w="920" w:type="pct"/>
            <w:vAlign w:val="center"/>
          </w:tcPr>
          <w:p>
            <w:pPr>
              <w:widowControl/>
              <w:spacing w:line="0" w:lineRule="atLeast"/>
              <w:ind w:firstLine="0" w:firstLineChars="0"/>
              <w:jc w:val="center"/>
              <w:rPr>
                <w:rFonts w:eastAsia="仿宋_GB2312"/>
                <w:snapToGrid w:val="0"/>
                <w:sz w:val="21"/>
                <w:szCs w:val="21"/>
              </w:rPr>
            </w:pPr>
            <w:r>
              <w:rPr>
                <w:rFonts w:hint="eastAsia" w:eastAsia="仿宋_GB2312"/>
                <w:snapToGrid w:val="0"/>
                <w:sz w:val="21"/>
                <w:szCs w:val="21"/>
              </w:rPr>
              <w:t>0.11</w:t>
            </w:r>
          </w:p>
        </w:tc>
        <w:tc>
          <w:tcPr>
            <w:tcW w:w="767" w:type="pct"/>
            <w:vAlign w:val="center"/>
          </w:tcPr>
          <w:p>
            <w:pPr>
              <w:pStyle w:val="73"/>
              <w:widowControl w:val="0"/>
              <w:topLinePunct/>
              <w:adjustRightInd w:val="0"/>
              <w:snapToGrid w:val="0"/>
              <w:spacing w:line="240" w:lineRule="auto"/>
              <w:jc w:val="center"/>
              <w:textAlignment w:val="center"/>
              <w:rPr>
                <w:color w:val="auto"/>
              </w:rPr>
            </w:pPr>
            <w:r>
              <w:rPr>
                <w:rFonts w:hint="eastAsia"/>
                <w:color w:val="auto"/>
              </w:rPr>
              <w:t>实际占地</w:t>
            </w:r>
          </w:p>
        </w:tc>
        <w:tc>
          <w:tcPr>
            <w:tcW w:w="647" w:type="pct"/>
            <w:vMerge w:val="continue"/>
            <w:vAlign w:val="center"/>
          </w:tcPr>
          <w:p>
            <w:pPr>
              <w:widowControl/>
              <w:spacing w:line="0" w:lineRule="atLeast"/>
              <w:ind w:firstLine="420"/>
              <w:jc w:val="center"/>
              <w:rPr>
                <w:rFonts w:eastAsia="仿宋_GB2312"/>
                <w:snapToGrid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46" w:type="pct"/>
            <w:vMerge w:val="continue"/>
            <w:vAlign w:val="center"/>
          </w:tcPr>
          <w:p>
            <w:pPr>
              <w:widowControl/>
              <w:spacing w:line="0" w:lineRule="atLeast"/>
              <w:ind w:firstLine="420"/>
              <w:jc w:val="center"/>
              <w:rPr>
                <w:rFonts w:eastAsia="仿宋_GB2312"/>
                <w:snapToGrid w:val="0"/>
                <w:sz w:val="21"/>
                <w:szCs w:val="21"/>
              </w:rPr>
            </w:pPr>
          </w:p>
        </w:tc>
        <w:tc>
          <w:tcPr>
            <w:tcW w:w="720" w:type="pct"/>
            <w:vMerge w:val="continue"/>
            <w:vAlign w:val="center"/>
          </w:tcPr>
          <w:p>
            <w:pPr>
              <w:widowControl/>
              <w:spacing w:line="0" w:lineRule="atLeast"/>
              <w:ind w:firstLine="420"/>
              <w:jc w:val="center"/>
              <w:rPr>
                <w:rFonts w:eastAsia="仿宋_GB2312"/>
                <w:snapToGrid w:val="0"/>
                <w:sz w:val="21"/>
                <w:szCs w:val="21"/>
              </w:rPr>
            </w:pPr>
          </w:p>
        </w:tc>
        <w:tc>
          <w:tcPr>
            <w:tcW w:w="1300" w:type="pct"/>
            <w:vAlign w:val="center"/>
          </w:tcPr>
          <w:p>
            <w:pPr>
              <w:autoSpaceDE w:val="0"/>
              <w:autoSpaceDN w:val="0"/>
              <w:spacing w:line="0" w:lineRule="atLeast"/>
              <w:ind w:right="-20" w:firstLine="0" w:firstLineChars="0"/>
              <w:jc w:val="center"/>
              <w:rPr>
                <w:rFonts w:eastAsia="仿宋_GB2312"/>
                <w:snapToGrid w:val="0"/>
                <w:sz w:val="21"/>
                <w:szCs w:val="21"/>
              </w:rPr>
            </w:pPr>
            <w:r>
              <w:rPr>
                <w:rFonts w:eastAsia="仿宋_GB2312"/>
                <w:snapToGrid w:val="0"/>
                <w:sz w:val="21"/>
                <w:szCs w:val="21"/>
              </w:rPr>
              <w:t>合计</w:t>
            </w:r>
          </w:p>
        </w:tc>
        <w:tc>
          <w:tcPr>
            <w:tcW w:w="920" w:type="pct"/>
            <w:vAlign w:val="center"/>
          </w:tcPr>
          <w:p>
            <w:pPr>
              <w:widowControl/>
              <w:spacing w:line="0" w:lineRule="atLeast"/>
              <w:ind w:firstLine="0" w:firstLineChars="0"/>
              <w:jc w:val="center"/>
              <w:rPr>
                <w:rFonts w:eastAsia="仿宋_GB2312"/>
                <w:snapToGrid w:val="0"/>
                <w:sz w:val="21"/>
                <w:szCs w:val="21"/>
              </w:rPr>
            </w:pPr>
            <w:r>
              <w:rPr>
                <w:rFonts w:hint="eastAsia" w:eastAsia="仿宋_GB2312"/>
                <w:snapToGrid w:val="0"/>
                <w:sz w:val="21"/>
                <w:szCs w:val="21"/>
              </w:rPr>
              <w:t>1.84</w:t>
            </w:r>
          </w:p>
        </w:tc>
        <w:tc>
          <w:tcPr>
            <w:tcW w:w="767" w:type="pct"/>
            <w:vAlign w:val="center"/>
          </w:tcPr>
          <w:p>
            <w:pPr>
              <w:spacing w:line="240" w:lineRule="auto"/>
              <w:ind w:firstLine="0" w:firstLineChars="0"/>
              <w:jc w:val="center"/>
              <w:rPr>
                <w:rFonts w:eastAsia="仿宋_GB2312"/>
                <w:sz w:val="21"/>
                <w:szCs w:val="21"/>
              </w:rPr>
            </w:pPr>
          </w:p>
        </w:tc>
        <w:tc>
          <w:tcPr>
            <w:tcW w:w="647" w:type="pct"/>
            <w:vAlign w:val="center"/>
          </w:tcPr>
          <w:p>
            <w:pPr>
              <w:spacing w:line="240" w:lineRule="auto"/>
              <w:ind w:firstLine="0" w:firstLineChars="0"/>
              <w:jc w:val="center"/>
              <w:rPr>
                <w:rFonts w:eastAsia="仿宋_GB2312"/>
                <w:sz w:val="21"/>
                <w:szCs w:val="21"/>
              </w:rPr>
            </w:pPr>
          </w:p>
        </w:tc>
      </w:tr>
    </w:tbl>
    <w:p>
      <w:pPr>
        <w:spacing w:line="240" w:lineRule="auto"/>
        <w:ind w:firstLine="480"/>
        <w:jc w:val="center"/>
        <w:rPr>
          <w:rFonts w:eastAsia="仿宋_GB2312"/>
          <w:b/>
          <w:bCs/>
        </w:rPr>
      </w:pPr>
    </w:p>
    <w:bookmarkEnd w:id="262"/>
    <w:bookmarkEnd w:id="263"/>
    <w:bookmarkEnd w:id="264"/>
    <w:p>
      <w:pPr>
        <w:pStyle w:val="3"/>
        <w:widowControl/>
        <w:numPr>
          <w:ilvl w:val="1"/>
          <w:numId w:val="1"/>
        </w:numPr>
        <w:tabs>
          <w:tab w:val="clear" w:pos="1002"/>
        </w:tabs>
        <w:topLinePunct w:val="0"/>
        <w:adjustRightInd/>
        <w:snapToGrid/>
        <w:spacing w:beforeLines="100"/>
        <w:ind w:left="0" w:firstLine="0"/>
        <w:jc w:val="both"/>
        <w:rPr>
          <w:rFonts w:eastAsia="仿宋_GB2312"/>
        </w:rPr>
      </w:pPr>
      <w:bookmarkStart w:id="274" w:name="_Toc7801567"/>
      <w:bookmarkStart w:id="275" w:name="_Toc7801407"/>
      <w:bookmarkStart w:id="276" w:name="_Toc7801474"/>
      <w:bookmarkStart w:id="277" w:name="_Toc47381546"/>
      <w:r>
        <w:rPr>
          <w:rFonts w:eastAsia="仿宋_GB2312"/>
        </w:rPr>
        <w:t>措施总体布局</w:t>
      </w:r>
      <w:bookmarkEnd w:id="274"/>
      <w:bookmarkEnd w:id="275"/>
      <w:bookmarkEnd w:id="276"/>
      <w:bookmarkEnd w:id="277"/>
    </w:p>
    <w:p>
      <w:pPr>
        <w:pStyle w:val="4"/>
        <w:keepLines/>
        <w:widowControl/>
        <w:numPr>
          <w:ilvl w:val="2"/>
          <w:numId w:val="1"/>
        </w:numPr>
        <w:tabs>
          <w:tab w:val="clear" w:pos="432"/>
          <w:tab w:val="clear" w:pos="960"/>
        </w:tabs>
        <w:kinsoku/>
        <w:overflowPunct/>
        <w:topLinePunct w:val="0"/>
        <w:autoSpaceDE/>
        <w:autoSpaceDN/>
        <w:adjustRightInd/>
        <w:snapToGrid/>
        <w:ind w:left="0" w:firstLine="0"/>
        <w:jc w:val="both"/>
        <w:rPr>
          <w:rFonts w:eastAsia="仿宋_GB2312"/>
        </w:rPr>
      </w:pPr>
      <w:r>
        <w:rPr>
          <w:rFonts w:eastAsia="仿宋_GB2312"/>
        </w:rPr>
        <w:t>防治措施布设原则</w:t>
      </w:r>
    </w:p>
    <w:p>
      <w:pPr>
        <w:ind w:firstLine="480"/>
        <w:rPr>
          <w:rFonts w:eastAsia="仿宋_GB2312"/>
        </w:rPr>
      </w:pPr>
      <w:r>
        <w:rPr>
          <w:rFonts w:eastAsia="仿宋_GB2312"/>
        </w:rPr>
        <w:t>水土流失防治措施布设一般应遵循以下原则：</w:t>
      </w:r>
    </w:p>
    <w:p>
      <w:pPr>
        <w:ind w:firstLine="480"/>
        <w:rPr>
          <w:rFonts w:eastAsia="仿宋_GB2312"/>
        </w:rPr>
      </w:pPr>
      <w:r>
        <w:rPr>
          <w:rFonts w:eastAsia="仿宋_GB2312"/>
        </w:rPr>
        <w:t>1、结合工程实际和项目区水土流失现状，因地制宜、因害设防、防治结合、全面布局、科学配置，工程措施、植物措施、临时措施统筹兼顾，形成综合防治体系。</w:t>
      </w:r>
    </w:p>
    <w:p>
      <w:pPr>
        <w:ind w:firstLine="480"/>
        <w:rPr>
          <w:rFonts w:eastAsia="仿宋_GB2312"/>
        </w:rPr>
      </w:pPr>
      <w:r>
        <w:rPr>
          <w:rFonts w:eastAsia="仿宋_GB2312"/>
        </w:rPr>
        <w:t>2、减少对原地表和植被的破坏，合理调配土石方，减少弃土弃渣量。</w:t>
      </w:r>
    </w:p>
    <w:p>
      <w:pPr>
        <w:ind w:firstLine="480"/>
        <w:rPr>
          <w:rFonts w:eastAsia="仿宋_GB2312"/>
        </w:rPr>
      </w:pPr>
      <w:r>
        <w:rPr>
          <w:rFonts w:eastAsia="仿宋_GB2312"/>
        </w:rPr>
        <w:t>3、工程措施要“预防为主、防治结合、先拦后弃”，并尽量选用当地材料，做到技术上可靠、经济上合理。</w:t>
      </w:r>
    </w:p>
    <w:p>
      <w:pPr>
        <w:ind w:firstLine="480"/>
        <w:rPr>
          <w:rFonts w:eastAsia="仿宋_GB2312"/>
        </w:rPr>
      </w:pPr>
      <w:r>
        <w:rPr>
          <w:rFonts w:eastAsia="仿宋_GB2312"/>
        </w:rPr>
        <w:t>4、永久防护和临时防护相结合的原则，临时性防护措施，应考虑分区施工条件，合理布置拦挡、遮盖措施，减少施工过程中造成的人为扰动及产生的废弃土（石、渣）。</w:t>
      </w:r>
    </w:p>
    <w:p>
      <w:pPr>
        <w:ind w:firstLine="480"/>
        <w:rPr>
          <w:rFonts w:eastAsia="仿宋_GB2312"/>
        </w:rPr>
      </w:pPr>
      <w:r>
        <w:rPr>
          <w:rFonts w:eastAsia="仿宋_GB2312"/>
        </w:rPr>
        <w:t>5、防治措施布设要与主体工程密切配合、相互协调，形成整体。</w:t>
      </w:r>
    </w:p>
    <w:p>
      <w:pPr>
        <w:pStyle w:val="4"/>
        <w:keepLines/>
        <w:widowControl/>
        <w:numPr>
          <w:ilvl w:val="2"/>
          <w:numId w:val="1"/>
        </w:numPr>
        <w:tabs>
          <w:tab w:val="clear" w:pos="432"/>
          <w:tab w:val="clear" w:pos="960"/>
        </w:tabs>
        <w:kinsoku/>
        <w:overflowPunct/>
        <w:topLinePunct w:val="0"/>
        <w:autoSpaceDE/>
        <w:autoSpaceDN/>
        <w:adjustRightInd/>
        <w:snapToGrid/>
        <w:ind w:left="0" w:firstLine="0"/>
        <w:jc w:val="both"/>
        <w:rPr>
          <w:rFonts w:eastAsia="仿宋_GB2312"/>
        </w:rPr>
      </w:pPr>
      <w:r>
        <w:rPr>
          <w:rFonts w:eastAsia="仿宋_GB2312"/>
        </w:rPr>
        <w:t>植物措施可行性分析</w:t>
      </w:r>
    </w:p>
    <w:p>
      <w:pPr>
        <w:ind w:firstLine="480"/>
        <w:rPr>
          <w:rFonts w:eastAsia="仿宋_GB2312"/>
        </w:rPr>
      </w:pPr>
      <w:r>
        <w:rPr>
          <w:rFonts w:eastAsia="仿宋_GB2312"/>
        </w:rPr>
        <w:t>植物措施立地条件是气候、地形、土壤和植被等环境因子组成的综合体，通过现场调查，项目建设区地貌单元为冲</w:t>
      </w:r>
      <w:r>
        <w:rPr>
          <w:rFonts w:hint="eastAsia" w:eastAsia="仿宋_GB2312"/>
        </w:rPr>
        <w:t>洪</w:t>
      </w:r>
      <w:r>
        <w:rPr>
          <w:rFonts w:eastAsia="仿宋_GB2312"/>
        </w:rPr>
        <w:t>积平原区，地势</w:t>
      </w:r>
      <w:r>
        <w:rPr>
          <w:rFonts w:hint="eastAsia" w:eastAsia="仿宋_GB2312"/>
        </w:rPr>
        <w:t>南高北低</w:t>
      </w:r>
      <w:r>
        <w:rPr>
          <w:rFonts w:eastAsia="仿宋_GB2312"/>
        </w:rPr>
        <w:t>，</w:t>
      </w:r>
      <w:r>
        <w:rPr>
          <w:rFonts w:hint="eastAsia" w:eastAsia="仿宋_GB2312"/>
        </w:rPr>
        <w:t>区域地形起伏较小</w:t>
      </w:r>
      <w:r>
        <w:rPr>
          <w:rFonts w:eastAsia="仿宋_GB2312"/>
        </w:rPr>
        <w:t>。气候类型属</w:t>
      </w:r>
      <w:r>
        <w:rPr>
          <w:rFonts w:hint="eastAsia" w:eastAsia="仿宋_GB2312"/>
        </w:rPr>
        <w:t>极度干旱的暖温带大陆气候，降水稀少、蒸发强烈、干燥多风、光热资源充足是本流域最主要的气候特征</w:t>
      </w:r>
      <w:r>
        <w:rPr>
          <w:rFonts w:eastAsia="仿宋_GB2312"/>
        </w:rPr>
        <w:t>。多年平均气温</w:t>
      </w:r>
      <w:r>
        <w:rPr>
          <w:rFonts w:hint="eastAsia" w:eastAsia="仿宋_GB2312"/>
        </w:rPr>
        <w:t>12.2℃</w:t>
      </w:r>
      <w:r>
        <w:rPr>
          <w:rFonts w:eastAsia="仿宋_GB2312"/>
        </w:rPr>
        <w:t>，最高气温</w:t>
      </w:r>
      <w:r>
        <w:rPr>
          <w:rFonts w:hint="eastAsia" w:eastAsia="仿宋_GB2312"/>
        </w:rPr>
        <w:t>40.6℃</w:t>
      </w:r>
      <w:r>
        <w:rPr>
          <w:rFonts w:eastAsia="仿宋_GB2312"/>
        </w:rPr>
        <w:t>，最低气温-</w:t>
      </w:r>
      <w:r>
        <w:rPr>
          <w:rFonts w:hint="eastAsia" w:eastAsia="仿宋_GB2312"/>
        </w:rPr>
        <w:t>21.6℃，</w:t>
      </w:r>
      <w:r>
        <w:rPr>
          <w:rFonts w:eastAsia="仿宋_GB2312"/>
        </w:rPr>
        <w:t>多年平均降水量</w:t>
      </w:r>
      <w:r>
        <w:rPr>
          <w:rFonts w:hint="eastAsia" w:eastAsia="仿宋_GB2312"/>
        </w:rPr>
        <w:t>33.4</w:t>
      </w:r>
      <w:r>
        <w:rPr>
          <w:rFonts w:eastAsia="仿宋_GB2312"/>
        </w:rPr>
        <w:t>mm，多年平均蒸发量</w:t>
      </w:r>
      <w:r>
        <w:rPr>
          <w:rFonts w:hint="eastAsia" w:eastAsia="仿宋_GB2312"/>
        </w:rPr>
        <w:t>2602</w:t>
      </w:r>
      <w:r>
        <w:rPr>
          <w:rFonts w:eastAsia="仿宋_GB2312"/>
        </w:rPr>
        <w:t>mm</w:t>
      </w:r>
      <w:r>
        <w:rPr>
          <w:rFonts w:hint="eastAsia" w:eastAsia="仿宋_GB2312"/>
        </w:rPr>
        <w:t>，</w:t>
      </w:r>
      <w:r>
        <w:rPr>
          <w:rFonts w:eastAsia="仿宋_GB2312"/>
        </w:rPr>
        <w:t>年平均风速</w:t>
      </w:r>
      <w:r>
        <w:rPr>
          <w:rFonts w:hint="eastAsia" w:eastAsia="仿宋_GB2312"/>
        </w:rPr>
        <w:t>2.1</w:t>
      </w:r>
      <w:r>
        <w:rPr>
          <w:rFonts w:eastAsia="仿宋_GB2312"/>
        </w:rPr>
        <w:t>m/s。</w:t>
      </w:r>
      <w:r>
        <w:rPr>
          <w:rFonts w:hint="eastAsia" w:eastAsia="仿宋_GB2312"/>
        </w:rPr>
        <w:t>项目区土壤类型主要为</w:t>
      </w:r>
      <w:r>
        <w:rPr>
          <w:rFonts w:eastAsia="仿宋_GB2312"/>
        </w:rPr>
        <w:t>棕漠土</w:t>
      </w:r>
      <w:r>
        <w:rPr>
          <w:rFonts w:hint="eastAsia" w:eastAsia="仿宋_GB2312"/>
        </w:rPr>
        <w:t>。</w:t>
      </w:r>
    </w:p>
    <w:p>
      <w:pPr>
        <w:ind w:firstLine="480"/>
        <w:rPr>
          <w:rFonts w:eastAsia="仿宋_GB2312"/>
        </w:rPr>
      </w:pPr>
      <w:r>
        <w:rPr>
          <w:rFonts w:hint="eastAsia" w:eastAsia="仿宋_GB2312"/>
        </w:rPr>
        <w:t>由于本项目占用的是建设用地，施工作业区大部分为硬化道路，因此本项目不采取植物措施，但施工结束后需对施工区域进行土地平整，并实施洒水措施。</w:t>
      </w:r>
    </w:p>
    <w:p>
      <w:pPr>
        <w:pStyle w:val="4"/>
        <w:keepLines/>
        <w:widowControl/>
        <w:numPr>
          <w:ilvl w:val="2"/>
          <w:numId w:val="1"/>
        </w:numPr>
        <w:tabs>
          <w:tab w:val="clear" w:pos="432"/>
          <w:tab w:val="clear" w:pos="960"/>
        </w:tabs>
        <w:kinsoku/>
        <w:overflowPunct/>
        <w:topLinePunct w:val="0"/>
        <w:autoSpaceDE/>
        <w:autoSpaceDN/>
        <w:adjustRightInd/>
        <w:snapToGrid/>
        <w:ind w:left="0" w:firstLine="0"/>
        <w:jc w:val="both"/>
        <w:rPr>
          <w:rFonts w:eastAsia="仿宋_GB2312"/>
        </w:rPr>
      </w:pPr>
      <w:r>
        <w:rPr>
          <w:rFonts w:eastAsia="仿宋_GB2312"/>
        </w:rPr>
        <w:t>临时防护措施比选</w:t>
      </w:r>
    </w:p>
    <w:p>
      <w:pPr>
        <w:ind w:firstLine="480"/>
        <w:rPr>
          <w:rFonts w:eastAsia="仿宋_GB2312"/>
        </w:rPr>
      </w:pPr>
      <w:r>
        <w:rPr>
          <w:rFonts w:eastAsia="仿宋_GB2312"/>
          <w:lang w:val="zh-CN"/>
        </w:rPr>
        <w:t>根</w:t>
      </w:r>
      <w:r>
        <w:rPr>
          <w:rFonts w:eastAsia="仿宋_GB2312"/>
        </w:rPr>
        <w:t>据主体施工进度，工程建设区有主体基础开挖土的临时堆放，主体工程未对其采取任何防护措施，而在本项目区环境条件下，地表组成结构被改变后可能产生的主要是风力侵蚀和水力侵蚀，因此本方案针对堆土提出</w:t>
      </w:r>
      <w:r>
        <w:rPr>
          <w:rFonts w:hint="eastAsia" w:eastAsia="仿宋_GB2312"/>
        </w:rPr>
        <w:t>4</w:t>
      </w:r>
      <w:r>
        <w:rPr>
          <w:rFonts w:eastAsia="仿宋_GB2312"/>
        </w:rPr>
        <w:t>种防护措施供筛选比较。这</w:t>
      </w:r>
      <w:r>
        <w:rPr>
          <w:rFonts w:hint="eastAsia" w:eastAsia="仿宋_GB2312"/>
        </w:rPr>
        <w:t>4</w:t>
      </w:r>
      <w:r>
        <w:rPr>
          <w:rFonts w:eastAsia="仿宋_GB2312"/>
        </w:rPr>
        <w:t>种防护措施为洒水、编织袋装土防护、防尘网、固化剂。各防护措施比选内容见表5.2-</w:t>
      </w:r>
      <w:r>
        <w:rPr>
          <w:rFonts w:hint="eastAsia" w:eastAsia="仿宋_GB2312"/>
        </w:rPr>
        <w:t>1</w:t>
      </w:r>
      <w:r>
        <w:rPr>
          <w:rFonts w:eastAsia="仿宋_GB2312"/>
        </w:rPr>
        <w:t>。</w:t>
      </w:r>
    </w:p>
    <w:p>
      <w:pPr>
        <w:spacing w:line="240" w:lineRule="auto"/>
        <w:ind w:firstLine="480"/>
        <w:jc w:val="center"/>
        <w:rPr>
          <w:rFonts w:eastAsia="仿宋_GB2312"/>
          <w:b/>
          <w:kern w:val="44"/>
        </w:rPr>
        <w:sectPr>
          <w:headerReference r:id="rId16" w:type="default"/>
          <w:pgSz w:w="11906" w:h="16838"/>
          <w:pgMar w:top="1440" w:right="1803" w:bottom="1440" w:left="1803" w:header="851" w:footer="992" w:gutter="0"/>
          <w:cols w:space="720" w:num="1"/>
          <w:docGrid w:linePitch="326" w:charSpace="0"/>
        </w:sectPr>
      </w:pPr>
    </w:p>
    <w:p>
      <w:pPr>
        <w:spacing w:line="240" w:lineRule="auto"/>
        <w:ind w:firstLine="480"/>
        <w:jc w:val="center"/>
        <w:rPr>
          <w:rFonts w:eastAsia="仿宋_GB2312"/>
          <w:b/>
          <w:bCs/>
        </w:rPr>
      </w:pPr>
      <w:r>
        <w:rPr>
          <w:rFonts w:hint="eastAsia" w:eastAsia="仿宋_GB2312"/>
          <w:b/>
          <w:kern w:val="44"/>
        </w:rPr>
        <w:t xml:space="preserve">5.2-1    </w:t>
      </w:r>
      <w:r>
        <w:rPr>
          <w:rFonts w:eastAsia="仿宋_GB2312"/>
          <w:b/>
          <w:kern w:val="44"/>
        </w:rPr>
        <w:t>临时防护措施比较表</w:t>
      </w:r>
      <w:r>
        <w:rPr>
          <w:rFonts w:eastAsia="仿宋_GB2312"/>
          <w:b/>
          <w:bCs/>
        </w:rPr>
        <w:t>表</w:t>
      </w:r>
    </w:p>
    <w:tbl>
      <w:tblPr>
        <w:tblStyle w:val="40"/>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235"/>
        <w:gridCol w:w="1441"/>
        <w:gridCol w:w="4158"/>
        <w:gridCol w:w="168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0" w:type="auto"/>
            <w:vMerge w:val="restart"/>
            <w:vAlign w:val="center"/>
          </w:tcPr>
          <w:p>
            <w:pPr>
              <w:widowControl/>
              <w:spacing w:line="0" w:lineRule="atLeast"/>
              <w:ind w:firstLine="0" w:firstLineChars="0"/>
              <w:jc w:val="center"/>
              <w:rPr>
                <w:rFonts w:eastAsia="仿宋_GB2312"/>
                <w:snapToGrid w:val="0"/>
                <w:sz w:val="21"/>
                <w:szCs w:val="21"/>
              </w:rPr>
            </w:pPr>
            <w:r>
              <w:rPr>
                <w:rFonts w:eastAsia="仿宋_GB2312"/>
                <w:snapToGrid w:val="0"/>
                <w:sz w:val="21"/>
                <w:szCs w:val="21"/>
              </w:rPr>
              <w:t>防护措施类型</w:t>
            </w:r>
          </w:p>
        </w:tc>
        <w:tc>
          <w:tcPr>
            <w:tcW w:w="0" w:type="auto"/>
            <w:gridSpan w:val="3"/>
            <w:vAlign w:val="center"/>
          </w:tcPr>
          <w:p>
            <w:pPr>
              <w:widowControl/>
              <w:spacing w:line="0" w:lineRule="atLeast"/>
              <w:ind w:firstLine="0" w:firstLineChars="0"/>
              <w:jc w:val="center"/>
              <w:rPr>
                <w:rFonts w:eastAsia="仿宋_GB2312"/>
                <w:snapToGrid w:val="0"/>
                <w:sz w:val="21"/>
                <w:szCs w:val="21"/>
              </w:rPr>
            </w:pPr>
            <w:r>
              <w:rPr>
                <w:rFonts w:eastAsia="仿宋_GB2312"/>
                <w:snapToGrid w:val="0"/>
                <w:sz w:val="21"/>
                <w:szCs w:val="21"/>
              </w:rPr>
              <w:t>比较内容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0" w:type="auto"/>
            <w:vMerge w:val="continue"/>
            <w:vAlign w:val="center"/>
          </w:tcPr>
          <w:p>
            <w:pPr>
              <w:widowControl/>
              <w:spacing w:line="0" w:lineRule="atLeast"/>
              <w:ind w:firstLine="0" w:firstLineChars="0"/>
              <w:jc w:val="center"/>
              <w:rPr>
                <w:rFonts w:eastAsia="仿宋_GB2312"/>
                <w:snapToGrid w:val="0"/>
                <w:sz w:val="21"/>
                <w:szCs w:val="21"/>
              </w:rPr>
            </w:pPr>
          </w:p>
        </w:tc>
        <w:tc>
          <w:tcPr>
            <w:tcW w:w="0" w:type="auto"/>
            <w:vAlign w:val="center"/>
          </w:tcPr>
          <w:p>
            <w:pPr>
              <w:widowControl/>
              <w:spacing w:line="0" w:lineRule="atLeast"/>
              <w:ind w:firstLine="0" w:firstLineChars="0"/>
              <w:jc w:val="center"/>
              <w:rPr>
                <w:rFonts w:eastAsia="仿宋_GB2312"/>
                <w:snapToGrid w:val="0"/>
                <w:sz w:val="21"/>
                <w:szCs w:val="21"/>
              </w:rPr>
            </w:pPr>
            <w:r>
              <w:rPr>
                <w:rFonts w:eastAsia="仿宋_GB2312"/>
                <w:snapToGrid w:val="0"/>
                <w:sz w:val="21"/>
                <w:szCs w:val="21"/>
              </w:rPr>
              <w:t>措施效果</w:t>
            </w:r>
          </w:p>
        </w:tc>
        <w:tc>
          <w:tcPr>
            <w:tcW w:w="0" w:type="auto"/>
            <w:vAlign w:val="center"/>
          </w:tcPr>
          <w:p>
            <w:pPr>
              <w:widowControl/>
              <w:spacing w:line="0" w:lineRule="atLeast"/>
              <w:ind w:firstLine="0" w:firstLineChars="0"/>
              <w:jc w:val="center"/>
              <w:rPr>
                <w:rFonts w:eastAsia="仿宋_GB2312"/>
                <w:snapToGrid w:val="0"/>
                <w:sz w:val="21"/>
                <w:szCs w:val="21"/>
              </w:rPr>
            </w:pPr>
            <w:r>
              <w:rPr>
                <w:rFonts w:eastAsia="仿宋_GB2312"/>
                <w:snapToGrid w:val="0"/>
                <w:sz w:val="21"/>
                <w:szCs w:val="21"/>
              </w:rPr>
              <w:t>施工条件</w:t>
            </w:r>
          </w:p>
        </w:tc>
        <w:tc>
          <w:tcPr>
            <w:tcW w:w="0" w:type="auto"/>
            <w:vAlign w:val="center"/>
          </w:tcPr>
          <w:p>
            <w:pPr>
              <w:widowControl/>
              <w:spacing w:line="0" w:lineRule="atLeast"/>
              <w:ind w:firstLine="0" w:firstLineChars="0"/>
              <w:jc w:val="center"/>
              <w:rPr>
                <w:rFonts w:eastAsia="仿宋_GB2312"/>
                <w:snapToGrid w:val="0"/>
                <w:sz w:val="21"/>
                <w:szCs w:val="21"/>
              </w:rPr>
            </w:pPr>
            <w:r>
              <w:rPr>
                <w:rFonts w:eastAsia="仿宋_GB2312"/>
                <w:snapToGrid w:val="0"/>
                <w:sz w:val="21"/>
                <w:szCs w:val="21"/>
              </w:rPr>
              <w:t>投资（元/防护1m²弃渣面）</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0" w:type="auto"/>
            <w:vAlign w:val="center"/>
          </w:tcPr>
          <w:p>
            <w:pPr>
              <w:widowControl/>
              <w:spacing w:line="0" w:lineRule="atLeast"/>
              <w:ind w:firstLine="0" w:firstLineChars="0"/>
              <w:jc w:val="center"/>
              <w:rPr>
                <w:rFonts w:eastAsia="仿宋_GB2312"/>
                <w:snapToGrid w:val="0"/>
                <w:sz w:val="21"/>
                <w:szCs w:val="21"/>
              </w:rPr>
            </w:pPr>
            <w:r>
              <w:rPr>
                <w:rFonts w:hint="eastAsia" w:eastAsia="仿宋_GB2312"/>
                <w:snapToGrid w:val="0"/>
                <w:sz w:val="21"/>
                <w:szCs w:val="21"/>
              </w:rPr>
              <w:t>1</w:t>
            </w:r>
            <w:r>
              <w:rPr>
                <w:rFonts w:eastAsia="仿宋_GB2312"/>
                <w:snapToGrid w:val="0"/>
                <w:sz w:val="21"/>
                <w:szCs w:val="21"/>
              </w:rPr>
              <w:t>、洒水</w:t>
            </w:r>
          </w:p>
        </w:tc>
        <w:tc>
          <w:tcPr>
            <w:tcW w:w="0" w:type="auto"/>
            <w:vAlign w:val="center"/>
          </w:tcPr>
          <w:p>
            <w:pPr>
              <w:widowControl/>
              <w:spacing w:line="0" w:lineRule="atLeast"/>
              <w:ind w:firstLine="0" w:firstLineChars="0"/>
              <w:jc w:val="center"/>
              <w:rPr>
                <w:rFonts w:eastAsia="仿宋_GB2312"/>
                <w:snapToGrid w:val="0"/>
                <w:sz w:val="21"/>
                <w:szCs w:val="21"/>
              </w:rPr>
            </w:pPr>
            <w:r>
              <w:rPr>
                <w:rFonts w:eastAsia="仿宋_GB2312"/>
                <w:snapToGrid w:val="0"/>
                <w:sz w:val="21"/>
                <w:szCs w:val="21"/>
              </w:rPr>
              <w:t>见效一般、相对不稳定</w:t>
            </w:r>
          </w:p>
        </w:tc>
        <w:tc>
          <w:tcPr>
            <w:tcW w:w="0" w:type="auto"/>
            <w:vAlign w:val="center"/>
          </w:tcPr>
          <w:p>
            <w:pPr>
              <w:widowControl/>
              <w:spacing w:line="0" w:lineRule="atLeast"/>
              <w:ind w:firstLine="0" w:firstLineChars="0"/>
              <w:jc w:val="center"/>
              <w:rPr>
                <w:rFonts w:eastAsia="仿宋_GB2312"/>
                <w:snapToGrid w:val="0"/>
                <w:sz w:val="21"/>
                <w:szCs w:val="21"/>
              </w:rPr>
            </w:pPr>
            <w:r>
              <w:rPr>
                <w:rFonts w:eastAsia="仿宋_GB2312"/>
                <w:snapToGrid w:val="0"/>
                <w:sz w:val="21"/>
                <w:szCs w:val="21"/>
              </w:rPr>
              <w:t>弃渣洒水后宜结皮，有洒水车通行条件，需重复实施。</w:t>
            </w:r>
          </w:p>
        </w:tc>
        <w:tc>
          <w:tcPr>
            <w:tcW w:w="0" w:type="auto"/>
            <w:vAlign w:val="center"/>
          </w:tcPr>
          <w:p>
            <w:pPr>
              <w:widowControl/>
              <w:spacing w:line="0" w:lineRule="atLeast"/>
              <w:ind w:firstLine="0" w:firstLineChars="0"/>
              <w:jc w:val="center"/>
              <w:rPr>
                <w:rFonts w:eastAsia="仿宋_GB2312"/>
                <w:snapToGrid w:val="0"/>
                <w:sz w:val="21"/>
                <w:szCs w:val="21"/>
              </w:rPr>
            </w:pPr>
            <w:r>
              <w:rPr>
                <w:rFonts w:eastAsia="仿宋_GB2312"/>
                <w:snapToGrid w:val="0"/>
                <w:sz w:val="21"/>
                <w:szCs w:val="21"/>
              </w:rPr>
              <w:t>31.29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0" w:type="auto"/>
            <w:vAlign w:val="center"/>
          </w:tcPr>
          <w:p>
            <w:pPr>
              <w:widowControl/>
              <w:spacing w:line="0" w:lineRule="atLeast"/>
              <w:ind w:firstLine="0" w:firstLineChars="0"/>
              <w:jc w:val="center"/>
              <w:rPr>
                <w:rFonts w:eastAsia="仿宋_GB2312"/>
                <w:snapToGrid w:val="0"/>
                <w:sz w:val="21"/>
                <w:szCs w:val="21"/>
              </w:rPr>
            </w:pPr>
            <w:r>
              <w:rPr>
                <w:rFonts w:hint="eastAsia" w:eastAsia="仿宋_GB2312"/>
                <w:snapToGrid w:val="0"/>
                <w:sz w:val="21"/>
                <w:szCs w:val="21"/>
              </w:rPr>
              <w:t>2</w:t>
            </w:r>
            <w:r>
              <w:rPr>
                <w:rFonts w:eastAsia="仿宋_GB2312"/>
                <w:snapToGrid w:val="0"/>
                <w:sz w:val="21"/>
                <w:szCs w:val="21"/>
              </w:rPr>
              <w:t>、编织袋装土防护</w:t>
            </w:r>
          </w:p>
        </w:tc>
        <w:tc>
          <w:tcPr>
            <w:tcW w:w="0" w:type="auto"/>
            <w:vAlign w:val="center"/>
          </w:tcPr>
          <w:p>
            <w:pPr>
              <w:widowControl/>
              <w:spacing w:line="0" w:lineRule="atLeast"/>
              <w:ind w:firstLine="0" w:firstLineChars="0"/>
              <w:jc w:val="center"/>
              <w:rPr>
                <w:rFonts w:eastAsia="仿宋_GB2312"/>
                <w:snapToGrid w:val="0"/>
                <w:sz w:val="21"/>
                <w:szCs w:val="21"/>
              </w:rPr>
            </w:pPr>
            <w:r>
              <w:rPr>
                <w:rFonts w:eastAsia="仿宋_GB2312"/>
                <w:snapToGrid w:val="0"/>
                <w:sz w:val="21"/>
                <w:szCs w:val="21"/>
              </w:rPr>
              <w:t>见效快、相对稳定</w:t>
            </w:r>
          </w:p>
        </w:tc>
        <w:tc>
          <w:tcPr>
            <w:tcW w:w="0" w:type="auto"/>
            <w:vAlign w:val="center"/>
          </w:tcPr>
          <w:p>
            <w:pPr>
              <w:widowControl/>
              <w:spacing w:line="0" w:lineRule="atLeast"/>
              <w:ind w:firstLine="0" w:firstLineChars="0"/>
              <w:jc w:val="center"/>
              <w:rPr>
                <w:rFonts w:eastAsia="仿宋_GB2312"/>
                <w:snapToGrid w:val="0"/>
                <w:sz w:val="21"/>
                <w:szCs w:val="21"/>
              </w:rPr>
            </w:pPr>
            <w:r>
              <w:rPr>
                <w:rFonts w:eastAsia="仿宋_GB2312"/>
                <w:snapToGrid w:val="0"/>
                <w:sz w:val="21"/>
                <w:szCs w:val="21"/>
              </w:rPr>
              <w:t>具有拦挡功能，需要足够的人工，施工相对复杂。</w:t>
            </w:r>
          </w:p>
        </w:tc>
        <w:tc>
          <w:tcPr>
            <w:tcW w:w="0" w:type="auto"/>
            <w:vAlign w:val="center"/>
          </w:tcPr>
          <w:p>
            <w:pPr>
              <w:widowControl/>
              <w:spacing w:line="0" w:lineRule="atLeast"/>
              <w:ind w:firstLine="0" w:firstLineChars="0"/>
              <w:jc w:val="center"/>
              <w:rPr>
                <w:rFonts w:eastAsia="仿宋_GB2312"/>
                <w:snapToGrid w:val="0"/>
                <w:sz w:val="21"/>
                <w:szCs w:val="21"/>
              </w:rPr>
            </w:pPr>
            <w:r>
              <w:rPr>
                <w:rFonts w:eastAsia="仿宋_GB2312"/>
                <w:snapToGrid w:val="0"/>
                <w:sz w:val="21"/>
                <w:szCs w:val="21"/>
              </w:rPr>
              <w:t>12.12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0" w:type="auto"/>
            <w:vAlign w:val="center"/>
          </w:tcPr>
          <w:p>
            <w:pPr>
              <w:widowControl/>
              <w:spacing w:line="0" w:lineRule="atLeast"/>
              <w:ind w:firstLine="0" w:firstLineChars="0"/>
              <w:jc w:val="center"/>
              <w:rPr>
                <w:rFonts w:eastAsia="仿宋_GB2312"/>
                <w:snapToGrid w:val="0"/>
                <w:sz w:val="21"/>
                <w:szCs w:val="21"/>
              </w:rPr>
            </w:pPr>
            <w:r>
              <w:rPr>
                <w:rFonts w:hint="eastAsia" w:eastAsia="仿宋_GB2312"/>
                <w:snapToGrid w:val="0"/>
                <w:sz w:val="21"/>
                <w:szCs w:val="21"/>
              </w:rPr>
              <w:t>3</w:t>
            </w:r>
            <w:r>
              <w:rPr>
                <w:rFonts w:eastAsia="仿宋_GB2312"/>
                <w:snapToGrid w:val="0"/>
                <w:sz w:val="21"/>
                <w:szCs w:val="21"/>
              </w:rPr>
              <w:t>、防尘网</w:t>
            </w:r>
          </w:p>
        </w:tc>
        <w:tc>
          <w:tcPr>
            <w:tcW w:w="0" w:type="auto"/>
            <w:vAlign w:val="center"/>
          </w:tcPr>
          <w:p>
            <w:pPr>
              <w:widowControl/>
              <w:spacing w:line="0" w:lineRule="atLeast"/>
              <w:ind w:firstLine="0" w:firstLineChars="0"/>
              <w:jc w:val="center"/>
              <w:rPr>
                <w:rFonts w:eastAsia="仿宋_GB2312"/>
                <w:snapToGrid w:val="0"/>
                <w:sz w:val="21"/>
                <w:szCs w:val="21"/>
              </w:rPr>
            </w:pPr>
            <w:r>
              <w:rPr>
                <w:rFonts w:eastAsia="仿宋_GB2312"/>
                <w:snapToGrid w:val="0"/>
                <w:sz w:val="21"/>
                <w:szCs w:val="21"/>
              </w:rPr>
              <w:t>见效快、稳定</w:t>
            </w:r>
          </w:p>
        </w:tc>
        <w:tc>
          <w:tcPr>
            <w:tcW w:w="0" w:type="auto"/>
            <w:vAlign w:val="center"/>
          </w:tcPr>
          <w:p>
            <w:pPr>
              <w:widowControl/>
              <w:spacing w:line="0" w:lineRule="atLeast"/>
              <w:ind w:firstLine="0" w:firstLineChars="0"/>
              <w:jc w:val="center"/>
              <w:rPr>
                <w:rFonts w:eastAsia="仿宋_GB2312"/>
                <w:snapToGrid w:val="0"/>
                <w:sz w:val="21"/>
                <w:szCs w:val="21"/>
              </w:rPr>
            </w:pPr>
            <w:r>
              <w:rPr>
                <w:rFonts w:eastAsia="仿宋_GB2312"/>
                <w:snapToGrid w:val="0"/>
                <w:sz w:val="21"/>
                <w:szCs w:val="21"/>
              </w:rPr>
              <w:t>施工相对简单，完工后需要回收再利用。本工程项目区大风频发，易将防尘网刮离。</w:t>
            </w:r>
          </w:p>
        </w:tc>
        <w:tc>
          <w:tcPr>
            <w:tcW w:w="0" w:type="auto"/>
            <w:vAlign w:val="center"/>
          </w:tcPr>
          <w:p>
            <w:pPr>
              <w:widowControl/>
              <w:spacing w:line="0" w:lineRule="atLeast"/>
              <w:ind w:firstLine="0" w:firstLineChars="0"/>
              <w:jc w:val="center"/>
              <w:rPr>
                <w:rFonts w:eastAsia="仿宋_GB2312"/>
                <w:snapToGrid w:val="0"/>
                <w:sz w:val="21"/>
                <w:szCs w:val="21"/>
              </w:rPr>
            </w:pPr>
            <w:r>
              <w:rPr>
                <w:rFonts w:eastAsia="仿宋_GB2312"/>
                <w:snapToGrid w:val="0"/>
                <w:sz w:val="21"/>
                <w:szCs w:val="21"/>
              </w:rPr>
              <w:t>32.8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0" w:type="auto"/>
            <w:vAlign w:val="center"/>
          </w:tcPr>
          <w:p>
            <w:pPr>
              <w:widowControl/>
              <w:spacing w:line="0" w:lineRule="atLeast"/>
              <w:ind w:firstLine="0" w:firstLineChars="0"/>
              <w:jc w:val="center"/>
              <w:rPr>
                <w:rFonts w:eastAsia="仿宋_GB2312"/>
                <w:snapToGrid w:val="0"/>
                <w:sz w:val="21"/>
                <w:szCs w:val="21"/>
              </w:rPr>
            </w:pPr>
            <w:r>
              <w:rPr>
                <w:rFonts w:hint="eastAsia" w:eastAsia="仿宋_GB2312"/>
                <w:snapToGrid w:val="0"/>
                <w:sz w:val="21"/>
                <w:szCs w:val="21"/>
              </w:rPr>
              <w:t>4</w:t>
            </w:r>
            <w:r>
              <w:rPr>
                <w:rFonts w:eastAsia="仿宋_GB2312"/>
                <w:snapToGrid w:val="0"/>
                <w:sz w:val="21"/>
                <w:szCs w:val="21"/>
              </w:rPr>
              <w:t>、固化剂</w:t>
            </w:r>
          </w:p>
        </w:tc>
        <w:tc>
          <w:tcPr>
            <w:tcW w:w="0" w:type="auto"/>
            <w:vAlign w:val="center"/>
          </w:tcPr>
          <w:p>
            <w:pPr>
              <w:widowControl/>
              <w:spacing w:line="0" w:lineRule="atLeast"/>
              <w:ind w:firstLine="0" w:firstLineChars="0"/>
              <w:jc w:val="center"/>
              <w:rPr>
                <w:rFonts w:eastAsia="仿宋_GB2312"/>
                <w:snapToGrid w:val="0"/>
                <w:sz w:val="21"/>
                <w:szCs w:val="21"/>
              </w:rPr>
            </w:pPr>
            <w:r>
              <w:rPr>
                <w:rFonts w:eastAsia="仿宋_GB2312"/>
                <w:snapToGrid w:val="0"/>
                <w:sz w:val="21"/>
                <w:szCs w:val="21"/>
              </w:rPr>
              <w:t>见效快、很稳定</w:t>
            </w:r>
          </w:p>
        </w:tc>
        <w:tc>
          <w:tcPr>
            <w:tcW w:w="0" w:type="auto"/>
            <w:vAlign w:val="center"/>
          </w:tcPr>
          <w:p>
            <w:pPr>
              <w:widowControl/>
              <w:spacing w:line="0" w:lineRule="atLeast"/>
              <w:ind w:firstLine="0" w:firstLineChars="0"/>
              <w:jc w:val="center"/>
              <w:rPr>
                <w:rFonts w:eastAsia="仿宋_GB2312"/>
                <w:snapToGrid w:val="0"/>
                <w:sz w:val="21"/>
                <w:szCs w:val="21"/>
              </w:rPr>
            </w:pPr>
            <w:r>
              <w:rPr>
                <w:rFonts w:eastAsia="仿宋_GB2312"/>
                <w:snapToGrid w:val="0"/>
                <w:sz w:val="21"/>
                <w:szCs w:val="21"/>
              </w:rPr>
              <w:t>需要水源保证和洒水车通行条件，本项目区易冻结，不能发挥防护效果。</w:t>
            </w:r>
          </w:p>
        </w:tc>
        <w:tc>
          <w:tcPr>
            <w:tcW w:w="0" w:type="auto"/>
            <w:vAlign w:val="center"/>
          </w:tcPr>
          <w:p>
            <w:pPr>
              <w:widowControl/>
              <w:spacing w:line="0" w:lineRule="atLeast"/>
              <w:ind w:firstLine="0" w:firstLineChars="0"/>
              <w:jc w:val="center"/>
              <w:rPr>
                <w:rFonts w:eastAsia="仿宋_GB2312"/>
                <w:snapToGrid w:val="0"/>
                <w:sz w:val="21"/>
                <w:szCs w:val="21"/>
              </w:rPr>
            </w:pPr>
            <w:r>
              <w:rPr>
                <w:rFonts w:eastAsia="仿宋_GB2312"/>
                <w:snapToGrid w:val="0"/>
                <w:sz w:val="21"/>
                <w:szCs w:val="21"/>
              </w:rPr>
              <w:t>51.1</w:t>
            </w:r>
          </w:p>
        </w:tc>
      </w:tr>
    </w:tbl>
    <w:p>
      <w:pPr>
        <w:pStyle w:val="13"/>
        <w:spacing w:beforeLines="100"/>
        <w:ind w:firstLine="480"/>
        <w:rPr>
          <w:rFonts w:eastAsia="仿宋_GB2312"/>
        </w:rPr>
      </w:pPr>
      <w:r>
        <w:rPr>
          <w:rFonts w:eastAsia="仿宋_GB2312"/>
        </w:rPr>
        <w:t>洒水措施可以快速抑制扬尘，并使项目区临时堆渣表面逐渐形成“人工结皮”，对抑制风蚀有一定作用，但维持时间不长，需重复实施，若表层被破坏，还需再次实施洒水措施，如果水源距离较远，运费较贵。</w:t>
      </w:r>
    </w:p>
    <w:p>
      <w:pPr>
        <w:pStyle w:val="13"/>
        <w:ind w:firstLine="480"/>
        <w:rPr>
          <w:rFonts w:eastAsia="仿宋_GB2312"/>
        </w:rPr>
      </w:pPr>
      <w:r>
        <w:rPr>
          <w:rFonts w:eastAsia="仿宋_GB2312"/>
        </w:rPr>
        <w:t>编织袋装土防护可以抑制风蚀，也可做临时导流，对水分和有机质可以起到一定的保护作用，适合点状工程防护，但对于线性工程而言施工难度大，可操作性不强。</w:t>
      </w:r>
    </w:p>
    <w:p>
      <w:pPr>
        <w:pStyle w:val="13"/>
        <w:ind w:firstLine="480"/>
        <w:rPr>
          <w:rFonts w:eastAsia="仿宋_GB2312"/>
        </w:rPr>
      </w:pPr>
      <w:r>
        <w:rPr>
          <w:rFonts w:eastAsia="仿宋_GB2312"/>
        </w:rPr>
        <w:t>防尘网措施在工程中使用较为广泛，防护效果好，施工相对简单，且可回收再利用，不适宜大面积的临时防护，单价高，防护费用大。</w:t>
      </w:r>
    </w:p>
    <w:p>
      <w:pPr>
        <w:ind w:firstLine="480"/>
        <w:rPr>
          <w:rFonts w:eastAsia="仿宋_GB2312"/>
        </w:rPr>
      </w:pPr>
      <w:r>
        <w:rPr>
          <w:rFonts w:eastAsia="仿宋_GB2312"/>
        </w:rPr>
        <w:t>固化剂措施在堆渣防护效果上最有效，能在堆渣表面形成一稳定层，对减轻风蚀和水蚀都有很好的作用，但价格偏高，且在本工程的气象条件下易冻结，防护效果无法发挥。</w:t>
      </w:r>
    </w:p>
    <w:p>
      <w:pPr>
        <w:ind w:firstLine="480"/>
        <w:rPr>
          <w:rFonts w:eastAsia="仿宋_GB2312"/>
        </w:rPr>
      </w:pPr>
      <w:r>
        <w:rPr>
          <w:rFonts w:eastAsia="仿宋_GB2312"/>
        </w:rPr>
        <w:t>根据本项目的实际情况和以上</w:t>
      </w:r>
      <w:r>
        <w:rPr>
          <w:rFonts w:hint="eastAsia" w:eastAsia="仿宋_GB2312"/>
        </w:rPr>
        <w:t>4</w:t>
      </w:r>
      <w:r>
        <w:rPr>
          <w:rFonts w:eastAsia="仿宋_GB2312"/>
        </w:rPr>
        <w:t>种措施的比较，本方案确定：对于本工程项目区临时</w:t>
      </w:r>
      <w:r>
        <w:rPr>
          <w:rFonts w:hint="eastAsia" w:eastAsia="仿宋_GB2312"/>
        </w:rPr>
        <w:t>堆土</w:t>
      </w:r>
      <w:r>
        <w:rPr>
          <w:rFonts w:eastAsia="仿宋_GB2312"/>
        </w:rPr>
        <w:t>的临时防护措施可采取防尘网苫盖</w:t>
      </w:r>
      <w:r>
        <w:rPr>
          <w:rFonts w:hint="eastAsia" w:eastAsia="仿宋_GB2312"/>
        </w:rPr>
        <w:t>措施</w:t>
      </w:r>
      <w:r>
        <w:rPr>
          <w:rFonts w:eastAsia="仿宋_GB2312"/>
        </w:rPr>
        <w:t>。</w:t>
      </w:r>
    </w:p>
    <w:p>
      <w:pPr>
        <w:pStyle w:val="4"/>
        <w:keepLines/>
        <w:widowControl/>
        <w:numPr>
          <w:ilvl w:val="2"/>
          <w:numId w:val="1"/>
        </w:numPr>
        <w:tabs>
          <w:tab w:val="clear" w:pos="432"/>
          <w:tab w:val="clear" w:pos="960"/>
        </w:tabs>
        <w:kinsoku/>
        <w:overflowPunct/>
        <w:topLinePunct w:val="0"/>
        <w:autoSpaceDE/>
        <w:autoSpaceDN/>
        <w:adjustRightInd/>
        <w:snapToGrid/>
        <w:ind w:left="0" w:firstLine="0"/>
        <w:jc w:val="both"/>
        <w:rPr>
          <w:rFonts w:eastAsia="仿宋_GB2312"/>
        </w:rPr>
      </w:pPr>
      <w:r>
        <w:rPr>
          <w:rFonts w:eastAsia="仿宋_GB2312"/>
        </w:rPr>
        <w:t>防治措施布设设计</w:t>
      </w:r>
    </w:p>
    <w:p>
      <w:pPr>
        <w:autoSpaceDE w:val="0"/>
        <w:autoSpaceDN w:val="0"/>
        <w:ind w:firstLine="480"/>
        <w:rPr>
          <w:rFonts w:eastAsia="仿宋_GB2312"/>
        </w:rPr>
      </w:pPr>
      <w:r>
        <w:rPr>
          <w:rFonts w:eastAsia="仿宋_GB2312"/>
        </w:rPr>
        <w:t>根据项目建设区建设内容、施工现状、区域规划和自然条件等，对本项目各建设区水土流失防治措施分述如下：</w:t>
      </w:r>
    </w:p>
    <w:p>
      <w:pPr>
        <w:autoSpaceDE w:val="0"/>
        <w:autoSpaceDN w:val="0"/>
        <w:ind w:firstLine="480"/>
        <w:rPr>
          <w:rFonts w:eastAsia="仿宋_GB2312"/>
        </w:rPr>
      </w:pPr>
      <w:r>
        <w:rPr>
          <w:rFonts w:hint="eastAsia" w:eastAsia="仿宋_GB2312"/>
        </w:rPr>
        <w:t>1、管道工程区</w:t>
      </w:r>
    </w:p>
    <w:p>
      <w:pPr>
        <w:ind w:firstLine="480"/>
        <w:rPr>
          <w:rFonts w:eastAsia="仿宋_GB2312"/>
        </w:rPr>
      </w:pPr>
      <w:r>
        <w:rPr>
          <w:rFonts w:eastAsia="仿宋_GB2312"/>
        </w:rPr>
        <w:t>主体设计</w:t>
      </w:r>
      <w:r>
        <w:rPr>
          <w:rFonts w:hint="eastAsia" w:eastAsia="仿宋_GB2312"/>
        </w:rPr>
        <w:t>施工</w:t>
      </w:r>
      <w:r>
        <w:rPr>
          <w:rFonts w:eastAsia="仿宋_GB2312"/>
        </w:rPr>
        <w:t>结束之后对施工场地进行</w:t>
      </w:r>
      <w:r>
        <w:rPr>
          <w:rFonts w:hint="eastAsia" w:eastAsia="仿宋_GB2312"/>
        </w:rPr>
        <w:t>土地</w:t>
      </w:r>
      <w:r>
        <w:rPr>
          <w:rFonts w:eastAsia="仿宋_GB2312"/>
        </w:rPr>
        <w:t>平整。</w:t>
      </w:r>
      <w:r>
        <w:rPr>
          <w:rFonts w:hint="eastAsia" w:eastAsia="仿宋_GB2312"/>
        </w:rPr>
        <w:t>方案补充施工期间</w:t>
      </w:r>
      <w:r>
        <w:rPr>
          <w:rFonts w:eastAsia="仿宋_GB2312"/>
        </w:rPr>
        <w:t>在施工</w:t>
      </w:r>
      <w:r>
        <w:rPr>
          <w:rFonts w:hint="eastAsia" w:eastAsia="仿宋_GB2312"/>
        </w:rPr>
        <w:t>作业带两侧</w:t>
      </w:r>
      <w:r>
        <w:rPr>
          <w:rFonts w:eastAsia="仿宋_GB2312"/>
        </w:rPr>
        <w:t>设置</w:t>
      </w:r>
      <w:r>
        <w:rPr>
          <w:rFonts w:hint="eastAsia" w:eastAsia="仿宋_GB2312"/>
        </w:rPr>
        <w:t>彩条旗限界措施；对基础开挖土方临时堆放在管沟一侧并实施</w:t>
      </w:r>
      <w:r>
        <w:rPr>
          <w:rFonts w:eastAsia="仿宋_GB2312"/>
        </w:rPr>
        <w:t>防尘网苫盖措施</w:t>
      </w:r>
      <w:r>
        <w:rPr>
          <w:rFonts w:hint="eastAsia" w:eastAsia="仿宋_GB2312"/>
        </w:rPr>
        <w:t>；</w:t>
      </w:r>
      <w:r>
        <w:rPr>
          <w:rFonts w:eastAsia="仿宋_GB2312"/>
        </w:rPr>
        <w:t>工程建设过程中</w:t>
      </w:r>
      <w:r>
        <w:rPr>
          <w:rFonts w:hint="eastAsia" w:eastAsia="仿宋_GB2312"/>
        </w:rPr>
        <w:t>定期对场地实施</w:t>
      </w:r>
      <w:r>
        <w:rPr>
          <w:rFonts w:eastAsia="仿宋_GB2312"/>
        </w:rPr>
        <w:t>洒水措施</w:t>
      </w:r>
      <w:r>
        <w:rPr>
          <w:rFonts w:hint="eastAsia" w:eastAsia="仿宋_GB2312"/>
        </w:rPr>
        <w:t>；</w:t>
      </w:r>
      <w:r>
        <w:rPr>
          <w:rFonts w:eastAsia="仿宋_GB2312"/>
        </w:rPr>
        <w:t>为提高施工人员水土保持意识，设计在</w:t>
      </w:r>
      <w:r>
        <w:rPr>
          <w:rFonts w:hint="eastAsia" w:eastAsia="仿宋_GB2312"/>
        </w:rPr>
        <w:t>各小区施工场地</w:t>
      </w:r>
      <w:r>
        <w:rPr>
          <w:rFonts w:eastAsia="仿宋_GB2312"/>
        </w:rPr>
        <w:t>处</w:t>
      </w:r>
      <w:r>
        <w:rPr>
          <w:rFonts w:hint="eastAsia" w:eastAsia="仿宋_GB2312"/>
        </w:rPr>
        <w:t>分别</w:t>
      </w:r>
      <w:r>
        <w:rPr>
          <w:rFonts w:eastAsia="仿宋_GB2312"/>
        </w:rPr>
        <w:t>布置1块水土保持宣传牌</w:t>
      </w:r>
      <w:r>
        <w:rPr>
          <w:rFonts w:hint="eastAsia" w:eastAsia="仿宋_GB2312"/>
        </w:rPr>
        <w:t>。</w:t>
      </w:r>
    </w:p>
    <w:p>
      <w:pPr>
        <w:tabs>
          <w:tab w:val="left" w:pos="840"/>
          <w:tab w:val="left" w:pos="1485"/>
        </w:tabs>
        <w:ind w:firstLine="480"/>
        <w:rPr>
          <w:rFonts w:eastAsia="仿宋_GB2312"/>
        </w:rPr>
      </w:pPr>
      <w:r>
        <w:rPr>
          <w:rFonts w:hint="eastAsia" w:eastAsia="仿宋_GB2312"/>
        </w:rPr>
        <w:t>2、附属构筑物区</w:t>
      </w:r>
    </w:p>
    <w:p>
      <w:pPr>
        <w:ind w:firstLine="480"/>
        <w:rPr>
          <w:rFonts w:eastAsia="仿宋_GB2312"/>
        </w:rPr>
      </w:pPr>
      <w:r>
        <w:rPr>
          <w:rFonts w:eastAsia="仿宋_GB2312"/>
        </w:rPr>
        <w:t>主体设计</w:t>
      </w:r>
      <w:r>
        <w:rPr>
          <w:rFonts w:hint="eastAsia" w:eastAsia="仿宋_GB2312"/>
        </w:rPr>
        <w:t>施工</w:t>
      </w:r>
      <w:r>
        <w:rPr>
          <w:rFonts w:eastAsia="仿宋_GB2312"/>
        </w:rPr>
        <w:t>结束之后对施工场地进行</w:t>
      </w:r>
      <w:r>
        <w:rPr>
          <w:rFonts w:hint="eastAsia" w:eastAsia="仿宋_GB2312"/>
        </w:rPr>
        <w:t>土地</w:t>
      </w:r>
      <w:r>
        <w:rPr>
          <w:rFonts w:eastAsia="仿宋_GB2312"/>
        </w:rPr>
        <w:t>平整。</w:t>
      </w:r>
      <w:r>
        <w:rPr>
          <w:rFonts w:hint="eastAsia" w:eastAsia="仿宋_GB2312"/>
        </w:rPr>
        <w:t>方案补充施工期间对基础开挖土方临时堆放在基础四周并实施</w:t>
      </w:r>
      <w:r>
        <w:rPr>
          <w:rFonts w:eastAsia="仿宋_GB2312"/>
        </w:rPr>
        <w:t>防尘网苫盖措施</w:t>
      </w:r>
      <w:r>
        <w:rPr>
          <w:rFonts w:hint="eastAsia" w:eastAsia="仿宋_GB2312"/>
        </w:rPr>
        <w:t>。</w:t>
      </w:r>
    </w:p>
    <w:p>
      <w:pPr>
        <w:pStyle w:val="4"/>
        <w:keepLines/>
        <w:widowControl/>
        <w:numPr>
          <w:ilvl w:val="2"/>
          <w:numId w:val="1"/>
        </w:numPr>
        <w:tabs>
          <w:tab w:val="clear" w:pos="432"/>
          <w:tab w:val="clear" w:pos="960"/>
        </w:tabs>
        <w:kinsoku/>
        <w:overflowPunct/>
        <w:topLinePunct w:val="0"/>
        <w:autoSpaceDE/>
        <w:autoSpaceDN/>
        <w:adjustRightInd/>
        <w:snapToGrid/>
        <w:ind w:left="0" w:firstLine="0"/>
        <w:jc w:val="both"/>
        <w:rPr>
          <w:bCs w:val="0"/>
        </w:rPr>
      </w:pPr>
      <w:r>
        <w:rPr>
          <w:bCs w:val="0"/>
        </w:rPr>
        <w:t>水土流失防治措施体系</w:t>
      </w:r>
    </w:p>
    <w:p>
      <w:pPr>
        <w:ind w:firstLine="480"/>
        <w:rPr>
          <w:rFonts w:eastAsia="仿宋_GB2312"/>
        </w:rPr>
      </w:pPr>
      <w:r>
        <w:rPr>
          <w:rFonts w:eastAsia="仿宋_GB2312"/>
        </w:rPr>
        <w:t>在防治分区基础上，针对建设施工活动等引发水土流失的特点，结合防治措施布局，因地制宜的制定项目建设区水土流失防治措施体系。</w:t>
      </w:r>
    </w:p>
    <w:p>
      <w:pPr>
        <w:ind w:firstLine="480"/>
        <w:rPr>
          <w:rFonts w:eastAsia="仿宋_GB2312"/>
        </w:rPr>
      </w:pPr>
      <w:r>
        <w:rPr>
          <w:rFonts w:eastAsia="仿宋_GB2312"/>
        </w:rPr>
        <w:t>水土流失防治措施体系图见图5.2-1。</w:t>
      </w:r>
    </w:p>
    <w:p>
      <w:pPr>
        <w:autoSpaceDE w:val="0"/>
        <w:autoSpaceDN w:val="0"/>
        <w:ind w:firstLine="0" w:firstLineChars="0"/>
        <w:jc w:val="center"/>
        <w:rPr>
          <w:rFonts w:eastAsia="仿宋_GB2312"/>
          <w:b/>
          <w:color w:val="000000"/>
          <w:szCs w:val="21"/>
        </w:rPr>
      </w:pPr>
      <w:r>
        <w:rPr>
          <w:rFonts w:eastAsia="仿宋_GB2312"/>
          <w:b/>
          <w:color w:val="000000"/>
          <w:szCs w:val="21"/>
        </w:rPr>
        <w:object>
          <v:shape id="_x0000_i1028" o:spt="75" type="#_x0000_t75" style="height:151.5pt;width:391.5pt;" o:ole="t" filled="f" o:preferrelative="t" stroked="f" coordsize="21600,21600">
            <v:path/>
            <v:fill on="f" focussize="0,0"/>
            <v:stroke on="f" joinstyle="miter"/>
            <v:imagedata r:id="rId45" o:title=""/>
            <o:lock v:ext="edit" aspectratio="f"/>
            <w10:wrap type="none"/>
            <w10:anchorlock/>
          </v:shape>
          <o:OLEObject Type="Embed" ProgID="Visio.Drawing.11" ShapeID="_x0000_i1028" DrawAspect="Content" ObjectID="_1468075728" r:id="rId44">
            <o:LockedField>false</o:LockedField>
          </o:OLEObject>
        </w:object>
      </w:r>
    </w:p>
    <w:p>
      <w:pPr>
        <w:autoSpaceDE w:val="0"/>
        <w:autoSpaceDN w:val="0"/>
        <w:ind w:firstLine="480"/>
        <w:jc w:val="center"/>
        <w:rPr>
          <w:rFonts w:eastAsia="仿宋_GB2312"/>
          <w:b/>
          <w:color w:val="000000"/>
        </w:rPr>
      </w:pPr>
      <w:r>
        <w:rPr>
          <w:rFonts w:eastAsia="仿宋_GB2312"/>
          <w:b/>
          <w:color w:val="000000"/>
        </w:rPr>
        <w:t>图</w:t>
      </w:r>
      <w:r>
        <w:rPr>
          <w:rFonts w:eastAsia="仿宋_GB2312"/>
          <w:b/>
          <w:color w:val="FF0000"/>
        </w:rPr>
        <w:t>5.2-1  水土流失防治措施体系框图</w:t>
      </w:r>
    </w:p>
    <w:p>
      <w:pPr>
        <w:pStyle w:val="3"/>
        <w:widowControl/>
        <w:numPr>
          <w:ilvl w:val="1"/>
          <w:numId w:val="1"/>
        </w:numPr>
        <w:tabs>
          <w:tab w:val="clear" w:pos="1002"/>
        </w:tabs>
        <w:topLinePunct w:val="0"/>
        <w:adjustRightInd/>
        <w:snapToGrid/>
        <w:ind w:left="0" w:firstLine="0"/>
        <w:jc w:val="both"/>
        <w:rPr>
          <w:rFonts w:eastAsia="仿宋_GB2312"/>
        </w:rPr>
      </w:pPr>
      <w:bookmarkStart w:id="278" w:name="_Toc7801408"/>
      <w:bookmarkStart w:id="279" w:name="_Toc7801475"/>
      <w:bookmarkStart w:id="280" w:name="_Toc47381547"/>
      <w:bookmarkStart w:id="281" w:name="_Toc7801568"/>
      <w:r>
        <w:rPr>
          <w:rFonts w:eastAsia="仿宋_GB2312"/>
        </w:rPr>
        <w:t>分区措施布设</w:t>
      </w:r>
      <w:bookmarkEnd w:id="278"/>
      <w:bookmarkEnd w:id="279"/>
      <w:bookmarkEnd w:id="280"/>
      <w:bookmarkEnd w:id="281"/>
    </w:p>
    <w:p>
      <w:pPr>
        <w:pStyle w:val="4"/>
        <w:keepLines/>
        <w:widowControl/>
        <w:numPr>
          <w:ilvl w:val="2"/>
          <w:numId w:val="1"/>
        </w:numPr>
        <w:tabs>
          <w:tab w:val="clear" w:pos="432"/>
          <w:tab w:val="clear" w:pos="960"/>
        </w:tabs>
        <w:kinsoku/>
        <w:overflowPunct/>
        <w:topLinePunct w:val="0"/>
        <w:autoSpaceDE/>
        <w:autoSpaceDN/>
        <w:adjustRightInd/>
        <w:snapToGrid/>
        <w:ind w:left="0" w:firstLine="0"/>
        <w:jc w:val="both"/>
        <w:rPr>
          <w:rFonts w:eastAsia="仿宋_GB2312"/>
          <w:bCs w:val="0"/>
        </w:rPr>
      </w:pPr>
      <w:bookmarkStart w:id="282" w:name="_Toc262296306"/>
      <w:r>
        <w:rPr>
          <w:rFonts w:hint="eastAsia" w:eastAsia="仿宋_GB2312"/>
        </w:rPr>
        <w:t>管道工程区</w:t>
      </w:r>
      <w:r>
        <w:rPr>
          <w:rFonts w:eastAsia="仿宋_GB2312"/>
          <w:bCs w:val="0"/>
        </w:rPr>
        <w:t>防治措施</w:t>
      </w:r>
    </w:p>
    <w:p>
      <w:pPr>
        <w:pStyle w:val="196"/>
        <w:tabs>
          <w:tab w:val="left" w:pos="540"/>
        </w:tabs>
        <w:rPr>
          <w:rFonts w:ascii="Times New Roman" w:hAnsi="Times New Roman" w:eastAsia="仿宋_GB2312" w:cs="Times New Roman"/>
          <w:b/>
          <w:color w:val="auto"/>
        </w:rPr>
      </w:pPr>
      <w:r>
        <w:rPr>
          <w:rFonts w:ascii="Times New Roman" w:hAnsi="Times New Roman" w:eastAsia="仿宋_GB2312" w:cs="Times New Roman"/>
          <w:b/>
          <w:color w:val="auto"/>
        </w:rPr>
        <w:t>（1）工程措施</w:t>
      </w:r>
    </w:p>
    <w:p>
      <w:pPr>
        <w:pStyle w:val="13"/>
        <w:ind w:firstLine="480"/>
        <w:rPr>
          <w:rFonts w:eastAsia="仿宋_GB2312"/>
        </w:rPr>
      </w:pPr>
      <w:r>
        <w:rPr>
          <w:rFonts w:eastAsia="仿宋_GB2312"/>
        </w:rPr>
        <w:t>1）土地平整</w:t>
      </w:r>
    </w:p>
    <w:p>
      <w:pPr>
        <w:pStyle w:val="13"/>
        <w:ind w:firstLine="480"/>
        <w:rPr>
          <w:rFonts w:eastAsia="仿宋_GB2312"/>
        </w:rPr>
      </w:pPr>
      <w:r>
        <w:rPr>
          <w:rFonts w:hint="eastAsia" w:eastAsia="仿宋_GB2312"/>
        </w:rPr>
        <w:t>主体工程设计</w:t>
      </w:r>
      <w:r>
        <w:rPr>
          <w:rFonts w:eastAsia="仿宋_GB2312"/>
        </w:rPr>
        <w:t>施工结束后，对施工作业区域采取</w:t>
      </w:r>
      <w:r>
        <w:rPr>
          <w:rFonts w:hint="eastAsia" w:eastAsia="仿宋_GB2312"/>
        </w:rPr>
        <w:t>土地平整</w:t>
      </w:r>
      <w:r>
        <w:rPr>
          <w:rFonts w:eastAsia="仿宋_GB2312"/>
        </w:rPr>
        <w:t>措施，土地平整能够一定程度上减轻裸露地表的水土流失程度，提高土层抗风蚀、水蚀能力，具有一定的水土保持效果，总计平整面积</w:t>
      </w:r>
      <w:r>
        <w:rPr>
          <w:rFonts w:hint="eastAsia" w:eastAsia="仿宋_GB2312"/>
        </w:rPr>
        <w:t>为0.53h</w:t>
      </w:r>
      <w:r>
        <w:rPr>
          <w:rFonts w:eastAsia="仿宋_GB2312"/>
        </w:rPr>
        <w:t>m²。</w:t>
      </w:r>
    </w:p>
    <w:p>
      <w:pPr>
        <w:pStyle w:val="196"/>
        <w:tabs>
          <w:tab w:val="left" w:pos="540"/>
        </w:tabs>
        <w:ind w:left="482" w:firstLine="0" w:firstLineChars="0"/>
        <w:rPr>
          <w:rFonts w:ascii="Times New Roman" w:hAnsi="Times New Roman" w:eastAsia="仿宋_GB2312" w:cs="Times New Roman"/>
          <w:b/>
          <w:color w:val="auto"/>
        </w:rPr>
      </w:pPr>
      <w:r>
        <w:rPr>
          <w:rFonts w:ascii="Times New Roman" w:hAnsi="Times New Roman" w:eastAsia="仿宋_GB2312" w:cs="Times New Roman"/>
          <w:b/>
          <w:color w:val="auto"/>
        </w:rPr>
        <w:t>（</w:t>
      </w:r>
      <w:r>
        <w:rPr>
          <w:rFonts w:hint="eastAsia" w:ascii="Times New Roman" w:hAnsi="Times New Roman" w:eastAsia="仿宋_GB2312" w:cs="Times New Roman"/>
          <w:b/>
          <w:color w:val="auto"/>
        </w:rPr>
        <w:t>2</w:t>
      </w:r>
      <w:r>
        <w:rPr>
          <w:rFonts w:ascii="Times New Roman" w:hAnsi="Times New Roman" w:eastAsia="仿宋_GB2312" w:cs="Times New Roman"/>
          <w:b/>
          <w:color w:val="auto"/>
        </w:rPr>
        <w:t>）临时措施</w:t>
      </w:r>
    </w:p>
    <w:p>
      <w:pPr>
        <w:pStyle w:val="13"/>
        <w:ind w:firstLine="480"/>
        <w:rPr>
          <w:rFonts w:eastAsia="仿宋_GB2312"/>
        </w:rPr>
      </w:pPr>
      <w:r>
        <w:rPr>
          <w:rFonts w:hint="eastAsia" w:eastAsia="仿宋_GB2312"/>
        </w:rPr>
        <w:t>1</w:t>
      </w:r>
      <w:r>
        <w:rPr>
          <w:rFonts w:eastAsia="仿宋_GB2312"/>
        </w:rPr>
        <w:t>）防尘网苫盖</w:t>
      </w:r>
    </w:p>
    <w:p>
      <w:pPr>
        <w:pStyle w:val="13"/>
        <w:ind w:firstLine="480"/>
        <w:rPr>
          <w:rFonts w:eastAsia="仿宋_GB2312"/>
        </w:rPr>
      </w:pPr>
      <w:r>
        <w:rPr>
          <w:rFonts w:hint="eastAsia" w:eastAsia="仿宋_GB2312"/>
        </w:rPr>
        <w:t>项目建设过程，</w:t>
      </w:r>
      <w:r>
        <w:rPr>
          <w:rFonts w:eastAsia="仿宋_GB2312"/>
        </w:rPr>
        <w:t>管沟开挖</w:t>
      </w:r>
      <w:r>
        <w:rPr>
          <w:rFonts w:hint="eastAsia" w:eastAsia="仿宋_GB2312"/>
        </w:rPr>
        <w:t>的土方</w:t>
      </w:r>
      <w:r>
        <w:rPr>
          <w:rFonts w:eastAsia="仿宋_GB2312"/>
        </w:rPr>
        <w:t>，堆置在施工作业带一侧</w:t>
      </w:r>
      <w:r>
        <w:rPr>
          <w:rFonts w:hint="eastAsia" w:eastAsia="仿宋_GB2312"/>
        </w:rPr>
        <w:t>，为减少堆置期间水土流失，方案设计</w:t>
      </w:r>
      <w:r>
        <w:rPr>
          <w:rFonts w:eastAsia="仿宋_GB2312"/>
        </w:rPr>
        <w:t>对临时堆土采取防尘网苫盖措施，根据施工场地面积</w:t>
      </w:r>
      <w:r>
        <w:rPr>
          <w:rFonts w:hint="eastAsia" w:eastAsia="仿宋_GB2312"/>
        </w:rPr>
        <w:t>和施工工序</w:t>
      </w:r>
      <w:r>
        <w:rPr>
          <w:rFonts w:eastAsia="仿宋_GB2312"/>
        </w:rPr>
        <w:t>，</w:t>
      </w:r>
      <w:r>
        <w:rPr>
          <w:rFonts w:hint="eastAsia" w:eastAsia="仿宋_GB2312"/>
        </w:rPr>
        <w:t>需要防尘网3454</w:t>
      </w:r>
      <w:r>
        <w:rPr>
          <w:rFonts w:eastAsia="仿宋_GB2312"/>
        </w:rPr>
        <w:t>m²</w:t>
      </w:r>
      <w:r>
        <w:rPr>
          <w:rFonts w:hint="eastAsia" w:eastAsia="仿宋_GB2312"/>
        </w:rPr>
        <w:t>，可重复使用。</w:t>
      </w:r>
    </w:p>
    <w:p>
      <w:pPr>
        <w:autoSpaceDE w:val="0"/>
        <w:autoSpaceDN w:val="0"/>
        <w:ind w:firstLine="480"/>
        <w:rPr>
          <w:rFonts w:eastAsia="仿宋_GB2312"/>
          <w:color w:val="000000"/>
        </w:rPr>
      </w:pPr>
      <w:r>
        <w:rPr>
          <w:rFonts w:hint="eastAsia" w:eastAsia="仿宋_GB2312"/>
          <w:color w:val="000000"/>
        </w:rPr>
        <w:t>2</w:t>
      </w:r>
      <w:r>
        <w:rPr>
          <w:rFonts w:eastAsia="仿宋_GB2312"/>
          <w:color w:val="000000"/>
        </w:rPr>
        <w:t>）彩条旗</w:t>
      </w:r>
      <w:r>
        <w:rPr>
          <w:rFonts w:hint="eastAsia" w:eastAsia="仿宋_GB2312"/>
          <w:color w:val="000000"/>
        </w:rPr>
        <w:t>限界</w:t>
      </w:r>
    </w:p>
    <w:p>
      <w:pPr>
        <w:pStyle w:val="13"/>
        <w:ind w:firstLine="480"/>
        <w:rPr>
          <w:rFonts w:eastAsia="仿宋_GB2312"/>
          <w:color w:val="000000"/>
        </w:rPr>
      </w:pPr>
      <w:r>
        <w:rPr>
          <w:rFonts w:hint="eastAsia" w:eastAsia="仿宋_GB2312"/>
          <w:color w:val="000000"/>
        </w:rPr>
        <w:t>方案设计在</w:t>
      </w:r>
      <w:r>
        <w:rPr>
          <w:rFonts w:eastAsia="仿宋_GB2312"/>
          <w:color w:val="000000"/>
        </w:rPr>
        <w:t>施工期间为严格控制和管理施工机械及人员的活动范围，减轻对</w:t>
      </w:r>
      <w:r>
        <w:rPr>
          <w:rFonts w:hint="eastAsia" w:eastAsia="仿宋_GB2312"/>
          <w:color w:val="000000"/>
        </w:rPr>
        <w:t>本区</w:t>
      </w:r>
      <w:r>
        <w:rPr>
          <w:rFonts w:eastAsia="仿宋_GB2312"/>
          <w:color w:val="000000"/>
        </w:rPr>
        <w:t>征地范围外</w:t>
      </w:r>
      <w:r>
        <w:rPr>
          <w:rFonts w:hint="eastAsia" w:eastAsia="仿宋_GB2312"/>
          <w:color w:val="000000"/>
        </w:rPr>
        <w:t>土地</w:t>
      </w:r>
      <w:r>
        <w:rPr>
          <w:rFonts w:eastAsia="仿宋_GB2312"/>
          <w:color w:val="000000"/>
        </w:rPr>
        <w:t>的碾压扰动，在</w:t>
      </w:r>
      <w:r>
        <w:rPr>
          <w:rFonts w:hint="eastAsia" w:eastAsia="仿宋_GB2312"/>
          <w:color w:val="000000"/>
        </w:rPr>
        <w:t>施工作业带两侧实施</w:t>
      </w:r>
      <w:r>
        <w:rPr>
          <w:rFonts w:eastAsia="仿宋_GB2312"/>
          <w:color w:val="000000"/>
        </w:rPr>
        <w:t>彩条旗</w:t>
      </w:r>
      <w:r>
        <w:rPr>
          <w:rFonts w:hint="eastAsia" w:eastAsia="仿宋_GB2312"/>
          <w:color w:val="000000"/>
        </w:rPr>
        <w:t>限界措施，</w:t>
      </w:r>
      <w:r>
        <w:rPr>
          <w:rFonts w:eastAsia="仿宋_GB2312"/>
          <w:color w:val="000000"/>
        </w:rPr>
        <w:t>以示明施工范围。采用1m长的木条插入地下30cm固定，每两根木条间隔10m，木条之间拉一道彩旗</w:t>
      </w:r>
      <w:r>
        <w:rPr>
          <w:rFonts w:hint="eastAsia" w:eastAsia="仿宋_GB2312"/>
          <w:color w:val="000000"/>
        </w:rPr>
        <w:t>，</w:t>
      </w:r>
      <w:r>
        <w:rPr>
          <w:rFonts w:eastAsia="仿宋_GB2312"/>
          <w:color w:val="000000"/>
        </w:rPr>
        <w:t>共</w:t>
      </w:r>
      <w:r>
        <w:rPr>
          <w:rFonts w:hint="eastAsia" w:eastAsia="仿宋_GB2312"/>
          <w:color w:val="000000"/>
        </w:rPr>
        <w:t>用</w:t>
      </w:r>
      <w:r>
        <w:rPr>
          <w:rFonts w:eastAsia="仿宋_GB2312"/>
          <w:color w:val="000000"/>
        </w:rPr>
        <w:t>彩条旗</w:t>
      </w:r>
      <w:r>
        <w:rPr>
          <w:rFonts w:hint="eastAsia" w:eastAsia="仿宋_GB2312"/>
          <w:color w:val="000000"/>
        </w:rPr>
        <w:t>6908</w:t>
      </w:r>
      <w:r>
        <w:rPr>
          <w:rFonts w:eastAsia="仿宋_GB2312"/>
          <w:color w:val="000000"/>
        </w:rPr>
        <w:t>m。</w:t>
      </w:r>
    </w:p>
    <w:p>
      <w:pPr>
        <w:pStyle w:val="13"/>
        <w:ind w:firstLine="480"/>
        <w:rPr>
          <w:rFonts w:eastAsia="仿宋_GB2312"/>
        </w:rPr>
      </w:pPr>
      <w:r>
        <w:rPr>
          <w:rFonts w:hint="eastAsia" w:eastAsia="仿宋_GB2312"/>
        </w:rPr>
        <w:t>3</w:t>
      </w:r>
      <w:r>
        <w:rPr>
          <w:rFonts w:eastAsia="仿宋_GB2312"/>
        </w:rPr>
        <w:t>）洒水</w:t>
      </w:r>
    </w:p>
    <w:p>
      <w:pPr>
        <w:pStyle w:val="13"/>
        <w:ind w:firstLine="480"/>
        <w:rPr>
          <w:rFonts w:eastAsia="仿宋_GB2312"/>
        </w:rPr>
      </w:pPr>
      <w:r>
        <w:rPr>
          <w:rFonts w:hint="eastAsia" w:eastAsia="仿宋_GB2312"/>
        </w:rPr>
        <w:t>方案设计在</w:t>
      </w:r>
      <w:r>
        <w:rPr>
          <w:rFonts w:eastAsia="仿宋_GB2312"/>
        </w:rPr>
        <w:t>工程建设过程中在有风天气和干燥天气</w:t>
      </w:r>
      <w:r>
        <w:rPr>
          <w:rFonts w:hint="eastAsia" w:eastAsia="仿宋_GB2312"/>
        </w:rPr>
        <w:t>实施</w:t>
      </w:r>
      <w:r>
        <w:rPr>
          <w:rFonts w:eastAsia="仿宋_GB2312"/>
        </w:rPr>
        <w:t>洒水措施，抑制扬尘，以防止</w:t>
      </w:r>
      <w:r>
        <w:rPr>
          <w:rFonts w:hint="eastAsia" w:eastAsia="仿宋_GB2312"/>
        </w:rPr>
        <w:t>地表扰动</w:t>
      </w:r>
      <w:r>
        <w:rPr>
          <w:rFonts w:eastAsia="仿宋_GB2312"/>
        </w:rPr>
        <w:t>产生的水土流失。洒水水源为</w:t>
      </w:r>
      <w:r>
        <w:rPr>
          <w:rFonts w:hint="eastAsia" w:eastAsia="仿宋_GB2312"/>
        </w:rPr>
        <w:t>附近河道取水</w:t>
      </w:r>
      <w:r>
        <w:rPr>
          <w:rFonts w:eastAsia="仿宋_GB2312"/>
        </w:rPr>
        <w:t>，用8m³洒水车洒水，每天洒水量</w:t>
      </w:r>
      <w:r>
        <w:rPr>
          <w:rFonts w:hint="eastAsia" w:eastAsia="仿宋_GB2312"/>
        </w:rPr>
        <w:t>500m</w:t>
      </w:r>
      <w:r>
        <w:rPr>
          <w:rFonts w:eastAsia="仿宋_GB2312"/>
        </w:rPr>
        <w:t>L/m²，施工期洒水天数按</w:t>
      </w:r>
      <w:r>
        <w:rPr>
          <w:rFonts w:hint="eastAsia" w:eastAsia="仿宋_GB2312"/>
        </w:rPr>
        <w:t>30</w:t>
      </w:r>
      <w:r>
        <w:rPr>
          <w:rFonts w:eastAsia="仿宋_GB2312"/>
        </w:rPr>
        <w:t>天设计，</w:t>
      </w:r>
      <w:r>
        <w:rPr>
          <w:rFonts w:hint="eastAsia" w:eastAsia="仿宋_GB2312"/>
        </w:rPr>
        <w:t>经统计计算共需实施</w:t>
      </w:r>
      <w:r>
        <w:rPr>
          <w:rFonts w:eastAsia="仿宋_GB2312"/>
        </w:rPr>
        <w:t>洒水量为</w:t>
      </w:r>
      <w:r>
        <w:rPr>
          <w:rFonts w:hint="eastAsia" w:eastAsia="仿宋_GB2312"/>
        </w:rPr>
        <w:t>104</w:t>
      </w:r>
      <w:r>
        <w:rPr>
          <w:rFonts w:eastAsia="仿宋_GB2312"/>
        </w:rPr>
        <w:t>m³。</w:t>
      </w:r>
    </w:p>
    <w:p>
      <w:pPr>
        <w:autoSpaceDE w:val="0"/>
        <w:autoSpaceDN w:val="0"/>
        <w:ind w:firstLine="480"/>
        <w:rPr>
          <w:rFonts w:eastAsia="仿宋_GB2312"/>
          <w:color w:val="FF0000"/>
        </w:rPr>
      </w:pPr>
      <w:r>
        <w:rPr>
          <w:rFonts w:hint="eastAsia" w:eastAsia="仿宋_GB2312"/>
          <w:color w:val="FF0000"/>
        </w:rPr>
        <w:t>4</w:t>
      </w:r>
      <w:r>
        <w:rPr>
          <w:rFonts w:eastAsia="仿宋_GB2312"/>
          <w:color w:val="FF0000"/>
        </w:rPr>
        <w:t>）</w:t>
      </w:r>
      <w:r>
        <w:rPr>
          <w:rFonts w:hint="eastAsia" w:eastAsia="仿宋_GB2312"/>
          <w:color w:val="FF0000"/>
        </w:rPr>
        <w:t>宣传牌</w:t>
      </w:r>
    </w:p>
    <w:p>
      <w:pPr>
        <w:pStyle w:val="13"/>
        <w:ind w:firstLine="480"/>
        <w:rPr>
          <w:rFonts w:eastAsia="仿宋_GB2312"/>
          <w:color w:val="FF0000"/>
        </w:rPr>
      </w:pPr>
      <w:r>
        <w:rPr>
          <w:rFonts w:eastAsia="仿宋_GB2312"/>
          <w:color w:val="FF0000"/>
        </w:rPr>
        <w:t>为做好水土保持宣传工作，方案补充</w:t>
      </w:r>
      <w:r>
        <w:rPr>
          <w:rFonts w:hint="eastAsia" w:eastAsia="仿宋_GB2312"/>
          <w:color w:val="FF0000"/>
        </w:rPr>
        <w:t>在各小区施工场地入口处分别</w:t>
      </w:r>
      <w:r>
        <w:rPr>
          <w:rFonts w:eastAsia="仿宋_GB2312"/>
          <w:color w:val="FF0000"/>
        </w:rPr>
        <w:t>置水土保持宣传牌</w:t>
      </w:r>
      <w:r>
        <w:rPr>
          <w:rFonts w:hint="eastAsia" w:eastAsia="仿宋_GB2312"/>
          <w:color w:val="FF0000"/>
        </w:rPr>
        <w:t>1</w:t>
      </w:r>
      <w:r>
        <w:rPr>
          <w:rFonts w:eastAsia="仿宋_GB2312"/>
          <w:color w:val="FF0000"/>
        </w:rPr>
        <w:t>块，</w:t>
      </w:r>
      <w:r>
        <w:rPr>
          <w:rFonts w:hint="eastAsia" w:eastAsia="仿宋_GB2312"/>
          <w:color w:val="FF0000"/>
        </w:rPr>
        <w:t>共需设置宣传牌2块</w:t>
      </w:r>
      <w:r>
        <w:rPr>
          <w:rFonts w:eastAsia="仿宋_GB2312"/>
          <w:color w:val="FF0000"/>
        </w:rPr>
        <w:t>。</w:t>
      </w:r>
    </w:p>
    <w:p>
      <w:pPr>
        <w:pStyle w:val="4"/>
        <w:keepLines/>
        <w:widowControl/>
        <w:numPr>
          <w:ilvl w:val="2"/>
          <w:numId w:val="1"/>
        </w:numPr>
        <w:tabs>
          <w:tab w:val="clear" w:pos="432"/>
          <w:tab w:val="clear" w:pos="960"/>
        </w:tabs>
        <w:kinsoku/>
        <w:overflowPunct/>
        <w:topLinePunct w:val="0"/>
        <w:autoSpaceDE/>
        <w:autoSpaceDN/>
        <w:adjustRightInd/>
        <w:snapToGrid/>
        <w:ind w:left="0" w:firstLine="0"/>
        <w:jc w:val="both"/>
        <w:rPr>
          <w:rFonts w:eastAsia="仿宋_GB2312"/>
        </w:rPr>
      </w:pPr>
      <w:r>
        <w:rPr>
          <w:rFonts w:hint="eastAsia" w:eastAsia="仿宋_GB2312"/>
        </w:rPr>
        <w:t>附属构筑物区</w:t>
      </w:r>
      <w:r>
        <w:rPr>
          <w:rFonts w:eastAsia="仿宋_GB2312"/>
        </w:rPr>
        <w:t>防治措施</w:t>
      </w:r>
    </w:p>
    <w:p>
      <w:pPr>
        <w:pStyle w:val="196"/>
        <w:tabs>
          <w:tab w:val="left" w:pos="540"/>
        </w:tabs>
        <w:rPr>
          <w:rFonts w:ascii="Times New Roman" w:hAnsi="Times New Roman" w:eastAsia="仿宋_GB2312" w:cs="Times New Roman"/>
          <w:b/>
          <w:color w:val="auto"/>
        </w:rPr>
      </w:pPr>
      <w:r>
        <w:rPr>
          <w:rFonts w:ascii="Times New Roman" w:hAnsi="Times New Roman" w:eastAsia="仿宋_GB2312" w:cs="Times New Roman"/>
          <w:b/>
          <w:color w:val="auto"/>
        </w:rPr>
        <w:t>（1）工程措施</w:t>
      </w:r>
    </w:p>
    <w:p>
      <w:pPr>
        <w:pStyle w:val="13"/>
        <w:ind w:firstLine="480"/>
        <w:rPr>
          <w:rFonts w:eastAsia="仿宋_GB2312"/>
        </w:rPr>
      </w:pPr>
      <w:r>
        <w:rPr>
          <w:rFonts w:eastAsia="仿宋_GB2312"/>
        </w:rPr>
        <w:t>1）土地平整</w:t>
      </w:r>
    </w:p>
    <w:p>
      <w:pPr>
        <w:pStyle w:val="13"/>
        <w:ind w:firstLine="480"/>
        <w:rPr>
          <w:rFonts w:eastAsia="仿宋_GB2312"/>
        </w:rPr>
      </w:pPr>
      <w:r>
        <w:rPr>
          <w:rFonts w:hint="eastAsia" w:eastAsia="仿宋_GB2312"/>
        </w:rPr>
        <w:t>主体工程设计</w:t>
      </w:r>
      <w:r>
        <w:rPr>
          <w:rFonts w:eastAsia="仿宋_GB2312"/>
        </w:rPr>
        <w:t>施工结束后，对</w:t>
      </w:r>
      <w:r>
        <w:rPr>
          <w:rFonts w:hint="eastAsia" w:eastAsia="仿宋_GB2312"/>
        </w:rPr>
        <w:t>裸露</w:t>
      </w:r>
      <w:r>
        <w:rPr>
          <w:rFonts w:eastAsia="仿宋_GB2312"/>
        </w:rPr>
        <w:t>区域采取</w:t>
      </w:r>
      <w:r>
        <w:rPr>
          <w:rFonts w:hint="eastAsia" w:eastAsia="仿宋_GB2312"/>
        </w:rPr>
        <w:t>土地平整</w:t>
      </w:r>
      <w:r>
        <w:rPr>
          <w:rFonts w:eastAsia="仿宋_GB2312"/>
        </w:rPr>
        <w:t>措施，土地平整能够一定程度上减轻裸露地表的水土流失程度，提高土层抗风蚀、水蚀能力，具有一定的水土保持效果，总计平整面积</w:t>
      </w:r>
      <w:r>
        <w:rPr>
          <w:rFonts w:hint="eastAsia" w:eastAsia="仿宋_GB2312"/>
        </w:rPr>
        <w:t>为0.09h</w:t>
      </w:r>
      <w:r>
        <w:rPr>
          <w:rFonts w:eastAsia="仿宋_GB2312"/>
        </w:rPr>
        <w:t>m²。</w:t>
      </w:r>
    </w:p>
    <w:p>
      <w:pPr>
        <w:pStyle w:val="196"/>
        <w:tabs>
          <w:tab w:val="left" w:pos="540"/>
        </w:tabs>
        <w:ind w:left="482" w:firstLine="0" w:firstLineChars="0"/>
        <w:rPr>
          <w:rFonts w:ascii="Times New Roman" w:hAnsi="Times New Roman" w:eastAsia="仿宋_GB2312" w:cs="Times New Roman"/>
          <w:b/>
          <w:color w:val="auto"/>
        </w:rPr>
      </w:pPr>
      <w:r>
        <w:rPr>
          <w:rFonts w:ascii="Times New Roman" w:hAnsi="Times New Roman" w:eastAsia="仿宋_GB2312" w:cs="Times New Roman"/>
          <w:b/>
          <w:color w:val="auto"/>
        </w:rPr>
        <w:t>（</w:t>
      </w:r>
      <w:r>
        <w:rPr>
          <w:rFonts w:hint="eastAsia" w:ascii="Times New Roman" w:hAnsi="Times New Roman" w:eastAsia="仿宋_GB2312" w:cs="Times New Roman"/>
          <w:b/>
          <w:color w:val="auto"/>
        </w:rPr>
        <w:t>2</w:t>
      </w:r>
      <w:r>
        <w:rPr>
          <w:rFonts w:ascii="Times New Roman" w:hAnsi="Times New Roman" w:eastAsia="仿宋_GB2312" w:cs="Times New Roman"/>
          <w:b/>
          <w:color w:val="auto"/>
        </w:rPr>
        <w:t>）临时措施</w:t>
      </w:r>
    </w:p>
    <w:p>
      <w:pPr>
        <w:pStyle w:val="13"/>
        <w:ind w:firstLine="480"/>
        <w:rPr>
          <w:rFonts w:eastAsia="仿宋_GB2312"/>
        </w:rPr>
      </w:pPr>
      <w:r>
        <w:rPr>
          <w:rFonts w:hint="eastAsia" w:eastAsia="仿宋_GB2312"/>
        </w:rPr>
        <w:t>1</w:t>
      </w:r>
      <w:r>
        <w:rPr>
          <w:rFonts w:eastAsia="仿宋_GB2312"/>
        </w:rPr>
        <w:t>）防尘网苫盖</w:t>
      </w:r>
    </w:p>
    <w:p>
      <w:pPr>
        <w:pStyle w:val="13"/>
        <w:ind w:firstLine="480"/>
        <w:rPr>
          <w:rFonts w:eastAsia="仿宋_GB2312"/>
        </w:rPr>
      </w:pPr>
      <w:r>
        <w:rPr>
          <w:rFonts w:hint="eastAsia" w:eastAsia="仿宋_GB2312"/>
        </w:rPr>
        <w:t>项目建设过程，阀井基础</w:t>
      </w:r>
      <w:r>
        <w:rPr>
          <w:rFonts w:eastAsia="仿宋_GB2312"/>
        </w:rPr>
        <w:t>开挖</w:t>
      </w:r>
      <w:r>
        <w:rPr>
          <w:rFonts w:hint="eastAsia" w:eastAsia="仿宋_GB2312"/>
        </w:rPr>
        <w:t>的土方临时</w:t>
      </w:r>
      <w:r>
        <w:rPr>
          <w:rFonts w:eastAsia="仿宋_GB2312"/>
        </w:rPr>
        <w:t>堆置在</w:t>
      </w:r>
      <w:r>
        <w:rPr>
          <w:rFonts w:hint="eastAsia" w:eastAsia="仿宋_GB2312"/>
        </w:rPr>
        <w:t>基础四周，为减少堆置期间水土流失，方案设计</w:t>
      </w:r>
      <w:r>
        <w:rPr>
          <w:rFonts w:eastAsia="仿宋_GB2312"/>
        </w:rPr>
        <w:t>对临时堆土采取防尘网苫盖措施，根据施工场地面积</w:t>
      </w:r>
      <w:r>
        <w:rPr>
          <w:rFonts w:hint="eastAsia" w:eastAsia="仿宋_GB2312"/>
        </w:rPr>
        <w:t>和施工工序</w:t>
      </w:r>
      <w:r>
        <w:rPr>
          <w:rFonts w:eastAsia="仿宋_GB2312"/>
        </w:rPr>
        <w:t>，</w:t>
      </w:r>
      <w:r>
        <w:rPr>
          <w:rFonts w:hint="eastAsia" w:eastAsia="仿宋_GB2312"/>
        </w:rPr>
        <w:t>需要防尘网220</w:t>
      </w:r>
      <w:r>
        <w:rPr>
          <w:rFonts w:eastAsia="仿宋_GB2312"/>
        </w:rPr>
        <w:t>m²</w:t>
      </w:r>
      <w:r>
        <w:rPr>
          <w:rFonts w:hint="eastAsia" w:eastAsia="仿宋_GB2312"/>
        </w:rPr>
        <w:t>，可重复使用。</w:t>
      </w:r>
    </w:p>
    <w:bookmarkEnd w:id="282"/>
    <w:p>
      <w:pPr>
        <w:pStyle w:val="4"/>
        <w:keepLines/>
        <w:widowControl/>
        <w:numPr>
          <w:ilvl w:val="2"/>
          <w:numId w:val="1"/>
        </w:numPr>
        <w:tabs>
          <w:tab w:val="clear" w:pos="432"/>
          <w:tab w:val="clear" w:pos="960"/>
        </w:tabs>
        <w:kinsoku/>
        <w:overflowPunct/>
        <w:topLinePunct w:val="0"/>
        <w:autoSpaceDE/>
        <w:autoSpaceDN/>
        <w:adjustRightInd/>
        <w:snapToGrid/>
        <w:ind w:left="0" w:firstLine="0"/>
        <w:jc w:val="both"/>
        <w:rPr>
          <w:rFonts w:eastAsia="仿宋_GB2312"/>
        </w:rPr>
      </w:pPr>
      <w:r>
        <w:rPr>
          <w:rFonts w:eastAsia="仿宋_GB2312"/>
        </w:rPr>
        <w:t>水土保持防治措施工程量</w:t>
      </w:r>
    </w:p>
    <w:p>
      <w:pPr>
        <w:ind w:firstLine="480"/>
        <w:rPr>
          <w:rFonts w:eastAsia="仿宋_GB2312"/>
        </w:rPr>
      </w:pPr>
      <w:r>
        <w:rPr>
          <w:rFonts w:eastAsia="仿宋_GB2312"/>
        </w:rPr>
        <w:t>水土保持方案防治措施工程量包括工程措施和临时措施。根据水土保持防治措施总体布局，结合主体工程已具有的水土保持功能，本方案采取了有针对性的水土流失防治措施，各工程区防治措施工程量统计见表5.3-1。</w:t>
      </w:r>
    </w:p>
    <w:p>
      <w:pPr>
        <w:spacing w:line="240" w:lineRule="auto"/>
        <w:ind w:firstLine="0" w:firstLineChars="0"/>
        <w:jc w:val="center"/>
        <w:rPr>
          <w:rFonts w:eastAsia="仿宋_GB2312"/>
          <w:b/>
          <w:bCs/>
        </w:rPr>
        <w:sectPr>
          <w:pgSz w:w="11906" w:h="16838"/>
          <w:pgMar w:top="1440" w:right="1803" w:bottom="1440" w:left="1803" w:header="851" w:footer="992" w:gutter="0"/>
          <w:cols w:space="720" w:num="1"/>
          <w:docGrid w:linePitch="326" w:charSpace="0"/>
        </w:sectPr>
      </w:pPr>
    </w:p>
    <w:p>
      <w:pPr>
        <w:spacing w:line="240" w:lineRule="auto"/>
        <w:ind w:firstLine="0" w:firstLineChars="0"/>
        <w:jc w:val="center"/>
        <w:rPr>
          <w:rFonts w:eastAsia="仿宋_GB2312"/>
          <w:b/>
          <w:bCs/>
        </w:rPr>
      </w:pPr>
      <w:r>
        <w:rPr>
          <w:rFonts w:eastAsia="仿宋_GB2312"/>
          <w:b/>
          <w:bCs/>
        </w:rPr>
        <w:t>表5.3-1  各工程区防治措施工程量统计表</w:t>
      </w:r>
    </w:p>
    <w:tbl>
      <w:tblPr>
        <w:tblStyle w:val="40"/>
        <w:tblW w:w="5000" w:type="pct"/>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108" w:type="dxa"/>
          <w:bottom w:w="0" w:type="dxa"/>
          <w:right w:w="108" w:type="dxa"/>
        </w:tblCellMar>
      </w:tblPr>
      <w:tblGrid>
        <w:gridCol w:w="1685"/>
        <w:gridCol w:w="1236"/>
        <w:gridCol w:w="1672"/>
        <w:gridCol w:w="1036"/>
        <w:gridCol w:w="1638"/>
        <w:gridCol w:w="1249"/>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989"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项目分区</w:t>
            </w:r>
          </w:p>
        </w:tc>
        <w:tc>
          <w:tcPr>
            <w:tcW w:w="725"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措施类型</w:t>
            </w:r>
          </w:p>
        </w:tc>
        <w:tc>
          <w:tcPr>
            <w:tcW w:w="981"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措施名称</w:t>
            </w:r>
          </w:p>
        </w:tc>
        <w:tc>
          <w:tcPr>
            <w:tcW w:w="608"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单位</w:t>
            </w:r>
          </w:p>
        </w:tc>
        <w:tc>
          <w:tcPr>
            <w:tcW w:w="961"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工程量</w:t>
            </w:r>
          </w:p>
        </w:tc>
        <w:tc>
          <w:tcPr>
            <w:tcW w:w="733"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备注</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989" w:type="pct"/>
            <w:vMerge w:val="restar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管道工程区</w:t>
            </w:r>
          </w:p>
        </w:tc>
        <w:tc>
          <w:tcPr>
            <w:tcW w:w="725"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工程措施</w:t>
            </w:r>
          </w:p>
        </w:tc>
        <w:tc>
          <w:tcPr>
            <w:tcW w:w="981"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土地平整</w:t>
            </w:r>
          </w:p>
        </w:tc>
        <w:tc>
          <w:tcPr>
            <w:tcW w:w="608"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hm</w:t>
            </w:r>
            <w:r>
              <w:rPr>
                <w:rFonts w:eastAsia="宋体"/>
                <w:color w:val="000000"/>
                <w:sz w:val="21"/>
                <w:szCs w:val="21"/>
              </w:rPr>
              <w:t>²</w:t>
            </w:r>
          </w:p>
        </w:tc>
        <w:tc>
          <w:tcPr>
            <w:tcW w:w="961"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hint="eastAsia" w:eastAsia="仿宋_GB2312"/>
                <w:color w:val="000000"/>
                <w:sz w:val="21"/>
                <w:szCs w:val="21"/>
              </w:rPr>
              <w:t>0.53</w:t>
            </w:r>
          </w:p>
        </w:tc>
        <w:tc>
          <w:tcPr>
            <w:tcW w:w="733"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主体已列</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989" w:type="pct"/>
            <w:vMerge w:val="continue"/>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725" w:type="pct"/>
            <w:vMerge w:val="restar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临时措施</w:t>
            </w:r>
          </w:p>
        </w:tc>
        <w:tc>
          <w:tcPr>
            <w:tcW w:w="981"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防尘网苫盖</w:t>
            </w:r>
          </w:p>
        </w:tc>
        <w:tc>
          <w:tcPr>
            <w:tcW w:w="608"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m</w:t>
            </w:r>
            <w:r>
              <w:rPr>
                <w:rFonts w:eastAsia="宋体"/>
                <w:color w:val="000000"/>
                <w:sz w:val="21"/>
                <w:szCs w:val="21"/>
              </w:rPr>
              <w:t>²</w:t>
            </w:r>
          </w:p>
        </w:tc>
        <w:tc>
          <w:tcPr>
            <w:tcW w:w="961"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hint="eastAsia" w:eastAsia="仿宋_GB2312"/>
                <w:color w:val="000000"/>
                <w:sz w:val="21"/>
                <w:szCs w:val="21"/>
              </w:rPr>
              <w:t>3454</w:t>
            </w:r>
          </w:p>
        </w:tc>
        <w:tc>
          <w:tcPr>
            <w:tcW w:w="733"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方案新增</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989" w:type="pct"/>
            <w:vMerge w:val="continue"/>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725" w:type="pct"/>
            <w:vMerge w:val="continue"/>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981"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洒水</w:t>
            </w:r>
          </w:p>
        </w:tc>
        <w:tc>
          <w:tcPr>
            <w:tcW w:w="608"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m</w:t>
            </w:r>
            <w:r>
              <w:rPr>
                <w:rFonts w:eastAsia="宋体"/>
                <w:color w:val="000000"/>
                <w:sz w:val="21"/>
                <w:szCs w:val="21"/>
              </w:rPr>
              <w:t>³</w:t>
            </w:r>
          </w:p>
        </w:tc>
        <w:tc>
          <w:tcPr>
            <w:tcW w:w="961"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hint="eastAsia" w:eastAsia="仿宋_GB2312"/>
                <w:color w:val="000000"/>
                <w:sz w:val="21"/>
                <w:szCs w:val="21"/>
              </w:rPr>
              <w:t>104</w:t>
            </w:r>
          </w:p>
        </w:tc>
        <w:tc>
          <w:tcPr>
            <w:tcW w:w="733"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方案新增</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989" w:type="pct"/>
            <w:vMerge w:val="continue"/>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725" w:type="pct"/>
            <w:vMerge w:val="continue"/>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981" w:type="pct"/>
            <w:shd w:val="clear" w:color="auto" w:fill="auto"/>
            <w:noWrap/>
            <w:vAlign w:val="center"/>
          </w:tcPr>
          <w:p>
            <w:pPr>
              <w:widowControl/>
              <w:topLinePunct w:val="0"/>
              <w:adjustRightInd/>
              <w:snapToGrid/>
              <w:spacing w:line="240" w:lineRule="auto"/>
              <w:ind w:firstLine="0" w:firstLineChars="0"/>
              <w:jc w:val="center"/>
              <w:rPr>
                <w:rFonts w:eastAsia="仿宋_GB2312"/>
                <w:color w:val="FF0000"/>
                <w:sz w:val="21"/>
                <w:szCs w:val="21"/>
              </w:rPr>
            </w:pPr>
            <w:r>
              <w:rPr>
                <w:rFonts w:eastAsia="仿宋_GB2312"/>
                <w:color w:val="FF0000"/>
                <w:sz w:val="21"/>
                <w:szCs w:val="21"/>
              </w:rPr>
              <w:t>彩条旗限界</w:t>
            </w:r>
          </w:p>
        </w:tc>
        <w:tc>
          <w:tcPr>
            <w:tcW w:w="608" w:type="pct"/>
            <w:shd w:val="clear" w:color="auto" w:fill="auto"/>
            <w:noWrap/>
            <w:vAlign w:val="center"/>
          </w:tcPr>
          <w:p>
            <w:pPr>
              <w:widowControl/>
              <w:topLinePunct w:val="0"/>
              <w:adjustRightInd/>
              <w:snapToGrid/>
              <w:spacing w:line="240" w:lineRule="auto"/>
              <w:ind w:firstLine="0" w:firstLineChars="0"/>
              <w:jc w:val="center"/>
              <w:rPr>
                <w:rFonts w:eastAsia="仿宋_GB2312"/>
                <w:color w:val="FF0000"/>
                <w:sz w:val="21"/>
                <w:szCs w:val="21"/>
              </w:rPr>
            </w:pPr>
            <w:r>
              <w:rPr>
                <w:rFonts w:eastAsia="仿宋_GB2312"/>
                <w:color w:val="FF0000"/>
                <w:sz w:val="21"/>
                <w:szCs w:val="21"/>
              </w:rPr>
              <w:t>m</w:t>
            </w:r>
          </w:p>
        </w:tc>
        <w:tc>
          <w:tcPr>
            <w:tcW w:w="961" w:type="pct"/>
            <w:shd w:val="clear" w:color="auto" w:fill="auto"/>
            <w:noWrap/>
            <w:vAlign w:val="center"/>
          </w:tcPr>
          <w:p>
            <w:pPr>
              <w:widowControl/>
              <w:topLinePunct w:val="0"/>
              <w:adjustRightInd/>
              <w:snapToGrid/>
              <w:spacing w:line="240" w:lineRule="auto"/>
              <w:ind w:firstLine="0" w:firstLineChars="0"/>
              <w:jc w:val="center"/>
              <w:rPr>
                <w:rFonts w:eastAsia="仿宋_GB2312"/>
                <w:color w:val="FF0000"/>
                <w:sz w:val="21"/>
                <w:szCs w:val="21"/>
              </w:rPr>
            </w:pPr>
            <w:r>
              <w:rPr>
                <w:rFonts w:hint="eastAsia" w:eastAsia="仿宋_GB2312"/>
                <w:color w:val="FF0000"/>
                <w:sz w:val="21"/>
                <w:szCs w:val="21"/>
              </w:rPr>
              <w:t>6908</w:t>
            </w:r>
          </w:p>
        </w:tc>
        <w:tc>
          <w:tcPr>
            <w:tcW w:w="733" w:type="pct"/>
            <w:shd w:val="clear" w:color="auto" w:fill="auto"/>
            <w:noWrap/>
            <w:vAlign w:val="center"/>
          </w:tcPr>
          <w:p>
            <w:pPr>
              <w:widowControl/>
              <w:topLinePunct w:val="0"/>
              <w:adjustRightInd/>
              <w:snapToGrid/>
              <w:spacing w:line="240" w:lineRule="auto"/>
              <w:ind w:firstLine="0" w:firstLineChars="0"/>
              <w:jc w:val="center"/>
              <w:rPr>
                <w:rFonts w:eastAsia="仿宋_GB2312"/>
                <w:color w:val="FF0000"/>
                <w:sz w:val="21"/>
                <w:szCs w:val="21"/>
              </w:rPr>
            </w:pPr>
            <w:r>
              <w:rPr>
                <w:rFonts w:eastAsia="仿宋_GB2312"/>
                <w:color w:val="FF0000"/>
                <w:sz w:val="21"/>
                <w:szCs w:val="21"/>
              </w:rPr>
              <w:t>方案新增</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989" w:type="pct"/>
            <w:vMerge w:val="continue"/>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725" w:type="pct"/>
            <w:vMerge w:val="continue"/>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981" w:type="pct"/>
            <w:shd w:val="clear" w:color="auto" w:fill="auto"/>
            <w:noWrap/>
            <w:vAlign w:val="center"/>
          </w:tcPr>
          <w:p>
            <w:pPr>
              <w:widowControl/>
              <w:topLinePunct w:val="0"/>
              <w:adjustRightInd/>
              <w:snapToGrid/>
              <w:spacing w:line="240" w:lineRule="auto"/>
              <w:ind w:firstLine="0" w:firstLineChars="0"/>
              <w:jc w:val="center"/>
              <w:rPr>
                <w:rFonts w:eastAsia="仿宋_GB2312"/>
                <w:color w:val="FF0000"/>
                <w:sz w:val="21"/>
                <w:szCs w:val="21"/>
              </w:rPr>
            </w:pPr>
            <w:r>
              <w:rPr>
                <w:rFonts w:hint="eastAsia" w:eastAsia="仿宋_GB2312"/>
                <w:color w:val="FF0000"/>
                <w:sz w:val="21"/>
                <w:szCs w:val="21"/>
              </w:rPr>
              <w:t>宣传牌</w:t>
            </w:r>
          </w:p>
        </w:tc>
        <w:tc>
          <w:tcPr>
            <w:tcW w:w="608" w:type="pct"/>
            <w:shd w:val="clear" w:color="auto" w:fill="auto"/>
            <w:noWrap/>
            <w:vAlign w:val="center"/>
          </w:tcPr>
          <w:p>
            <w:pPr>
              <w:widowControl/>
              <w:topLinePunct w:val="0"/>
              <w:adjustRightInd/>
              <w:snapToGrid/>
              <w:spacing w:line="240" w:lineRule="auto"/>
              <w:ind w:firstLine="0" w:firstLineChars="0"/>
              <w:jc w:val="center"/>
              <w:rPr>
                <w:rFonts w:eastAsia="仿宋_GB2312"/>
                <w:color w:val="FF0000"/>
                <w:sz w:val="21"/>
                <w:szCs w:val="21"/>
              </w:rPr>
            </w:pPr>
            <w:r>
              <w:rPr>
                <w:rFonts w:hint="eastAsia" w:eastAsia="仿宋_GB2312"/>
                <w:color w:val="FF0000"/>
                <w:sz w:val="21"/>
                <w:szCs w:val="21"/>
              </w:rPr>
              <w:t>块</w:t>
            </w:r>
          </w:p>
        </w:tc>
        <w:tc>
          <w:tcPr>
            <w:tcW w:w="961" w:type="pct"/>
            <w:shd w:val="clear" w:color="auto" w:fill="auto"/>
            <w:noWrap/>
            <w:vAlign w:val="center"/>
          </w:tcPr>
          <w:p>
            <w:pPr>
              <w:widowControl/>
              <w:topLinePunct w:val="0"/>
              <w:adjustRightInd/>
              <w:snapToGrid/>
              <w:spacing w:line="240" w:lineRule="auto"/>
              <w:ind w:firstLine="0" w:firstLineChars="0"/>
              <w:jc w:val="center"/>
              <w:rPr>
                <w:rFonts w:eastAsia="仿宋_GB2312"/>
                <w:color w:val="FF0000"/>
                <w:sz w:val="21"/>
                <w:szCs w:val="21"/>
              </w:rPr>
            </w:pPr>
            <w:r>
              <w:rPr>
                <w:rFonts w:hint="eastAsia" w:eastAsia="仿宋_GB2312"/>
                <w:color w:val="FF0000"/>
                <w:sz w:val="21"/>
                <w:szCs w:val="21"/>
              </w:rPr>
              <w:t>2</w:t>
            </w:r>
          </w:p>
        </w:tc>
        <w:tc>
          <w:tcPr>
            <w:tcW w:w="733" w:type="pct"/>
            <w:shd w:val="clear" w:color="auto" w:fill="auto"/>
            <w:noWrap/>
            <w:vAlign w:val="center"/>
          </w:tcPr>
          <w:p>
            <w:pPr>
              <w:widowControl/>
              <w:topLinePunct w:val="0"/>
              <w:adjustRightInd/>
              <w:snapToGrid/>
              <w:spacing w:line="240" w:lineRule="auto"/>
              <w:ind w:firstLine="0" w:firstLineChars="0"/>
              <w:jc w:val="center"/>
              <w:rPr>
                <w:rFonts w:eastAsia="仿宋_GB2312"/>
                <w:color w:val="FF0000"/>
                <w:sz w:val="21"/>
                <w:szCs w:val="21"/>
              </w:rPr>
            </w:pPr>
            <w:r>
              <w:rPr>
                <w:rFonts w:eastAsia="仿宋_GB2312"/>
                <w:color w:val="FF0000"/>
                <w:sz w:val="21"/>
                <w:szCs w:val="21"/>
              </w:rPr>
              <w:t>方案新增</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989" w:type="pct"/>
            <w:vMerge w:val="restar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附属构筑物区</w:t>
            </w:r>
          </w:p>
        </w:tc>
        <w:tc>
          <w:tcPr>
            <w:tcW w:w="725"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工程措施</w:t>
            </w:r>
          </w:p>
        </w:tc>
        <w:tc>
          <w:tcPr>
            <w:tcW w:w="981"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土地平整</w:t>
            </w:r>
          </w:p>
        </w:tc>
        <w:tc>
          <w:tcPr>
            <w:tcW w:w="608"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hm</w:t>
            </w:r>
            <w:r>
              <w:rPr>
                <w:rFonts w:eastAsia="宋体"/>
                <w:color w:val="000000"/>
                <w:sz w:val="21"/>
                <w:szCs w:val="21"/>
              </w:rPr>
              <w:t>²</w:t>
            </w:r>
          </w:p>
        </w:tc>
        <w:tc>
          <w:tcPr>
            <w:tcW w:w="961"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hint="eastAsia" w:eastAsia="仿宋_GB2312"/>
                <w:color w:val="000000"/>
                <w:sz w:val="21"/>
                <w:szCs w:val="21"/>
              </w:rPr>
              <w:t>0.09</w:t>
            </w:r>
          </w:p>
        </w:tc>
        <w:tc>
          <w:tcPr>
            <w:tcW w:w="733"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主体已列</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989" w:type="pct"/>
            <w:vMerge w:val="continue"/>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725"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临时措施</w:t>
            </w:r>
          </w:p>
        </w:tc>
        <w:tc>
          <w:tcPr>
            <w:tcW w:w="981"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防尘网苫盖</w:t>
            </w:r>
          </w:p>
        </w:tc>
        <w:tc>
          <w:tcPr>
            <w:tcW w:w="608"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m</w:t>
            </w:r>
            <w:r>
              <w:rPr>
                <w:rFonts w:eastAsia="宋体"/>
                <w:color w:val="000000"/>
                <w:sz w:val="21"/>
                <w:szCs w:val="21"/>
              </w:rPr>
              <w:t>²</w:t>
            </w:r>
          </w:p>
        </w:tc>
        <w:tc>
          <w:tcPr>
            <w:tcW w:w="961"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hint="eastAsia" w:eastAsia="仿宋_GB2312"/>
                <w:color w:val="000000"/>
                <w:sz w:val="21"/>
                <w:szCs w:val="21"/>
              </w:rPr>
              <w:t>220</w:t>
            </w:r>
          </w:p>
        </w:tc>
        <w:tc>
          <w:tcPr>
            <w:tcW w:w="733"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方案新增</w:t>
            </w:r>
          </w:p>
        </w:tc>
      </w:tr>
    </w:tbl>
    <w:p>
      <w:pPr>
        <w:pStyle w:val="3"/>
        <w:widowControl/>
        <w:numPr>
          <w:ilvl w:val="1"/>
          <w:numId w:val="1"/>
        </w:numPr>
        <w:tabs>
          <w:tab w:val="clear" w:pos="1002"/>
        </w:tabs>
        <w:topLinePunct w:val="0"/>
        <w:adjustRightInd/>
        <w:snapToGrid/>
        <w:spacing w:beforeLines="100"/>
        <w:ind w:left="0" w:firstLine="0"/>
        <w:jc w:val="both"/>
        <w:rPr>
          <w:rFonts w:eastAsia="仿宋_GB2312"/>
        </w:rPr>
      </w:pPr>
      <w:bookmarkStart w:id="283" w:name="_Toc47381548"/>
      <w:bookmarkStart w:id="284" w:name="_Toc7801409"/>
      <w:bookmarkStart w:id="285" w:name="_Toc7801569"/>
      <w:bookmarkStart w:id="286" w:name="_Toc7801476"/>
      <w:r>
        <w:rPr>
          <w:rFonts w:eastAsia="仿宋_GB2312"/>
        </w:rPr>
        <w:t>施工要求</w:t>
      </w:r>
      <w:bookmarkEnd w:id="283"/>
      <w:bookmarkEnd w:id="284"/>
      <w:bookmarkEnd w:id="285"/>
      <w:bookmarkEnd w:id="286"/>
    </w:p>
    <w:p>
      <w:pPr>
        <w:pStyle w:val="4"/>
        <w:keepLines/>
        <w:widowControl/>
        <w:numPr>
          <w:ilvl w:val="2"/>
          <w:numId w:val="1"/>
        </w:numPr>
        <w:tabs>
          <w:tab w:val="clear" w:pos="432"/>
          <w:tab w:val="clear" w:pos="960"/>
        </w:tabs>
        <w:kinsoku/>
        <w:overflowPunct/>
        <w:topLinePunct w:val="0"/>
        <w:autoSpaceDE/>
        <w:autoSpaceDN/>
        <w:adjustRightInd/>
        <w:snapToGrid/>
        <w:ind w:left="0" w:firstLine="0"/>
        <w:jc w:val="both"/>
        <w:rPr>
          <w:rFonts w:eastAsia="仿宋_GB2312"/>
          <w:bCs w:val="0"/>
        </w:rPr>
      </w:pPr>
      <w:bookmarkStart w:id="287" w:name="_Toc291602450"/>
      <w:r>
        <w:rPr>
          <w:rFonts w:eastAsia="仿宋_GB2312"/>
          <w:bCs w:val="0"/>
        </w:rPr>
        <w:t>施工组织原则</w:t>
      </w:r>
      <w:bookmarkEnd w:id="287"/>
    </w:p>
    <w:p>
      <w:pPr>
        <w:ind w:firstLine="480"/>
        <w:rPr>
          <w:rFonts w:eastAsia="仿宋_GB2312"/>
        </w:rPr>
      </w:pPr>
      <w:r>
        <w:rPr>
          <w:rFonts w:eastAsia="仿宋_GB2312"/>
        </w:rPr>
        <w:t>（1）与主体工程相配合、协调，在不影响主体工程施工的前提下，尽可能利用主体工程创造的水、电、交通等施工条件，减少施工辅助设施工程量。</w:t>
      </w:r>
    </w:p>
    <w:p>
      <w:pPr>
        <w:ind w:firstLine="480"/>
        <w:rPr>
          <w:rFonts w:eastAsia="仿宋_GB2312"/>
        </w:rPr>
      </w:pPr>
      <w:r>
        <w:rPr>
          <w:rFonts w:eastAsia="仿宋_GB2312"/>
        </w:rPr>
        <w:t>（2）按照“三同时”的原则，水土保持措施实施进度与主体工程建设进度适应，及时防治新增水土流失。</w:t>
      </w:r>
    </w:p>
    <w:p>
      <w:pPr>
        <w:ind w:firstLine="480"/>
        <w:rPr>
          <w:rFonts w:eastAsia="仿宋_GB2312"/>
        </w:rPr>
      </w:pPr>
      <w:r>
        <w:rPr>
          <w:rFonts w:eastAsia="仿宋_GB2312"/>
        </w:rPr>
        <w:t>（3）施工进度安排坚持“保护优先、先挡后弃、及时跟进”的原则，临时堆土要先进行拦挡，然后再堆存，临时建设工程施工完毕后，按原占地类型及时进行恢复，植物措施在整地的基础上尽快实施。</w:t>
      </w:r>
    </w:p>
    <w:p>
      <w:pPr>
        <w:pStyle w:val="4"/>
        <w:keepLines/>
        <w:widowControl/>
        <w:numPr>
          <w:ilvl w:val="2"/>
          <w:numId w:val="1"/>
        </w:numPr>
        <w:tabs>
          <w:tab w:val="clear" w:pos="432"/>
          <w:tab w:val="clear" w:pos="960"/>
        </w:tabs>
        <w:kinsoku/>
        <w:overflowPunct/>
        <w:topLinePunct w:val="0"/>
        <w:autoSpaceDE/>
        <w:autoSpaceDN/>
        <w:adjustRightInd/>
        <w:snapToGrid/>
        <w:ind w:left="0" w:firstLine="0"/>
        <w:jc w:val="both"/>
        <w:rPr>
          <w:rFonts w:eastAsia="仿宋_GB2312"/>
          <w:bCs w:val="0"/>
        </w:rPr>
      </w:pPr>
      <w:bookmarkStart w:id="288" w:name="_Toc210527418"/>
      <w:bookmarkStart w:id="289" w:name="_Toc210522121"/>
      <w:bookmarkStart w:id="290" w:name="_Toc291602451"/>
      <w:r>
        <w:rPr>
          <w:rFonts w:eastAsia="仿宋_GB2312"/>
          <w:bCs w:val="0"/>
        </w:rPr>
        <w:t>施工组织</w:t>
      </w:r>
      <w:bookmarkEnd w:id="288"/>
      <w:bookmarkEnd w:id="289"/>
      <w:bookmarkEnd w:id="290"/>
    </w:p>
    <w:p>
      <w:pPr>
        <w:ind w:firstLine="480"/>
        <w:rPr>
          <w:rFonts w:eastAsia="仿宋_GB2312"/>
          <w:color w:val="000000"/>
        </w:rPr>
      </w:pPr>
      <w:r>
        <w:rPr>
          <w:rFonts w:eastAsia="仿宋_GB2312"/>
          <w:color w:val="000000"/>
        </w:rPr>
        <w:t>1、建立组织机构</w:t>
      </w:r>
    </w:p>
    <w:p>
      <w:pPr>
        <w:ind w:firstLine="480"/>
        <w:rPr>
          <w:rFonts w:eastAsia="仿宋_GB2312"/>
          <w:color w:val="000000"/>
        </w:rPr>
      </w:pPr>
      <w:r>
        <w:rPr>
          <w:rFonts w:eastAsia="仿宋_GB2312"/>
          <w:color w:val="000000"/>
        </w:rPr>
        <w:t>为全面完成本工程的各项水土保持措施，将组建施工项目部，实行项目承包制，由专职人员统一领导实施，并由具有水土保持监理资质单位指派具有水保监理岗位证书监理人员对工程质量、技术、进度、资金等全面负责。</w:t>
      </w:r>
    </w:p>
    <w:p>
      <w:pPr>
        <w:ind w:firstLine="480"/>
        <w:rPr>
          <w:rFonts w:eastAsia="仿宋_GB2312"/>
          <w:color w:val="000000"/>
        </w:rPr>
      </w:pPr>
      <w:r>
        <w:rPr>
          <w:rFonts w:eastAsia="仿宋_GB2312"/>
          <w:color w:val="000000"/>
        </w:rPr>
        <w:t>2、劳动组织</w:t>
      </w:r>
    </w:p>
    <w:p>
      <w:pPr>
        <w:ind w:firstLine="480"/>
        <w:rPr>
          <w:rFonts w:eastAsia="仿宋_GB2312"/>
          <w:color w:val="000000"/>
        </w:rPr>
      </w:pPr>
      <w:r>
        <w:rPr>
          <w:rFonts w:eastAsia="仿宋_GB2312"/>
          <w:color w:val="000000"/>
        </w:rPr>
        <w:t>项目部对劳动施工队实行计划包工制，签订劳动合同，明确各自的“责、权、利”，确保劳务合同的履行，并制约施工人员严格在方案规定的范围内活动。</w:t>
      </w:r>
    </w:p>
    <w:p>
      <w:pPr>
        <w:pStyle w:val="4"/>
        <w:keepLines/>
        <w:widowControl/>
        <w:numPr>
          <w:ilvl w:val="2"/>
          <w:numId w:val="1"/>
        </w:numPr>
        <w:tabs>
          <w:tab w:val="clear" w:pos="432"/>
          <w:tab w:val="clear" w:pos="960"/>
        </w:tabs>
        <w:kinsoku/>
        <w:overflowPunct/>
        <w:topLinePunct w:val="0"/>
        <w:autoSpaceDE/>
        <w:autoSpaceDN/>
        <w:adjustRightInd/>
        <w:snapToGrid/>
        <w:ind w:left="0" w:firstLine="0"/>
        <w:jc w:val="both"/>
        <w:rPr>
          <w:rFonts w:eastAsia="仿宋_GB2312"/>
        </w:rPr>
      </w:pPr>
      <w:bookmarkStart w:id="291" w:name="_Toc291602452"/>
      <w:r>
        <w:rPr>
          <w:rFonts w:eastAsia="仿宋_GB2312"/>
        </w:rPr>
        <w:t>施工条件</w:t>
      </w:r>
      <w:bookmarkEnd w:id="291"/>
    </w:p>
    <w:p>
      <w:pPr>
        <w:ind w:firstLine="480"/>
        <w:rPr>
          <w:rFonts w:eastAsia="仿宋_GB2312"/>
          <w:color w:val="000000"/>
        </w:rPr>
      </w:pPr>
      <w:r>
        <w:rPr>
          <w:rFonts w:eastAsia="仿宋_GB2312"/>
          <w:color w:val="000000"/>
        </w:rPr>
        <w:t>1、技术条件</w:t>
      </w:r>
    </w:p>
    <w:p>
      <w:pPr>
        <w:ind w:firstLine="480"/>
        <w:rPr>
          <w:rFonts w:eastAsia="仿宋_GB2312"/>
          <w:color w:val="000000"/>
        </w:rPr>
      </w:pPr>
      <w:r>
        <w:rPr>
          <w:rFonts w:eastAsia="仿宋_GB2312"/>
          <w:color w:val="000000"/>
        </w:rPr>
        <w:t>项目部组织技术人员和施工承包单位熟悉方案规定的水土流失防治措施、实施地点、技术要求及标准。</w:t>
      </w:r>
    </w:p>
    <w:p>
      <w:pPr>
        <w:ind w:firstLine="480"/>
        <w:rPr>
          <w:rFonts w:eastAsia="仿宋_GB2312"/>
          <w:color w:val="000000"/>
        </w:rPr>
      </w:pPr>
      <w:r>
        <w:rPr>
          <w:rFonts w:eastAsia="仿宋_GB2312"/>
          <w:color w:val="000000"/>
        </w:rPr>
        <w:t>2、监理单位</w:t>
      </w:r>
    </w:p>
    <w:p>
      <w:pPr>
        <w:ind w:firstLine="480"/>
        <w:rPr>
          <w:rFonts w:eastAsia="仿宋_GB2312"/>
          <w:color w:val="000000"/>
        </w:rPr>
      </w:pPr>
      <w:r>
        <w:rPr>
          <w:rFonts w:eastAsia="仿宋_GB2312"/>
          <w:color w:val="000000"/>
        </w:rPr>
        <w:t>根据方案的技术要求编报水土保持技术大纲，实施“三控制”（质量、进度、资金）、“两管理”（信息与合同）、“一协调”的要求，确定验收时的监理质量。</w:t>
      </w:r>
    </w:p>
    <w:p>
      <w:pPr>
        <w:ind w:firstLine="480"/>
        <w:rPr>
          <w:rFonts w:eastAsia="仿宋_GB2312"/>
          <w:color w:val="000000"/>
        </w:rPr>
      </w:pPr>
      <w:r>
        <w:rPr>
          <w:rFonts w:eastAsia="仿宋_GB2312"/>
          <w:color w:val="000000"/>
        </w:rPr>
        <w:t>3、施工组织进场准备</w:t>
      </w:r>
    </w:p>
    <w:p>
      <w:pPr>
        <w:ind w:firstLine="480"/>
        <w:rPr>
          <w:rFonts w:eastAsia="仿宋_GB2312"/>
          <w:color w:val="000000"/>
        </w:rPr>
      </w:pPr>
      <w:r>
        <w:rPr>
          <w:rFonts w:eastAsia="仿宋_GB2312"/>
          <w:color w:val="000000"/>
        </w:rPr>
        <w:t>施工时应根据各防治区域具体的工程措施合理安排各施工工序，减少或避免各工序间的相互干扰。施工区域的防护措施是主体工程的一部分，其施工应充分利用主体工程提供的施工条件与主体工程一并进行。</w:t>
      </w:r>
    </w:p>
    <w:p>
      <w:pPr>
        <w:pStyle w:val="4"/>
        <w:keepLines/>
        <w:widowControl/>
        <w:numPr>
          <w:ilvl w:val="2"/>
          <w:numId w:val="1"/>
        </w:numPr>
        <w:tabs>
          <w:tab w:val="clear" w:pos="432"/>
          <w:tab w:val="clear" w:pos="960"/>
        </w:tabs>
        <w:kinsoku/>
        <w:overflowPunct/>
        <w:topLinePunct w:val="0"/>
        <w:autoSpaceDE/>
        <w:autoSpaceDN/>
        <w:adjustRightInd/>
        <w:snapToGrid/>
        <w:ind w:left="0" w:firstLine="0"/>
        <w:jc w:val="both"/>
        <w:rPr>
          <w:rFonts w:eastAsia="仿宋_GB2312"/>
          <w:bCs w:val="0"/>
        </w:rPr>
      </w:pPr>
      <w:r>
        <w:rPr>
          <w:rFonts w:hint="eastAsia" w:eastAsia="仿宋_GB2312"/>
          <w:bCs w:val="0"/>
        </w:rPr>
        <w:t>交通运输</w:t>
      </w:r>
    </w:p>
    <w:p>
      <w:pPr>
        <w:ind w:firstLine="480"/>
        <w:rPr>
          <w:rFonts w:eastAsia="仿宋_GB2312"/>
        </w:rPr>
      </w:pPr>
      <w:r>
        <w:rPr>
          <w:rFonts w:hint="eastAsia" w:eastAsia="仿宋_GB2312"/>
        </w:rPr>
        <w:t>本项目的水土保持工程与主体工程在统一征地区范围内施工，可利用项目所在当地的国（省）道、县乡道路等各级路网，以上道路完全能够满足水土保持工程施工时的材料运输、施工车辆及机械设备通行需要。</w:t>
      </w:r>
    </w:p>
    <w:p>
      <w:pPr>
        <w:pStyle w:val="4"/>
        <w:keepLines/>
        <w:widowControl/>
        <w:numPr>
          <w:ilvl w:val="2"/>
          <w:numId w:val="1"/>
        </w:numPr>
        <w:tabs>
          <w:tab w:val="clear" w:pos="432"/>
          <w:tab w:val="clear" w:pos="960"/>
        </w:tabs>
        <w:kinsoku/>
        <w:overflowPunct/>
        <w:topLinePunct w:val="0"/>
        <w:autoSpaceDE/>
        <w:autoSpaceDN/>
        <w:adjustRightInd/>
        <w:snapToGrid/>
        <w:ind w:left="0" w:firstLine="0"/>
        <w:jc w:val="both"/>
        <w:rPr>
          <w:rFonts w:eastAsia="仿宋_GB2312"/>
          <w:bCs w:val="0"/>
        </w:rPr>
      </w:pPr>
      <w:bookmarkStart w:id="292" w:name="_Toc291602453"/>
      <w:bookmarkStart w:id="293" w:name="_Toc210522123"/>
      <w:bookmarkStart w:id="294" w:name="_Toc210527420"/>
      <w:r>
        <w:rPr>
          <w:rFonts w:eastAsia="仿宋_GB2312"/>
          <w:bCs w:val="0"/>
        </w:rPr>
        <w:t>施工质量要求</w:t>
      </w:r>
      <w:bookmarkEnd w:id="292"/>
      <w:bookmarkEnd w:id="293"/>
      <w:bookmarkEnd w:id="294"/>
    </w:p>
    <w:p>
      <w:pPr>
        <w:ind w:firstLine="480"/>
        <w:rPr>
          <w:rFonts w:eastAsia="仿宋_GB2312"/>
          <w:color w:val="000000"/>
        </w:rPr>
      </w:pPr>
      <w:r>
        <w:rPr>
          <w:rFonts w:eastAsia="仿宋_GB2312"/>
          <w:color w:val="000000"/>
        </w:rPr>
        <w:t>水土保持工程实施后，各项治理措施必须符合规定的质量要求，并经规定的质量测定方法确定后，才能作为治理成果进行数量统计。</w:t>
      </w:r>
    </w:p>
    <w:p>
      <w:pPr>
        <w:ind w:firstLine="480"/>
        <w:rPr>
          <w:rFonts w:eastAsia="仿宋_GB2312"/>
          <w:color w:val="000000"/>
        </w:rPr>
      </w:pPr>
      <w:r>
        <w:rPr>
          <w:rFonts w:eastAsia="仿宋_GB2312"/>
          <w:color w:val="000000"/>
        </w:rPr>
        <w:t>根据《水土保持综合治理验收规范》（GB/T15773-2008）及《水利部关于加强事中事后监督规范生产建设项目水土保持设施自主验收的通知》（水利部2017年第365号文）等的相关规定，水土保持各项治理措施的基本要求是总体布局合理，各项措施位置符合规划要求。规格、尺寸、质量、使用材料、施工方法符合施工和设计标准，经暴雨考验后基本完好。</w:t>
      </w:r>
    </w:p>
    <w:p>
      <w:pPr>
        <w:pStyle w:val="4"/>
        <w:keepLines/>
        <w:widowControl/>
        <w:numPr>
          <w:ilvl w:val="2"/>
          <w:numId w:val="1"/>
        </w:numPr>
        <w:tabs>
          <w:tab w:val="clear" w:pos="432"/>
          <w:tab w:val="clear" w:pos="960"/>
        </w:tabs>
        <w:kinsoku/>
        <w:overflowPunct/>
        <w:topLinePunct w:val="0"/>
        <w:autoSpaceDE/>
        <w:autoSpaceDN/>
        <w:adjustRightInd/>
        <w:snapToGrid/>
        <w:ind w:left="0" w:firstLine="0"/>
        <w:jc w:val="both"/>
        <w:rPr>
          <w:rFonts w:eastAsia="仿宋_GB2312"/>
        </w:rPr>
      </w:pPr>
      <w:bookmarkStart w:id="295" w:name="_Toc291602454"/>
      <w:r>
        <w:rPr>
          <w:rFonts w:eastAsia="仿宋_GB2312"/>
        </w:rPr>
        <w:t>施工材料来源</w:t>
      </w:r>
      <w:bookmarkEnd w:id="295"/>
    </w:p>
    <w:p>
      <w:pPr>
        <w:ind w:firstLine="480"/>
        <w:rPr>
          <w:rFonts w:eastAsia="仿宋_GB2312"/>
        </w:rPr>
      </w:pPr>
      <w:r>
        <w:rPr>
          <w:rFonts w:eastAsia="仿宋_GB2312"/>
        </w:rPr>
        <w:t>项目建设所用砂</w:t>
      </w:r>
      <w:r>
        <w:rPr>
          <w:rFonts w:hint="eastAsia" w:eastAsia="仿宋_GB2312"/>
        </w:rPr>
        <w:t>石料、</w:t>
      </w:r>
      <w:r>
        <w:rPr>
          <w:rFonts w:eastAsia="仿宋_GB2312"/>
        </w:rPr>
        <w:t>钢材、水泥</w:t>
      </w:r>
      <w:r>
        <w:rPr>
          <w:rFonts w:hint="eastAsia" w:eastAsia="仿宋_GB2312"/>
        </w:rPr>
        <w:t>、木材</w:t>
      </w:r>
      <w:r>
        <w:rPr>
          <w:rFonts w:eastAsia="仿宋_GB2312"/>
        </w:rPr>
        <w:t>等</w:t>
      </w:r>
      <w:r>
        <w:rPr>
          <w:rFonts w:hint="eastAsia" w:eastAsia="仿宋_GB2312"/>
        </w:rPr>
        <w:t>施工材料均</w:t>
      </w:r>
      <w:r>
        <w:rPr>
          <w:rFonts w:eastAsia="仿宋_GB2312"/>
        </w:rPr>
        <w:t>从</w:t>
      </w:r>
      <w:r>
        <w:rPr>
          <w:rFonts w:hint="eastAsia" w:eastAsia="仿宋_GB2312"/>
        </w:rPr>
        <w:t>和田市正规合法商企集中采购</w:t>
      </w:r>
      <w:r>
        <w:rPr>
          <w:rFonts w:eastAsia="仿宋_GB2312"/>
        </w:rPr>
        <w:t>，</w:t>
      </w:r>
      <w:r>
        <w:rPr>
          <w:rFonts w:hint="eastAsia" w:eastAsia="仿宋_GB2312"/>
        </w:rPr>
        <w:t>项目所需施工材料的运距均在35km以内</w:t>
      </w:r>
      <w:r>
        <w:rPr>
          <w:rFonts w:eastAsia="仿宋_GB2312"/>
        </w:rPr>
        <w:t>。</w:t>
      </w:r>
    </w:p>
    <w:p>
      <w:pPr>
        <w:pStyle w:val="4"/>
        <w:keepLines/>
        <w:widowControl/>
        <w:numPr>
          <w:ilvl w:val="2"/>
          <w:numId w:val="1"/>
        </w:numPr>
        <w:tabs>
          <w:tab w:val="clear" w:pos="432"/>
          <w:tab w:val="clear" w:pos="960"/>
        </w:tabs>
        <w:kinsoku/>
        <w:overflowPunct/>
        <w:topLinePunct w:val="0"/>
        <w:autoSpaceDE/>
        <w:autoSpaceDN/>
        <w:adjustRightInd/>
        <w:snapToGrid/>
        <w:ind w:left="0" w:firstLine="0"/>
        <w:jc w:val="both"/>
        <w:rPr>
          <w:rFonts w:eastAsia="仿宋_GB2312"/>
        </w:rPr>
      </w:pPr>
      <w:r>
        <w:rPr>
          <w:rFonts w:eastAsia="仿宋_GB2312"/>
        </w:rPr>
        <w:t>水土保持措施施工方法</w:t>
      </w:r>
    </w:p>
    <w:p>
      <w:pPr>
        <w:ind w:firstLine="480"/>
        <w:rPr>
          <w:rFonts w:eastAsia="仿宋_GB2312"/>
        </w:rPr>
      </w:pPr>
      <w:r>
        <w:rPr>
          <w:rFonts w:eastAsia="仿宋_GB2312"/>
        </w:rPr>
        <w:t>（1）工程措施</w:t>
      </w:r>
    </w:p>
    <w:p>
      <w:pPr>
        <w:autoSpaceDE w:val="0"/>
        <w:autoSpaceDN w:val="0"/>
        <w:ind w:firstLine="480"/>
        <w:jc w:val="left"/>
        <w:rPr>
          <w:rFonts w:eastAsia="仿宋_GB2312"/>
        </w:rPr>
      </w:pPr>
      <w:r>
        <w:rPr>
          <w:rFonts w:eastAsia="仿宋_GB2312"/>
        </w:rPr>
        <w:fldChar w:fldCharType="begin"/>
      </w:r>
      <w:r>
        <w:rPr>
          <w:rFonts w:eastAsia="仿宋_GB2312"/>
        </w:rPr>
        <w:instrText xml:space="preserve"> = 1 \* GB3 </w:instrText>
      </w:r>
      <w:r>
        <w:rPr>
          <w:rFonts w:eastAsia="仿宋_GB2312"/>
        </w:rPr>
        <w:fldChar w:fldCharType="separate"/>
      </w:r>
      <w:r>
        <w:rPr>
          <w:rFonts w:eastAsia="仿宋_GB2312"/>
        </w:rPr>
        <w:t>①</w:t>
      </w:r>
      <w:r>
        <w:rPr>
          <w:rFonts w:eastAsia="仿宋_GB2312"/>
        </w:rPr>
        <w:fldChar w:fldCharType="end"/>
      </w:r>
      <w:r>
        <w:rPr>
          <w:rFonts w:eastAsia="仿宋_GB2312"/>
        </w:rPr>
        <w:t>土地平整</w:t>
      </w:r>
    </w:p>
    <w:p>
      <w:pPr>
        <w:autoSpaceDE w:val="0"/>
        <w:autoSpaceDN w:val="0"/>
        <w:ind w:firstLine="480"/>
        <w:jc w:val="left"/>
        <w:rPr>
          <w:rFonts w:eastAsia="仿宋_GB2312"/>
        </w:rPr>
      </w:pPr>
      <w:r>
        <w:rPr>
          <w:rFonts w:eastAsia="仿宋_GB2312"/>
        </w:rPr>
        <w:t>土地平整采用74kW推土机推平，平均推距40m，部分需倒运的采用2m³装载机挖装10t自卸车运输，边角地或施工机械无法施工的区域采取人工平整，土地平整后地面高差小于30cm。</w:t>
      </w:r>
    </w:p>
    <w:p>
      <w:pPr>
        <w:ind w:firstLine="480"/>
        <w:rPr>
          <w:rFonts w:eastAsia="仿宋_GB2312"/>
        </w:rPr>
      </w:pPr>
      <w:r>
        <w:rPr>
          <w:rFonts w:hint="eastAsia" w:eastAsia="仿宋_GB2312"/>
        </w:rPr>
        <w:t>（2）</w:t>
      </w:r>
      <w:r>
        <w:rPr>
          <w:rFonts w:eastAsia="仿宋_GB2312"/>
        </w:rPr>
        <w:t>临时措施</w:t>
      </w:r>
    </w:p>
    <w:p>
      <w:pPr>
        <w:autoSpaceDE w:val="0"/>
        <w:autoSpaceDN w:val="0"/>
        <w:ind w:firstLine="480"/>
        <w:jc w:val="left"/>
        <w:rPr>
          <w:rFonts w:eastAsia="仿宋_GB2312"/>
        </w:rPr>
      </w:pPr>
      <w:r>
        <w:rPr>
          <w:rFonts w:eastAsia="仿宋_GB2312"/>
        </w:rPr>
        <w:t>水土流失防治体系新增临时措施包括：防尘网苫盖、洒水</w:t>
      </w:r>
      <w:r>
        <w:rPr>
          <w:rFonts w:hint="eastAsia" w:eastAsia="仿宋_GB2312"/>
        </w:rPr>
        <w:t>、彩条旗限界</w:t>
      </w:r>
      <w:r>
        <w:rPr>
          <w:rFonts w:eastAsia="仿宋_GB2312"/>
        </w:rPr>
        <w:t>等，上述措施设计内容如下。</w:t>
      </w:r>
    </w:p>
    <w:p>
      <w:pPr>
        <w:autoSpaceDE w:val="0"/>
        <w:autoSpaceDN w:val="0"/>
        <w:ind w:firstLine="480"/>
        <w:jc w:val="left"/>
        <w:rPr>
          <w:rFonts w:eastAsia="仿宋_GB2312"/>
        </w:rPr>
      </w:pPr>
      <w:r>
        <w:rPr>
          <w:rFonts w:eastAsia="仿宋_GB2312"/>
        </w:rPr>
        <w:fldChar w:fldCharType="begin"/>
      </w:r>
      <w:r>
        <w:rPr>
          <w:rFonts w:eastAsia="仿宋_GB2312"/>
        </w:rPr>
        <w:instrText xml:space="preserve"> = 1 \* GB3 </w:instrText>
      </w:r>
      <w:r>
        <w:rPr>
          <w:rFonts w:eastAsia="仿宋_GB2312"/>
        </w:rPr>
        <w:fldChar w:fldCharType="separate"/>
      </w:r>
      <w:r>
        <w:rPr>
          <w:rFonts w:eastAsia="仿宋_GB2312"/>
        </w:rPr>
        <w:t>①</w:t>
      </w:r>
      <w:r>
        <w:rPr>
          <w:rFonts w:eastAsia="仿宋_GB2312"/>
        </w:rPr>
        <w:fldChar w:fldCharType="end"/>
      </w:r>
      <w:r>
        <w:rPr>
          <w:rFonts w:eastAsia="仿宋_GB2312"/>
        </w:rPr>
        <w:t>防尘网苫盖</w:t>
      </w:r>
    </w:p>
    <w:p>
      <w:pPr>
        <w:autoSpaceDE w:val="0"/>
        <w:autoSpaceDN w:val="0"/>
        <w:ind w:firstLine="480"/>
        <w:rPr>
          <w:rFonts w:eastAsia="仿宋_GB2312"/>
        </w:rPr>
      </w:pPr>
      <w:r>
        <w:rPr>
          <w:rFonts w:eastAsia="仿宋_GB2312"/>
        </w:rPr>
        <w:t>临时堆放的基础开挖土方，为了避免裸露，采用防尘网苫盖进行防护。人工将防尘网边缘用细铁丝缝合连接在一起，满足所需防尘网规格后运输到施工现场。将缝合好的防护网进行摊铺苫盖。防尘网拆除时，将防尘网分片折网，叠好后回收待用。</w:t>
      </w:r>
    </w:p>
    <w:p>
      <w:pPr>
        <w:autoSpaceDE w:val="0"/>
        <w:autoSpaceDN w:val="0"/>
        <w:ind w:firstLine="480"/>
        <w:jc w:val="left"/>
        <w:rPr>
          <w:rFonts w:eastAsia="仿宋_GB2312"/>
        </w:rPr>
      </w:pPr>
      <w:r>
        <w:rPr>
          <w:rFonts w:hint="eastAsia" w:ascii="宋体" w:hAnsi="宋体" w:eastAsia="宋体" w:cs="宋体"/>
        </w:rPr>
        <w:t>②</w:t>
      </w:r>
      <w:r>
        <w:rPr>
          <w:rFonts w:eastAsia="仿宋_GB2312"/>
        </w:rPr>
        <w:t>彩条旗</w:t>
      </w:r>
      <w:r>
        <w:rPr>
          <w:rFonts w:hint="eastAsia" w:eastAsia="仿宋_GB2312"/>
        </w:rPr>
        <w:t>限界</w:t>
      </w:r>
    </w:p>
    <w:p>
      <w:pPr>
        <w:ind w:firstLine="480"/>
        <w:rPr>
          <w:rFonts w:eastAsia="仿宋_GB2312"/>
        </w:rPr>
      </w:pPr>
      <w:r>
        <w:rPr>
          <w:rFonts w:eastAsia="仿宋_GB2312"/>
        </w:rPr>
        <w:t>在市场上采购满足设计要求的彩条旗及</w:t>
      </w:r>
      <w:r>
        <w:rPr>
          <w:rFonts w:hint="eastAsia" w:eastAsia="仿宋_GB2312"/>
        </w:rPr>
        <w:t>木条</w:t>
      </w:r>
      <w:r>
        <w:rPr>
          <w:rFonts w:eastAsia="仿宋_GB2312"/>
        </w:rPr>
        <w:t>后运输至施工</w:t>
      </w:r>
      <w:r>
        <w:rPr>
          <w:rFonts w:hint="eastAsia" w:eastAsia="仿宋_GB2312"/>
        </w:rPr>
        <w:t>现场</w:t>
      </w:r>
      <w:r>
        <w:rPr>
          <w:rFonts w:eastAsia="仿宋_GB2312"/>
        </w:rPr>
        <w:t>，人工采用皮尺进行测量后，</w:t>
      </w:r>
      <w:r>
        <w:rPr>
          <w:rFonts w:hint="eastAsia" w:eastAsia="仿宋_GB2312"/>
        </w:rPr>
        <w:t>施工边界</w:t>
      </w:r>
      <w:r>
        <w:rPr>
          <w:rFonts w:eastAsia="仿宋_GB2312"/>
        </w:rPr>
        <w:t>每</w:t>
      </w:r>
      <w:r>
        <w:rPr>
          <w:rFonts w:hint="eastAsia" w:eastAsia="仿宋_GB2312"/>
        </w:rPr>
        <w:t>10</w:t>
      </w:r>
      <w:r>
        <w:rPr>
          <w:rFonts w:eastAsia="仿宋_GB2312"/>
        </w:rPr>
        <w:t>m安装一根</w:t>
      </w:r>
      <w:r>
        <w:rPr>
          <w:rFonts w:hint="eastAsia" w:eastAsia="仿宋_GB2312"/>
        </w:rPr>
        <w:t>木条</w:t>
      </w:r>
      <w:r>
        <w:rPr>
          <w:rFonts w:eastAsia="仿宋_GB2312"/>
        </w:rPr>
        <w:t>，人工采用铁锤等工具将</w:t>
      </w:r>
      <w:r>
        <w:rPr>
          <w:rFonts w:hint="eastAsia" w:eastAsia="仿宋_GB2312"/>
        </w:rPr>
        <w:t>木条</w:t>
      </w:r>
      <w:r>
        <w:rPr>
          <w:rFonts w:eastAsia="仿宋_GB2312"/>
        </w:rPr>
        <w:t>钉入地下。固定好</w:t>
      </w:r>
      <w:r>
        <w:rPr>
          <w:rFonts w:hint="eastAsia" w:eastAsia="仿宋_GB2312"/>
        </w:rPr>
        <w:t>木条</w:t>
      </w:r>
      <w:r>
        <w:rPr>
          <w:rFonts w:eastAsia="仿宋_GB2312"/>
        </w:rPr>
        <w:t>后，将彩条旗绑定在</w:t>
      </w:r>
      <w:r>
        <w:rPr>
          <w:rFonts w:hint="eastAsia" w:eastAsia="仿宋_GB2312"/>
        </w:rPr>
        <w:t>木条</w:t>
      </w:r>
      <w:r>
        <w:rPr>
          <w:rFonts w:eastAsia="仿宋_GB2312"/>
        </w:rPr>
        <w:t>上。拆除时，先拆除彩条旗，然后拆除固定</w:t>
      </w:r>
      <w:r>
        <w:rPr>
          <w:rFonts w:hint="eastAsia" w:eastAsia="仿宋_GB2312"/>
        </w:rPr>
        <w:t>木条</w:t>
      </w:r>
      <w:r>
        <w:rPr>
          <w:rFonts w:eastAsia="仿宋_GB2312"/>
        </w:rPr>
        <w:t>。</w:t>
      </w:r>
    </w:p>
    <w:p>
      <w:pPr>
        <w:autoSpaceDE w:val="0"/>
        <w:autoSpaceDN w:val="0"/>
        <w:ind w:firstLine="480"/>
        <w:jc w:val="left"/>
        <w:rPr>
          <w:rFonts w:eastAsia="仿宋_GB2312"/>
        </w:rPr>
      </w:pPr>
      <w:r>
        <w:rPr>
          <w:rFonts w:hint="eastAsia" w:eastAsia="仿宋_GB2312"/>
        </w:rPr>
        <w:t>③</w:t>
      </w:r>
      <w:r>
        <w:rPr>
          <w:rFonts w:eastAsia="仿宋_GB2312"/>
        </w:rPr>
        <w:t>洒水</w:t>
      </w:r>
    </w:p>
    <w:p>
      <w:pPr>
        <w:autoSpaceDE w:val="0"/>
        <w:autoSpaceDN w:val="0"/>
        <w:ind w:firstLine="480"/>
        <w:jc w:val="left"/>
        <w:rPr>
          <w:rFonts w:eastAsia="仿宋_GB2312"/>
        </w:rPr>
      </w:pPr>
      <w:r>
        <w:rPr>
          <w:rFonts w:hint="eastAsia" w:eastAsia="仿宋_GB2312"/>
        </w:rPr>
        <w:t>为减少项目区内施工场地扬尘、在工程施工过程中，对施工区域进行临时洒水防护措施，采用</w:t>
      </w:r>
      <w:r>
        <w:rPr>
          <w:rFonts w:eastAsia="仿宋_GB2312"/>
        </w:rPr>
        <w:t>8m³</w:t>
      </w:r>
      <w:r>
        <w:rPr>
          <w:rFonts w:hint="eastAsia" w:eastAsia="仿宋_GB2312"/>
        </w:rPr>
        <w:t>洒水车洒水。</w:t>
      </w:r>
      <w:r>
        <w:rPr>
          <w:rFonts w:hint="eastAsia" w:eastAsia="仿宋_GB2312"/>
          <w:color w:val="FF0000"/>
        </w:rPr>
        <w:t>洒水水源为团场市政供水管网取水。</w:t>
      </w:r>
    </w:p>
    <w:p>
      <w:pPr>
        <w:ind w:firstLine="480"/>
        <w:rPr>
          <w:rFonts w:eastAsia="仿宋_GB2312"/>
          <w:color w:val="FF0000"/>
        </w:rPr>
      </w:pPr>
      <w:r>
        <w:rPr>
          <w:rFonts w:hint="eastAsia" w:ascii="宋体" w:hAnsi="宋体" w:eastAsia="宋体" w:cs="宋体"/>
          <w:color w:val="FF0000"/>
        </w:rPr>
        <w:t>④</w:t>
      </w:r>
      <w:r>
        <w:rPr>
          <w:rFonts w:eastAsia="仿宋_GB2312"/>
          <w:color w:val="FF0000"/>
        </w:rPr>
        <w:t>设置宣传</w:t>
      </w:r>
      <w:r>
        <w:rPr>
          <w:rFonts w:hint="eastAsia" w:eastAsia="仿宋_GB2312"/>
          <w:color w:val="FF0000"/>
        </w:rPr>
        <w:t>牌</w:t>
      </w:r>
    </w:p>
    <w:p>
      <w:pPr>
        <w:ind w:firstLine="480"/>
        <w:rPr>
          <w:rFonts w:eastAsia="仿宋_GB2312"/>
          <w:color w:val="FF0000"/>
        </w:rPr>
      </w:pPr>
      <w:r>
        <w:rPr>
          <w:rFonts w:eastAsia="仿宋_GB2312"/>
          <w:color w:val="FF0000"/>
        </w:rPr>
        <w:t>项目区制作宣传</w:t>
      </w:r>
      <w:r>
        <w:rPr>
          <w:rFonts w:hint="eastAsia" w:eastAsia="仿宋_GB2312"/>
          <w:color w:val="FF0000"/>
        </w:rPr>
        <w:t>牌</w:t>
      </w:r>
      <w:r>
        <w:rPr>
          <w:rFonts w:eastAsia="仿宋_GB2312"/>
          <w:color w:val="FF0000"/>
        </w:rPr>
        <w:t>，水土保持宣传</w:t>
      </w:r>
      <w:r>
        <w:rPr>
          <w:rFonts w:hint="eastAsia" w:eastAsia="仿宋_GB2312"/>
          <w:color w:val="FF0000"/>
        </w:rPr>
        <w:t>牌</w:t>
      </w:r>
      <w:r>
        <w:rPr>
          <w:rFonts w:eastAsia="仿宋_GB2312"/>
          <w:color w:val="FF0000"/>
        </w:rPr>
        <w:t>上注明项目名称、建设单位、现场联系人及联系电话、水土保持方案批复文号、水土保持监督执法单位及监督电话。严禁对施工场地外地表进行破坏。</w:t>
      </w:r>
    </w:p>
    <w:p>
      <w:pPr>
        <w:pStyle w:val="4"/>
        <w:keepLines/>
        <w:widowControl/>
        <w:numPr>
          <w:ilvl w:val="2"/>
          <w:numId w:val="1"/>
        </w:numPr>
        <w:tabs>
          <w:tab w:val="clear" w:pos="432"/>
          <w:tab w:val="clear" w:pos="960"/>
        </w:tabs>
        <w:kinsoku/>
        <w:overflowPunct/>
        <w:topLinePunct w:val="0"/>
        <w:autoSpaceDE/>
        <w:autoSpaceDN/>
        <w:adjustRightInd/>
        <w:snapToGrid/>
        <w:ind w:left="0" w:firstLine="0"/>
        <w:jc w:val="both"/>
        <w:rPr>
          <w:rFonts w:eastAsia="仿宋_GB2312"/>
        </w:rPr>
      </w:pPr>
      <w:r>
        <w:rPr>
          <w:rFonts w:eastAsia="仿宋_GB2312"/>
        </w:rPr>
        <w:t>水土保持措施进度安排</w:t>
      </w:r>
    </w:p>
    <w:p>
      <w:pPr>
        <w:ind w:firstLine="480"/>
        <w:rPr>
          <w:rFonts w:eastAsia="仿宋_GB2312"/>
          <w:color w:val="000000"/>
        </w:rPr>
      </w:pPr>
      <w:r>
        <w:rPr>
          <w:rFonts w:eastAsia="仿宋_GB2312"/>
          <w:color w:val="000000"/>
        </w:rPr>
        <w:t>根据“三同时”制度要求，水土保持工程实施进度应与主体工程同步，各项水土保持措施的实施要与主体工程的施工进度相协调。实施过程中结合主体工程及其施工特点、本地区的气候特点及植物的生物学、生态学特性，利用主体工程的施工条件布设水土保持措施，本着合理使用资金、劳力、材料和机械设备，保证水土保持工程的施工进度和工程质量。</w:t>
      </w:r>
    </w:p>
    <w:p>
      <w:pPr>
        <w:ind w:firstLine="480"/>
        <w:rPr>
          <w:rFonts w:eastAsia="仿宋_GB2312"/>
        </w:rPr>
      </w:pPr>
      <w:r>
        <w:rPr>
          <w:rFonts w:eastAsia="仿宋_GB2312"/>
        </w:rPr>
        <w:t>参照主体工程的施工进度和时序，本次水土保持工程措施计划与主体工程相配合，同时开工，工程措施、临时措施与主体工程同时完工。水土保持措施实施进度安排见表5.4-1。</w:t>
      </w:r>
    </w:p>
    <w:p>
      <w:pPr>
        <w:pStyle w:val="197"/>
        <w:ind w:firstLine="482"/>
        <w:jc w:val="center"/>
        <w:rPr>
          <w:rFonts w:ascii="Times New Roman" w:hAnsi="Times New Roman" w:eastAsia="仿宋_GB2312"/>
          <w:b/>
          <w:color w:val="000000"/>
          <w:szCs w:val="24"/>
        </w:rPr>
        <w:sectPr>
          <w:pgSz w:w="11906" w:h="16838"/>
          <w:pgMar w:top="1440" w:right="1803" w:bottom="1440" w:left="1803" w:header="851" w:footer="992" w:gutter="0"/>
          <w:cols w:space="720" w:num="1"/>
          <w:docGrid w:linePitch="326" w:charSpace="0"/>
        </w:sectPr>
      </w:pPr>
    </w:p>
    <w:p>
      <w:pPr>
        <w:pStyle w:val="197"/>
        <w:ind w:firstLine="482"/>
        <w:jc w:val="center"/>
        <w:rPr>
          <w:rFonts w:ascii="Times New Roman" w:hAnsi="Times New Roman" w:eastAsia="仿宋_GB2312"/>
          <w:b/>
          <w:color w:val="000000"/>
          <w:szCs w:val="24"/>
        </w:rPr>
      </w:pPr>
      <w:r>
        <w:rPr>
          <w:rFonts w:ascii="Times New Roman" w:hAnsi="Times New Roman" w:eastAsia="仿宋_GB2312"/>
          <w:b/>
          <w:color w:val="000000"/>
          <w:szCs w:val="24"/>
        </w:rPr>
        <w:t>表5.4-1   水土保持措施实施进度表</w:t>
      </w:r>
    </w:p>
    <w:tbl>
      <w:tblPr>
        <w:tblStyle w:val="40"/>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761"/>
        <w:gridCol w:w="1759"/>
        <w:gridCol w:w="1499"/>
        <w:gridCol w:w="1499"/>
        <w:gridCol w:w="1499"/>
        <w:gridCol w:w="149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480" w:type="pct"/>
            <w:gridSpan w:val="2"/>
            <w:vMerge w:val="restart"/>
            <w:vAlign w:val="center"/>
          </w:tcPr>
          <w:p>
            <w:pPr>
              <w:widowControl/>
              <w:spacing w:line="0" w:lineRule="atLeast"/>
              <w:ind w:firstLine="0" w:firstLineChars="0"/>
              <w:jc w:val="center"/>
              <w:rPr>
                <w:rFonts w:eastAsia="仿宋_GB2312"/>
                <w:sz w:val="21"/>
                <w:szCs w:val="21"/>
              </w:rPr>
            </w:pPr>
            <w:r>
              <w:rPr>
                <w:rFonts w:eastAsia="仿宋_GB2312"/>
                <w:sz w:val="21"/>
                <w:szCs w:val="21"/>
              </w:rPr>
              <w:t>工程名称</w:t>
            </w:r>
          </w:p>
        </w:tc>
        <w:tc>
          <w:tcPr>
            <w:tcW w:w="3520" w:type="pct"/>
            <w:gridSpan w:val="4"/>
            <w:vAlign w:val="center"/>
          </w:tcPr>
          <w:p>
            <w:pPr>
              <w:spacing w:line="0" w:lineRule="atLeast"/>
              <w:ind w:firstLine="0" w:firstLineChars="0"/>
              <w:jc w:val="center"/>
              <w:rPr>
                <w:rFonts w:eastAsia="仿宋_GB2312"/>
                <w:sz w:val="21"/>
                <w:szCs w:val="21"/>
              </w:rPr>
            </w:pPr>
            <w:r>
              <w:rPr>
                <w:rFonts w:eastAsia="仿宋_GB2312"/>
                <w:sz w:val="21"/>
                <w:szCs w:val="21"/>
              </w:rPr>
              <w:t>20</w:t>
            </w:r>
            <w:r>
              <w:rPr>
                <w:rFonts w:hint="eastAsia" w:eastAsia="仿宋_GB2312"/>
                <w:sz w:val="21"/>
                <w:szCs w:val="21"/>
              </w:rPr>
              <w:t>21</w:t>
            </w:r>
            <w:r>
              <w:rPr>
                <w:rFonts w:eastAsia="仿宋_GB2312"/>
                <w:sz w:val="21"/>
                <w:szCs w:val="21"/>
              </w:rPr>
              <w:t>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480" w:type="pct"/>
            <w:gridSpan w:val="2"/>
            <w:vMerge w:val="continue"/>
            <w:vAlign w:val="center"/>
          </w:tcPr>
          <w:p>
            <w:pPr>
              <w:spacing w:line="0" w:lineRule="atLeast"/>
              <w:ind w:firstLine="420"/>
              <w:jc w:val="center"/>
              <w:rPr>
                <w:rFonts w:eastAsia="仿宋_GB2312"/>
                <w:sz w:val="21"/>
                <w:szCs w:val="21"/>
              </w:rPr>
            </w:pPr>
          </w:p>
        </w:tc>
        <w:tc>
          <w:tcPr>
            <w:tcW w:w="880" w:type="pct"/>
            <w:vAlign w:val="center"/>
          </w:tcPr>
          <w:p>
            <w:pPr>
              <w:widowControl/>
              <w:spacing w:line="240" w:lineRule="auto"/>
              <w:ind w:firstLine="0" w:firstLineChars="0"/>
              <w:jc w:val="center"/>
              <w:rPr>
                <w:rFonts w:eastAsia="仿宋_GB2312"/>
                <w:sz w:val="21"/>
                <w:szCs w:val="21"/>
              </w:rPr>
            </w:pPr>
            <w:r>
              <w:rPr>
                <w:rFonts w:hint="eastAsia" w:eastAsia="仿宋_GB2312"/>
                <w:sz w:val="21"/>
                <w:szCs w:val="21"/>
              </w:rPr>
              <w:t>9</w:t>
            </w:r>
          </w:p>
        </w:tc>
        <w:tc>
          <w:tcPr>
            <w:tcW w:w="880" w:type="pct"/>
            <w:vAlign w:val="center"/>
          </w:tcPr>
          <w:p>
            <w:pPr>
              <w:widowControl/>
              <w:spacing w:line="240" w:lineRule="auto"/>
              <w:ind w:firstLine="0" w:firstLineChars="0"/>
              <w:jc w:val="center"/>
              <w:rPr>
                <w:rFonts w:eastAsia="仿宋_GB2312"/>
                <w:sz w:val="21"/>
                <w:szCs w:val="21"/>
              </w:rPr>
            </w:pPr>
            <w:r>
              <w:rPr>
                <w:rFonts w:hint="eastAsia" w:eastAsia="仿宋_GB2312"/>
                <w:sz w:val="21"/>
                <w:szCs w:val="21"/>
              </w:rPr>
              <w:t>10</w:t>
            </w:r>
          </w:p>
        </w:tc>
        <w:tc>
          <w:tcPr>
            <w:tcW w:w="880" w:type="pct"/>
            <w:vAlign w:val="center"/>
          </w:tcPr>
          <w:p>
            <w:pPr>
              <w:widowControl/>
              <w:spacing w:line="240" w:lineRule="auto"/>
              <w:ind w:firstLine="0" w:firstLineChars="0"/>
              <w:jc w:val="center"/>
              <w:rPr>
                <w:rFonts w:eastAsia="仿宋_GB2312"/>
                <w:sz w:val="21"/>
                <w:szCs w:val="21"/>
              </w:rPr>
            </w:pPr>
            <w:r>
              <w:rPr>
                <w:rFonts w:hint="eastAsia" w:eastAsia="仿宋_GB2312"/>
                <w:sz w:val="21"/>
                <w:szCs w:val="21"/>
              </w:rPr>
              <w:t>11</w:t>
            </w:r>
          </w:p>
        </w:tc>
        <w:tc>
          <w:tcPr>
            <w:tcW w:w="880" w:type="pct"/>
            <w:vAlign w:val="center"/>
          </w:tcPr>
          <w:p>
            <w:pPr>
              <w:widowControl/>
              <w:spacing w:line="240" w:lineRule="auto"/>
              <w:ind w:firstLine="0" w:firstLineChars="0"/>
              <w:jc w:val="center"/>
              <w:rPr>
                <w:rFonts w:eastAsia="仿宋_GB2312"/>
                <w:sz w:val="21"/>
                <w:szCs w:val="21"/>
              </w:rPr>
            </w:pPr>
            <w:r>
              <w:rPr>
                <w:rFonts w:hint="eastAsia" w:eastAsia="仿宋_GB2312"/>
                <w:sz w:val="21"/>
                <w:szCs w:val="21"/>
              </w:rPr>
              <w:t>12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47" w:type="pct"/>
            <w:vMerge w:val="restart"/>
            <w:vAlign w:val="center"/>
          </w:tcPr>
          <w:p>
            <w:pPr>
              <w:spacing w:line="0" w:lineRule="atLeast"/>
              <w:ind w:firstLine="0" w:firstLineChars="0"/>
              <w:jc w:val="center"/>
              <w:rPr>
                <w:rFonts w:eastAsia="仿宋_GB2312"/>
                <w:sz w:val="21"/>
                <w:szCs w:val="21"/>
              </w:rPr>
            </w:pPr>
            <w:r>
              <w:rPr>
                <w:rFonts w:hint="eastAsia" w:eastAsia="仿宋_GB2312"/>
                <w:sz w:val="21"/>
                <w:szCs w:val="21"/>
              </w:rPr>
              <w:t>管道工程区</w:t>
            </w:r>
          </w:p>
        </w:tc>
        <w:tc>
          <w:tcPr>
            <w:tcW w:w="1033" w:type="pct"/>
            <w:vAlign w:val="center"/>
          </w:tcPr>
          <w:p>
            <w:pPr>
              <w:widowControl/>
              <w:spacing w:line="0" w:lineRule="atLeast"/>
              <w:ind w:firstLine="0" w:firstLineChars="0"/>
              <w:jc w:val="center"/>
              <w:rPr>
                <w:rFonts w:eastAsia="仿宋_GB2312"/>
                <w:sz w:val="21"/>
                <w:szCs w:val="21"/>
              </w:rPr>
            </w:pPr>
            <w:r>
              <w:rPr>
                <w:rFonts w:hint="eastAsia" w:eastAsia="仿宋_GB2312"/>
                <w:sz w:val="21"/>
                <w:szCs w:val="21"/>
              </w:rPr>
              <w:t>施工准备期</w:t>
            </w:r>
          </w:p>
        </w:tc>
        <w:tc>
          <w:tcPr>
            <w:tcW w:w="880" w:type="pct"/>
            <w:vAlign w:val="center"/>
          </w:tcPr>
          <w:p>
            <w:pPr>
              <w:spacing w:line="0" w:lineRule="atLeast"/>
              <w:ind w:firstLine="420"/>
              <w:jc w:val="center"/>
              <w:rPr>
                <w:rFonts w:eastAsia="仿宋_GB2312"/>
                <w:sz w:val="21"/>
                <w:szCs w:val="21"/>
                <w:highlight w:val="yellow"/>
              </w:rPr>
            </w:pPr>
            <w:r>
              <w:rPr>
                <w:rFonts w:eastAsia="仿宋_GB2312"/>
                <w:sz w:val="21"/>
                <w:szCs w:val="21"/>
                <w:highlight w:val="yellow"/>
              </w:rPr>
              <w:pict>
                <v:line id="_x0000_s1039" o:spid="_x0000_s1039" o:spt="20" style="position:absolute;left:0pt;margin-left:-0.35pt;margin-top:5.4pt;height:0pt;width:18.75pt;z-index:254239744;mso-width-relative:page;mso-height-relative:page;" coordsize="21600,21600" o:gfxdata="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eFD+Q1AAAAAYBAAAPAAAAAAAAAAEAIAAAACIA&#10;AABkcnMvZG93bnJldi54bWxQSwECFAAUAAAACACHTuJA4/ZEG9QBAAB4AwAADgAAAAAAAAABACAA&#10;AAAjAQAAZHJzL2Uyb0RvYy54bWxQSwUGAAAAAAYABgBZAQAAaQUAAAAA&#10;">
                  <v:path arrowok="t"/>
                  <v:fill focussize="0,0"/>
                  <v:stroke weight="3pt" dashstyle="dash"/>
                  <v:imagedata o:title=""/>
                  <o:lock v:ext="edit"/>
                </v:line>
              </w:pict>
            </w:r>
          </w:p>
        </w:tc>
        <w:tc>
          <w:tcPr>
            <w:tcW w:w="880" w:type="pct"/>
            <w:vAlign w:val="center"/>
          </w:tcPr>
          <w:p>
            <w:pPr>
              <w:spacing w:line="0" w:lineRule="atLeast"/>
              <w:ind w:firstLine="420"/>
              <w:jc w:val="center"/>
              <w:rPr>
                <w:rFonts w:eastAsia="仿宋_GB2312"/>
                <w:sz w:val="21"/>
                <w:szCs w:val="21"/>
                <w:highlight w:val="yellow"/>
              </w:rPr>
            </w:pPr>
          </w:p>
        </w:tc>
        <w:tc>
          <w:tcPr>
            <w:tcW w:w="880" w:type="pct"/>
            <w:vAlign w:val="center"/>
          </w:tcPr>
          <w:p>
            <w:pPr>
              <w:spacing w:line="0" w:lineRule="atLeast"/>
              <w:ind w:firstLine="420"/>
              <w:jc w:val="center"/>
              <w:rPr>
                <w:rFonts w:eastAsia="仿宋_GB2312"/>
                <w:sz w:val="21"/>
                <w:szCs w:val="21"/>
                <w:highlight w:val="yellow"/>
              </w:rPr>
            </w:pPr>
          </w:p>
        </w:tc>
        <w:tc>
          <w:tcPr>
            <w:tcW w:w="880" w:type="pct"/>
            <w:vAlign w:val="center"/>
          </w:tcPr>
          <w:p>
            <w:pPr>
              <w:spacing w:line="0" w:lineRule="atLeast"/>
              <w:ind w:firstLine="420"/>
              <w:jc w:val="center"/>
              <w:rPr>
                <w:rFonts w:eastAsia="仿宋_GB2312"/>
                <w:sz w:val="21"/>
                <w:szCs w:val="21"/>
                <w:highlight w:val="yellow"/>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47" w:type="pct"/>
            <w:vMerge w:val="continue"/>
            <w:vAlign w:val="center"/>
          </w:tcPr>
          <w:p>
            <w:pPr>
              <w:widowControl/>
              <w:spacing w:line="0" w:lineRule="atLeast"/>
              <w:ind w:firstLine="0" w:firstLineChars="0"/>
              <w:jc w:val="center"/>
              <w:rPr>
                <w:rFonts w:eastAsia="仿宋_GB2312"/>
                <w:sz w:val="21"/>
                <w:szCs w:val="21"/>
              </w:rPr>
            </w:pPr>
          </w:p>
        </w:tc>
        <w:tc>
          <w:tcPr>
            <w:tcW w:w="1033" w:type="pct"/>
            <w:vAlign w:val="center"/>
          </w:tcPr>
          <w:p>
            <w:pPr>
              <w:widowControl/>
              <w:spacing w:line="0" w:lineRule="atLeast"/>
              <w:ind w:firstLine="0" w:firstLineChars="0"/>
              <w:jc w:val="center"/>
              <w:rPr>
                <w:rFonts w:eastAsia="仿宋_GB2312"/>
                <w:sz w:val="21"/>
                <w:szCs w:val="21"/>
              </w:rPr>
            </w:pPr>
            <w:r>
              <w:rPr>
                <w:rFonts w:eastAsia="仿宋_GB2312"/>
                <w:sz w:val="21"/>
                <w:szCs w:val="21"/>
              </w:rPr>
              <w:t>主体工程</w:t>
            </w:r>
            <w:r>
              <w:rPr>
                <w:rFonts w:hint="eastAsia" w:eastAsia="仿宋_GB2312"/>
                <w:sz w:val="21"/>
                <w:szCs w:val="21"/>
              </w:rPr>
              <w:t>建设期</w:t>
            </w:r>
          </w:p>
        </w:tc>
        <w:tc>
          <w:tcPr>
            <w:tcW w:w="880" w:type="pct"/>
            <w:vAlign w:val="center"/>
          </w:tcPr>
          <w:p>
            <w:pPr>
              <w:spacing w:line="0" w:lineRule="atLeast"/>
              <w:ind w:firstLine="420"/>
              <w:jc w:val="center"/>
              <w:rPr>
                <w:rFonts w:eastAsia="仿宋_GB2312"/>
                <w:sz w:val="21"/>
                <w:szCs w:val="21"/>
                <w:highlight w:val="yellow"/>
              </w:rPr>
            </w:pPr>
            <w:r>
              <w:rPr>
                <w:rFonts w:eastAsia="仿宋_GB2312"/>
                <w:sz w:val="21"/>
                <w:szCs w:val="21"/>
                <w:highlight w:val="yellow"/>
              </w:rPr>
              <w:pict>
                <v:line id="_x0000_s1038" o:spid="_x0000_s1038" o:spt="20" style="position:absolute;left:0pt;margin-left:18.05pt;margin-top:3.95pt;height:0pt;width:220.5pt;z-index:254241792;mso-width-relative:page;mso-height-relative:page;" coordsize="21600,21600" o:gfxdata="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dZ1O/NQAAAAGAQAADwAAAAAAAAABACAAAAAi&#10;AAAAZHJzL2Rvd25yZXYueG1sUEsBAhQAFAAAAAgAh07iQEs+YiTVAQAAeQMAAA4AAAAAAAAAAQAg&#10;AAAAIwEAAGRycy9lMm9Eb2MueG1sUEsFBgAAAAAGAAYAWQEAAGoFAAAAAA==&#10;">
                  <v:path arrowok="t"/>
                  <v:fill focussize="0,0"/>
                  <v:stroke weight="3pt" dashstyle="dash"/>
                  <v:imagedata o:title=""/>
                  <o:lock v:ext="edit"/>
                </v:line>
              </w:pict>
            </w:r>
          </w:p>
        </w:tc>
        <w:tc>
          <w:tcPr>
            <w:tcW w:w="880" w:type="pct"/>
            <w:vAlign w:val="center"/>
          </w:tcPr>
          <w:p>
            <w:pPr>
              <w:spacing w:line="0" w:lineRule="atLeast"/>
              <w:ind w:firstLine="420"/>
              <w:jc w:val="center"/>
              <w:rPr>
                <w:rFonts w:eastAsia="仿宋_GB2312"/>
                <w:sz w:val="21"/>
                <w:szCs w:val="21"/>
                <w:highlight w:val="yellow"/>
              </w:rPr>
            </w:pPr>
          </w:p>
        </w:tc>
        <w:tc>
          <w:tcPr>
            <w:tcW w:w="880" w:type="pct"/>
            <w:vAlign w:val="center"/>
          </w:tcPr>
          <w:p>
            <w:pPr>
              <w:spacing w:line="0" w:lineRule="atLeast"/>
              <w:ind w:firstLine="420"/>
              <w:jc w:val="center"/>
              <w:rPr>
                <w:rFonts w:eastAsia="仿宋_GB2312"/>
                <w:sz w:val="21"/>
                <w:szCs w:val="21"/>
                <w:highlight w:val="yellow"/>
              </w:rPr>
            </w:pPr>
          </w:p>
        </w:tc>
        <w:tc>
          <w:tcPr>
            <w:tcW w:w="880" w:type="pct"/>
            <w:vAlign w:val="center"/>
          </w:tcPr>
          <w:p>
            <w:pPr>
              <w:spacing w:line="0" w:lineRule="atLeast"/>
              <w:ind w:firstLine="420"/>
              <w:jc w:val="center"/>
              <w:rPr>
                <w:rFonts w:eastAsia="仿宋_GB2312"/>
                <w:sz w:val="21"/>
                <w:szCs w:val="21"/>
                <w:highlight w:val="yellow"/>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47" w:type="pct"/>
            <w:vMerge w:val="continue"/>
            <w:vAlign w:val="center"/>
          </w:tcPr>
          <w:p>
            <w:pPr>
              <w:widowControl/>
              <w:spacing w:line="0" w:lineRule="atLeast"/>
              <w:ind w:firstLine="0" w:firstLineChars="0"/>
              <w:jc w:val="center"/>
              <w:rPr>
                <w:rFonts w:eastAsia="仿宋_GB2312"/>
                <w:sz w:val="21"/>
                <w:szCs w:val="21"/>
              </w:rPr>
            </w:pPr>
          </w:p>
        </w:tc>
        <w:tc>
          <w:tcPr>
            <w:tcW w:w="1033" w:type="pct"/>
            <w:vAlign w:val="center"/>
          </w:tcPr>
          <w:p>
            <w:pPr>
              <w:widowControl/>
              <w:spacing w:line="0" w:lineRule="atLeast"/>
              <w:ind w:firstLine="0" w:firstLineChars="0"/>
              <w:jc w:val="center"/>
              <w:rPr>
                <w:rFonts w:eastAsia="仿宋_GB2312"/>
                <w:sz w:val="21"/>
                <w:szCs w:val="21"/>
              </w:rPr>
            </w:pPr>
            <w:r>
              <w:rPr>
                <w:rFonts w:eastAsia="仿宋_GB2312"/>
                <w:sz w:val="21"/>
                <w:szCs w:val="21"/>
              </w:rPr>
              <w:t>工程措施</w:t>
            </w:r>
          </w:p>
        </w:tc>
        <w:tc>
          <w:tcPr>
            <w:tcW w:w="880" w:type="pct"/>
            <w:vAlign w:val="center"/>
          </w:tcPr>
          <w:p>
            <w:pPr>
              <w:spacing w:line="0" w:lineRule="atLeast"/>
              <w:ind w:firstLine="420"/>
              <w:jc w:val="center"/>
              <w:rPr>
                <w:rFonts w:eastAsia="仿宋_GB2312"/>
                <w:sz w:val="21"/>
                <w:szCs w:val="21"/>
                <w:highlight w:val="yellow"/>
              </w:rPr>
            </w:pPr>
          </w:p>
        </w:tc>
        <w:tc>
          <w:tcPr>
            <w:tcW w:w="880" w:type="pct"/>
            <w:vAlign w:val="center"/>
          </w:tcPr>
          <w:p>
            <w:pPr>
              <w:spacing w:line="0" w:lineRule="atLeast"/>
              <w:ind w:firstLine="420"/>
              <w:jc w:val="center"/>
              <w:rPr>
                <w:rFonts w:eastAsia="仿宋_GB2312"/>
                <w:sz w:val="21"/>
                <w:szCs w:val="21"/>
                <w:highlight w:val="yellow"/>
              </w:rPr>
            </w:pPr>
            <w:r>
              <w:rPr>
                <w:rFonts w:eastAsia="仿宋_GB2312"/>
                <w:sz w:val="21"/>
                <w:szCs w:val="21"/>
                <w:highlight w:val="yellow"/>
              </w:rPr>
              <w:pict>
                <v:line id="_x0000_s1037" o:spid="_x0000_s1037" o:spt="20" style="position:absolute;left:0pt;margin-left:4.75pt;margin-top:5.85pt;height:0pt;width:144.75pt;z-index:254243840;mso-width-relative:page;mso-height-relative:page;" coordsize="21600,21600" o:gfxdata="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A1P3qq0QAAAAcBAAAPAAAAAAAAAAEAIAAAACIAAABkcnMvZG93bnJl&#10;di54bWxQSwECFAAUAAAACACHTuJAaaDiSMsBAABhAwAADgAAAAAAAAABACAAAAAgAQAAZHJzL2Uy&#10;b0RvYy54bWxQSwUGAAAAAAYABgBZAQAAXQUAAAAA&#10;">
                  <v:path arrowok="t"/>
                  <v:fill focussize="0,0"/>
                  <v:stroke weight="3pt"/>
                  <v:imagedata o:title=""/>
                  <o:lock v:ext="edit"/>
                </v:line>
              </w:pict>
            </w:r>
          </w:p>
        </w:tc>
        <w:tc>
          <w:tcPr>
            <w:tcW w:w="880" w:type="pct"/>
            <w:vAlign w:val="center"/>
          </w:tcPr>
          <w:p>
            <w:pPr>
              <w:spacing w:line="0" w:lineRule="atLeast"/>
              <w:ind w:firstLine="420"/>
              <w:jc w:val="center"/>
              <w:rPr>
                <w:rFonts w:eastAsia="仿宋_GB2312"/>
                <w:sz w:val="21"/>
                <w:szCs w:val="21"/>
                <w:highlight w:val="yellow"/>
              </w:rPr>
            </w:pPr>
          </w:p>
        </w:tc>
        <w:tc>
          <w:tcPr>
            <w:tcW w:w="880" w:type="pct"/>
            <w:vAlign w:val="center"/>
          </w:tcPr>
          <w:p>
            <w:pPr>
              <w:spacing w:line="0" w:lineRule="atLeast"/>
              <w:ind w:firstLine="420"/>
              <w:jc w:val="center"/>
              <w:rPr>
                <w:rFonts w:eastAsia="仿宋_GB2312"/>
                <w:sz w:val="21"/>
                <w:szCs w:val="21"/>
                <w:highlight w:val="yellow"/>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47" w:type="pct"/>
            <w:vMerge w:val="continue"/>
            <w:vAlign w:val="center"/>
          </w:tcPr>
          <w:p>
            <w:pPr>
              <w:widowControl/>
              <w:spacing w:line="0" w:lineRule="atLeast"/>
              <w:ind w:firstLine="0" w:firstLineChars="0"/>
              <w:jc w:val="center"/>
              <w:rPr>
                <w:rFonts w:eastAsia="仿宋_GB2312"/>
                <w:sz w:val="21"/>
                <w:szCs w:val="21"/>
              </w:rPr>
            </w:pPr>
          </w:p>
        </w:tc>
        <w:tc>
          <w:tcPr>
            <w:tcW w:w="1033" w:type="pct"/>
            <w:vAlign w:val="center"/>
          </w:tcPr>
          <w:p>
            <w:pPr>
              <w:spacing w:line="0" w:lineRule="atLeast"/>
              <w:ind w:firstLine="0" w:firstLineChars="0"/>
              <w:jc w:val="center"/>
              <w:rPr>
                <w:rFonts w:eastAsia="仿宋_GB2312"/>
                <w:sz w:val="21"/>
                <w:szCs w:val="21"/>
              </w:rPr>
            </w:pPr>
            <w:r>
              <w:rPr>
                <w:rFonts w:eastAsia="仿宋_GB2312"/>
                <w:sz w:val="21"/>
                <w:szCs w:val="21"/>
              </w:rPr>
              <w:t>临时措施</w:t>
            </w:r>
          </w:p>
        </w:tc>
        <w:tc>
          <w:tcPr>
            <w:tcW w:w="880" w:type="pct"/>
            <w:vAlign w:val="center"/>
          </w:tcPr>
          <w:p>
            <w:pPr>
              <w:spacing w:line="0" w:lineRule="atLeast"/>
              <w:ind w:firstLine="420"/>
              <w:jc w:val="center"/>
              <w:rPr>
                <w:rFonts w:eastAsia="仿宋_GB2312"/>
                <w:sz w:val="21"/>
                <w:szCs w:val="21"/>
                <w:highlight w:val="yellow"/>
              </w:rPr>
            </w:pPr>
            <w:r>
              <w:rPr>
                <w:rFonts w:eastAsia="仿宋_GB2312"/>
                <w:sz w:val="21"/>
                <w:szCs w:val="21"/>
                <w:highlight w:val="yellow"/>
              </w:rPr>
              <w:pict>
                <v:line id="_x0000_s1036" o:spid="_x0000_s1036" o:spt="20" style="position:absolute;left:0pt;margin-left:18.05pt;margin-top:3.95pt;height:0pt;width:222pt;z-index:254245888;mso-width-relative:page;mso-height-relative:page;" coordsize="21600,21600" o:gfxdata="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ByIL4j0AAAAAYBAAAPAAAAAAAAAAEAIAAAACIAAABkcnMvZG93bnJldi54&#10;bWxQSwECFAAUAAAACACHTuJAymH4o8kBAABhAwAADgAAAAAAAAABACAAAAAfAQAAZHJzL2Uyb0Rv&#10;Yy54bWxQSwUGAAAAAAYABgBZAQAAWgUAAAAA&#10;">
                  <v:path arrowok="t"/>
                  <v:fill focussize="0,0"/>
                  <v:stroke weight="3pt"/>
                  <v:imagedata o:title=""/>
                  <o:lock v:ext="edit"/>
                </v:line>
              </w:pict>
            </w:r>
          </w:p>
        </w:tc>
        <w:tc>
          <w:tcPr>
            <w:tcW w:w="880" w:type="pct"/>
            <w:vAlign w:val="center"/>
          </w:tcPr>
          <w:p>
            <w:pPr>
              <w:spacing w:line="0" w:lineRule="atLeast"/>
              <w:ind w:firstLine="420"/>
              <w:jc w:val="center"/>
              <w:rPr>
                <w:rFonts w:eastAsia="仿宋_GB2312"/>
                <w:sz w:val="21"/>
                <w:szCs w:val="21"/>
                <w:highlight w:val="yellow"/>
              </w:rPr>
            </w:pPr>
          </w:p>
        </w:tc>
        <w:tc>
          <w:tcPr>
            <w:tcW w:w="880" w:type="pct"/>
            <w:vAlign w:val="center"/>
          </w:tcPr>
          <w:p>
            <w:pPr>
              <w:spacing w:line="0" w:lineRule="atLeast"/>
              <w:ind w:firstLine="420"/>
              <w:jc w:val="center"/>
              <w:rPr>
                <w:rFonts w:eastAsia="仿宋_GB2312"/>
                <w:sz w:val="21"/>
                <w:szCs w:val="21"/>
                <w:highlight w:val="yellow"/>
              </w:rPr>
            </w:pPr>
          </w:p>
        </w:tc>
        <w:tc>
          <w:tcPr>
            <w:tcW w:w="880" w:type="pct"/>
            <w:vAlign w:val="center"/>
          </w:tcPr>
          <w:p>
            <w:pPr>
              <w:spacing w:line="0" w:lineRule="atLeast"/>
              <w:ind w:firstLine="420"/>
              <w:jc w:val="center"/>
              <w:rPr>
                <w:rFonts w:eastAsia="仿宋_GB2312"/>
                <w:sz w:val="21"/>
                <w:szCs w:val="21"/>
                <w:highlight w:val="yellow"/>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47" w:type="pct"/>
            <w:vMerge w:val="continue"/>
            <w:vAlign w:val="center"/>
          </w:tcPr>
          <w:p>
            <w:pPr>
              <w:widowControl/>
              <w:spacing w:line="0" w:lineRule="atLeast"/>
              <w:ind w:firstLine="0" w:firstLineChars="0"/>
              <w:jc w:val="center"/>
              <w:rPr>
                <w:rFonts w:eastAsia="仿宋_GB2312"/>
                <w:sz w:val="21"/>
                <w:szCs w:val="21"/>
              </w:rPr>
            </w:pPr>
          </w:p>
        </w:tc>
        <w:tc>
          <w:tcPr>
            <w:tcW w:w="1033" w:type="pct"/>
            <w:vAlign w:val="center"/>
          </w:tcPr>
          <w:p>
            <w:pPr>
              <w:spacing w:line="0" w:lineRule="atLeast"/>
              <w:ind w:firstLine="0" w:firstLineChars="0"/>
              <w:jc w:val="center"/>
              <w:rPr>
                <w:rFonts w:eastAsia="仿宋_GB2312"/>
                <w:sz w:val="21"/>
                <w:szCs w:val="21"/>
              </w:rPr>
            </w:pPr>
            <w:r>
              <w:rPr>
                <w:rFonts w:hint="eastAsia" w:eastAsia="仿宋_GB2312"/>
                <w:sz w:val="21"/>
                <w:szCs w:val="21"/>
              </w:rPr>
              <w:t>验收</w:t>
            </w:r>
          </w:p>
        </w:tc>
        <w:tc>
          <w:tcPr>
            <w:tcW w:w="880" w:type="pct"/>
            <w:vAlign w:val="center"/>
          </w:tcPr>
          <w:p>
            <w:pPr>
              <w:spacing w:line="0" w:lineRule="atLeast"/>
              <w:ind w:firstLine="420"/>
              <w:jc w:val="center"/>
              <w:rPr>
                <w:rFonts w:eastAsia="仿宋_GB2312"/>
                <w:sz w:val="21"/>
                <w:szCs w:val="21"/>
                <w:highlight w:val="yellow"/>
              </w:rPr>
            </w:pPr>
          </w:p>
        </w:tc>
        <w:tc>
          <w:tcPr>
            <w:tcW w:w="880" w:type="pct"/>
            <w:vAlign w:val="center"/>
          </w:tcPr>
          <w:p>
            <w:pPr>
              <w:spacing w:line="0" w:lineRule="atLeast"/>
              <w:ind w:firstLine="420"/>
              <w:jc w:val="center"/>
              <w:rPr>
                <w:rFonts w:eastAsia="仿宋_GB2312"/>
                <w:sz w:val="21"/>
                <w:szCs w:val="21"/>
                <w:highlight w:val="yellow"/>
              </w:rPr>
            </w:pPr>
          </w:p>
        </w:tc>
        <w:tc>
          <w:tcPr>
            <w:tcW w:w="880" w:type="pct"/>
            <w:vAlign w:val="center"/>
          </w:tcPr>
          <w:p>
            <w:pPr>
              <w:spacing w:line="0" w:lineRule="atLeast"/>
              <w:ind w:firstLine="420"/>
              <w:jc w:val="center"/>
              <w:rPr>
                <w:rFonts w:eastAsia="仿宋_GB2312"/>
                <w:sz w:val="21"/>
                <w:szCs w:val="21"/>
                <w:highlight w:val="yellow"/>
              </w:rPr>
            </w:pPr>
          </w:p>
        </w:tc>
        <w:tc>
          <w:tcPr>
            <w:tcW w:w="880" w:type="pct"/>
            <w:vAlign w:val="center"/>
          </w:tcPr>
          <w:p>
            <w:pPr>
              <w:spacing w:line="0" w:lineRule="atLeast"/>
              <w:ind w:firstLine="420"/>
              <w:jc w:val="center"/>
              <w:rPr>
                <w:rFonts w:eastAsia="仿宋_GB2312"/>
                <w:sz w:val="21"/>
                <w:szCs w:val="21"/>
                <w:highlight w:val="yellow"/>
              </w:rPr>
            </w:pPr>
            <w:r>
              <w:rPr>
                <w:rFonts w:eastAsia="仿宋_GB2312"/>
                <w:sz w:val="21"/>
                <w:szCs w:val="21"/>
                <w:highlight w:val="yellow"/>
              </w:rPr>
              <w:pict>
                <v:line id="_x0000_s1035" o:spid="_x0000_s1035" o:spt="20" style="position:absolute;left:0pt;margin-left:41.4pt;margin-top:6.5pt;height:0pt;width:27pt;z-index:254247936;mso-width-relative:page;mso-height-relative:page;" coordsize="21600,21600" o:gfxdata="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dc0OzNUAAAAIAQAADwAAAAAAAAABACAAAAAiAAAA&#10;ZHJzL2Rvd25yZXYueG1sUEsBAhQAFAAAAAgAh07iQLnP3yLRAQAAdgMAAA4AAAAAAAAAAQAgAAAA&#10;JAEAAGRycy9lMm9Eb2MueG1sUEsFBgAAAAAGAAYAWQEAAGcFAAAAAA==&#10;">
                  <v:path arrowok="t"/>
                  <v:fill focussize="0,0"/>
                  <v:stroke weight="3pt" dashstyle="dash"/>
                  <v:imagedata o:title=""/>
                  <o:lock v:ext="edit"/>
                </v:line>
              </w:pic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47" w:type="pct"/>
            <w:vMerge w:val="restart"/>
            <w:vAlign w:val="center"/>
          </w:tcPr>
          <w:p>
            <w:pPr>
              <w:widowControl/>
              <w:spacing w:line="0" w:lineRule="atLeast"/>
              <w:ind w:firstLine="0" w:firstLineChars="0"/>
              <w:jc w:val="center"/>
              <w:rPr>
                <w:rFonts w:eastAsia="仿宋_GB2312"/>
                <w:sz w:val="21"/>
                <w:szCs w:val="21"/>
              </w:rPr>
            </w:pPr>
            <w:r>
              <w:rPr>
                <w:rFonts w:hint="eastAsia" w:eastAsia="仿宋_GB2312"/>
                <w:sz w:val="21"/>
                <w:szCs w:val="21"/>
              </w:rPr>
              <w:t>附属构筑物区</w:t>
            </w:r>
          </w:p>
        </w:tc>
        <w:tc>
          <w:tcPr>
            <w:tcW w:w="1033" w:type="pct"/>
            <w:vAlign w:val="center"/>
          </w:tcPr>
          <w:p>
            <w:pPr>
              <w:widowControl/>
              <w:spacing w:line="0" w:lineRule="atLeast"/>
              <w:ind w:firstLine="0" w:firstLineChars="0"/>
              <w:jc w:val="center"/>
              <w:rPr>
                <w:rFonts w:eastAsia="仿宋_GB2312"/>
                <w:sz w:val="21"/>
                <w:szCs w:val="21"/>
              </w:rPr>
            </w:pPr>
            <w:r>
              <w:rPr>
                <w:rFonts w:hint="eastAsia" w:eastAsia="仿宋_GB2312"/>
                <w:sz w:val="21"/>
                <w:szCs w:val="21"/>
              </w:rPr>
              <w:t>施工准备期</w:t>
            </w:r>
          </w:p>
        </w:tc>
        <w:tc>
          <w:tcPr>
            <w:tcW w:w="880" w:type="pct"/>
            <w:vAlign w:val="center"/>
          </w:tcPr>
          <w:p>
            <w:pPr>
              <w:spacing w:line="0" w:lineRule="atLeast"/>
              <w:ind w:firstLine="420"/>
              <w:jc w:val="center"/>
              <w:rPr>
                <w:rFonts w:eastAsia="仿宋_GB2312"/>
                <w:sz w:val="21"/>
                <w:szCs w:val="21"/>
                <w:highlight w:val="yellow"/>
              </w:rPr>
            </w:pPr>
            <w:r>
              <w:rPr>
                <w:rFonts w:eastAsia="仿宋_GB2312"/>
                <w:sz w:val="21"/>
                <w:szCs w:val="21"/>
                <w:highlight w:val="yellow"/>
              </w:rPr>
              <w:pict>
                <v:line id="_x0000_s1034" o:spid="_x0000_s1034" o:spt="20" style="position:absolute;left:0pt;margin-left:0pt;margin-top:7.35pt;height:0pt;width:14.25pt;z-index:254249984;mso-width-relative:page;mso-height-relative:page;" coordsize="21600,21600" o:gfxdata="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6CM94NQAAAAFAQAADwAAAAAAAAABACAAAAAi&#10;AAAAZHJzL2Rvd25yZXYueG1sUEsBAhQAFAAAAAgAh07iQG3VfQ3VAQAAeAMAAA4AAAAAAAAAAQAg&#10;AAAAIwEAAGRycy9lMm9Eb2MueG1sUEsFBgAAAAAGAAYAWQEAAGoFAAAAAA==&#10;">
                  <v:path arrowok="t"/>
                  <v:fill focussize="0,0"/>
                  <v:stroke weight="3pt" dashstyle="dash"/>
                  <v:imagedata o:title=""/>
                  <o:lock v:ext="edit"/>
                </v:line>
              </w:pict>
            </w:r>
          </w:p>
        </w:tc>
        <w:tc>
          <w:tcPr>
            <w:tcW w:w="880" w:type="pct"/>
            <w:vAlign w:val="center"/>
          </w:tcPr>
          <w:p>
            <w:pPr>
              <w:spacing w:line="0" w:lineRule="atLeast"/>
              <w:ind w:firstLine="420"/>
              <w:jc w:val="center"/>
              <w:rPr>
                <w:rFonts w:eastAsia="仿宋_GB2312"/>
                <w:sz w:val="21"/>
                <w:szCs w:val="21"/>
                <w:highlight w:val="yellow"/>
              </w:rPr>
            </w:pPr>
          </w:p>
        </w:tc>
        <w:tc>
          <w:tcPr>
            <w:tcW w:w="880" w:type="pct"/>
            <w:vAlign w:val="center"/>
          </w:tcPr>
          <w:p>
            <w:pPr>
              <w:spacing w:line="0" w:lineRule="atLeast"/>
              <w:ind w:firstLine="420"/>
              <w:jc w:val="center"/>
              <w:rPr>
                <w:rFonts w:eastAsia="仿宋_GB2312"/>
                <w:sz w:val="21"/>
                <w:szCs w:val="21"/>
                <w:highlight w:val="yellow"/>
              </w:rPr>
            </w:pPr>
          </w:p>
        </w:tc>
        <w:tc>
          <w:tcPr>
            <w:tcW w:w="880" w:type="pct"/>
            <w:vAlign w:val="center"/>
          </w:tcPr>
          <w:p>
            <w:pPr>
              <w:spacing w:line="0" w:lineRule="atLeast"/>
              <w:ind w:firstLine="420"/>
              <w:jc w:val="center"/>
              <w:rPr>
                <w:rFonts w:eastAsia="仿宋_GB2312"/>
                <w:sz w:val="21"/>
                <w:szCs w:val="21"/>
                <w:highlight w:val="yellow"/>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47" w:type="pct"/>
            <w:vMerge w:val="continue"/>
            <w:vAlign w:val="center"/>
          </w:tcPr>
          <w:p>
            <w:pPr>
              <w:widowControl/>
              <w:spacing w:line="0" w:lineRule="atLeast"/>
              <w:ind w:firstLine="0" w:firstLineChars="0"/>
              <w:jc w:val="center"/>
              <w:rPr>
                <w:rFonts w:eastAsia="仿宋_GB2312"/>
                <w:sz w:val="21"/>
                <w:szCs w:val="21"/>
              </w:rPr>
            </w:pPr>
          </w:p>
        </w:tc>
        <w:tc>
          <w:tcPr>
            <w:tcW w:w="1033" w:type="pct"/>
            <w:vAlign w:val="center"/>
          </w:tcPr>
          <w:p>
            <w:pPr>
              <w:widowControl/>
              <w:spacing w:line="0" w:lineRule="atLeast"/>
              <w:ind w:firstLine="0" w:firstLineChars="0"/>
              <w:jc w:val="center"/>
              <w:rPr>
                <w:rFonts w:eastAsia="仿宋_GB2312"/>
                <w:sz w:val="21"/>
                <w:szCs w:val="21"/>
              </w:rPr>
            </w:pPr>
            <w:r>
              <w:rPr>
                <w:rFonts w:eastAsia="仿宋_GB2312"/>
                <w:sz w:val="21"/>
                <w:szCs w:val="21"/>
              </w:rPr>
              <w:t>主体工程</w:t>
            </w:r>
            <w:r>
              <w:rPr>
                <w:rFonts w:hint="eastAsia" w:eastAsia="仿宋_GB2312"/>
                <w:sz w:val="21"/>
                <w:szCs w:val="21"/>
              </w:rPr>
              <w:t>建设期</w:t>
            </w:r>
          </w:p>
        </w:tc>
        <w:tc>
          <w:tcPr>
            <w:tcW w:w="880" w:type="pct"/>
            <w:vAlign w:val="center"/>
          </w:tcPr>
          <w:p>
            <w:pPr>
              <w:spacing w:line="0" w:lineRule="atLeast"/>
              <w:ind w:firstLine="420"/>
              <w:jc w:val="center"/>
              <w:rPr>
                <w:rFonts w:eastAsia="仿宋_GB2312"/>
                <w:sz w:val="21"/>
                <w:szCs w:val="21"/>
                <w:highlight w:val="yellow"/>
              </w:rPr>
            </w:pPr>
            <w:r>
              <w:rPr>
                <w:rFonts w:eastAsia="仿宋_GB2312"/>
                <w:sz w:val="21"/>
                <w:szCs w:val="21"/>
                <w:highlight w:val="yellow"/>
              </w:rPr>
              <w:pict>
                <v:line id="_x0000_s1033" o:spid="_x0000_s1033" o:spt="20" style="position:absolute;left:0pt;margin-left:57.05pt;margin-top:5.45pt;height:0pt;width:128.25pt;z-index:254252032;mso-width-relative:page;mso-height-relative:page;" coordsize="21600,21600" o:gfxdata="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BSJCm+1wAAAAkBAAAPAAAAAAAAAAEA&#10;IAAAACIAAABkcnMvZG93bnJldi54bWxQSwECFAAUAAAACACHTuJAuuH8p9cBAAB5AwAADgAAAAAA&#10;AAABACAAAAAmAQAAZHJzL2Uyb0RvYy54bWxQSwUGAAAAAAYABgBZAQAAbwUAAAAA&#10;">
                  <v:path arrowok="t"/>
                  <v:fill focussize="0,0"/>
                  <v:stroke weight="3pt" dashstyle="dash"/>
                  <v:imagedata o:title=""/>
                  <o:lock v:ext="edit"/>
                </v:line>
              </w:pict>
            </w:r>
          </w:p>
        </w:tc>
        <w:tc>
          <w:tcPr>
            <w:tcW w:w="880" w:type="pct"/>
            <w:vAlign w:val="center"/>
          </w:tcPr>
          <w:p>
            <w:pPr>
              <w:spacing w:line="0" w:lineRule="atLeast"/>
              <w:ind w:firstLine="420"/>
              <w:jc w:val="center"/>
              <w:rPr>
                <w:rFonts w:eastAsia="仿宋_GB2312"/>
                <w:sz w:val="21"/>
                <w:szCs w:val="21"/>
                <w:highlight w:val="yellow"/>
              </w:rPr>
            </w:pPr>
          </w:p>
        </w:tc>
        <w:tc>
          <w:tcPr>
            <w:tcW w:w="880" w:type="pct"/>
            <w:vAlign w:val="center"/>
          </w:tcPr>
          <w:p>
            <w:pPr>
              <w:spacing w:line="0" w:lineRule="atLeast"/>
              <w:ind w:firstLine="420"/>
              <w:jc w:val="center"/>
              <w:rPr>
                <w:rFonts w:eastAsia="仿宋_GB2312"/>
                <w:sz w:val="21"/>
                <w:szCs w:val="21"/>
                <w:highlight w:val="yellow"/>
              </w:rPr>
            </w:pPr>
          </w:p>
        </w:tc>
        <w:tc>
          <w:tcPr>
            <w:tcW w:w="880" w:type="pct"/>
            <w:vAlign w:val="center"/>
          </w:tcPr>
          <w:p>
            <w:pPr>
              <w:spacing w:line="0" w:lineRule="atLeast"/>
              <w:ind w:firstLine="420"/>
              <w:jc w:val="center"/>
              <w:rPr>
                <w:rFonts w:eastAsia="仿宋_GB2312"/>
                <w:sz w:val="21"/>
                <w:szCs w:val="21"/>
                <w:highlight w:val="yellow"/>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47" w:type="pct"/>
            <w:vMerge w:val="continue"/>
            <w:vAlign w:val="center"/>
          </w:tcPr>
          <w:p>
            <w:pPr>
              <w:widowControl/>
              <w:spacing w:line="0" w:lineRule="atLeast"/>
              <w:ind w:firstLine="0" w:firstLineChars="0"/>
              <w:jc w:val="center"/>
              <w:rPr>
                <w:rFonts w:eastAsia="仿宋_GB2312"/>
                <w:sz w:val="21"/>
                <w:szCs w:val="21"/>
              </w:rPr>
            </w:pPr>
          </w:p>
        </w:tc>
        <w:tc>
          <w:tcPr>
            <w:tcW w:w="1033" w:type="pct"/>
            <w:vAlign w:val="center"/>
          </w:tcPr>
          <w:p>
            <w:pPr>
              <w:widowControl/>
              <w:spacing w:line="0" w:lineRule="atLeast"/>
              <w:ind w:firstLine="0" w:firstLineChars="0"/>
              <w:jc w:val="center"/>
              <w:rPr>
                <w:rFonts w:eastAsia="仿宋_GB2312"/>
                <w:sz w:val="21"/>
                <w:szCs w:val="21"/>
              </w:rPr>
            </w:pPr>
            <w:r>
              <w:rPr>
                <w:rFonts w:eastAsia="仿宋_GB2312"/>
                <w:sz w:val="21"/>
                <w:szCs w:val="21"/>
              </w:rPr>
              <w:t>工程措施</w:t>
            </w:r>
          </w:p>
        </w:tc>
        <w:tc>
          <w:tcPr>
            <w:tcW w:w="880" w:type="pct"/>
            <w:vAlign w:val="center"/>
          </w:tcPr>
          <w:p>
            <w:pPr>
              <w:spacing w:line="0" w:lineRule="atLeast"/>
              <w:ind w:firstLine="420"/>
              <w:jc w:val="center"/>
              <w:rPr>
                <w:rFonts w:eastAsia="仿宋_GB2312"/>
                <w:sz w:val="21"/>
                <w:szCs w:val="21"/>
                <w:highlight w:val="yellow"/>
              </w:rPr>
            </w:pPr>
          </w:p>
        </w:tc>
        <w:tc>
          <w:tcPr>
            <w:tcW w:w="880" w:type="pct"/>
            <w:vAlign w:val="center"/>
          </w:tcPr>
          <w:p>
            <w:pPr>
              <w:spacing w:line="0" w:lineRule="atLeast"/>
              <w:ind w:firstLine="420"/>
              <w:jc w:val="center"/>
              <w:rPr>
                <w:rFonts w:eastAsia="仿宋_GB2312"/>
                <w:sz w:val="21"/>
                <w:szCs w:val="21"/>
                <w:highlight w:val="yellow"/>
              </w:rPr>
            </w:pPr>
            <w:r>
              <w:rPr>
                <w:rFonts w:eastAsia="仿宋_GB2312"/>
                <w:sz w:val="21"/>
                <w:szCs w:val="21"/>
                <w:highlight w:val="yellow"/>
              </w:rPr>
              <w:pict>
                <v:line id="_x0000_s1032" o:spid="_x0000_s1032" o:spt="20" style="position:absolute;left:0pt;margin-left:36.2pt;margin-top:4.85pt;height:0pt;width:74.25pt;z-index:254254080;mso-width-relative:page;mso-height-relative:page;" coordsize="21600,21600" o:gfxdata="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Bgrpf80QAAAAYBAAAPAAAAAAAAAAEAIAAAACIAAABkcnMvZG93bnJl&#10;di54bWxQSwECFAAUAAAACACHTuJAYP9868sBAABeAwAADgAAAAAAAAABACAAAAAgAQAAZHJzL2Uy&#10;b0RvYy54bWxQSwUGAAAAAAYABgBZAQAAXQUAAAAA&#10;">
                  <v:path arrowok="t"/>
                  <v:fill focussize="0,0"/>
                  <v:stroke weight="3pt"/>
                  <v:imagedata o:title=""/>
                  <o:lock v:ext="edit"/>
                </v:line>
              </w:pict>
            </w:r>
          </w:p>
        </w:tc>
        <w:tc>
          <w:tcPr>
            <w:tcW w:w="880" w:type="pct"/>
            <w:vAlign w:val="center"/>
          </w:tcPr>
          <w:p>
            <w:pPr>
              <w:spacing w:line="0" w:lineRule="atLeast"/>
              <w:ind w:firstLine="420"/>
              <w:jc w:val="center"/>
              <w:rPr>
                <w:rFonts w:eastAsia="仿宋_GB2312"/>
                <w:sz w:val="21"/>
                <w:szCs w:val="21"/>
                <w:highlight w:val="yellow"/>
              </w:rPr>
            </w:pPr>
          </w:p>
        </w:tc>
        <w:tc>
          <w:tcPr>
            <w:tcW w:w="880" w:type="pct"/>
            <w:vAlign w:val="center"/>
          </w:tcPr>
          <w:p>
            <w:pPr>
              <w:spacing w:line="0" w:lineRule="atLeast"/>
              <w:ind w:firstLine="420"/>
              <w:jc w:val="center"/>
              <w:rPr>
                <w:rFonts w:eastAsia="仿宋_GB2312"/>
                <w:sz w:val="21"/>
                <w:szCs w:val="21"/>
                <w:highlight w:val="yellow"/>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47" w:type="pct"/>
            <w:vMerge w:val="continue"/>
            <w:vAlign w:val="center"/>
          </w:tcPr>
          <w:p>
            <w:pPr>
              <w:widowControl/>
              <w:spacing w:line="0" w:lineRule="atLeast"/>
              <w:ind w:firstLine="0" w:firstLineChars="0"/>
              <w:jc w:val="center"/>
              <w:rPr>
                <w:rFonts w:eastAsia="仿宋_GB2312"/>
                <w:sz w:val="21"/>
                <w:szCs w:val="21"/>
              </w:rPr>
            </w:pPr>
          </w:p>
        </w:tc>
        <w:tc>
          <w:tcPr>
            <w:tcW w:w="1033" w:type="pct"/>
            <w:vAlign w:val="center"/>
          </w:tcPr>
          <w:p>
            <w:pPr>
              <w:spacing w:line="0" w:lineRule="atLeast"/>
              <w:ind w:firstLine="0" w:firstLineChars="0"/>
              <w:jc w:val="center"/>
              <w:rPr>
                <w:rFonts w:eastAsia="仿宋_GB2312"/>
                <w:sz w:val="21"/>
                <w:szCs w:val="21"/>
              </w:rPr>
            </w:pPr>
            <w:r>
              <w:rPr>
                <w:rFonts w:eastAsia="仿宋_GB2312"/>
                <w:sz w:val="21"/>
                <w:szCs w:val="21"/>
              </w:rPr>
              <w:t>临时措施</w:t>
            </w:r>
          </w:p>
        </w:tc>
        <w:tc>
          <w:tcPr>
            <w:tcW w:w="880" w:type="pct"/>
            <w:vAlign w:val="center"/>
          </w:tcPr>
          <w:p>
            <w:pPr>
              <w:spacing w:line="0" w:lineRule="atLeast"/>
              <w:ind w:firstLine="420"/>
              <w:jc w:val="center"/>
              <w:rPr>
                <w:rFonts w:eastAsia="仿宋_GB2312"/>
                <w:sz w:val="21"/>
                <w:szCs w:val="21"/>
                <w:highlight w:val="yellow"/>
              </w:rPr>
            </w:pPr>
            <w:r>
              <w:rPr>
                <w:rFonts w:eastAsia="仿宋_GB2312"/>
                <w:sz w:val="21"/>
                <w:szCs w:val="21"/>
                <w:highlight w:val="yellow"/>
              </w:rPr>
              <w:pict>
                <v:line id="_x0000_s1031" o:spid="_x0000_s1031" o:spt="20" style="position:absolute;left:0pt;margin-left:55.65pt;margin-top:6.75pt;height:0pt;width:129.75pt;z-index:254256128;mso-width-relative:page;mso-height-relative:page;" coordsize="21600,21600" o:gfxdata="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Aklj2K0wAAAAkBAAAPAAAAAAAAAAEAIAAAACIAAABkcnMvZG93&#10;bnJldi54bWxQSwECFAAUAAAACACHTuJAznHlN8wBAABhAwAADgAAAAAAAAABACAAAAAiAQAAZHJz&#10;L2Uyb0RvYy54bWxQSwUGAAAAAAYABgBZAQAAYAUAAAAA&#10;">
                  <v:path arrowok="t"/>
                  <v:fill focussize="0,0"/>
                  <v:stroke weight="3pt"/>
                  <v:imagedata o:title=""/>
                  <o:lock v:ext="edit"/>
                </v:line>
              </w:pict>
            </w:r>
          </w:p>
        </w:tc>
        <w:tc>
          <w:tcPr>
            <w:tcW w:w="880" w:type="pct"/>
            <w:vAlign w:val="center"/>
          </w:tcPr>
          <w:p>
            <w:pPr>
              <w:spacing w:line="0" w:lineRule="atLeast"/>
              <w:ind w:firstLine="420"/>
              <w:jc w:val="center"/>
              <w:rPr>
                <w:rFonts w:eastAsia="仿宋_GB2312"/>
                <w:sz w:val="21"/>
                <w:szCs w:val="21"/>
                <w:highlight w:val="yellow"/>
              </w:rPr>
            </w:pPr>
          </w:p>
        </w:tc>
        <w:tc>
          <w:tcPr>
            <w:tcW w:w="880" w:type="pct"/>
            <w:vAlign w:val="center"/>
          </w:tcPr>
          <w:p>
            <w:pPr>
              <w:spacing w:line="0" w:lineRule="atLeast"/>
              <w:ind w:firstLine="420"/>
              <w:jc w:val="center"/>
              <w:rPr>
                <w:rFonts w:eastAsia="仿宋_GB2312"/>
                <w:sz w:val="21"/>
                <w:szCs w:val="21"/>
                <w:highlight w:val="yellow"/>
              </w:rPr>
            </w:pPr>
          </w:p>
        </w:tc>
        <w:tc>
          <w:tcPr>
            <w:tcW w:w="880" w:type="pct"/>
            <w:vAlign w:val="center"/>
          </w:tcPr>
          <w:p>
            <w:pPr>
              <w:spacing w:line="0" w:lineRule="atLeast"/>
              <w:ind w:firstLine="420"/>
              <w:jc w:val="center"/>
              <w:rPr>
                <w:rFonts w:eastAsia="仿宋_GB2312"/>
                <w:sz w:val="21"/>
                <w:szCs w:val="21"/>
                <w:highlight w:val="yellow"/>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47" w:type="pct"/>
            <w:vMerge w:val="continue"/>
            <w:vAlign w:val="center"/>
          </w:tcPr>
          <w:p>
            <w:pPr>
              <w:widowControl/>
              <w:spacing w:line="0" w:lineRule="atLeast"/>
              <w:ind w:firstLine="0" w:firstLineChars="0"/>
              <w:jc w:val="center"/>
              <w:rPr>
                <w:rFonts w:eastAsia="仿宋_GB2312"/>
                <w:sz w:val="21"/>
                <w:szCs w:val="21"/>
              </w:rPr>
            </w:pPr>
          </w:p>
        </w:tc>
        <w:tc>
          <w:tcPr>
            <w:tcW w:w="1033" w:type="pct"/>
            <w:vAlign w:val="center"/>
          </w:tcPr>
          <w:p>
            <w:pPr>
              <w:spacing w:line="0" w:lineRule="atLeast"/>
              <w:ind w:firstLine="0" w:firstLineChars="0"/>
              <w:jc w:val="center"/>
              <w:rPr>
                <w:rFonts w:eastAsia="仿宋_GB2312"/>
                <w:sz w:val="21"/>
                <w:szCs w:val="21"/>
              </w:rPr>
            </w:pPr>
            <w:r>
              <w:rPr>
                <w:rFonts w:hint="eastAsia" w:eastAsia="仿宋_GB2312"/>
                <w:sz w:val="21"/>
                <w:szCs w:val="21"/>
              </w:rPr>
              <w:t>验收</w:t>
            </w:r>
          </w:p>
        </w:tc>
        <w:tc>
          <w:tcPr>
            <w:tcW w:w="880" w:type="pct"/>
            <w:vAlign w:val="center"/>
          </w:tcPr>
          <w:p>
            <w:pPr>
              <w:spacing w:line="0" w:lineRule="atLeast"/>
              <w:ind w:firstLine="420"/>
              <w:jc w:val="center"/>
              <w:rPr>
                <w:rFonts w:eastAsia="仿宋_GB2312"/>
                <w:sz w:val="21"/>
                <w:szCs w:val="21"/>
                <w:highlight w:val="yellow"/>
              </w:rPr>
            </w:pPr>
          </w:p>
        </w:tc>
        <w:tc>
          <w:tcPr>
            <w:tcW w:w="880" w:type="pct"/>
            <w:vAlign w:val="center"/>
          </w:tcPr>
          <w:p>
            <w:pPr>
              <w:spacing w:line="0" w:lineRule="atLeast"/>
              <w:ind w:firstLine="420"/>
              <w:jc w:val="center"/>
              <w:rPr>
                <w:rFonts w:eastAsia="仿宋_GB2312"/>
                <w:sz w:val="21"/>
                <w:szCs w:val="21"/>
                <w:highlight w:val="yellow"/>
              </w:rPr>
            </w:pPr>
          </w:p>
        </w:tc>
        <w:tc>
          <w:tcPr>
            <w:tcW w:w="880" w:type="pct"/>
            <w:vAlign w:val="center"/>
          </w:tcPr>
          <w:p>
            <w:pPr>
              <w:spacing w:line="0" w:lineRule="atLeast"/>
              <w:ind w:firstLine="420"/>
              <w:jc w:val="center"/>
              <w:rPr>
                <w:rFonts w:eastAsia="仿宋_GB2312"/>
                <w:sz w:val="21"/>
                <w:szCs w:val="21"/>
                <w:highlight w:val="yellow"/>
              </w:rPr>
            </w:pPr>
          </w:p>
        </w:tc>
        <w:tc>
          <w:tcPr>
            <w:tcW w:w="880" w:type="pct"/>
            <w:vAlign w:val="center"/>
          </w:tcPr>
          <w:p>
            <w:pPr>
              <w:spacing w:line="0" w:lineRule="atLeast"/>
              <w:ind w:firstLine="420"/>
              <w:jc w:val="center"/>
              <w:rPr>
                <w:rFonts w:eastAsia="仿宋_GB2312"/>
                <w:sz w:val="21"/>
                <w:szCs w:val="21"/>
                <w:highlight w:val="yellow"/>
              </w:rPr>
            </w:pPr>
            <w:r>
              <w:rPr>
                <w:rFonts w:eastAsia="仿宋_GB2312"/>
                <w:sz w:val="21"/>
                <w:szCs w:val="21"/>
                <w:highlight w:val="yellow"/>
              </w:rPr>
              <w:pict>
                <v:line id="_x0000_s1030" o:spid="_x0000_s1030" o:spt="20" style="position:absolute;left:0pt;margin-left:41.35pt;margin-top:4.35pt;height:0pt;width:27pt;z-index:254258176;mso-width-relative:page;mso-height-relative:page;" coordsize="21600,21600" o:gfxdata="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A+fcMe0wAAAAYBAAAPAAAAAAAAAAEAIAAAACIAAABk&#10;cnMvZG93bnJldi54bWxQSwECFAAUAAAACACHTuJA+3usudIBAAB4AwAADgAAAAAAAAABACAAAAAi&#10;AQAAZHJzL2Uyb0RvYy54bWxQSwUGAAAAAAYABgBZAQAAZgUAAAAA&#10;">
                  <v:path arrowok="t"/>
                  <v:fill focussize="0,0"/>
                  <v:stroke weight="3pt" dashstyle="dash"/>
                  <v:imagedata o:title=""/>
                  <o:lock v:ext="edit"/>
                </v:line>
              </w:pict>
            </w:r>
          </w:p>
        </w:tc>
      </w:tr>
    </w:tbl>
    <w:p>
      <w:pPr>
        <w:ind w:firstLine="840" w:firstLineChars="400"/>
        <w:rPr>
          <w:rFonts w:eastAsia="仿宋_GB2312"/>
          <w:sz w:val="21"/>
          <w:szCs w:val="21"/>
        </w:rPr>
        <w:sectPr>
          <w:pgSz w:w="11906" w:h="16838"/>
          <w:pgMar w:top="1440" w:right="1803" w:bottom="1440" w:left="1803" w:header="851" w:footer="992" w:gutter="0"/>
          <w:cols w:space="720" w:num="1"/>
          <w:docGrid w:linePitch="326" w:charSpace="0"/>
        </w:sectPr>
      </w:pPr>
      <w:r>
        <w:rPr>
          <w:rFonts w:eastAsia="仿宋_GB2312"/>
          <w:sz w:val="21"/>
          <w:szCs w:val="21"/>
        </w:rPr>
        <w:pict>
          <v:line id="_x0000_s1029" o:spid="_x0000_s1029" o:spt="20" style="position:absolute;left:0pt;margin-left:263.15pt;margin-top:6.9pt;height:0pt;width:73.75pt;z-index:253092864;mso-width-relative:page;mso-height-relative:page;" coordsize="21600,21600" o:gfxdata="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D4BZI3TAAAACQEAAA8AAAAAAAAAAQAgAAAAIgAAAGRycy9kb3du&#10;cmV2LnhtbFBLAQIUABQAAAAIAIdO4kBJgGggywEAAGADAAAOAAAAAAAAAAEAIAAAACIBAABkcnMv&#10;ZTJvRG9jLnhtbFBLBQYAAAAABgAGAFkBAABfBQAAAAA=&#10;">
            <v:path arrowok="t"/>
            <v:fill focussize="0,0"/>
            <v:stroke weight="3pt"/>
            <v:imagedata o:title=""/>
            <o:lock v:ext="edit"/>
          </v:line>
        </w:pict>
      </w:r>
      <w:r>
        <w:rPr>
          <w:rFonts w:eastAsia="仿宋_GB2312"/>
          <w:sz w:val="21"/>
          <w:szCs w:val="21"/>
        </w:rPr>
        <w:pict>
          <v:line id="_x0000_s1028" o:spid="_x0000_s1028" o:spt="20" style="position:absolute;left:0pt;margin-left:88.95pt;margin-top:6.9pt;height:0pt;width:83.7pt;z-index:253091840;mso-width-relative:page;mso-height-relative:page;" coordsize="21600,21600" o:gfxdata="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b9OvK2AAAAAkBAAAPAAAAAAAAAAEA&#10;IAAAACIAAABkcnMvZG93bnJldi54bWxQSwECFAAUAAAACACHTuJAkZn1kNYBAAB5AwAADgAAAAAA&#10;AAABACAAAAAnAQAAZHJzL2Uyb0RvYy54bWxQSwUGAAAAAAYABgBZAQAAbwUAAAAA&#10;">
            <v:path arrowok="t"/>
            <v:fill focussize="0,0"/>
            <v:stroke weight="3pt" dashstyle="dash"/>
            <v:imagedata o:title=""/>
            <o:lock v:ext="edit"/>
          </v:line>
        </w:pict>
      </w:r>
      <w:r>
        <w:rPr>
          <w:rFonts w:eastAsia="仿宋_GB2312"/>
          <w:sz w:val="21"/>
          <w:szCs w:val="21"/>
        </w:rPr>
        <w:t>主体工程水保工程</w:t>
      </w:r>
    </w:p>
    <w:p>
      <w:pPr>
        <w:pStyle w:val="50"/>
        <w:widowControl/>
        <w:numPr>
          <w:ilvl w:val="0"/>
          <w:numId w:val="1"/>
        </w:numPr>
        <w:tabs>
          <w:tab w:val="clear" w:pos="432"/>
        </w:tabs>
        <w:spacing w:beforeLines="100" w:afterLines="100"/>
        <w:rPr>
          <w:rFonts w:eastAsia="仿宋_GB2312"/>
          <w:sz w:val="32"/>
          <w:szCs w:val="32"/>
        </w:rPr>
      </w:pPr>
      <w:bookmarkStart w:id="296" w:name="_Toc211401582"/>
      <w:bookmarkStart w:id="297" w:name="_Toc255304610"/>
      <w:bookmarkStart w:id="298" w:name="_Toc47381549"/>
      <w:bookmarkStart w:id="299" w:name="_Toc7801570"/>
      <w:bookmarkStart w:id="300" w:name="_Toc7801477"/>
      <w:bookmarkStart w:id="301" w:name="_Toc7801410"/>
      <w:r>
        <w:rPr>
          <w:rFonts w:eastAsia="仿宋_GB2312"/>
          <w:sz w:val="32"/>
          <w:szCs w:val="32"/>
        </w:rPr>
        <w:t>水土保持监测</w:t>
      </w:r>
      <w:bookmarkEnd w:id="296"/>
      <w:bookmarkEnd w:id="297"/>
      <w:bookmarkEnd w:id="298"/>
      <w:bookmarkEnd w:id="299"/>
      <w:bookmarkEnd w:id="300"/>
      <w:bookmarkEnd w:id="301"/>
    </w:p>
    <w:p>
      <w:pPr>
        <w:pStyle w:val="15"/>
        <w:ind w:firstLine="480"/>
        <w:rPr>
          <w:rFonts w:eastAsia="仿宋_GB2312"/>
        </w:rPr>
        <w:sectPr>
          <w:headerReference r:id="rId19" w:type="first"/>
          <w:footerReference r:id="rId21" w:type="first"/>
          <w:headerReference r:id="rId17" w:type="default"/>
          <w:headerReference r:id="rId18" w:type="even"/>
          <w:footerReference r:id="rId20" w:type="even"/>
          <w:pgSz w:w="11906" w:h="16838"/>
          <w:pgMar w:top="1440" w:right="1803" w:bottom="1440" w:left="1803" w:header="851" w:footer="992" w:gutter="0"/>
          <w:cols w:space="720" w:num="1"/>
          <w:docGrid w:linePitch="326" w:charSpace="0"/>
        </w:sectPr>
      </w:pPr>
      <w:r>
        <w:rPr>
          <w:rFonts w:ascii="仿宋_GB2312" w:eastAsia="仿宋_GB2312"/>
        </w:rPr>
        <w:t>根据《新疆生产建设兵团实施</w:t>
      </w:r>
      <w:r>
        <w:rPr>
          <w:rFonts w:eastAsia="仿宋_GB2312"/>
        </w:rPr>
        <w:t>&lt;</w:t>
      </w:r>
      <w:r>
        <w:rPr>
          <w:rFonts w:ascii="仿宋_GB2312" w:eastAsia="仿宋_GB2312"/>
        </w:rPr>
        <w:t>中华人民共和国水土保持法</w:t>
      </w:r>
      <w:r>
        <w:rPr>
          <w:rFonts w:eastAsia="仿宋_GB2312"/>
        </w:rPr>
        <w:t>&gt;</w:t>
      </w:r>
      <w:r>
        <w:rPr>
          <w:rFonts w:ascii="仿宋_GB2312" w:eastAsia="仿宋_GB2312"/>
        </w:rPr>
        <w:t>办法》（新兵发〔</w:t>
      </w:r>
      <w:r>
        <w:rPr>
          <w:rFonts w:eastAsia="仿宋_GB2312"/>
        </w:rPr>
        <w:t>2014</w:t>
      </w:r>
      <w:r>
        <w:rPr>
          <w:rFonts w:ascii="仿宋_GB2312" w:eastAsia="仿宋_GB2312"/>
        </w:rPr>
        <w:t>〕</w:t>
      </w:r>
      <w:r>
        <w:rPr>
          <w:rFonts w:eastAsia="仿宋_GB2312"/>
        </w:rPr>
        <w:t>44</w:t>
      </w:r>
      <w:r>
        <w:rPr>
          <w:rFonts w:ascii="仿宋_GB2312" w:eastAsia="仿宋_GB2312"/>
        </w:rPr>
        <w:t>号）第二十四条规定，依法应当编制水土保持方案报告表的生产建设项目，生产建设单位应当自行或者委托具备相应水土保持监测资质的机构进行监测。本项目为占地面积不满五万平方米且挖、填土石方总量不满五万立方米，应编制水土保持方案报告表，不在规定的应当进行水土保持监测的生产建设项目范围内。因此，本项目水土保持监测工作由建设单位自行安排，本章不作规定。</w:t>
      </w:r>
    </w:p>
    <w:p>
      <w:pPr>
        <w:pStyle w:val="50"/>
        <w:widowControl/>
        <w:numPr>
          <w:ilvl w:val="0"/>
          <w:numId w:val="1"/>
        </w:numPr>
        <w:tabs>
          <w:tab w:val="clear" w:pos="432"/>
        </w:tabs>
        <w:spacing w:beforeLines="100" w:afterLines="100"/>
        <w:rPr>
          <w:rFonts w:eastAsia="仿宋_GB2312"/>
          <w:sz w:val="32"/>
          <w:szCs w:val="32"/>
        </w:rPr>
      </w:pPr>
      <w:bookmarkStart w:id="302" w:name="_Toc255304633"/>
      <w:bookmarkStart w:id="303" w:name="_Toc7801575"/>
      <w:bookmarkStart w:id="304" w:name="_Toc47381550"/>
      <w:bookmarkStart w:id="305" w:name="_Toc7801482"/>
      <w:bookmarkStart w:id="306" w:name="_Toc7801415"/>
      <w:r>
        <w:rPr>
          <w:rFonts w:eastAsia="仿宋_GB2312"/>
          <w:sz w:val="32"/>
          <w:szCs w:val="32"/>
        </w:rPr>
        <w:t>水土保持投资</w:t>
      </w:r>
      <w:r>
        <w:rPr>
          <w:rFonts w:hint="eastAsia" w:eastAsia="仿宋_GB2312"/>
          <w:sz w:val="32"/>
          <w:szCs w:val="32"/>
        </w:rPr>
        <w:t>估算</w:t>
      </w:r>
      <w:r>
        <w:rPr>
          <w:rFonts w:eastAsia="仿宋_GB2312"/>
          <w:sz w:val="32"/>
          <w:szCs w:val="32"/>
        </w:rPr>
        <w:t>及效益分析</w:t>
      </w:r>
      <w:bookmarkEnd w:id="302"/>
      <w:bookmarkEnd w:id="303"/>
      <w:bookmarkEnd w:id="304"/>
      <w:bookmarkEnd w:id="305"/>
      <w:bookmarkEnd w:id="306"/>
    </w:p>
    <w:p>
      <w:pPr>
        <w:pStyle w:val="3"/>
        <w:widowControl/>
        <w:numPr>
          <w:ilvl w:val="1"/>
          <w:numId w:val="1"/>
        </w:numPr>
        <w:tabs>
          <w:tab w:val="clear" w:pos="1002"/>
        </w:tabs>
        <w:topLinePunct w:val="0"/>
        <w:adjustRightInd/>
        <w:snapToGrid/>
        <w:ind w:left="0" w:firstLine="0"/>
        <w:jc w:val="both"/>
        <w:rPr>
          <w:rFonts w:eastAsia="仿宋_GB2312"/>
        </w:rPr>
      </w:pPr>
      <w:bookmarkStart w:id="307" w:name="_Toc7801416"/>
      <w:bookmarkStart w:id="308" w:name="_Toc255304634"/>
      <w:bookmarkStart w:id="309" w:name="_Toc7801576"/>
      <w:bookmarkStart w:id="310" w:name="_Toc7801483"/>
      <w:bookmarkStart w:id="311" w:name="_Toc47381551"/>
      <w:r>
        <w:rPr>
          <w:rFonts w:eastAsia="仿宋_GB2312"/>
        </w:rPr>
        <w:t>投资</w:t>
      </w:r>
      <w:bookmarkEnd w:id="307"/>
      <w:bookmarkEnd w:id="308"/>
      <w:bookmarkEnd w:id="309"/>
      <w:bookmarkEnd w:id="310"/>
      <w:r>
        <w:rPr>
          <w:rFonts w:hint="eastAsia" w:eastAsia="仿宋_GB2312"/>
        </w:rPr>
        <w:t>估算</w:t>
      </w:r>
      <w:bookmarkEnd w:id="311"/>
    </w:p>
    <w:p>
      <w:pPr>
        <w:pStyle w:val="4"/>
        <w:keepLines/>
        <w:widowControl/>
        <w:numPr>
          <w:ilvl w:val="2"/>
          <w:numId w:val="1"/>
        </w:numPr>
        <w:tabs>
          <w:tab w:val="clear" w:pos="432"/>
          <w:tab w:val="clear" w:pos="960"/>
        </w:tabs>
        <w:kinsoku/>
        <w:overflowPunct/>
        <w:topLinePunct w:val="0"/>
        <w:autoSpaceDE/>
        <w:autoSpaceDN/>
        <w:adjustRightInd/>
        <w:snapToGrid/>
        <w:ind w:left="0" w:firstLine="0"/>
        <w:jc w:val="both"/>
        <w:rPr>
          <w:rFonts w:eastAsia="仿宋_GB2312"/>
        </w:rPr>
      </w:pPr>
      <w:bookmarkStart w:id="312" w:name="_Toc255304635"/>
      <w:r>
        <w:rPr>
          <w:rFonts w:eastAsia="仿宋_GB2312"/>
        </w:rPr>
        <w:t>编制原则</w:t>
      </w:r>
      <w:bookmarkEnd w:id="312"/>
      <w:r>
        <w:rPr>
          <w:rFonts w:eastAsia="仿宋_GB2312"/>
        </w:rPr>
        <w:t>及依据</w:t>
      </w:r>
    </w:p>
    <w:p>
      <w:pPr>
        <w:pStyle w:val="5"/>
      </w:pPr>
      <w:r>
        <w:rPr>
          <w:kern w:val="2"/>
          <w:szCs w:val="28"/>
        </w:rPr>
        <w:t>编制</w:t>
      </w:r>
      <w:r>
        <w:t>原则</w:t>
      </w:r>
    </w:p>
    <w:p>
      <w:pPr>
        <w:pStyle w:val="15"/>
        <w:ind w:firstLine="480"/>
        <w:rPr>
          <w:rFonts w:eastAsia="仿宋_GB2312"/>
        </w:rPr>
      </w:pPr>
      <w:r>
        <w:rPr>
          <w:rFonts w:eastAsia="仿宋_GB2312"/>
        </w:rPr>
        <w:t>1、</w:t>
      </w:r>
      <w:r>
        <w:rPr>
          <w:rFonts w:hint="eastAsia" w:eastAsia="仿宋_GB2312"/>
        </w:rPr>
        <w:t>估算</w:t>
      </w:r>
      <w:r>
        <w:rPr>
          <w:rFonts w:eastAsia="仿宋_GB2312"/>
        </w:rPr>
        <w:t>编制严格执行国家、地方、行业有关法律、法规、标准、规范及规定。</w:t>
      </w:r>
    </w:p>
    <w:p>
      <w:pPr>
        <w:pStyle w:val="15"/>
        <w:ind w:firstLine="480"/>
        <w:rPr>
          <w:rFonts w:eastAsia="仿宋_GB2312"/>
        </w:rPr>
      </w:pPr>
      <w:r>
        <w:rPr>
          <w:rFonts w:eastAsia="仿宋_GB2312"/>
        </w:rPr>
        <w:t>2、本项目水土保持投资</w:t>
      </w:r>
      <w:r>
        <w:rPr>
          <w:rFonts w:hint="eastAsia" w:eastAsia="仿宋_GB2312"/>
        </w:rPr>
        <w:t>估算</w:t>
      </w:r>
      <w:r>
        <w:rPr>
          <w:rFonts w:eastAsia="仿宋_GB2312"/>
        </w:rPr>
        <w:t>是项目总投资的组成部分，计入该工程总投资中。编制深度与主体工程投资</w:t>
      </w:r>
      <w:r>
        <w:rPr>
          <w:rFonts w:hint="eastAsia" w:eastAsia="仿宋_GB2312"/>
        </w:rPr>
        <w:t>估算</w:t>
      </w:r>
      <w:r>
        <w:rPr>
          <w:rFonts w:eastAsia="仿宋_GB2312"/>
        </w:rPr>
        <w:t>编制深度一致，为</w:t>
      </w:r>
      <w:r>
        <w:rPr>
          <w:rFonts w:hint="eastAsia" w:eastAsia="仿宋_GB2312"/>
          <w:lang w:val="zh-CN"/>
        </w:rPr>
        <w:t>可研设计</w:t>
      </w:r>
      <w:r>
        <w:rPr>
          <w:rFonts w:eastAsia="仿宋_GB2312"/>
        </w:rPr>
        <w:t>深度。</w:t>
      </w:r>
    </w:p>
    <w:p>
      <w:pPr>
        <w:pStyle w:val="15"/>
        <w:ind w:firstLine="480"/>
        <w:rPr>
          <w:rFonts w:eastAsia="仿宋_GB2312"/>
        </w:rPr>
      </w:pPr>
      <w:r>
        <w:rPr>
          <w:rFonts w:eastAsia="仿宋_GB2312"/>
        </w:rPr>
        <w:t>3、本项目主体工程价格水平年为20</w:t>
      </w:r>
      <w:r>
        <w:rPr>
          <w:rFonts w:hint="eastAsia" w:eastAsia="仿宋_GB2312"/>
        </w:rPr>
        <w:t>20</w:t>
      </w:r>
      <w:r>
        <w:rPr>
          <w:rFonts w:eastAsia="仿宋_GB2312"/>
        </w:rPr>
        <w:t>年第</w:t>
      </w:r>
      <w:r>
        <w:rPr>
          <w:rFonts w:hint="eastAsia" w:eastAsia="仿宋_GB2312"/>
        </w:rPr>
        <w:t>二</w:t>
      </w:r>
      <w:r>
        <w:rPr>
          <w:rFonts w:eastAsia="仿宋_GB2312"/>
        </w:rPr>
        <w:t>季度，材料价格参考主体工程价格及20</w:t>
      </w:r>
      <w:r>
        <w:rPr>
          <w:rFonts w:hint="eastAsia" w:eastAsia="仿宋_GB2312"/>
        </w:rPr>
        <w:t>20</w:t>
      </w:r>
      <w:r>
        <w:rPr>
          <w:rFonts w:eastAsia="仿宋_GB2312"/>
        </w:rPr>
        <w:t>年第</w:t>
      </w:r>
      <w:r>
        <w:rPr>
          <w:rFonts w:hint="eastAsia" w:eastAsia="仿宋_GB2312"/>
        </w:rPr>
        <w:t>二</w:t>
      </w:r>
      <w:r>
        <w:rPr>
          <w:rFonts w:eastAsia="仿宋_GB2312"/>
        </w:rPr>
        <w:t>季度</w:t>
      </w:r>
      <w:r>
        <w:rPr>
          <w:rFonts w:hint="eastAsia" w:eastAsia="仿宋_GB2312"/>
        </w:rPr>
        <w:t>和田地区</w:t>
      </w:r>
      <w:r>
        <w:rPr>
          <w:rFonts w:eastAsia="仿宋_GB2312"/>
        </w:rPr>
        <w:t>价格。</w:t>
      </w:r>
    </w:p>
    <w:p>
      <w:pPr>
        <w:pStyle w:val="15"/>
        <w:ind w:firstLine="480"/>
        <w:rPr>
          <w:rFonts w:eastAsia="仿宋_GB2312"/>
        </w:rPr>
      </w:pPr>
      <w:r>
        <w:rPr>
          <w:rFonts w:eastAsia="仿宋_GB2312"/>
        </w:rPr>
        <w:t>4、水土保持工程投资</w:t>
      </w:r>
      <w:r>
        <w:rPr>
          <w:rFonts w:hint="eastAsia" w:eastAsia="仿宋_GB2312"/>
        </w:rPr>
        <w:t>估算</w:t>
      </w:r>
      <w:r>
        <w:rPr>
          <w:rFonts w:eastAsia="仿宋_GB2312"/>
        </w:rPr>
        <w:t>项目划分、费用构成及表格形式等根据《水土保持工程概（估）算编制规定》（水利部水总[2003]67号）编制。</w:t>
      </w:r>
    </w:p>
    <w:p>
      <w:pPr>
        <w:pStyle w:val="15"/>
        <w:ind w:firstLine="480"/>
        <w:rPr>
          <w:rFonts w:eastAsia="仿宋_GB2312"/>
        </w:rPr>
      </w:pPr>
      <w:r>
        <w:rPr>
          <w:rFonts w:eastAsia="仿宋_GB2312"/>
        </w:rPr>
        <w:t>5、人工预算单价、主要材料、次要材料施工用水、用电、用风等预算单价、施工机械台时费、相关费率等与主体工程一致，不足部分按水利部[2003]67号文《水土保持工程概（估）算编制规定》或其他行业、地方标准计算。</w:t>
      </w:r>
    </w:p>
    <w:p>
      <w:pPr>
        <w:pStyle w:val="15"/>
        <w:ind w:firstLine="480"/>
        <w:rPr>
          <w:rFonts w:eastAsia="仿宋_GB2312"/>
        </w:rPr>
      </w:pPr>
      <w:r>
        <w:rPr>
          <w:rFonts w:eastAsia="仿宋_GB2312"/>
        </w:rPr>
        <w:t>6、水土保持补偿费单列，计入总投资。</w:t>
      </w:r>
    </w:p>
    <w:p>
      <w:pPr>
        <w:pStyle w:val="5"/>
        <w:rPr>
          <w:kern w:val="2"/>
          <w:szCs w:val="28"/>
        </w:rPr>
      </w:pPr>
      <w:bookmarkStart w:id="313" w:name="_Toc255304636"/>
      <w:r>
        <w:rPr>
          <w:kern w:val="2"/>
          <w:szCs w:val="28"/>
        </w:rPr>
        <w:t>编制依据</w:t>
      </w:r>
      <w:bookmarkEnd w:id="313"/>
    </w:p>
    <w:p>
      <w:pPr>
        <w:pStyle w:val="15"/>
        <w:ind w:firstLine="480"/>
        <w:rPr>
          <w:rFonts w:eastAsia="仿宋_GB2312"/>
        </w:rPr>
      </w:pPr>
      <w:bookmarkStart w:id="314" w:name="_Toc255304637"/>
      <w:r>
        <w:rPr>
          <w:rFonts w:hint="eastAsia" w:eastAsia="仿宋_GB2312"/>
        </w:rPr>
        <w:t>1、</w:t>
      </w:r>
      <w:r>
        <w:rPr>
          <w:rFonts w:eastAsia="仿宋_GB2312"/>
        </w:rPr>
        <w:t>《《开发建设项目水土保持工程投资概(估)算编制规定》、《开发建设项目水土保持工程估算定额》、《开发建设项目水土保持工程施工机械台时费定额》(水利部水总〔2003〕67号)；</w:t>
      </w:r>
    </w:p>
    <w:p>
      <w:pPr>
        <w:pStyle w:val="15"/>
        <w:ind w:firstLine="480"/>
        <w:rPr>
          <w:rFonts w:eastAsia="仿宋_GB2312"/>
        </w:rPr>
      </w:pPr>
      <w:r>
        <w:rPr>
          <w:rFonts w:hint="eastAsia" w:eastAsia="仿宋_GB2312"/>
        </w:rPr>
        <w:t>2、</w:t>
      </w:r>
      <w:r>
        <w:rPr>
          <w:rFonts w:eastAsia="仿宋_GB2312"/>
        </w:rPr>
        <w:t>《水土保持工程概(估)算费编制规定及定额》(水利部[2003]67号)；</w:t>
      </w:r>
    </w:p>
    <w:p>
      <w:pPr>
        <w:pStyle w:val="15"/>
        <w:ind w:firstLine="480"/>
        <w:rPr>
          <w:rFonts w:eastAsia="仿宋_GB2312"/>
        </w:rPr>
      </w:pPr>
      <w:r>
        <w:rPr>
          <w:rFonts w:hint="eastAsia" w:eastAsia="仿宋_GB2312"/>
        </w:rPr>
        <w:t>3、</w:t>
      </w:r>
      <w:r>
        <w:rPr>
          <w:rFonts w:eastAsia="仿宋_GB2312"/>
        </w:rPr>
        <w:t>国家发展计划委员会、建设部《工程勘察设计收费标准》2002年10号文；</w:t>
      </w:r>
    </w:p>
    <w:p>
      <w:pPr>
        <w:pStyle w:val="15"/>
        <w:ind w:firstLine="480"/>
        <w:rPr>
          <w:rFonts w:eastAsia="仿宋_GB2312"/>
        </w:rPr>
      </w:pPr>
      <w:r>
        <w:rPr>
          <w:rFonts w:hint="eastAsia" w:eastAsia="仿宋_GB2312"/>
        </w:rPr>
        <w:t>4、</w:t>
      </w:r>
      <w:r>
        <w:rPr>
          <w:rFonts w:eastAsia="仿宋_GB2312"/>
        </w:rPr>
        <w:t>国家发展和改革委员会办公厅、建设部办公厅关于“印发修订建设监理与咨询服务收费标准的工作方案的通知”(发改办价格[2005]632号)；</w:t>
      </w:r>
    </w:p>
    <w:p>
      <w:pPr>
        <w:pStyle w:val="15"/>
        <w:ind w:firstLine="480"/>
        <w:rPr>
          <w:rFonts w:eastAsia="仿宋_GB2312"/>
        </w:rPr>
      </w:pPr>
      <w:r>
        <w:rPr>
          <w:rFonts w:hint="eastAsia" w:eastAsia="仿宋_GB2312"/>
        </w:rPr>
        <w:t>5、</w:t>
      </w:r>
      <w:r>
        <w:rPr>
          <w:rFonts w:eastAsia="仿宋_GB2312"/>
        </w:rPr>
        <w:t>“财政部国家发展改革委水利部中国人民银行关于印发《水土保持补偿费征收使用管理办法》的通知”(财综[2014]8号，2014年5月1日)；</w:t>
      </w:r>
    </w:p>
    <w:p>
      <w:pPr>
        <w:pStyle w:val="15"/>
        <w:ind w:firstLine="480"/>
        <w:rPr>
          <w:rFonts w:eastAsia="仿宋_GB2312"/>
        </w:rPr>
      </w:pPr>
      <w:r>
        <w:rPr>
          <w:rFonts w:hint="eastAsia" w:eastAsia="仿宋_GB2312"/>
        </w:rPr>
        <w:t>6、</w:t>
      </w:r>
      <w:r>
        <w:rPr>
          <w:rFonts w:eastAsia="仿宋_GB2312"/>
        </w:rPr>
        <w:t>“国家发改委财政部水利部《关于水土保持补偿费收费标准(试行)的通知》”(发改价格[2014]886号 2014年5月7日)；</w:t>
      </w:r>
    </w:p>
    <w:p>
      <w:pPr>
        <w:pStyle w:val="15"/>
        <w:ind w:firstLine="480"/>
        <w:rPr>
          <w:rFonts w:eastAsia="仿宋_GB2312"/>
        </w:rPr>
      </w:pPr>
      <w:r>
        <w:rPr>
          <w:rFonts w:hint="eastAsia" w:eastAsia="仿宋_GB2312"/>
        </w:rPr>
        <w:t>7、</w:t>
      </w:r>
      <w:r>
        <w:rPr>
          <w:rFonts w:eastAsia="仿宋_GB2312"/>
        </w:rPr>
        <w:t>新疆维吾尔自治区新政发[2000]45号文“关于印发新疆维吾尔自治区《水土保持设施补偿费、水土流失防治费收缴使用管理暂行规定》的通知”；</w:t>
      </w:r>
    </w:p>
    <w:p>
      <w:pPr>
        <w:pStyle w:val="15"/>
        <w:ind w:firstLine="480"/>
        <w:rPr>
          <w:rFonts w:eastAsia="仿宋_GB2312"/>
        </w:rPr>
      </w:pPr>
      <w:r>
        <w:rPr>
          <w:rFonts w:hint="eastAsia" w:eastAsia="仿宋_GB2312"/>
        </w:rPr>
        <w:t>8、</w:t>
      </w:r>
      <w:r>
        <w:rPr>
          <w:rFonts w:eastAsia="仿宋_GB2312"/>
        </w:rPr>
        <w:t>《关于印发水利工程营业税改增值税计价依据调整办法的通知》(水利部办公厅，办水总[2016]132号，2016年7月5日)；</w:t>
      </w:r>
    </w:p>
    <w:p>
      <w:pPr>
        <w:pStyle w:val="15"/>
        <w:ind w:firstLine="480"/>
        <w:rPr>
          <w:rFonts w:eastAsia="仿宋_GB2312"/>
        </w:rPr>
      </w:pPr>
      <w:r>
        <w:rPr>
          <w:rFonts w:hint="eastAsia" w:eastAsia="仿宋_GB2312"/>
        </w:rPr>
        <w:t>9、</w:t>
      </w:r>
      <w:r>
        <w:rPr>
          <w:rFonts w:eastAsia="仿宋_GB2312"/>
        </w:rPr>
        <w:t>《住房和城乡建设部办公厅关于重新调整建设工程计价依据增值税税率的通知》(建办标函[2019]193号文)</w:t>
      </w:r>
      <w:r>
        <w:rPr>
          <w:rFonts w:hint="eastAsia" w:eastAsia="仿宋_GB2312"/>
        </w:rPr>
        <w:t>；</w:t>
      </w:r>
    </w:p>
    <w:p>
      <w:pPr>
        <w:pStyle w:val="15"/>
        <w:ind w:firstLine="480"/>
        <w:rPr>
          <w:rFonts w:eastAsia="仿宋_GB2312"/>
        </w:rPr>
      </w:pPr>
      <w:r>
        <w:rPr>
          <w:rFonts w:hint="eastAsia" w:eastAsia="仿宋_GB2312"/>
        </w:rPr>
        <w:t>11、新疆维吾尔自治区水利厅</w:t>
      </w:r>
      <w:r>
        <w:rPr>
          <w:rFonts w:eastAsia="仿宋_GB2312"/>
        </w:rPr>
        <w:t>《</w:t>
      </w:r>
      <w:r>
        <w:rPr>
          <w:rFonts w:hint="eastAsia" w:eastAsia="仿宋_GB2312"/>
        </w:rPr>
        <w:t>关于严格执行国家发展改革委财政部降低部分行政事业性收费标准的通知</w:t>
      </w:r>
      <w:r>
        <w:rPr>
          <w:rFonts w:eastAsia="仿宋_GB2312"/>
        </w:rPr>
        <w:t>》</w:t>
      </w:r>
      <w:r>
        <w:rPr>
          <w:rFonts w:hint="eastAsia" w:eastAsia="仿宋_GB2312"/>
        </w:rPr>
        <w:t>(新水办</w:t>
      </w:r>
      <w:r>
        <w:rPr>
          <w:rFonts w:eastAsia="仿宋_GB2312"/>
        </w:rPr>
        <w:t>[20</w:t>
      </w:r>
      <w:r>
        <w:rPr>
          <w:rFonts w:hint="eastAsia" w:eastAsia="仿宋_GB2312"/>
        </w:rPr>
        <w:t>20</w:t>
      </w:r>
      <w:r>
        <w:rPr>
          <w:rFonts w:eastAsia="仿宋_GB2312"/>
        </w:rPr>
        <w:t>]</w:t>
      </w:r>
      <w:r>
        <w:rPr>
          <w:rFonts w:hint="eastAsia" w:eastAsia="仿宋_GB2312"/>
        </w:rPr>
        <w:t>168号)；</w:t>
      </w:r>
    </w:p>
    <w:p>
      <w:pPr>
        <w:pStyle w:val="15"/>
        <w:ind w:firstLine="480"/>
        <w:rPr>
          <w:rFonts w:eastAsia="仿宋_GB2312"/>
        </w:rPr>
      </w:pPr>
      <w:r>
        <w:rPr>
          <w:rFonts w:hint="eastAsia" w:eastAsia="仿宋_GB2312"/>
        </w:rPr>
        <w:t>12、</w:t>
      </w:r>
      <w:r>
        <w:rPr>
          <w:rFonts w:eastAsia="仿宋_GB2312"/>
        </w:rPr>
        <w:t>主体工程</w:t>
      </w:r>
      <w:r>
        <w:rPr>
          <w:rFonts w:hint="eastAsia" w:eastAsia="仿宋_GB2312"/>
        </w:rPr>
        <w:t>相关</w:t>
      </w:r>
      <w:r>
        <w:rPr>
          <w:rFonts w:eastAsia="仿宋_GB2312"/>
        </w:rPr>
        <w:t>资料</w:t>
      </w:r>
      <w:r>
        <w:rPr>
          <w:rFonts w:hint="eastAsia" w:eastAsia="仿宋_GB2312"/>
        </w:rPr>
        <w:t>。</w:t>
      </w:r>
    </w:p>
    <w:p>
      <w:pPr>
        <w:pStyle w:val="4"/>
        <w:keepLines/>
        <w:widowControl/>
        <w:numPr>
          <w:ilvl w:val="2"/>
          <w:numId w:val="1"/>
        </w:numPr>
        <w:tabs>
          <w:tab w:val="clear" w:pos="432"/>
          <w:tab w:val="clear" w:pos="960"/>
        </w:tabs>
        <w:kinsoku/>
        <w:overflowPunct/>
        <w:topLinePunct w:val="0"/>
        <w:autoSpaceDE/>
        <w:autoSpaceDN/>
        <w:adjustRightInd/>
        <w:snapToGrid/>
        <w:ind w:left="0" w:firstLine="0"/>
        <w:jc w:val="both"/>
        <w:rPr>
          <w:rFonts w:eastAsia="仿宋_GB2312"/>
        </w:rPr>
      </w:pPr>
      <w:r>
        <w:rPr>
          <w:rFonts w:eastAsia="仿宋_GB2312"/>
        </w:rPr>
        <w:t>编制说明与</w:t>
      </w:r>
      <w:r>
        <w:rPr>
          <w:rFonts w:hint="eastAsia" w:eastAsia="仿宋_GB2312"/>
        </w:rPr>
        <w:t>估算</w:t>
      </w:r>
      <w:r>
        <w:rPr>
          <w:rFonts w:eastAsia="仿宋_GB2312"/>
        </w:rPr>
        <w:t>成果</w:t>
      </w:r>
    </w:p>
    <w:bookmarkEnd w:id="314"/>
    <w:p>
      <w:pPr>
        <w:pStyle w:val="5"/>
      </w:pPr>
      <w:r>
        <w:t>编制说明</w:t>
      </w:r>
    </w:p>
    <w:p>
      <w:pPr>
        <w:pStyle w:val="15"/>
        <w:ind w:firstLine="480"/>
        <w:rPr>
          <w:rFonts w:eastAsia="仿宋_GB2312"/>
        </w:rPr>
      </w:pPr>
      <w:r>
        <w:rPr>
          <w:rFonts w:eastAsia="仿宋_GB2312"/>
        </w:rPr>
        <w:t>（一）基础单价编制</w:t>
      </w:r>
    </w:p>
    <w:p>
      <w:pPr>
        <w:pStyle w:val="15"/>
        <w:ind w:firstLine="480"/>
        <w:rPr>
          <w:rFonts w:eastAsia="仿宋_GB2312"/>
        </w:rPr>
      </w:pPr>
      <w:r>
        <w:rPr>
          <w:rFonts w:eastAsia="仿宋_GB2312"/>
        </w:rPr>
        <w:t>1、人工预算单价</w:t>
      </w:r>
    </w:p>
    <w:p>
      <w:pPr>
        <w:pStyle w:val="15"/>
        <w:ind w:firstLine="480"/>
        <w:rPr>
          <w:rFonts w:eastAsia="仿宋_GB2312"/>
        </w:rPr>
      </w:pPr>
      <w:r>
        <w:rPr>
          <w:rFonts w:eastAsia="仿宋_GB2312"/>
        </w:rPr>
        <w:t>本水保工程的单价采取主体工程中的单价，不足的部分采取水利部水总[2003]67号文颁发的《开发建设项目水土保持工程概（估）算编制规定》。本工程采用的人工预算单价、主要工程单价、取费费率与主体工程一致，不足部分参考相关规定。本工程参考主体工程人工单价，为</w:t>
      </w:r>
      <w:r>
        <w:rPr>
          <w:rFonts w:hint="eastAsia" w:eastAsia="仿宋_GB2312"/>
        </w:rPr>
        <w:t>8.07</w:t>
      </w:r>
      <w:r>
        <w:rPr>
          <w:rFonts w:eastAsia="仿宋_GB2312"/>
        </w:rPr>
        <w:t>元</w:t>
      </w:r>
      <w:r>
        <w:rPr>
          <w:rFonts w:hint="eastAsia" w:eastAsia="仿宋_GB2312"/>
        </w:rPr>
        <w:t>/工时</w:t>
      </w:r>
      <w:r>
        <w:rPr>
          <w:rFonts w:eastAsia="仿宋_GB2312"/>
        </w:rPr>
        <w:t>。</w:t>
      </w:r>
    </w:p>
    <w:p>
      <w:pPr>
        <w:pStyle w:val="15"/>
        <w:ind w:firstLine="480"/>
        <w:rPr>
          <w:rFonts w:eastAsia="仿宋_GB2312"/>
        </w:rPr>
      </w:pPr>
      <w:r>
        <w:rPr>
          <w:rFonts w:eastAsia="仿宋_GB2312"/>
        </w:rPr>
        <w:t>2、材料预算价格：主要材料（柴油、汽油、水泥、砂石料、砖）等采用主体工程中的价格，主体工程中没有的材料价格参考新疆工程造价信息网</w:t>
      </w:r>
      <w:r>
        <w:rPr>
          <w:rFonts w:hint="eastAsia" w:eastAsia="仿宋_GB2312"/>
        </w:rPr>
        <w:t>和田地区</w:t>
      </w:r>
      <w:r>
        <w:rPr>
          <w:rFonts w:eastAsia="仿宋_GB2312"/>
        </w:rPr>
        <w:t>20</w:t>
      </w:r>
      <w:r>
        <w:rPr>
          <w:rFonts w:hint="eastAsia" w:eastAsia="仿宋_GB2312"/>
        </w:rPr>
        <w:t>20</w:t>
      </w:r>
      <w:r>
        <w:rPr>
          <w:rFonts w:eastAsia="仿宋_GB2312"/>
        </w:rPr>
        <w:t>年第</w:t>
      </w:r>
      <w:r>
        <w:rPr>
          <w:rFonts w:hint="eastAsia" w:eastAsia="仿宋_GB2312"/>
        </w:rPr>
        <w:t>二</w:t>
      </w:r>
      <w:r>
        <w:rPr>
          <w:rFonts w:eastAsia="仿宋_GB2312"/>
        </w:rPr>
        <w:t>季度材料价格信息编制。</w:t>
      </w:r>
    </w:p>
    <w:p>
      <w:pPr>
        <w:pStyle w:val="15"/>
        <w:ind w:firstLine="480"/>
        <w:rPr>
          <w:rFonts w:eastAsia="仿宋_GB2312"/>
        </w:rPr>
      </w:pPr>
      <w:r>
        <w:rPr>
          <w:rFonts w:eastAsia="仿宋_GB2312"/>
        </w:rPr>
        <w:t>3、苗木草种价格：苗木、种子的预算价格按当地市场价格加运杂费和采购及保管费计算。</w:t>
      </w:r>
    </w:p>
    <w:p>
      <w:pPr>
        <w:pStyle w:val="15"/>
        <w:ind w:firstLine="480"/>
        <w:rPr>
          <w:rFonts w:eastAsia="仿宋_GB2312"/>
        </w:rPr>
      </w:pPr>
      <w:r>
        <w:rPr>
          <w:rFonts w:eastAsia="仿宋_GB2312"/>
        </w:rPr>
        <w:t>4、施工用水用电价格</w:t>
      </w:r>
    </w:p>
    <w:p>
      <w:pPr>
        <w:pStyle w:val="15"/>
        <w:ind w:firstLine="480"/>
        <w:rPr>
          <w:rFonts w:eastAsia="仿宋_GB2312"/>
        </w:rPr>
      </w:pPr>
      <w:r>
        <w:rPr>
          <w:rFonts w:eastAsia="仿宋_GB2312"/>
        </w:rPr>
        <w:t>水、电价：同主体工程。</w:t>
      </w:r>
    </w:p>
    <w:p>
      <w:pPr>
        <w:pStyle w:val="15"/>
        <w:ind w:firstLine="480"/>
        <w:rPr>
          <w:rFonts w:eastAsia="仿宋_GB2312"/>
        </w:rPr>
      </w:pPr>
      <w:r>
        <w:rPr>
          <w:rFonts w:eastAsia="仿宋_GB2312"/>
        </w:rPr>
        <w:t>5、施工机械台时费：施工机械台时费与主体工程一致，主体工程中没有的按照《开发建设项目水土保持工程施工机械台时费定额》编制。</w:t>
      </w:r>
    </w:p>
    <w:p>
      <w:pPr>
        <w:pStyle w:val="15"/>
        <w:ind w:firstLine="480"/>
        <w:rPr>
          <w:rFonts w:eastAsia="仿宋_GB2312"/>
        </w:rPr>
      </w:pPr>
      <w:r>
        <w:rPr>
          <w:rFonts w:eastAsia="仿宋_GB2312"/>
        </w:rPr>
        <w:t>6、运杂费除采购合同特别注明外，其他均按新交造价[2008]2号文规定编制。</w:t>
      </w:r>
    </w:p>
    <w:p>
      <w:pPr>
        <w:pStyle w:val="15"/>
        <w:ind w:firstLine="480"/>
        <w:rPr>
          <w:rFonts w:eastAsia="仿宋_GB2312"/>
        </w:rPr>
      </w:pPr>
      <w:r>
        <w:rPr>
          <w:rFonts w:eastAsia="仿宋_GB2312"/>
        </w:rPr>
        <w:t>（二）工程单价编制</w:t>
      </w:r>
    </w:p>
    <w:p>
      <w:pPr>
        <w:pStyle w:val="15"/>
        <w:ind w:firstLine="480"/>
        <w:rPr>
          <w:rFonts w:eastAsia="仿宋_GB2312"/>
        </w:rPr>
      </w:pPr>
      <w:r>
        <w:rPr>
          <w:rFonts w:eastAsia="仿宋_GB2312"/>
        </w:rPr>
        <w:t>1、工程措施和植物措施单价</w:t>
      </w:r>
    </w:p>
    <w:p>
      <w:pPr>
        <w:pStyle w:val="15"/>
        <w:ind w:firstLine="480"/>
        <w:rPr>
          <w:rFonts w:eastAsia="仿宋_GB2312"/>
        </w:rPr>
      </w:pPr>
      <w:r>
        <w:rPr>
          <w:rFonts w:eastAsia="仿宋_GB2312"/>
        </w:rPr>
        <w:t>工程措施和植物措施单价由直接工程费、间接费、企业利润</w:t>
      </w:r>
      <w:r>
        <w:rPr>
          <w:rFonts w:hint="eastAsia" w:eastAsia="仿宋_GB2312"/>
        </w:rPr>
        <w:t>、</w:t>
      </w:r>
      <w:r>
        <w:rPr>
          <w:rFonts w:eastAsia="仿宋_GB2312"/>
        </w:rPr>
        <w:t>税金和</w:t>
      </w:r>
      <w:r>
        <w:rPr>
          <w:rFonts w:hint="eastAsia" w:eastAsia="仿宋_GB2312"/>
        </w:rPr>
        <w:t>扩大10%</w:t>
      </w:r>
      <w:r>
        <w:rPr>
          <w:rFonts w:eastAsia="仿宋_GB2312"/>
        </w:rPr>
        <w:t>组成。</w:t>
      </w:r>
    </w:p>
    <w:p>
      <w:pPr>
        <w:pStyle w:val="15"/>
        <w:ind w:firstLine="480"/>
        <w:rPr>
          <w:rFonts w:eastAsia="仿宋_GB2312"/>
        </w:rPr>
      </w:pPr>
      <w:r>
        <w:rPr>
          <w:rFonts w:eastAsia="仿宋_GB2312"/>
        </w:rPr>
        <w:t>直接工程费包括直接费、其它直接费和现场经费。</w:t>
      </w:r>
    </w:p>
    <w:p>
      <w:pPr>
        <w:pStyle w:val="15"/>
        <w:ind w:firstLine="480"/>
        <w:rPr>
          <w:rFonts w:eastAsia="仿宋_GB2312"/>
        </w:rPr>
      </w:pPr>
      <w:r>
        <w:rPr>
          <w:rFonts w:eastAsia="仿宋_GB2312"/>
        </w:rPr>
        <w:t>直接费包括人工费、材料费和机械使用费三项。</w:t>
      </w:r>
    </w:p>
    <w:p>
      <w:pPr>
        <w:pStyle w:val="15"/>
        <w:ind w:firstLine="480"/>
        <w:rPr>
          <w:rFonts w:eastAsia="仿宋_GB2312"/>
        </w:rPr>
      </w:pPr>
      <w:r>
        <w:rPr>
          <w:rFonts w:eastAsia="仿宋_GB2312"/>
        </w:rPr>
        <w:t>人工费=定额劳动量（工时）×人工预算单价（元/工时）</w:t>
      </w:r>
      <w:r>
        <w:rPr>
          <w:rFonts w:hint="eastAsia" w:eastAsia="仿宋_GB2312"/>
          <w:color w:val="FF0000"/>
        </w:rPr>
        <w:t>。</w:t>
      </w:r>
    </w:p>
    <w:p>
      <w:pPr>
        <w:pStyle w:val="15"/>
        <w:ind w:firstLine="480"/>
        <w:rPr>
          <w:rFonts w:eastAsia="仿宋_GB2312"/>
        </w:rPr>
      </w:pPr>
      <w:r>
        <w:rPr>
          <w:rFonts w:eastAsia="仿宋_GB2312"/>
        </w:rPr>
        <w:t>材料费=定额材料用量称材料预算单价，工程措施材料采购及保管费费率为2.3%，植物措施材料采购及保管费费率为1.1%。</w:t>
      </w:r>
    </w:p>
    <w:p>
      <w:pPr>
        <w:pStyle w:val="15"/>
        <w:ind w:firstLine="480"/>
        <w:rPr>
          <w:rFonts w:eastAsia="仿宋_GB2312"/>
        </w:rPr>
      </w:pPr>
      <w:r>
        <w:rPr>
          <w:rFonts w:eastAsia="仿宋_GB2312"/>
        </w:rPr>
        <w:t>机械使用费=定额机械使用量（台时）×施工机械台时费（施工机械台时费定额的折旧费除以1.1</w:t>
      </w:r>
      <w:r>
        <w:rPr>
          <w:rFonts w:hint="eastAsia" w:eastAsia="仿宋_GB2312"/>
        </w:rPr>
        <w:t>3</w:t>
      </w:r>
      <w:r>
        <w:rPr>
          <w:rFonts w:eastAsia="仿宋_GB2312"/>
        </w:rPr>
        <w:t>调整系数，修理及替换设备费除以1.</w:t>
      </w:r>
      <w:r>
        <w:rPr>
          <w:rFonts w:hint="eastAsia" w:eastAsia="仿宋_GB2312"/>
        </w:rPr>
        <w:t>09</w:t>
      </w:r>
      <w:r>
        <w:rPr>
          <w:rFonts w:eastAsia="仿宋_GB2312"/>
        </w:rPr>
        <w:t>调整系数</w:t>
      </w:r>
      <w:r>
        <w:rPr>
          <w:rFonts w:hint="eastAsia" w:eastAsia="仿宋_GB2312"/>
        </w:rPr>
        <w:t>）</w:t>
      </w:r>
      <w:r>
        <w:rPr>
          <w:rFonts w:eastAsia="仿宋_GB2312"/>
        </w:rPr>
        <w:t>。</w:t>
      </w:r>
    </w:p>
    <w:p>
      <w:pPr>
        <w:pStyle w:val="15"/>
        <w:ind w:firstLine="480"/>
        <w:rPr>
          <w:rFonts w:eastAsia="仿宋_GB2312"/>
        </w:rPr>
      </w:pPr>
      <w:r>
        <w:rPr>
          <w:rFonts w:eastAsia="仿宋_GB2312"/>
        </w:rPr>
        <w:t>对于《开发建设项目水土保持工程概（估）算编制规定》（水总[2003]67号）中没有的部分根据实际发生价格编制其单价。</w:t>
      </w:r>
    </w:p>
    <w:p>
      <w:pPr>
        <w:pStyle w:val="15"/>
        <w:ind w:firstLine="480"/>
        <w:rPr>
          <w:rFonts w:eastAsia="仿宋_GB2312"/>
        </w:rPr>
      </w:pPr>
      <w:r>
        <w:rPr>
          <w:rFonts w:eastAsia="仿宋_GB2312"/>
        </w:rPr>
        <w:t>2、其它直接费</w:t>
      </w:r>
      <w:r>
        <w:rPr>
          <w:rFonts w:eastAsia="仿宋_GB2312"/>
        </w:rPr>
        <w:tab/>
      </w:r>
    </w:p>
    <w:p>
      <w:pPr>
        <w:pStyle w:val="15"/>
        <w:ind w:firstLine="480"/>
        <w:rPr>
          <w:rFonts w:eastAsia="仿宋_GB2312"/>
        </w:rPr>
      </w:pPr>
      <w:r>
        <w:rPr>
          <w:rFonts w:eastAsia="仿宋_GB2312"/>
        </w:rPr>
        <w:t>以直接费为计费基础乘以相应的费率进行计算，采用主体工程单价的其费率按照主体工程费率计，其他的按照水利部水总[2003]67号《开发建设项目水土保持工程（估）算编制规定》。</w:t>
      </w:r>
    </w:p>
    <w:p>
      <w:pPr>
        <w:pStyle w:val="15"/>
        <w:ind w:firstLine="480"/>
        <w:rPr>
          <w:rFonts w:eastAsia="仿宋_GB2312"/>
        </w:rPr>
      </w:pPr>
      <w:r>
        <w:rPr>
          <w:rFonts w:eastAsia="仿宋_GB2312"/>
        </w:rPr>
        <w:t>1）冬雨季施工增加费</w:t>
      </w:r>
    </w:p>
    <w:p>
      <w:pPr>
        <w:pStyle w:val="15"/>
        <w:ind w:firstLine="480"/>
        <w:rPr>
          <w:rFonts w:eastAsia="仿宋_GB2312"/>
        </w:rPr>
      </w:pPr>
      <w:r>
        <w:rPr>
          <w:rFonts w:eastAsia="仿宋_GB2312"/>
        </w:rPr>
        <w:t>本项目区属于西北地区，根据水利部水总[2003]67号文规定，冬雨季施工费应取1.5-2.5%，本项目区属于西北地区，可取中值或大值，植物措施、机械固沙、土地整治工程取下限，确定本方案中取植物措施、机械固沙、土地整治工程的冬雨季施工增加费取1.5%，其他项目取2%。</w:t>
      </w:r>
    </w:p>
    <w:p>
      <w:pPr>
        <w:pStyle w:val="15"/>
        <w:ind w:firstLine="480"/>
        <w:rPr>
          <w:rFonts w:eastAsia="仿宋_GB2312"/>
        </w:rPr>
      </w:pPr>
      <w:r>
        <w:rPr>
          <w:rFonts w:eastAsia="仿宋_GB2312"/>
        </w:rPr>
        <w:t>2）夜间施工增加费</w:t>
      </w:r>
    </w:p>
    <w:p>
      <w:pPr>
        <w:pStyle w:val="15"/>
        <w:ind w:firstLine="480"/>
        <w:rPr>
          <w:rFonts w:eastAsia="仿宋_GB2312"/>
        </w:rPr>
      </w:pPr>
      <w:r>
        <w:rPr>
          <w:rFonts w:eastAsia="仿宋_GB2312"/>
        </w:rPr>
        <w:t>按直接费的0.5%计算，植物措施、机械固沙、土地整治工程不计此项费用。</w:t>
      </w:r>
    </w:p>
    <w:p>
      <w:pPr>
        <w:pStyle w:val="15"/>
        <w:ind w:firstLine="480"/>
        <w:rPr>
          <w:rFonts w:eastAsia="仿宋_GB2312"/>
        </w:rPr>
      </w:pPr>
      <w:r>
        <w:rPr>
          <w:rFonts w:eastAsia="仿宋_GB2312"/>
        </w:rPr>
        <w:t>3）特殊地区施工增加费</w:t>
      </w:r>
    </w:p>
    <w:p>
      <w:pPr>
        <w:pStyle w:val="15"/>
        <w:ind w:firstLine="480"/>
        <w:rPr>
          <w:rFonts w:eastAsia="仿宋_GB2312"/>
        </w:rPr>
      </w:pPr>
      <w:r>
        <w:rPr>
          <w:rFonts w:eastAsia="仿宋_GB2312"/>
        </w:rPr>
        <w:t>本方案不涉及此项。</w:t>
      </w:r>
    </w:p>
    <w:p>
      <w:pPr>
        <w:pStyle w:val="15"/>
        <w:ind w:firstLine="480"/>
        <w:rPr>
          <w:rFonts w:eastAsia="仿宋_GB2312"/>
        </w:rPr>
      </w:pPr>
      <w:r>
        <w:rPr>
          <w:rFonts w:eastAsia="仿宋_GB2312"/>
        </w:rPr>
        <w:t>4）其他</w:t>
      </w:r>
    </w:p>
    <w:p>
      <w:pPr>
        <w:pStyle w:val="15"/>
        <w:ind w:firstLine="480"/>
        <w:rPr>
          <w:rFonts w:eastAsia="仿宋_GB2312"/>
        </w:rPr>
      </w:pPr>
      <w:r>
        <w:rPr>
          <w:rFonts w:eastAsia="仿宋_GB2312"/>
        </w:rPr>
        <w:t>按直接费的0.5%-1.0%计算，本方案中植物措施、土地整治工程均取下限，取值0.5%，其他工程取1.0%。</w:t>
      </w:r>
    </w:p>
    <w:p>
      <w:pPr>
        <w:pStyle w:val="15"/>
        <w:ind w:firstLine="480"/>
        <w:rPr>
          <w:rFonts w:eastAsia="仿宋_GB2312"/>
        </w:rPr>
      </w:pPr>
      <w:r>
        <w:rPr>
          <w:rFonts w:eastAsia="仿宋_GB2312"/>
        </w:rPr>
        <w:t>经分析本方案中植物措施及土地整治工程其他直接费费率取2%，机械固沙工程其他直接费取2.5%，其他工程的其他直接费费率取3.5%。</w:t>
      </w:r>
    </w:p>
    <w:p>
      <w:pPr>
        <w:pStyle w:val="15"/>
        <w:ind w:firstLine="480"/>
        <w:rPr>
          <w:rFonts w:eastAsia="仿宋_GB2312"/>
        </w:rPr>
      </w:pPr>
      <w:r>
        <w:rPr>
          <w:rFonts w:hint="eastAsia" w:eastAsia="仿宋_GB2312"/>
        </w:rPr>
        <w:t>3、</w:t>
      </w:r>
      <w:r>
        <w:rPr>
          <w:rFonts w:eastAsia="仿宋_GB2312"/>
        </w:rPr>
        <w:t>现场经费</w:t>
      </w:r>
    </w:p>
    <w:p>
      <w:pPr>
        <w:pStyle w:val="15"/>
        <w:ind w:firstLine="480"/>
        <w:rPr>
          <w:rFonts w:eastAsia="仿宋_GB2312"/>
        </w:rPr>
      </w:pPr>
      <w:r>
        <w:rPr>
          <w:rFonts w:eastAsia="仿宋_GB2312"/>
        </w:rPr>
        <w:t>以直接费为计费基础乘以相应的费率进行计算，费率按照水利部水总[2003]67号《开发建设项目水土保持工程（估）算编制规定》确定，见表7.1-1。</w:t>
      </w:r>
    </w:p>
    <w:p>
      <w:pPr>
        <w:pStyle w:val="15"/>
        <w:ind w:firstLine="480"/>
        <w:rPr>
          <w:rFonts w:eastAsia="仿宋_GB2312"/>
        </w:rPr>
      </w:pPr>
      <w:r>
        <w:rPr>
          <w:rFonts w:hint="eastAsia" w:eastAsia="仿宋_GB2312"/>
        </w:rPr>
        <w:t>4、</w:t>
      </w:r>
      <w:r>
        <w:rPr>
          <w:rFonts w:eastAsia="仿宋_GB2312"/>
        </w:rPr>
        <w:t>间接费</w:t>
      </w:r>
    </w:p>
    <w:p>
      <w:pPr>
        <w:pStyle w:val="15"/>
        <w:ind w:firstLine="480"/>
        <w:rPr>
          <w:rFonts w:eastAsia="仿宋_GB2312"/>
        </w:rPr>
      </w:pPr>
      <w:r>
        <w:rPr>
          <w:rFonts w:eastAsia="仿宋_GB2312"/>
        </w:rPr>
        <w:t>以直接工程费为计费基础乘以相应的费率进行计算，费率按照水利部水总[2003]67号《开发建设项目水土保持工程（估）算编制规定》确定，见表7.1-1。</w:t>
      </w:r>
    </w:p>
    <w:p>
      <w:pPr>
        <w:pStyle w:val="15"/>
        <w:ind w:firstLine="480"/>
        <w:rPr>
          <w:rFonts w:eastAsia="仿宋_GB2312"/>
        </w:rPr>
      </w:pPr>
      <w:r>
        <w:rPr>
          <w:rFonts w:eastAsia="仿宋_GB2312"/>
        </w:rPr>
        <w:t>现场经费、间接费费率取值见表7.1-1。</w:t>
      </w:r>
    </w:p>
    <w:p>
      <w:pPr>
        <w:pStyle w:val="15"/>
        <w:spacing w:line="240" w:lineRule="auto"/>
        <w:ind w:firstLine="0" w:firstLineChars="0"/>
        <w:jc w:val="center"/>
        <w:rPr>
          <w:rFonts w:eastAsia="仿宋_GB2312"/>
          <w:b/>
        </w:rPr>
      </w:pPr>
      <w:r>
        <w:rPr>
          <w:rFonts w:eastAsia="仿宋_GB2312"/>
          <w:b/>
        </w:rPr>
        <w:t>表7.1-1  现场经费、间接费费率取值表</w:t>
      </w:r>
    </w:p>
    <w:tbl>
      <w:tblPr>
        <w:tblStyle w:val="40"/>
        <w:tblW w:w="514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537"/>
        <w:gridCol w:w="1556"/>
        <w:gridCol w:w="1133"/>
        <w:gridCol w:w="1089"/>
        <w:gridCol w:w="1605"/>
        <w:gridCol w:w="1277"/>
        <w:gridCol w:w="155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465" w:type="pct"/>
            <w:gridSpan w:val="4"/>
            <w:vAlign w:val="center"/>
          </w:tcPr>
          <w:p>
            <w:pPr>
              <w:pStyle w:val="15"/>
              <w:spacing w:line="240" w:lineRule="auto"/>
              <w:ind w:firstLine="0" w:firstLineChars="0"/>
              <w:jc w:val="center"/>
              <w:rPr>
                <w:rFonts w:eastAsia="仿宋_GB2312"/>
                <w:sz w:val="21"/>
                <w:szCs w:val="21"/>
              </w:rPr>
            </w:pPr>
            <w:r>
              <w:rPr>
                <w:rFonts w:eastAsia="仿宋_GB2312"/>
                <w:sz w:val="21"/>
                <w:szCs w:val="21"/>
              </w:rPr>
              <w:t>现场经费</w:t>
            </w:r>
          </w:p>
        </w:tc>
        <w:tc>
          <w:tcPr>
            <w:tcW w:w="2535" w:type="pct"/>
            <w:gridSpan w:val="3"/>
            <w:vAlign w:val="center"/>
          </w:tcPr>
          <w:p>
            <w:pPr>
              <w:pStyle w:val="15"/>
              <w:spacing w:line="240" w:lineRule="auto"/>
              <w:ind w:firstLine="0" w:firstLineChars="0"/>
              <w:jc w:val="center"/>
              <w:rPr>
                <w:rFonts w:eastAsia="仿宋_GB2312"/>
                <w:sz w:val="21"/>
                <w:szCs w:val="21"/>
              </w:rPr>
            </w:pPr>
            <w:r>
              <w:rPr>
                <w:rFonts w:eastAsia="仿宋_GB2312"/>
                <w:sz w:val="21"/>
                <w:szCs w:val="21"/>
              </w:rPr>
              <w:t>间接费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07" w:type="pct"/>
            <w:vAlign w:val="center"/>
          </w:tcPr>
          <w:p>
            <w:pPr>
              <w:pStyle w:val="15"/>
              <w:spacing w:line="240" w:lineRule="auto"/>
              <w:ind w:firstLine="0" w:firstLineChars="0"/>
              <w:jc w:val="center"/>
              <w:rPr>
                <w:rFonts w:eastAsia="仿宋_GB2312"/>
                <w:sz w:val="21"/>
                <w:szCs w:val="21"/>
              </w:rPr>
            </w:pPr>
            <w:r>
              <w:rPr>
                <w:rFonts w:eastAsia="仿宋_GB2312"/>
                <w:sz w:val="21"/>
                <w:szCs w:val="21"/>
              </w:rPr>
              <w:t>序号</w:t>
            </w:r>
          </w:p>
        </w:tc>
        <w:tc>
          <w:tcPr>
            <w:tcW w:w="889" w:type="pct"/>
            <w:vAlign w:val="center"/>
          </w:tcPr>
          <w:p>
            <w:pPr>
              <w:pStyle w:val="15"/>
              <w:spacing w:line="240" w:lineRule="auto"/>
              <w:ind w:firstLine="0" w:firstLineChars="0"/>
              <w:jc w:val="center"/>
              <w:rPr>
                <w:rFonts w:eastAsia="仿宋_GB2312"/>
                <w:sz w:val="21"/>
                <w:szCs w:val="21"/>
              </w:rPr>
            </w:pPr>
            <w:r>
              <w:rPr>
                <w:rFonts w:eastAsia="仿宋_GB2312"/>
                <w:sz w:val="21"/>
                <w:szCs w:val="21"/>
              </w:rPr>
              <w:t>工程类别</w:t>
            </w:r>
          </w:p>
        </w:tc>
        <w:tc>
          <w:tcPr>
            <w:tcW w:w="647" w:type="pct"/>
            <w:vAlign w:val="center"/>
          </w:tcPr>
          <w:p>
            <w:pPr>
              <w:pStyle w:val="15"/>
              <w:spacing w:line="240" w:lineRule="auto"/>
              <w:ind w:firstLine="0" w:firstLineChars="0"/>
              <w:jc w:val="center"/>
              <w:rPr>
                <w:rFonts w:eastAsia="仿宋_GB2312"/>
                <w:sz w:val="21"/>
                <w:szCs w:val="21"/>
              </w:rPr>
            </w:pPr>
            <w:r>
              <w:rPr>
                <w:rFonts w:eastAsia="仿宋_GB2312"/>
                <w:sz w:val="21"/>
                <w:szCs w:val="21"/>
              </w:rPr>
              <w:t>计费基础</w:t>
            </w:r>
          </w:p>
        </w:tc>
        <w:tc>
          <w:tcPr>
            <w:tcW w:w="622" w:type="pct"/>
            <w:vAlign w:val="center"/>
          </w:tcPr>
          <w:p>
            <w:pPr>
              <w:pStyle w:val="15"/>
              <w:spacing w:line="240" w:lineRule="auto"/>
              <w:ind w:firstLine="0" w:firstLineChars="0"/>
              <w:jc w:val="center"/>
              <w:rPr>
                <w:rFonts w:eastAsia="仿宋_GB2312"/>
                <w:sz w:val="21"/>
                <w:szCs w:val="21"/>
              </w:rPr>
            </w:pPr>
            <w:r>
              <w:rPr>
                <w:rFonts w:eastAsia="仿宋_GB2312"/>
                <w:sz w:val="21"/>
                <w:szCs w:val="21"/>
              </w:rPr>
              <w:t>费率（%）</w:t>
            </w:r>
          </w:p>
        </w:tc>
        <w:tc>
          <w:tcPr>
            <w:tcW w:w="917" w:type="pct"/>
            <w:vAlign w:val="center"/>
          </w:tcPr>
          <w:p>
            <w:pPr>
              <w:pStyle w:val="15"/>
              <w:spacing w:line="240" w:lineRule="auto"/>
              <w:ind w:firstLine="0" w:firstLineChars="0"/>
              <w:jc w:val="center"/>
              <w:rPr>
                <w:rFonts w:eastAsia="仿宋_GB2312"/>
                <w:sz w:val="21"/>
                <w:szCs w:val="21"/>
              </w:rPr>
            </w:pPr>
            <w:r>
              <w:rPr>
                <w:rFonts w:eastAsia="仿宋_GB2312"/>
                <w:sz w:val="21"/>
                <w:szCs w:val="21"/>
              </w:rPr>
              <w:t>工程类别</w:t>
            </w:r>
          </w:p>
        </w:tc>
        <w:tc>
          <w:tcPr>
            <w:tcW w:w="729" w:type="pct"/>
            <w:vAlign w:val="center"/>
          </w:tcPr>
          <w:p>
            <w:pPr>
              <w:pStyle w:val="15"/>
              <w:spacing w:line="240" w:lineRule="auto"/>
              <w:ind w:firstLine="0" w:firstLineChars="0"/>
              <w:jc w:val="center"/>
              <w:rPr>
                <w:rFonts w:eastAsia="仿宋_GB2312"/>
                <w:sz w:val="21"/>
                <w:szCs w:val="21"/>
              </w:rPr>
            </w:pPr>
            <w:r>
              <w:rPr>
                <w:rFonts w:eastAsia="仿宋_GB2312"/>
                <w:sz w:val="21"/>
                <w:szCs w:val="21"/>
              </w:rPr>
              <w:t>计费基础</w:t>
            </w:r>
          </w:p>
        </w:tc>
        <w:tc>
          <w:tcPr>
            <w:tcW w:w="890" w:type="pct"/>
            <w:vAlign w:val="center"/>
          </w:tcPr>
          <w:p>
            <w:pPr>
              <w:pStyle w:val="15"/>
              <w:spacing w:line="240" w:lineRule="auto"/>
              <w:ind w:firstLine="0" w:firstLineChars="0"/>
              <w:jc w:val="center"/>
              <w:rPr>
                <w:rFonts w:eastAsia="仿宋_GB2312"/>
                <w:sz w:val="21"/>
                <w:szCs w:val="21"/>
              </w:rPr>
            </w:pPr>
            <w:r>
              <w:rPr>
                <w:rFonts w:eastAsia="仿宋_GB2312"/>
                <w:sz w:val="21"/>
                <w:szCs w:val="21"/>
              </w:rPr>
              <w:t>费率（%）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07" w:type="pct"/>
            <w:vAlign w:val="center"/>
          </w:tcPr>
          <w:p>
            <w:pPr>
              <w:pStyle w:val="15"/>
              <w:spacing w:line="240" w:lineRule="auto"/>
              <w:ind w:firstLine="0" w:firstLineChars="0"/>
              <w:jc w:val="center"/>
              <w:rPr>
                <w:rFonts w:eastAsia="仿宋_GB2312"/>
                <w:sz w:val="21"/>
                <w:szCs w:val="21"/>
              </w:rPr>
            </w:pPr>
            <w:r>
              <w:rPr>
                <w:rFonts w:eastAsia="仿宋_GB2312"/>
                <w:sz w:val="21"/>
                <w:szCs w:val="21"/>
              </w:rPr>
              <w:t>一</w:t>
            </w:r>
          </w:p>
        </w:tc>
        <w:tc>
          <w:tcPr>
            <w:tcW w:w="889" w:type="pct"/>
            <w:vAlign w:val="center"/>
          </w:tcPr>
          <w:p>
            <w:pPr>
              <w:pStyle w:val="15"/>
              <w:spacing w:line="240" w:lineRule="auto"/>
              <w:ind w:firstLine="0" w:firstLineChars="0"/>
              <w:jc w:val="center"/>
              <w:rPr>
                <w:rFonts w:eastAsia="仿宋_GB2312"/>
                <w:sz w:val="21"/>
                <w:szCs w:val="21"/>
              </w:rPr>
            </w:pPr>
            <w:r>
              <w:rPr>
                <w:rFonts w:eastAsia="仿宋_GB2312"/>
                <w:sz w:val="21"/>
                <w:szCs w:val="21"/>
              </w:rPr>
              <w:t>工程措施</w:t>
            </w:r>
          </w:p>
        </w:tc>
        <w:tc>
          <w:tcPr>
            <w:tcW w:w="647" w:type="pct"/>
            <w:vAlign w:val="center"/>
          </w:tcPr>
          <w:p>
            <w:pPr>
              <w:pStyle w:val="15"/>
              <w:spacing w:line="240" w:lineRule="auto"/>
              <w:ind w:firstLine="0" w:firstLineChars="0"/>
              <w:jc w:val="center"/>
              <w:rPr>
                <w:rFonts w:eastAsia="仿宋_GB2312"/>
                <w:sz w:val="21"/>
                <w:szCs w:val="21"/>
              </w:rPr>
            </w:pPr>
            <w:r>
              <w:rPr>
                <w:rFonts w:eastAsia="仿宋_GB2312"/>
                <w:sz w:val="21"/>
                <w:szCs w:val="21"/>
              </w:rPr>
              <w:t>直接费</w:t>
            </w:r>
          </w:p>
        </w:tc>
        <w:tc>
          <w:tcPr>
            <w:tcW w:w="622" w:type="pct"/>
            <w:vAlign w:val="center"/>
          </w:tcPr>
          <w:p>
            <w:pPr>
              <w:pStyle w:val="15"/>
              <w:spacing w:line="240" w:lineRule="auto"/>
              <w:ind w:firstLine="420"/>
              <w:jc w:val="center"/>
              <w:rPr>
                <w:rFonts w:eastAsia="仿宋_GB2312"/>
                <w:sz w:val="21"/>
                <w:szCs w:val="21"/>
              </w:rPr>
            </w:pPr>
          </w:p>
        </w:tc>
        <w:tc>
          <w:tcPr>
            <w:tcW w:w="917" w:type="pct"/>
            <w:vAlign w:val="center"/>
          </w:tcPr>
          <w:p>
            <w:pPr>
              <w:pStyle w:val="15"/>
              <w:spacing w:line="240" w:lineRule="auto"/>
              <w:ind w:firstLine="0" w:firstLineChars="0"/>
              <w:jc w:val="center"/>
              <w:rPr>
                <w:rFonts w:eastAsia="仿宋_GB2312"/>
                <w:sz w:val="21"/>
                <w:szCs w:val="21"/>
              </w:rPr>
            </w:pPr>
            <w:r>
              <w:rPr>
                <w:rFonts w:eastAsia="仿宋_GB2312"/>
                <w:sz w:val="21"/>
                <w:szCs w:val="21"/>
              </w:rPr>
              <w:t>工程措施</w:t>
            </w:r>
          </w:p>
        </w:tc>
        <w:tc>
          <w:tcPr>
            <w:tcW w:w="729" w:type="pct"/>
            <w:vAlign w:val="center"/>
          </w:tcPr>
          <w:p>
            <w:pPr>
              <w:pStyle w:val="15"/>
              <w:spacing w:line="240" w:lineRule="auto"/>
              <w:ind w:firstLine="420"/>
              <w:jc w:val="center"/>
              <w:rPr>
                <w:rFonts w:eastAsia="仿宋_GB2312"/>
                <w:sz w:val="21"/>
                <w:szCs w:val="21"/>
              </w:rPr>
            </w:pPr>
          </w:p>
        </w:tc>
        <w:tc>
          <w:tcPr>
            <w:tcW w:w="890" w:type="pct"/>
            <w:vAlign w:val="center"/>
          </w:tcPr>
          <w:p>
            <w:pPr>
              <w:pStyle w:val="15"/>
              <w:spacing w:line="240" w:lineRule="auto"/>
              <w:ind w:firstLine="420"/>
              <w:jc w:val="center"/>
              <w:rPr>
                <w:rFonts w:eastAsia="仿宋_GB2312"/>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07" w:type="pct"/>
            <w:vAlign w:val="center"/>
          </w:tcPr>
          <w:p>
            <w:pPr>
              <w:pStyle w:val="15"/>
              <w:spacing w:line="240" w:lineRule="auto"/>
              <w:ind w:firstLine="0" w:firstLineChars="0"/>
              <w:jc w:val="center"/>
              <w:rPr>
                <w:rFonts w:eastAsia="仿宋_GB2312"/>
                <w:sz w:val="21"/>
                <w:szCs w:val="21"/>
              </w:rPr>
            </w:pPr>
            <w:r>
              <w:rPr>
                <w:rFonts w:eastAsia="仿宋_GB2312"/>
                <w:sz w:val="21"/>
                <w:szCs w:val="21"/>
              </w:rPr>
              <w:t>1</w:t>
            </w:r>
          </w:p>
        </w:tc>
        <w:tc>
          <w:tcPr>
            <w:tcW w:w="889" w:type="pct"/>
            <w:vAlign w:val="center"/>
          </w:tcPr>
          <w:p>
            <w:pPr>
              <w:pStyle w:val="15"/>
              <w:spacing w:line="240" w:lineRule="auto"/>
              <w:ind w:firstLine="0" w:firstLineChars="0"/>
              <w:jc w:val="center"/>
              <w:rPr>
                <w:rFonts w:eastAsia="仿宋_GB2312"/>
                <w:sz w:val="21"/>
                <w:szCs w:val="21"/>
              </w:rPr>
            </w:pPr>
            <w:r>
              <w:rPr>
                <w:rFonts w:eastAsia="仿宋_GB2312"/>
                <w:sz w:val="21"/>
                <w:szCs w:val="21"/>
              </w:rPr>
              <w:t>土石方工程</w:t>
            </w:r>
          </w:p>
        </w:tc>
        <w:tc>
          <w:tcPr>
            <w:tcW w:w="647" w:type="pct"/>
            <w:vAlign w:val="center"/>
          </w:tcPr>
          <w:p>
            <w:pPr>
              <w:pStyle w:val="15"/>
              <w:spacing w:line="240" w:lineRule="auto"/>
              <w:ind w:firstLine="0" w:firstLineChars="0"/>
              <w:jc w:val="center"/>
              <w:rPr>
                <w:rFonts w:eastAsia="仿宋_GB2312"/>
                <w:sz w:val="21"/>
                <w:szCs w:val="21"/>
              </w:rPr>
            </w:pPr>
            <w:r>
              <w:rPr>
                <w:rFonts w:eastAsia="仿宋_GB2312"/>
                <w:sz w:val="21"/>
                <w:szCs w:val="21"/>
              </w:rPr>
              <w:t>直接费</w:t>
            </w:r>
          </w:p>
        </w:tc>
        <w:tc>
          <w:tcPr>
            <w:tcW w:w="622" w:type="pct"/>
            <w:vAlign w:val="center"/>
          </w:tcPr>
          <w:p>
            <w:pPr>
              <w:pStyle w:val="15"/>
              <w:spacing w:line="240" w:lineRule="auto"/>
              <w:ind w:firstLine="0" w:firstLineChars="0"/>
              <w:jc w:val="center"/>
              <w:rPr>
                <w:rFonts w:eastAsia="仿宋_GB2312"/>
                <w:sz w:val="21"/>
                <w:szCs w:val="21"/>
              </w:rPr>
            </w:pPr>
            <w:r>
              <w:rPr>
                <w:rFonts w:eastAsia="仿宋_GB2312"/>
                <w:sz w:val="21"/>
                <w:szCs w:val="21"/>
              </w:rPr>
              <w:t>3-5（取</w:t>
            </w:r>
            <w:r>
              <w:rPr>
                <w:rFonts w:hint="eastAsia" w:eastAsia="仿宋_GB2312"/>
                <w:sz w:val="21"/>
                <w:szCs w:val="21"/>
              </w:rPr>
              <w:t>5</w:t>
            </w:r>
            <w:r>
              <w:rPr>
                <w:rFonts w:eastAsia="仿宋_GB2312"/>
                <w:sz w:val="21"/>
                <w:szCs w:val="21"/>
              </w:rPr>
              <w:t>）</w:t>
            </w:r>
          </w:p>
        </w:tc>
        <w:tc>
          <w:tcPr>
            <w:tcW w:w="917" w:type="pct"/>
            <w:vAlign w:val="center"/>
          </w:tcPr>
          <w:p>
            <w:pPr>
              <w:pStyle w:val="15"/>
              <w:spacing w:line="240" w:lineRule="auto"/>
              <w:ind w:firstLine="0" w:firstLineChars="0"/>
              <w:jc w:val="center"/>
              <w:rPr>
                <w:rFonts w:eastAsia="仿宋_GB2312"/>
                <w:sz w:val="21"/>
                <w:szCs w:val="21"/>
              </w:rPr>
            </w:pPr>
            <w:r>
              <w:rPr>
                <w:rFonts w:eastAsia="仿宋_GB2312"/>
                <w:sz w:val="21"/>
                <w:szCs w:val="21"/>
              </w:rPr>
              <w:t>土石方工程</w:t>
            </w:r>
          </w:p>
        </w:tc>
        <w:tc>
          <w:tcPr>
            <w:tcW w:w="729" w:type="pct"/>
            <w:vAlign w:val="center"/>
          </w:tcPr>
          <w:p>
            <w:pPr>
              <w:pStyle w:val="15"/>
              <w:spacing w:line="240" w:lineRule="auto"/>
              <w:ind w:firstLine="0" w:firstLineChars="0"/>
              <w:jc w:val="center"/>
              <w:rPr>
                <w:rFonts w:eastAsia="仿宋_GB2312"/>
                <w:sz w:val="21"/>
                <w:szCs w:val="21"/>
              </w:rPr>
            </w:pPr>
            <w:r>
              <w:rPr>
                <w:rFonts w:eastAsia="仿宋_GB2312"/>
                <w:sz w:val="21"/>
                <w:szCs w:val="21"/>
              </w:rPr>
              <w:t>直接工程费</w:t>
            </w:r>
          </w:p>
        </w:tc>
        <w:tc>
          <w:tcPr>
            <w:tcW w:w="890" w:type="pct"/>
            <w:vAlign w:val="center"/>
          </w:tcPr>
          <w:p>
            <w:pPr>
              <w:pStyle w:val="15"/>
              <w:spacing w:line="240" w:lineRule="auto"/>
              <w:ind w:firstLine="0" w:firstLineChars="0"/>
              <w:jc w:val="center"/>
              <w:rPr>
                <w:rFonts w:eastAsia="仿宋_GB2312"/>
                <w:sz w:val="21"/>
                <w:szCs w:val="21"/>
              </w:rPr>
            </w:pPr>
            <w:r>
              <w:rPr>
                <w:rFonts w:eastAsia="仿宋_GB2312"/>
                <w:sz w:val="21"/>
                <w:szCs w:val="21"/>
              </w:rPr>
              <w:t>3.3-5.5（取</w:t>
            </w:r>
            <w:r>
              <w:rPr>
                <w:rFonts w:hint="eastAsia" w:eastAsia="仿宋_GB2312"/>
                <w:sz w:val="21"/>
                <w:szCs w:val="21"/>
              </w:rPr>
              <w:t>4.4</w:t>
            </w:r>
            <w:r>
              <w:rPr>
                <w:rFonts w:eastAsia="仿宋_GB2312"/>
                <w:sz w:val="21"/>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07" w:type="pct"/>
            <w:vAlign w:val="center"/>
          </w:tcPr>
          <w:p>
            <w:pPr>
              <w:pStyle w:val="15"/>
              <w:spacing w:line="240" w:lineRule="auto"/>
              <w:ind w:firstLine="0" w:firstLineChars="0"/>
              <w:jc w:val="center"/>
              <w:rPr>
                <w:rFonts w:eastAsia="仿宋_GB2312"/>
                <w:sz w:val="21"/>
                <w:szCs w:val="21"/>
              </w:rPr>
            </w:pPr>
            <w:r>
              <w:rPr>
                <w:rFonts w:eastAsia="仿宋_GB2312"/>
                <w:sz w:val="21"/>
                <w:szCs w:val="21"/>
              </w:rPr>
              <w:t>2</w:t>
            </w:r>
          </w:p>
        </w:tc>
        <w:tc>
          <w:tcPr>
            <w:tcW w:w="889" w:type="pct"/>
            <w:vAlign w:val="center"/>
          </w:tcPr>
          <w:p>
            <w:pPr>
              <w:pStyle w:val="15"/>
              <w:spacing w:line="240" w:lineRule="auto"/>
              <w:ind w:firstLine="0" w:firstLineChars="0"/>
              <w:jc w:val="center"/>
              <w:rPr>
                <w:rFonts w:eastAsia="仿宋_GB2312"/>
                <w:sz w:val="21"/>
                <w:szCs w:val="21"/>
              </w:rPr>
            </w:pPr>
            <w:r>
              <w:rPr>
                <w:rFonts w:eastAsia="仿宋_GB2312"/>
                <w:sz w:val="21"/>
                <w:szCs w:val="21"/>
              </w:rPr>
              <w:t>混凝土工程</w:t>
            </w:r>
          </w:p>
        </w:tc>
        <w:tc>
          <w:tcPr>
            <w:tcW w:w="647" w:type="pct"/>
            <w:vAlign w:val="center"/>
          </w:tcPr>
          <w:p>
            <w:pPr>
              <w:pStyle w:val="15"/>
              <w:spacing w:line="240" w:lineRule="auto"/>
              <w:ind w:firstLine="0" w:firstLineChars="0"/>
              <w:jc w:val="center"/>
              <w:rPr>
                <w:rFonts w:eastAsia="仿宋_GB2312"/>
                <w:sz w:val="21"/>
                <w:szCs w:val="21"/>
              </w:rPr>
            </w:pPr>
            <w:r>
              <w:rPr>
                <w:rFonts w:eastAsia="仿宋_GB2312"/>
                <w:sz w:val="21"/>
                <w:szCs w:val="21"/>
              </w:rPr>
              <w:t>直接费</w:t>
            </w:r>
          </w:p>
        </w:tc>
        <w:tc>
          <w:tcPr>
            <w:tcW w:w="622" w:type="pct"/>
            <w:vAlign w:val="center"/>
          </w:tcPr>
          <w:p>
            <w:pPr>
              <w:pStyle w:val="15"/>
              <w:spacing w:line="240" w:lineRule="auto"/>
              <w:ind w:firstLine="0" w:firstLineChars="0"/>
              <w:jc w:val="center"/>
              <w:rPr>
                <w:rFonts w:eastAsia="仿宋_GB2312"/>
                <w:sz w:val="21"/>
                <w:szCs w:val="21"/>
              </w:rPr>
            </w:pPr>
            <w:r>
              <w:rPr>
                <w:rFonts w:eastAsia="仿宋_GB2312"/>
                <w:sz w:val="21"/>
                <w:szCs w:val="21"/>
              </w:rPr>
              <w:t>6</w:t>
            </w:r>
          </w:p>
        </w:tc>
        <w:tc>
          <w:tcPr>
            <w:tcW w:w="917" w:type="pct"/>
            <w:vAlign w:val="center"/>
          </w:tcPr>
          <w:p>
            <w:pPr>
              <w:pStyle w:val="15"/>
              <w:spacing w:line="240" w:lineRule="auto"/>
              <w:ind w:firstLine="0" w:firstLineChars="0"/>
              <w:jc w:val="center"/>
              <w:rPr>
                <w:rFonts w:eastAsia="仿宋_GB2312"/>
                <w:sz w:val="21"/>
                <w:szCs w:val="21"/>
              </w:rPr>
            </w:pPr>
            <w:r>
              <w:rPr>
                <w:rFonts w:eastAsia="仿宋_GB2312"/>
                <w:sz w:val="21"/>
                <w:szCs w:val="21"/>
              </w:rPr>
              <w:t>混凝土工程</w:t>
            </w:r>
          </w:p>
        </w:tc>
        <w:tc>
          <w:tcPr>
            <w:tcW w:w="729" w:type="pct"/>
            <w:vAlign w:val="center"/>
          </w:tcPr>
          <w:p>
            <w:pPr>
              <w:pStyle w:val="15"/>
              <w:spacing w:line="240" w:lineRule="auto"/>
              <w:ind w:firstLine="0" w:firstLineChars="0"/>
              <w:jc w:val="center"/>
              <w:rPr>
                <w:rFonts w:eastAsia="仿宋_GB2312"/>
                <w:sz w:val="21"/>
                <w:szCs w:val="21"/>
              </w:rPr>
            </w:pPr>
            <w:r>
              <w:rPr>
                <w:rFonts w:eastAsia="仿宋_GB2312"/>
                <w:sz w:val="21"/>
                <w:szCs w:val="21"/>
              </w:rPr>
              <w:t>直接工程费</w:t>
            </w:r>
          </w:p>
        </w:tc>
        <w:tc>
          <w:tcPr>
            <w:tcW w:w="890" w:type="pct"/>
            <w:vAlign w:val="center"/>
          </w:tcPr>
          <w:p>
            <w:pPr>
              <w:pStyle w:val="15"/>
              <w:spacing w:line="240" w:lineRule="auto"/>
              <w:ind w:firstLine="0" w:firstLineChars="0"/>
              <w:jc w:val="center"/>
              <w:rPr>
                <w:rFonts w:eastAsia="仿宋_GB2312"/>
                <w:sz w:val="21"/>
                <w:szCs w:val="21"/>
              </w:rPr>
            </w:pPr>
            <w:r>
              <w:rPr>
                <w:rFonts w:eastAsia="仿宋_GB2312"/>
                <w:sz w:val="21"/>
                <w:szCs w:val="21"/>
              </w:rPr>
              <w:t>4.3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07" w:type="pct"/>
            <w:vAlign w:val="center"/>
          </w:tcPr>
          <w:p>
            <w:pPr>
              <w:pStyle w:val="15"/>
              <w:spacing w:line="240" w:lineRule="auto"/>
              <w:ind w:firstLine="0" w:firstLineChars="0"/>
              <w:jc w:val="center"/>
              <w:rPr>
                <w:rFonts w:eastAsia="仿宋_GB2312"/>
                <w:sz w:val="21"/>
                <w:szCs w:val="21"/>
              </w:rPr>
            </w:pPr>
            <w:r>
              <w:rPr>
                <w:rFonts w:eastAsia="仿宋_GB2312"/>
                <w:sz w:val="21"/>
                <w:szCs w:val="21"/>
              </w:rPr>
              <w:t>3</w:t>
            </w:r>
          </w:p>
        </w:tc>
        <w:tc>
          <w:tcPr>
            <w:tcW w:w="889" w:type="pct"/>
            <w:vAlign w:val="center"/>
          </w:tcPr>
          <w:p>
            <w:pPr>
              <w:pStyle w:val="15"/>
              <w:spacing w:line="240" w:lineRule="auto"/>
              <w:ind w:firstLine="0" w:firstLineChars="0"/>
              <w:jc w:val="center"/>
              <w:rPr>
                <w:rFonts w:eastAsia="仿宋_GB2312"/>
                <w:sz w:val="21"/>
                <w:szCs w:val="21"/>
              </w:rPr>
            </w:pPr>
            <w:r>
              <w:rPr>
                <w:rFonts w:eastAsia="仿宋_GB2312"/>
                <w:sz w:val="21"/>
                <w:szCs w:val="21"/>
              </w:rPr>
              <w:t>基础处理工程</w:t>
            </w:r>
          </w:p>
        </w:tc>
        <w:tc>
          <w:tcPr>
            <w:tcW w:w="647" w:type="pct"/>
            <w:vAlign w:val="center"/>
          </w:tcPr>
          <w:p>
            <w:pPr>
              <w:pStyle w:val="15"/>
              <w:spacing w:line="240" w:lineRule="auto"/>
              <w:ind w:firstLine="0" w:firstLineChars="0"/>
              <w:jc w:val="center"/>
              <w:rPr>
                <w:rFonts w:eastAsia="仿宋_GB2312"/>
                <w:sz w:val="21"/>
                <w:szCs w:val="21"/>
              </w:rPr>
            </w:pPr>
            <w:r>
              <w:rPr>
                <w:rFonts w:eastAsia="仿宋_GB2312"/>
                <w:sz w:val="21"/>
                <w:szCs w:val="21"/>
              </w:rPr>
              <w:t>直接费</w:t>
            </w:r>
          </w:p>
        </w:tc>
        <w:tc>
          <w:tcPr>
            <w:tcW w:w="622" w:type="pct"/>
            <w:vAlign w:val="center"/>
          </w:tcPr>
          <w:p>
            <w:pPr>
              <w:pStyle w:val="15"/>
              <w:spacing w:line="240" w:lineRule="auto"/>
              <w:ind w:firstLine="0" w:firstLineChars="0"/>
              <w:jc w:val="center"/>
              <w:rPr>
                <w:rFonts w:eastAsia="仿宋_GB2312"/>
                <w:sz w:val="21"/>
                <w:szCs w:val="21"/>
              </w:rPr>
            </w:pPr>
            <w:r>
              <w:rPr>
                <w:rFonts w:eastAsia="仿宋_GB2312"/>
                <w:sz w:val="21"/>
                <w:szCs w:val="21"/>
              </w:rPr>
              <w:t>6</w:t>
            </w:r>
          </w:p>
        </w:tc>
        <w:tc>
          <w:tcPr>
            <w:tcW w:w="917" w:type="pct"/>
            <w:vAlign w:val="center"/>
          </w:tcPr>
          <w:p>
            <w:pPr>
              <w:pStyle w:val="15"/>
              <w:spacing w:line="240" w:lineRule="auto"/>
              <w:ind w:firstLine="0" w:firstLineChars="0"/>
              <w:jc w:val="center"/>
              <w:rPr>
                <w:rFonts w:eastAsia="仿宋_GB2312"/>
                <w:sz w:val="21"/>
                <w:szCs w:val="21"/>
              </w:rPr>
            </w:pPr>
            <w:r>
              <w:rPr>
                <w:rFonts w:eastAsia="仿宋_GB2312"/>
                <w:sz w:val="21"/>
                <w:szCs w:val="21"/>
              </w:rPr>
              <w:t>基础处理工程</w:t>
            </w:r>
          </w:p>
        </w:tc>
        <w:tc>
          <w:tcPr>
            <w:tcW w:w="729" w:type="pct"/>
            <w:vAlign w:val="center"/>
          </w:tcPr>
          <w:p>
            <w:pPr>
              <w:pStyle w:val="15"/>
              <w:spacing w:line="240" w:lineRule="auto"/>
              <w:ind w:firstLine="0" w:firstLineChars="0"/>
              <w:jc w:val="center"/>
              <w:rPr>
                <w:rFonts w:eastAsia="仿宋_GB2312"/>
                <w:sz w:val="21"/>
                <w:szCs w:val="21"/>
              </w:rPr>
            </w:pPr>
            <w:r>
              <w:rPr>
                <w:rFonts w:eastAsia="仿宋_GB2312"/>
                <w:sz w:val="21"/>
                <w:szCs w:val="21"/>
              </w:rPr>
              <w:t>直接工程费</w:t>
            </w:r>
          </w:p>
        </w:tc>
        <w:tc>
          <w:tcPr>
            <w:tcW w:w="890" w:type="pct"/>
            <w:vAlign w:val="center"/>
          </w:tcPr>
          <w:p>
            <w:pPr>
              <w:pStyle w:val="15"/>
              <w:spacing w:line="240" w:lineRule="auto"/>
              <w:ind w:firstLine="0" w:firstLineChars="0"/>
              <w:jc w:val="center"/>
              <w:rPr>
                <w:rFonts w:eastAsia="仿宋_GB2312"/>
                <w:sz w:val="21"/>
                <w:szCs w:val="21"/>
              </w:rPr>
            </w:pPr>
            <w:r>
              <w:rPr>
                <w:rFonts w:eastAsia="仿宋_GB2312"/>
                <w:sz w:val="21"/>
                <w:szCs w:val="21"/>
              </w:rPr>
              <w:t>6.50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07" w:type="pct"/>
            <w:vAlign w:val="center"/>
          </w:tcPr>
          <w:p>
            <w:pPr>
              <w:pStyle w:val="15"/>
              <w:spacing w:line="240" w:lineRule="auto"/>
              <w:ind w:firstLine="0" w:firstLineChars="0"/>
              <w:jc w:val="center"/>
              <w:rPr>
                <w:rFonts w:eastAsia="仿宋_GB2312"/>
                <w:sz w:val="21"/>
                <w:szCs w:val="21"/>
              </w:rPr>
            </w:pPr>
            <w:r>
              <w:rPr>
                <w:rFonts w:eastAsia="仿宋_GB2312"/>
                <w:sz w:val="21"/>
                <w:szCs w:val="21"/>
              </w:rPr>
              <w:t>4</w:t>
            </w:r>
          </w:p>
        </w:tc>
        <w:tc>
          <w:tcPr>
            <w:tcW w:w="889" w:type="pct"/>
            <w:vAlign w:val="center"/>
          </w:tcPr>
          <w:p>
            <w:pPr>
              <w:pStyle w:val="15"/>
              <w:spacing w:line="240" w:lineRule="auto"/>
              <w:ind w:firstLine="0" w:firstLineChars="0"/>
              <w:jc w:val="center"/>
              <w:rPr>
                <w:rFonts w:eastAsia="仿宋_GB2312"/>
                <w:sz w:val="21"/>
                <w:szCs w:val="21"/>
              </w:rPr>
            </w:pPr>
            <w:r>
              <w:rPr>
                <w:rFonts w:eastAsia="仿宋_GB2312"/>
                <w:sz w:val="21"/>
                <w:szCs w:val="21"/>
              </w:rPr>
              <w:t>其他工程</w:t>
            </w:r>
          </w:p>
        </w:tc>
        <w:tc>
          <w:tcPr>
            <w:tcW w:w="647" w:type="pct"/>
            <w:vAlign w:val="center"/>
          </w:tcPr>
          <w:p>
            <w:pPr>
              <w:pStyle w:val="15"/>
              <w:spacing w:line="240" w:lineRule="auto"/>
              <w:ind w:firstLine="0" w:firstLineChars="0"/>
              <w:jc w:val="center"/>
              <w:rPr>
                <w:rFonts w:eastAsia="仿宋_GB2312"/>
                <w:sz w:val="21"/>
                <w:szCs w:val="21"/>
              </w:rPr>
            </w:pPr>
            <w:r>
              <w:rPr>
                <w:rFonts w:eastAsia="仿宋_GB2312"/>
                <w:sz w:val="21"/>
                <w:szCs w:val="21"/>
              </w:rPr>
              <w:t>直接费</w:t>
            </w:r>
          </w:p>
        </w:tc>
        <w:tc>
          <w:tcPr>
            <w:tcW w:w="622" w:type="pct"/>
            <w:vAlign w:val="center"/>
          </w:tcPr>
          <w:p>
            <w:pPr>
              <w:pStyle w:val="15"/>
              <w:spacing w:line="240" w:lineRule="auto"/>
              <w:ind w:firstLine="0" w:firstLineChars="0"/>
              <w:jc w:val="center"/>
              <w:rPr>
                <w:rFonts w:eastAsia="仿宋_GB2312"/>
                <w:sz w:val="21"/>
                <w:szCs w:val="21"/>
              </w:rPr>
            </w:pPr>
            <w:r>
              <w:rPr>
                <w:rFonts w:eastAsia="仿宋_GB2312"/>
                <w:sz w:val="21"/>
                <w:szCs w:val="21"/>
              </w:rPr>
              <w:t>5</w:t>
            </w:r>
          </w:p>
        </w:tc>
        <w:tc>
          <w:tcPr>
            <w:tcW w:w="917" w:type="pct"/>
            <w:vAlign w:val="center"/>
          </w:tcPr>
          <w:p>
            <w:pPr>
              <w:pStyle w:val="15"/>
              <w:spacing w:line="240" w:lineRule="auto"/>
              <w:ind w:firstLine="0" w:firstLineChars="0"/>
              <w:jc w:val="center"/>
              <w:rPr>
                <w:rFonts w:eastAsia="仿宋_GB2312"/>
                <w:sz w:val="21"/>
                <w:szCs w:val="21"/>
              </w:rPr>
            </w:pPr>
            <w:r>
              <w:rPr>
                <w:rFonts w:eastAsia="仿宋_GB2312"/>
                <w:sz w:val="21"/>
                <w:szCs w:val="21"/>
              </w:rPr>
              <w:t>其他工程</w:t>
            </w:r>
          </w:p>
        </w:tc>
        <w:tc>
          <w:tcPr>
            <w:tcW w:w="729" w:type="pct"/>
            <w:vAlign w:val="center"/>
          </w:tcPr>
          <w:p>
            <w:pPr>
              <w:pStyle w:val="15"/>
              <w:spacing w:line="240" w:lineRule="auto"/>
              <w:ind w:firstLine="0" w:firstLineChars="0"/>
              <w:jc w:val="center"/>
              <w:rPr>
                <w:rFonts w:eastAsia="仿宋_GB2312"/>
                <w:sz w:val="21"/>
                <w:szCs w:val="21"/>
              </w:rPr>
            </w:pPr>
            <w:r>
              <w:rPr>
                <w:rFonts w:eastAsia="仿宋_GB2312"/>
                <w:sz w:val="21"/>
                <w:szCs w:val="21"/>
              </w:rPr>
              <w:t>直接工程费</w:t>
            </w:r>
          </w:p>
        </w:tc>
        <w:tc>
          <w:tcPr>
            <w:tcW w:w="890" w:type="pct"/>
            <w:vAlign w:val="center"/>
          </w:tcPr>
          <w:p>
            <w:pPr>
              <w:pStyle w:val="15"/>
              <w:spacing w:line="240" w:lineRule="auto"/>
              <w:ind w:firstLine="0" w:firstLineChars="0"/>
              <w:jc w:val="center"/>
              <w:rPr>
                <w:rFonts w:eastAsia="仿宋_GB2312"/>
                <w:sz w:val="21"/>
                <w:szCs w:val="21"/>
              </w:rPr>
            </w:pPr>
            <w:r>
              <w:rPr>
                <w:rFonts w:eastAsia="仿宋_GB2312"/>
                <w:sz w:val="21"/>
                <w:szCs w:val="21"/>
              </w:rPr>
              <w:t>4.4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07" w:type="pct"/>
            <w:vAlign w:val="center"/>
          </w:tcPr>
          <w:p>
            <w:pPr>
              <w:pStyle w:val="15"/>
              <w:spacing w:line="240" w:lineRule="auto"/>
              <w:ind w:firstLine="0" w:firstLineChars="0"/>
              <w:jc w:val="center"/>
              <w:rPr>
                <w:rFonts w:eastAsia="仿宋_GB2312"/>
                <w:sz w:val="21"/>
                <w:szCs w:val="21"/>
              </w:rPr>
            </w:pPr>
            <w:r>
              <w:rPr>
                <w:rFonts w:eastAsia="仿宋_GB2312"/>
                <w:sz w:val="21"/>
                <w:szCs w:val="21"/>
              </w:rPr>
              <w:t>5</w:t>
            </w:r>
          </w:p>
        </w:tc>
        <w:tc>
          <w:tcPr>
            <w:tcW w:w="889" w:type="pct"/>
            <w:vAlign w:val="center"/>
          </w:tcPr>
          <w:p>
            <w:pPr>
              <w:pStyle w:val="15"/>
              <w:spacing w:line="240" w:lineRule="auto"/>
              <w:ind w:firstLine="0" w:firstLineChars="0"/>
              <w:jc w:val="center"/>
              <w:rPr>
                <w:rFonts w:eastAsia="仿宋_GB2312"/>
                <w:sz w:val="21"/>
                <w:szCs w:val="21"/>
              </w:rPr>
            </w:pPr>
            <w:r>
              <w:rPr>
                <w:rFonts w:eastAsia="仿宋_GB2312"/>
                <w:sz w:val="21"/>
                <w:szCs w:val="21"/>
              </w:rPr>
              <w:t>机械固沙工程</w:t>
            </w:r>
          </w:p>
        </w:tc>
        <w:tc>
          <w:tcPr>
            <w:tcW w:w="647" w:type="pct"/>
            <w:vAlign w:val="center"/>
          </w:tcPr>
          <w:p>
            <w:pPr>
              <w:pStyle w:val="15"/>
              <w:spacing w:line="240" w:lineRule="auto"/>
              <w:ind w:firstLine="0" w:firstLineChars="0"/>
              <w:jc w:val="center"/>
              <w:rPr>
                <w:rFonts w:eastAsia="仿宋_GB2312"/>
                <w:sz w:val="21"/>
                <w:szCs w:val="21"/>
              </w:rPr>
            </w:pPr>
            <w:r>
              <w:rPr>
                <w:rFonts w:eastAsia="仿宋_GB2312"/>
                <w:sz w:val="21"/>
                <w:szCs w:val="21"/>
              </w:rPr>
              <w:t>直接费</w:t>
            </w:r>
          </w:p>
        </w:tc>
        <w:tc>
          <w:tcPr>
            <w:tcW w:w="622" w:type="pct"/>
            <w:vAlign w:val="center"/>
          </w:tcPr>
          <w:p>
            <w:pPr>
              <w:pStyle w:val="15"/>
              <w:spacing w:line="240" w:lineRule="auto"/>
              <w:ind w:firstLine="0" w:firstLineChars="0"/>
              <w:jc w:val="center"/>
              <w:rPr>
                <w:rFonts w:eastAsia="仿宋_GB2312"/>
                <w:sz w:val="21"/>
                <w:szCs w:val="21"/>
              </w:rPr>
            </w:pPr>
            <w:r>
              <w:rPr>
                <w:rFonts w:eastAsia="仿宋_GB2312"/>
                <w:sz w:val="21"/>
                <w:szCs w:val="21"/>
              </w:rPr>
              <w:t>3</w:t>
            </w:r>
          </w:p>
        </w:tc>
        <w:tc>
          <w:tcPr>
            <w:tcW w:w="917" w:type="pct"/>
            <w:vAlign w:val="center"/>
          </w:tcPr>
          <w:p>
            <w:pPr>
              <w:pStyle w:val="15"/>
              <w:spacing w:line="240" w:lineRule="auto"/>
              <w:ind w:firstLine="0" w:firstLineChars="0"/>
              <w:jc w:val="center"/>
              <w:rPr>
                <w:rFonts w:eastAsia="仿宋_GB2312"/>
                <w:sz w:val="21"/>
                <w:szCs w:val="21"/>
              </w:rPr>
            </w:pPr>
            <w:r>
              <w:rPr>
                <w:rFonts w:eastAsia="仿宋_GB2312"/>
                <w:sz w:val="21"/>
                <w:szCs w:val="21"/>
              </w:rPr>
              <w:t>机械固沙工程</w:t>
            </w:r>
          </w:p>
        </w:tc>
        <w:tc>
          <w:tcPr>
            <w:tcW w:w="729" w:type="pct"/>
            <w:vAlign w:val="center"/>
          </w:tcPr>
          <w:p>
            <w:pPr>
              <w:pStyle w:val="15"/>
              <w:spacing w:line="240" w:lineRule="auto"/>
              <w:ind w:firstLine="0" w:firstLineChars="0"/>
              <w:jc w:val="center"/>
              <w:rPr>
                <w:rFonts w:eastAsia="仿宋_GB2312"/>
                <w:sz w:val="21"/>
                <w:szCs w:val="21"/>
              </w:rPr>
            </w:pPr>
            <w:r>
              <w:rPr>
                <w:rFonts w:eastAsia="仿宋_GB2312"/>
                <w:sz w:val="21"/>
                <w:szCs w:val="21"/>
              </w:rPr>
              <w:t>直接工程费</w:t>
            </w:r>
          </w:p>
        </w:tc>
        <w:tc>
          <w:tcPr>
            <w:tcW w:w="890" w:type="pct"/>
            <w:vAlign w:val="center"/>
          </w:tcPr>
          <w:p>
            <w:pPr>
              <w:pStyle w:val="15"/>
              <w:spacing w:line="240" w:lineRule="auto"/>
              <w:ind w:firstLine="0" w:firstLineChars="0"/>
              <w:jc w:val="center"/>
              <w:rPr>
                <w:rFonts w:eastAsia="仿宋_GB2312"/>
                <w:sz w:val="21"/>
                <w:szCs w:val="21"/>
              </w:rPr>
            </w:pPr>
            <w:r>
              <w:rPr>
                <w:rFonts w:eastAsia="仿宋_GB2312"/>
                <w:sz w:val="21"/>
                <w:szCs w:val="21"/>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07" w:type="pct"/>
            <w:vAlign w:val="center"/>
          </w:tcPr>
          <w:p>
            <w:pPr>
              <w:pStyle w:val="15"/>
              <w:spacing w:line="240" w:lineRule="auto"/>
              <w:ind w:firstLine="0" w:firstLineChars="0"/>
              <w:jc w:val="center"/>
              <w:rPr>
                <w:rFonts w:eastAsia="仿宋_GB2312"/>
                <w:sz w:val="21"/>
                <w:szCs w:val="21"/>
              </w:rPr>
            </w:pPr>
            <w:r>
              <w:rPr>
                <w:rFonts w:eastAsia="仿宋_GB2312"/>
                <w:sz w:val="21"/>
                <w:szCs w:val="21"/>
              </w:rPr>
              <w:t>二</w:t>
            </w:r>
          </w:p>
        </w:tc>
        <w:tc>
          <w:tcPr>
            <w:tcW w:w="889" w:type="pct"/>
            <w:vAlign w:val="center"/>
          </w:tcPr>
          <w:p>
            <w:pPr>
              <w:pStyle w:val="15"/>
              <w:spacing w:line="240" w:lineRule="auto"/>
              <w:ind w:firstLine="0" w:firstLineChars="0"/>
              <w:jc w:val="center"/>
              <w:rPr>
                <w:rFonts w:eastAsia="仿宋_GB2312"/>
                <w:sz w:val="21"/>
                <w:szCs w:val="21"/>
              </w:rPr>
            </w:pPr>
            <w:r>
              <w:rPr>
                <w:rFonts w:eastAsia="仿宋_GB2312"/>
                <w:sz w:val="21"/>
                <w:szCs w:val="21"/>
              </w:rPr>
              <w:t>植物措施</w:t>
            </w:r>
          </w:p>
        </w:tc>
        <w:tc>
          <w:tcPr>
            <w:tcW w:w="647" w:type="pct"/>
            <w:vAlign w:val="center"/>
          </w:tcPr>
          <w:p>
            <w:pPr>
              <w:pStyle w:val="15"/>
              <w:spacing w:line="240" w:lineRule="auto"/>
              <w:ind w:firstLine="0" w:firstLineChars="0"/>
              <w:jc w:val="center"/>
              <w:rPr>
                <w:rFonts w:eastAsia="仿宋_GB2312"/>
                <w:sz w:val="21"/>
                <w:szCs w:val="21"/>
              </w:rPr>
            </w:pPr>
            <w:r>
              <w:rPr>
                <w:rFonts w:eastAsia="仿宋_GB2312"/>
                <w:sz w:val="21"/>
                <w:szCs w:val="21"/>
              </w:rPr>
              <w:t>直接费</w:t>
            </w:r>
          </w:p>
        </w:tc>
        <w:tc>
          <w:tcPr>
            <w:tcW w:w="622" w:type="pct"/>
            <w:vAlign w:val="center"/>
          </w:tcPr>
          <w:p>
            <w:pPr>
              <w:pStyle w:val="15"/>
              <w:spacing w:line="240" w:lineRule="auto"/>
              <w:ind w:firstLine="0" w:firstLineChars="0"/>
              <w:jc w:val="center"/>
              <w:rPr>
                <w:rFonts w:eastAsia="仿宋_GB2312"/>
                <w:sz w:val="21"/>
                <w:szCs w:val="21"/>
              </w:rPr>
            </w:pPr>
            <w:r>
              <w:rPr>
                <w:rFonts w:eastAsia="仿宋_GB2312"/>
                <w:sz w:val="21"/>
                <w:szCs w:val="21"/>
              </w:rPr>
              <w:t>3</w:t>
            </w:r>
          </w:p>
        </w:tc>
        <w:tc>
          <w:tcPr>
            <w:tcW w:w="917" w:type="pct"/>
            <w:vAlign w:val="center"/>
          </w:tcPr>
          <w:p>
            <w:pPr>
              <w:pStyle w:val="15"/>
              <w:spacing w:line="240" w:lineRule="auto"/>
              <w:ind w:firstLine="0" w:firstLineChars="0"/>
              <w:jc w:val="center"/>
              <w:rPr>
                <w:rFonts w:eastAsia="仿宋_GB2312"/>
                <w:sz w:val="21"/>
                <w:szCs w:val="21"/>
              </w:rPr>
            </w:pPr>
            <w:r>
              <w:rPr>
                <w:rFonts w:eastAsia="仿宋_GB2312"/>
                <w:sz w:val="21"/>
                <w:szCs w:val="21"/>
              </w:rPr>
              <w:t>植物措施</w:t>
            </w:r>
          </w:p>
        </w:tc>
        <w:tc>
          <w:tcPr>
            <w:tcW w:w="729" w:type="pct"/>
            <w:vAlign w:val="center"/>
          </w:tcPr>
          <w:p>
            <w:pPr>
              <w:pStyle w:val="15"/>
              <w:spacing w:line="240" w:lineRule="auto"/>
              <w:ind w:firstLine="0" w:firstLineChars="0"/>
              <w:jc w:val="center"/>
              <w:rPr>
                <w:rFonts w:eastAsia="仿宋_GB2312"/>
                <w:sz w:val="21"/>
                <w:szCs w:val="21"/>
              </w:rPr>
            </w:pPr>
            <w:r>
              <w:rPr>
                <w:rFonts w:eastAsia="仿宋_GB2312"/>
                <w:sz w:val="21"/>
                <w:szCs w:val="21"/>
              </w:rPr>
              <w:t>直接工程费</w:t>
            </w:r>
          </w:p>
        </w:tc>
        <w:tc>
          <w:tcPr>
            <w:tcW w:w="890" w:type="pct"/>
            <w:vAlign w:val="center"/>
          </w:tcPr>
          <w:p>
            <w:pPr>
              <w:pStyle w:val="15"/>
              <w:spacing w:line="240" w:lineRule="auto"/>
              <w:ind w:firstLine="0" w:firstLineChars="0"/>
              <w:jc w:val="center"/>
              <w:rPr>
                <w:rFonts w:eastAsia="仿宋_GB2312"/>
                <w:sz w:val="21"/>
                <w:szCs w:val="21"/>
              </w:rPr>
            </w:pPr>
            <w:r>
              <w:rPr>
                <w:rFonts w:hint="eastAsia" w:eastAsia="仿宋_GB2312"/>
                <w:sz w:val="21"/>
                <w:szCs w:val="21"/>
              </w:rPr>
              <w:t>3.3</w:t>
            </w:r>
          </w:p>
        </w:tc>
      </w:tr>
    </w:tbl>
    <w:p>
      <w:pPr>
        <w:pStyle w:val="15"/>
        <w:ind w:firstLine="420"/>
        <w:rPr>
          <w:rFonts w:eastAsia="仿宋_GB2312"/>
        </w:rPr>
      </w:pPr>
      <w:r>
        <w:rPr>
          <w:rFonts w:eastAsia="仿宋_GB2312"/>
          <w:sz w:val="21"/>
          <w:szCs w:val="21"/>
        </w:rPr>
        <w:t>注：土地整治工程取下限，本方案中其他项目取中值</w:t>
      </w:r>
      <w:r>
        <w:rPr>
          <w:rFonts w:eastAsia="仿宋_GB2312"/>
        </w:rPr>
        <w:t>。</w:t>
      </w:r>
    </w:p>
    <w:p>
      <w:pPr>
        <w:pStyle w:val="15"/>
        <w:ind w:firstLine="480"/>
        <w:rPr>
          <w:rFonts w:eastAsia="仿宋_GB2312"/>
        </w:rPr>
      </w:pPr>
      <w:r>
        <w:rPr>
          <w:rFonts w:hint="eastAsia" w:eastAsia="仿宋_GB2312"/>
        </w:rPr>
        <w:t>5、</w:t>
      </w:r>
      <w:r>
        <w:rPr>
          <w:rFonts w:eastAsia="仿宋_GB2312"/>
        </w:rPr>
        <w:t>企业利润</w:t>
      </w:r>
    </w:p>
    <w:p>
      <w:pPr>
        <w:pStyle w:val="15"/>
        <w:ind w:firstLine="480"/>
        <w:rPr>
          <w:rFonts w:eastAsia="仿宋_GB2312"/>
        </w:rPr>
      </w:pPr>
      <w:r>
        <w:rPr>
          <w:rFonts w:eastAsia="仿宋_GB2312"/>
        </w:rPr>
        <w:t>工程措施取直接工程费和间接费之和的7%，植物措施取直接工程费和间接费之和的5%。</w:t>
      </w:r>
    </w:p>
    <w:p>
      <w:pPr>
        <w:pStyle w:val="15"/>
        <w:ind w:firstLine="480"/>
        <w:rPr>
          <w:rFonts w:eastAsia="仿宋_GB2312"/>
        </w:rPr>
      </w:pPr>
      <w:r>
        <w:rPr>
          <w:rFonts w:hint="eastAsia" w:eastAsia="仿宋_GB2312"/>
        </w:rPr>
        <w:t>6、</w:t>
      </w:r>
      <w:r>
        <w:rPr>
          <w:rFonts w:eastAsia="仿宋_GB2312"/>
        </w:rPr>
        <w:t>税金</w:t>
      </w:r>
    </w:p>
    <w:p>
      <w:pPr>
        <w:pStyle w:val="15"/>
        <w:ind w:firstLine="480"/>
        <w:rPr>
          <w:rFonts w:eastAsia="仿宋_GB2312"/>
        </w:rPr>
      </w:pPr>
      <w:r>
        <w:rPr>
          <w:rFonts w:eastAsia="仿宋_GB2312"/>
        </w:rPr>
        <w:t>税金按增值税税率</w:t>
      </w:r>
      <w:r>
        <w:rPr>
          <w:rFonts w:hint="eastAsia" w:eastAsia="仿宋_GB2312"/>
        </w:rPr>
        <w:t>9</w:t>
      </w:r>
      <w:r>
        <w:rPr>
          <w:rFonts w:eastAsia="仿宋_GB2312"/>
        </w:rPr>
        <w:t>%计算。</w:t>
      </w:r>
    </w:p>
    <w:p>
      <w:pPr>
        <w:pStyle w:val="15"/>
        <w:ind w:firstLine="480"/>
        <w:rPr>
          <w:rFonts w:eastAsia="仿宋_GB2312"/>
        </w:rPr>
      </w:pPr>
      <w:r>
        <w:rPr>
          <w:rFonts w:hint="eastAsia" w:eastAsia="仿宋_GB2312"/>
        </w:rPr>
        <w:t>7、扩大10%</w:t>
      </w:r>
    </w:p>
    <w:p>
      <w:pPr>
        <w:pStyle w:val="15"/>
        <w:ind w:firstLine="480"/>
        <w:rPr>
          <w:rFonts w:eastAsia="仿宋_GB2312"/>
        </w:rPr>
      </w:pPr>
      <w:r>
        <w:rPr>
          <w:rFonts w:eastAsia="仿宋_GB2312"/>
        </w:rPr>
        <w:t>直接工程费</w:t>
      </w:r>
      <w:r>
        <w:rPr>
          <w:rFonts w:hint="eastAsia" w:eastAsia="仿宋_GB2312"/>
        </w:rPr>
        <w:t>、</w:t>
      </w:r>
      <w:r>
        <w:rPr>
          <w:rFonts w:eastAsia="仿宋_GB2312"/>
        </w:rPr>
        <w:t>间接费</w:t>
      </w:r>
      <w:r>
        <w:rPr>
          <w:rFonts w:hint="eastAsia" w:eastAsia="仿宋_GB2312"/>
        </w:rPr>
        <w:t>、企业利润、税金之和的10%。</w:t>
      </w:r>
    </w:p>
    <w:p>
      <w:pPr>
        <w:pStyle w:val="15"/>
        <w:ind w:firstLine="480"/>
        <w:rPr>
          <w:rFonts w:eastAsia="仿宋_GB2312"/>
        </w:rPr>
      </w:pPr>
      <w:r>
        <w:rPr>
          <w:rFonts w:eastAsia="仿宋_GB2312"/>
        </w:rPr>
        <w:t>（三）水土保持分部工程概（估）算编制</w:t>
      </w:r>
    </w:p>
    <w:p>
      <w:pPr>
        <w:pStyle w:val="15"/>
        <w:ind w:firstLine="480"/>
        <w:rPr>
          <w:rFonts w:eastAsia="仿宋_GB2312"/>
        </w:rPr>
      </w:pPr>
      <w:r>
        <w:rPr>
          <w:rFonts w:eastAsia="仿宋_GB2312"/>
        </w:rPr>
        <w:t>1、工程措施</w:t>
      </w:r>
    </w:p>
    <w:p>
      <w:pPr>
        <w:pStyle w:val="15"/>
        <w:ind w:firstLine="480"/>
        <w:rPr>
          <w:rFonts w:eastAsia="仿宋_GB2312"/>
        </w:rPr>
      </w:pPr>
      <w:r>
        <w:rPr>
          <w:rFonts w:eastAsia="仿宋_GB2312"/>
        </w:rPr>
        <w:t>工程措施</w:t>
      </w:r>
      <w:r>
        <w:rPr>
          <w:rFonts w:hint="eastAsia" w:eastAsia="仿宋_GB2312"/>
        </w:rPr>
        <w:t>估算</w:t>
      </w:r>
      <w:r>
        <w:rPr>
          <w:rFonts w:eastAsia="仿宋_GB2312"/>
        </w:rPr>
        <w:t>根据设计工程量乘以单价进行编制。</w:t>
      </w:r>
    </w:p>
    <w:p>
      <w:pPr>
        <w:pStyle w:val="15"/>
        <w:ind w:firstLine="480"/>
        <w:rPr>
          <w:rFonts w:eastAsia="仿宋_GB2312"/>
        </w:rPr>
      </w:pPr>
      <w:r>
        <w:rPr>
          <w:rFonts w:eastAsia="仿宋_GB2312"/>
        </w:rPr>
        <w:t>2、植物措施</w:t>
      </w:r>
    </w:p>
    <w:p>
      <w:pPr>
        <w:pStyle w:val="15"/>
        <w:ind w:firstLine="480"/>
        <w:rPr>
          <w:rFonts w:eastAsia="仿宋_GB2312"/>
        </w:rPr>
      </w:pPr>
      <w:r>
        <w:rPr>
          <w:rFonts w:eastAsia="仿宋_GB2312"/>
        </w:rPr>
        <w:t>植物措施费由苗木、种子等材料费和栽（种）植费组成。植物措施材料费由苗木、草、种子的预算价格乘以数量进行编制；栽（种）植费根据设计工程量乘以单价进行编制。</w:t>
      </w:r>
    </w:p>
    <w:p>
      <w:pPr>
        <w:pStyle w:val="15"/>
        <w:ind w:firstLine="480"/>
        <w:rPr>
          <w:rFonts w:eastAsia="仿宋_GB2312"/>
        </w:rPr>
      </w:pPr>
      <w:r>
        <w:rPr>
          <w:rFonts w:eastAsia="仿宋_GB2312"/>
        </w:rPr>
        <w:t>3、施工临时工程</w:t>
      </w:r>
    </w:p>
    <w:p>
      <w:pPr>
        <w:pStyle w:val="15"/>
        <w:ind w:firstLine="480"/>
        <w:rPr>
          <w:rFonts w:eastAsia="仿宋_GB2312"/>
        </w:rPr>
      </w:pPr>
      <w:r>
        <w:rPr>
          <w:rFonts w:eastAsia="仿宋_GB2312"/>
        </w:rPr>
        <w:t>临时防护工程根据设计方案的工程量乘以单价进行编制，临时防护工程单价组成及计算方法同工程措施单价。</w:t>
      </w:r>
    </w:p>
    <w:p>
      <w:pPr>
        <w:pStyle w:val="15"/>
        <w:ind w:firstLine="480"/>
        <w:rPr>
          <w:rFonts w:eastAsia="仿宋_GB2312"/>
        </w:rPr>
      </w:pPr>
      <w:r>
        <w:rPr>
          <w:rFonts w:eastAsia="仿宋_GB2312"/>
        </w:rPr>
        <w:t>其他临时工程按第一部分工程措施和第二部分植物措施投资的2.0%编制。</w:t>
      </w:r>
    </w:p>
    <w:p>
      <w:pPr>
        <w:pStyle w:val="15"/>
        <w:ind w:firstLine="480"/>
        <w:rPr>
          <w:rFonts w:eastAsia="仿宋_GB2312"/>
        </w:rPr>
      </w:pPr>
      <w:r>
        <w:rPr>
          <w:rFonts w:eastAsia="仿宋_GB2312"/>
        </w:rPr>
        <w:t>4、独立费用</w:t>
      </w:r>
    </w:p>
    <w:p>
      <w:pPr>
        <w:pStyle w:val="15"/>
        <w:ind w:firstLine="480"/>
        <w:rPr>
          <w:rFonts w:eastAsia="仿宋_GB2312"/>
        </w:rPr>
      </w:pPr>
      <w:r>
        <w:rPr>
          <w:rFonts w:eastAsia="仿宋_GB2312"/>
        </w:rPr>
        <w:t>1）建设管理费：依据《水土保持工程概（估）算编制规定》，按第一至第三部分之和的2%计取。</w:t>
      </w:r>
    </w:p>
    <w:p>
      <w:pPr>
        <w:pStyle w:val="15"/>
        <w:ind w:firstLine="480"/>
        <w:rPr>
          <w:rFonts w:eastAsia="仿宋_GB2312"/>
        </w:rPr>
      </w:pPr>
      <w:r>
        <w:rPr>
          <w:rFonts w:eastAsia="仿宋_GB2312"/>
        </w:rPr>
        <w:t>2）工程建设监理费：</w:t>
      </w:r>
      <w:r>
        <w:rPr>
          <w:rFonts w:hint="eastAsia" w:eastAsia="仿宋_GB2312"/>
        </w:rPr>
        <w:t>根据国家发展改革委、建设部关于印发《建设工程监理与相关服务收费管理规定》的通知</w:t>
      </w:r>
      <w:r>
        <w:rPr>
          <w:rFonts w:eastAsia="仿宋_GB2312"/>
        </w:rPr>
        <w:t>(</w:t>
      </w:r>
      <w:r>
        <w:rPr>
          <w:rFonts w:hint="eastAsia" w:eastAsia="仿宋_GB2312"/>
        </w:rPr>
        <w:t>发改价格</w:t>
      </w:r>
      <w:r>
        <w:rPr>
          <w:rFonts w:eastAsia="仿宋_GB2312"/>
        </w:rPr>
        <w:t>[2007]670</w:t>
      </w:r>
      <w:r>
        <w:rPr>
          <w:rFonts w:hint="eastAsia" w:eastAsia="仿宋_GB2312"/>
        </w:rPr>
        <w:t>号</w:t>
      </w:r>
      <w:r>
        <w:rPr>
          <w:rFonts w:eastAsia="仿宋_GB2312"/>
        </w:rPr>
        <w:t>)</w:t>
      </w:r>
      <w:r>
        <w:rPr>
          <w:rFonts w:hint="eastAsia" w:eastAsia="仿宋_GB2312"/>
        </w:rPr>
        <w:t>计取，按人工费</w:t>
      </w:r>
      <w:r>
        <w:rPr>
          <w:rFonts w:eastAsia="仿宋_GB2312"/>
        </w:rPr>
        <w:t>8</w:t>
      </w:r>
      <w:r>
        <w:rPr>
          <w:rFonts w:hint="eastAsia" w:eastAsia="仿宋_GB2312"/>
        </w:rPr>
        <w:t>万元</w:t>
      </w:r>
      <w:r>
        <w:rPr>
          <w:rFonts w:eastAsia="仿宋_GB2312"/>
        </w:rPr>
        <w:t>/</w:t>
      </w:r>
      <w:r>
        <w:rPr>
          <w:rFonts w:hint="eastAsia" w:eastAsia="仿宋_GB2312"/>
        </w:rPr>
        <w:t>人</w:t>
      </w:r>
      <w:r>
        <w:rPr>
          <w:rFonts w:hint="eastAsia" w:ascii="仿宋_GB2312" w:eastAsia="仿宋_GB2312"/>
        </w:rPr>
        <w:t>·</w:t>
      </w:r>
      <w:r>
        <w:rPr>
          <w:rFonts w:hint="eastAsia" w:eastAsia="仿宋_GB2312"/>
        </w:rPr>
        <w:t>年。本工程需监理人员</w:t>
      </w:r>
      <w:r>
        <w:rPr>
          <w:rFonts w:eastAsia="仿宋_GB2312"/>
        </w:rPr>
        <w:t>1</w:t>
      </w:r>
      <w:r>
        <w:rPr>
          <w:rFonts w:hint="eastAsia" w:eastAsia="仿宋_GB2312"/>
        </w:rPr>
        <w:t>人。</w:t>
      </w:r>
    </w:p>
    <w:p>
      <w:pPr>
        <w:pStyle w:val="15"/>
        <w:ind w:firstLine="480"/>
        <w:rPr>
          <w:rFonts w:eastAsia="仿宋_GB2312"/>
        </w:rPr>
      </w:pPr>
      <w:r>
        <w:rPr>
          <w:rFonts w:eastAsia="仿宋_GB2312"/>
        </w:rPr>
        <w:t>3）科研勘测设计费</w:t>
      </w:r>
      <w:r>
        <w:rPr>
          <w:rFonts w:hint="eastAsia" w:eastAsia="仿宋_GB2312"/>
        </w:rPr>
        <w:t>：勘测设计费依据《工程勘察设计收费管理规定》</w:t>
      </w:r>
      <w:r>
        <w:rPr>
          <w:rFonts w:eastAsia="仿宋_GB2312"/>
        </w:rPr>
        <w:t>[2002]10</w:t>
      </w:r>
      <w:r>
        <w:rPr>
          <w:rFonts w:hint="eastAsia" w:eastAsia="仿宋_GB2312"/>
        </w:rPr>
        <w:t>号计列，并结合市场实际情况取费。</w:t>
      </w:r>
    </w:p>
    <w:p>
      <w:pPr>
        <w:pStyle w:val="15"/>
        <w:ind w:firstLine="480"/>
        <w:rPr>
          <w:rFonts w:eastAsia="仿宋_GB2312"/>
        </w:rPr>
      </w:pPr>
      <w:r>
        <w:rPr>
          <w:rFonts w:hint="eastAsia" w:eastAsia="仿宋_GB2312"/>
        </w:rPr>
        <w:t>4</w:t>
      </w:r>
      <w:r>
        <w:rPr>
          <w:rFonts w:eastAsia="仿宋_GB2312"/>
        </w:rPr>
        <w:t>）</w:t>
      </w:r>
      <w:r>
        <w:rPr>
          <w:rFonts w:hint="eastAsia" w:eastAsia="仿宋_GB2312"/>
        </w:rPr>
        <w:t>水土保持监测费：按监测土建设施费、消耗性材料费、仪器设备折旧费和监测人员费计取。</w:t>
      </w:r>
    </w:p>
    <w:p>
      <w:pPr>
        <w:pStyle w:val="15"/>
        <w:ind w:firstLine="480"/>
        <w:rPr>
          <w:rFonts w:eastAsia="仿宋_GB2312"/>
        </w:rPr>
      </w:pPr>
      <w:r>
        <w:rPr>
          <w:rFonts w:hint="eastAsia" w:eastAsia="仿宋_GB2312"/>
        </w:rPr>
        <w:t>5</w:t>
      </w:r>
      <w:r>
        <w:rPr>
          <w:rFonts w:eastAsia="仿宋_GB2312"/>
        </w:rPr>
        <w:t>）水土保持设施验收报告编制费</w:t>
      </w:r>
      <w:r>
        <w:rPr>
          <w:rFonts w:hint="eastAsia" w:eastAsia="仿宋_GB2312"/>
        </w:rPr>
        <w:t>：参照有关规定计列，并根据实际工作量复核</w:t>
      </w:r>
      <w:r>
        <w:rPr>
          <w:rFonts w:hint="eastAsia" w:ascii="仿宋_GB2312" w:hAnsi="Calibri" w:eastAsia="仿宋_GB2312" w:cs="仿宋_GB2312"/>
        </w:rPr>
        <w:t>，并参考同类工程市场价格计列。</w:t>
      </w:r>
    </w:p>
    <w:p>
      <w:pPr>
        <w:pStyle w:val="15"/>
        <w:ind w:firstLine="480"/>
        <w:rPr>
          <w:rFonts w:eastAsia="仿宋_GB2312"/>
        </w:rPr>
      </w:pPr>
      <w:r>
        <w:rPr>
          <w:rFonts w:eastAsia="仿宋_GB2312"/>
        </w:rPr>
        <w:t>5、预备费及建设期融资利息</w:t>
      </w:r>
    </w:p>
    <w:p>
      <w:pPr>
        <w:pStyle w:val="15"/>
        <w:ind w:firstLine="480"/>
        <w:rPr>
          <w:rFonts w:eastAsia="仿宋_GB2312"/>
        </w:rPr>
      </w:pPr>
      <w:r>
        <w:rPr>
          <w:rFonts w:eastAsia="仿宋_GB2312"/>
        </w:rPr>
        <w:t>1）预备费：包括基本预备费、价差预备费。基本预备费按一至四部分之和的</w:t>
      </w:r>
      <w:r>
        <w:rPr>
          <w:rFonts w:hint="eastAsia" w:eastAsia="仿宋_GB2312"/>
        </w:rPr>
        <w:t>6</w:t>
      </w:r>
      <w:r>
        <w:rPr>
          <w:rFonts w:eastAsia="仿宋_GB2312"/>
        </w:rPr>
        <w:t>%计，价差预备费暂不计取。</w:t>
      </w:r>
    </w:p>
    <w:p>
      <w:pPr>
        <w:pStyle w:val="15"/>
        <w:ind w:firstLine="480"/>
        <w:rPr>
          <w:rFonts w:eastAsia="仿宋_GB2312"/>
        </w:rPr>
      </w:pPr>
      <w:r>
        <w:rPr>
          <w:rFonts w:eastAsia="仿宋_GB2312"/>
        </w:rPr>
        <w:t>2）建设期融资利息</w:t>
      </w:r>
    </w:p>
    <w:p>
      <w:pPr>
        <w:pStyle w:val="15"/>
        <w:ind w:firstLine="480"/>
        <w:rPr>
          <w:rFonts w:eastAsia="仿宋_GB2312"/>
        </w:rPr>
      </w:pPr>
      <w:r>
        <w:rPr>
          <w:rFonts w:eastAsia="仿宋_GB2312"/>
        </w:rPr>
        <w:t>本项目水土保持工程所需费用由建设单位自筹资金解决，不涉及贷款项，因而不计算建设期融资利息。</w:t>
      </w:r>
    </w:p>
    <w:p>
      <w:pPr>
        <w:pStyle w:val="15"/>
        <w:ind w:firstLine="480"/>
        <w:rPr>
          <w:rFonts w:eastAsia="仿宋_GB2312"/>
        </w:rPr>
      </w:pPr>
      <w:r>
        <w:rPr>
          <w:rFonts w:eastAsia="仿宋_GB2312"/>
        </w:rPr>
        <w:t>6、水土保持补偿费</w:t>
      </w:r>
    </w:p>
    <w:p>
      <w:pPr>
        <w:pStyle w:val="15"/>
        <w:ind w:firstLine="480"/>
        <w:rPr>
          <w:rFonts w:eastAsia="仿宋_GB2312"/>
        </w:rPr>
      </w:pPr>
      <w:r>
        <w:rPr>
          <w:rFonts w:hint="eastAsia" w:eastAsia="仿宋_GB2312"/>
        </w:rPr>
        <w:t>根据根据新疆维吾尔自治区水利厅</w:t>
      </w:r>
      <w:r>
        <w:rPr>
          <w:rFonts w:eastAsia="仿宋_GB2312"/>
        </w:rPr>
        <w:t>《</w:t>
      </w:r>
      <w:r>
        <w:rPr>
          <w:rFonts w:hint="eastAsia" w:eastAsia="仿宋_GB2312"/>
        </w:rPr>
        <w:t>关于严格执行国家发展改革委财政部降低部分行政事业性收费标准的通知</w:t>
      </w:r>
      <w:r>
        <w:rPr>
          <w:rFonts w:eastAsia="仿宋_GB2312"/>
        </w:rPr>
        <w:t>》</w:t>
      </w:r>
      <w:r>
        <w:rPr>
          <w:rFonts w:hint="eastAsia" w:eastAsia="仿宋_GB2312"/>
        </w:rPr>
        <w:t>(新水办</w:t>
      </w:r>
      <w:r>
        <w:rPr>
          <w:rFonts w:eastAsia="仿宋_GB2312"/>
        </w:rPr>
        <w:t>[20</w:t>
      </w:r>
      <w:r>
        <w:rPr>
          <w:rFonts w:hint="eastAsia" w:eastAsia="仿宋_GB2312"/>
        </w:rPr>
        <w:t>20</w:t>
      </w:r>
      <w:r>
        <w:rPr>
          <w:rFonts w:eastAsia="仿宋_GB2312"/>
        </w:rPr>
        <w:t>]</w:t>
      </w:r>
      <w:r>
        <w:rPr>
          <w:rFonts w:hint="eastAsia" w:eastAsia="仿宋_GB2312"/>
        </w:rPr>
        <w:t>168号)和新政发</w:t>
      </w:r>
      <w:r>
        <w:rPr>
          <w:rFonts w:eastAsia="仿宋_GB2312"/>
        </w:rPr>
        <w:t>[2000]45</w:t>
      </w:r>
      <w:r>
        <w:rPr>
          <w:rFonts w:hint="eastAsia" w:eastAsia="仿宋_GB2312"/>
        </w:rPr>
        <w:t>号文颁发的《新疆维吾尔自治区水土保持设施补偿费、水土流失防治费收缴使用管理暂行规定》规定：“修建铁路、公路、水工程、电力工程等基础设施的，按实际占用地表面积每平方米</w:t>
      </w:r>
      <w:r>
        <w:rPr>
          <w:rFonts w:eastAsia="仿宋_GB2312"/>
        </w:rPr>
        <w:t>0.3</w:t>
      </w:r>
      <w:r>
        <w:rPr>
          <w:rFonts w:hint="eastAsia" w:eastAsia="仿宋_GB2312"/>
        </w:rPr>
        <w:t>元一次性缴纳”，本项目为市政基础设施工程，因此，本项目按实际占用地表面积每平米</w:t>
      </w:r>
      <w:r>
        <w:rPr>
          <w:rFonts w:eastAsia="仿宋_GB2312"/>
        </w:rPr>
        <w:t>0.3</w:t>
      </w:r>
      <w:r>
        <w:rPr>
          <w:rFonts w:hint="eastAsia" w:eastAsia="仿宋_GB2312"/>
        </w:rPr>
        <w:t>元一次性缴纳，本工程损坏水土保持设施面积为1.84</w:t>
      </w:r>
      <w:r>
        <w:rPr>
          <w:rFonts w:eastAsia="仿宋_GB2312"/>
        </w:rPr>
        <w:t>hm</w:t>
      </w:r>
      <w:r>
        <w:rPr>
          <w:rFonts w:eastAsia="仿宋_GB2312"/>
          <w:vertAlign w:val="superscript"/>
        </w:rPr>
        <w:t>2</w:t>
      </w:r>
      <w:r>
        <w:rPr>
          <w:rFonts w:hint="eastAsia" w:eastAsia="仿宋_GB2312"/>
        </w:rPr>
        <w:t>，需一次缴纳的水土保持补偿费0.55万元。</w:t>
      </w:r>
    </w:p>
    <w:p>
      <w:pPr>
        <w:pStyle w:val="15"/>
        <w:ind w:firstLine="480"/>
        <w:rPr>
          <w:rFonts w:eastAsia="仿宋_GB2312"/>
        </w:rPr>
      </w:pPr>
      <w:r>
        <w:rPr>
          <w:rFonts w:eastAsia="仿宋_GB2312"/>
        </w:rPr>
        <w:t>（四）水土保持分年度投资</w:t>
      </w:r>
    </w:p>
    <w:p>
      <w:pPr>
        <w:pStyle w:val="15"/>
        <w:ind w:firstLine="480"/>
        <w:rPr>
          <w:rFonts w:eastAsia="仿宋_GB2312"/>
        </w:rPr>
      </w:pPr>
      <w:r>
        <w:rPr>
          <w:rFonts w:eastAsia="仿宋_GB2312"/>
        </w:rPr>
        <w:t>根据施工进度安排，将工程措施、植物措施、</w:t>
      </w:r>
      <w:r>
        <w:rPr>
          <w:rFonts w:hint="eastAsia" w:eastAsia="仿宋_GB2312"/>
        </w:rPr>
        <w:t>临时措施</w:t>
      </w:r>
      <w:r>
        <w:rPr>
          <w:rFonts w:eastAsia="仿宋_GB2312"/>
        </w:rPr>
        <w:t>、独立费用分摊到各施工年度并以此计算预备费即为分年度投资。</w:t>
      </w:r>
    </w:p>
    <w:p>
      <w:pPr>
        <w:pStyle w:val="5"/>
      </w:pPr>
      <w:r>
        <w:rPr>
          <w:rFonts w:hint="eastAsia"/>
        </w:rPr>
        <w:t>估算</w:t>
      </w:r>
      <w:r>
        <w:t>成果</w:t>
      </w:r>
    </w:p>
    <w:p>
      <w:pPr>
        <w:pStyle w:val="15"/>
        <w:ind w:firstLine="480"/>
        <w:rPr>
          <w:rFonts w:eastAsia="仿宋_GB2312"/>
        </w:rPr>
      </w:pPr>
      <w:bookmarkStart w:id="315" w:name="_Toc291602476"/>
      <w:r>
        <w:rPr>
          <w:rFonts w:eastAsia="仿宋_GB2312"/>
        </w:rPr>
        <w:t>一、水土保持工程总投资</w:t>
      </w:r>
      <w:bookmarkEnd w:id="315"/>
    </w:p>
    <w:p>
      <w:pPr>
        <w:pStyle w:val="15"/>
        <w:ind w:firstLine="480"/>
        <w:rPr>
          <w:rFonts w:eastAsia="仿宋_GB2312"/>
          <w:color w:val="FF0000"/>
        </w:rPr>
      </w:pPr>
      <w:r>
        <w:rPr>
          <w:rFonts w:eastAsia="仿宋_GB2312"/>
          <w:color w:val="FF0000"/>
        </w:rPr>
        <w:t>本工程水土保持总投资</w:t>
      </w:r>
      <w:r>
        <w:rPr>
          <w:rFonts w:hint="eastAsia" w:eastAsia="仿宋_GB2312"/>
          <w:color w:val="FF0000"/>
        </w:rPr>
        <w:t>18.79</w:t>
      </w:r>
      <w:r>
        <w:rPr>
          <w:rFonts w:eastAsia="仿宋_GB2312"/>
          <w:color w:val="FF0000"/>
        </w:rPr>
        <w:t>万元，其中主体已列</w:t>
      </w:r>
      <w:r>
        <w:rPr>
          <w:rFonts w:hint="eastAsia" w:eastAsia="仿宋_GB2312"/>
          <w:color w:val="FF0000"/>
        </w:rPr>
        <w:t>0.75</w:t>
      </w:r>
      <w:r>
        <w:rPr>
          <w:rFonts w:eastAsia="仿宋_GB2312"/>
          <w:color w:val="FF0000"/>
        </w:rPr>
        <w:t>万元，本方案新增</w:t>
      </w:r>
      <w:r>
        <w:rPr>
          <w:rFonts w:hint="eastAsia" w:eastAsia="仿宋_GB2312"/>
          <w:color w:val="FF0000"/>
        </w:rPr>
        <w:t>18.05</w:t>
      </w:r>
      <w:r>
        <w:rPr>
          <w:rFonts w:eastAsia="仿宋_GB2312"/>
          <w:color w:val="FF0000"/>
        </w:rPr>
        <w:t>万元。</w:t>
      </w:r>
      <w:r>
        <w:rPr>
          <w:rFonts w:hint="eastAsia" w:eastAsia="仿宋_GB2312"/>
          <w:color w:val="FF0000"/>
        </w:rPr>
        <w:t>其</w:t>
      </w:r>
      <w:r>
        <w:rPr>
          <w:rFonts w:eastAsia="仿宋_GB2312"/>
          <w:color w:val="FF0000"/>
        </w:rPr>
        <w:t>中工程措施投资</w:t>
      </w:r>
      <w:r>
        <w:rPr>
          <w:rFonts w:hint="eastAsia" w:eastAsia="仿宋_GB2312"/>
          <w:color w:val="FF0000"/>
        </w:rPr>
        <w:t>0.75</w:t>
      </w:r>
      <w:r>
        <w:rPr>
          <w:rFonts w:eastAsia="仿宋_GB2312"/>
          <w:color w:val="FF0000"/>
        </w:rPr>
        <w:t>万元</w:t>
      </w:r>
      <w:r>
        <w:rPr>
          <w:rFonts w:hint="eastAsia" w:eastAsia="仿宋_GB2312"/>
          <w:color w:val="FF0000"/>
        </w:rPr>
        <w:t>，</w:t>
      </w:r>
      <w:r>
        <w:rPr>
          <w:rFonts w:eastAsia="仿宋_GB2312"/>
          <w:color w:val="FF0000"/>
        </w:rPr>
        <w:t>临时措施投资</w:t>
      </w:r>
      <w:r>
        <w:rPr>
          <w:rFonts w:hint="eastAsia" w:eastAsia="仿宋_GB2312"/>
          <w:color w:val="FF0000"/>
        </w:rPr>
        <w:t>3.42</w:t>
      </w:r>
      <w:r>
        <w:rPr>
          <w:rFonts w:eastAsia="仿宋_GB2312"/>
          <w:color w:val="FF0000"/>
        </w:rPr>
        <w:t>万元，独立费用</w:t>
      </w:r>
      <w:r>
        <w:rPr>
          <w:rFonts w:hint="eastAsia" w:eastAsia="仿宋_GB2312"/>
          <w:color w:val="FF0000"/>
        </w:rPr>
        <w:t>13.08</w:t>
      </w:r>
      <w:r>
        <w:rPr>
          <w:rFonts w:eastAsia="仿宋_GB2312"/>
          <w:color w:val="FF0000"/>
        </w:rPr>
        <w:t>万元（其中建设管理费为</w:t>
      </w:r>
      <w:r>
        <w:rPr>
          <w:rFonts w:hint="eastAsia" w:eastAsia="仿宋_GB2312"/>
          <w:color w:val="FF0000"/>
        </w:rPr>
        <w:t>0.08</w:t>
      </w:r>
      <w:r>
        <w:rPr>
          <w:rFonts w:eastAsia="仿宋_GB2312"/>
          <w:color w:val="FF0000"/>
        </w:rPr>
        <w:t>万元，</w:t>
      </w:r>
      <w:r>
        <w:rPr>
          <w:rFonts w:hint="eastAsia" w:eastAsia="仿宋_GB2312"/>
          <w:color w:val="FF0000"/>
        </w:rPr>
        <w:t>水土保持监理</w:t>
      </w:r>
      <w:r>
        <w:rPr>
          <w:rFonts w:eastAsia="仿宋_GB2312"/>
          <w:color w:val="FF0000"/>
        </w:rPr>
        <w:t>费</w:t>
      </w:r>
      <w:r>
        <w:rPr>
          <w:rFonts w:hint="eastAsia" w:eastAsia="仿宋_GB2312"/>
          <w:color w:val="FF0000"/>
        </w:rPr>
        <w:t>2.00</w:t>
      </w:r>
      <w:r>
        <w:rPr>
          <w:rFonts w:eastAsia="仿宋_GB2312"/>
          <w:color w:val="FF0000"/>
        </w:rPr>
        <w:t>万元，科研勘测设计</w:t>
      </w:r>
      <w:r>
        <w:rPr>
          <w:rFonts w:hint="eastAsia" w:eastAsia="仿宋_GB2312"/>
          <w:color w:val="FF0000"/>
        </w:rPr>
        <w:t>6.00</w:t>
      </w:r>
      <w:r>
        <w:rPr>
          <w:rFonts w:eastAsia="仿宋_GB2312"/>
          <w:color w:val="FF0000"/>
        </w:rPr>
        <w:t>万元</w:t>
      </w:r>
      <w:r>
        <w:rPr>
          <w:rFonts w:hint="eastAsia" w:eastAsia="仿宋_GB2312"/>
          <w:color w:val="FF0000"/>
        </w:rPr>
        <w:t>，</w:t>
      </w:r>
      <w:r>
        <w:rPr>
          <w:rFonts w:eastAsia="仿宋_GB2312"/>
          <w:color w:val="FF0000"/>
        </w:rPr>
        <w:t>水土保持设施验收报告编制费</w:t>
      </w:r>
      <w:r>
        <w:rPr>
          <w:rFonts w:hint="eastAsia" w:eastAsia="仿宋_GB2312"/>
          <w:color w:val="FF0000"/>
        </w:rPr>
        <w:t>5.00</w:t>
      </w:r>
      <w:r>
        <w:rPr>
          <w:rFonts w:eastAsia="仿宋_GB2312"/>
          <w:color w:val="FF0000"/>
        </w:rPr>
        <w:t>万元），基本预备费为</w:t>
      </w:r>
      <w:r>
        <w:rPr>
          <w:rFonts w:hint="eastAsia" w:eastAsia="仿宋_GB2312"/>
          <w:color w:val="FF0000"/>
        </w:rPr>
        <w:t>0.99</w:t>
      </w:r>
      <w:r>
        <w:rPr>
          <w:rFonts w:eastAsia="仿宋_GB2312"/>
          <w:color w:val="FF0000"/>
        </w:rPr>
        <w:t>万元</w:t>
      </w:r>
      <w:r>
        <w:rPr>
          <w:rFonts w:hint="eastAsia" w:eastAsia="仿宋_GB2312"/>
          <w:color w:val="FF0000"/>
        </w:rPr>
        <w:t>，水土保持补偿费0.55万元</w:t>
      </w:r>
      <w:r>
        <w:rPr>
          <w:rFonts w:eastAsia="仿宋_GB2312"/>
          <w:color w:val="FF0000"/>
        </w:rPr>
        <w:t>。</w:t>
      </w:r>
    </w:p>
    <w:p>
      <w:pPr>
        <w:pStyle w:val="15"/>
        <w:ind w:firstLine="480"/>
        <w:rPr>
          <w:rFonts w:eastAsia="仿宋_GB2312"/>
        </w:rPr>
      </w:pPr>
      <w:r>
        <w:rPr>
          <w:rFonts w:eastAsia="仿宋_GB2312"/>
        </w:rPr>
        <w:t>二、投资</w:t>
      </w:r>
      <w:r>
        <w:rPr>
          <w:rFonts w:hint="eastAsia" w:eastAsia="仿宋_GB2312"/>
        </w:rPr>
        <w:t>估算</w:t>
      </w:r>
      <w:r>
        <w:rPr>
          <w:rFonts w:eastAsia="仿宋_GB2312"/>
        </w:rPr>
        <w:t>表</w:t>
      </w:r>
    </w:p>
    <w:p>
      <w:pPr>
        <w:pStyle w:val="15"/>
        <w:ind w:firstLine="480"/>
        <w:rPr>
          <w:rFonts w:eastAsia="仿宋_GB2312"/>
        </w:rPr>
      </w:pPr>
      <w:r>
        <w:rPr>
          <w:rFonts w:eastAsia="仿宋_GB2312"/>
        </w:rPr>
        <w:t>表7.1-2水土保持投资</w:t>
      </w:r>
      <w:r>
        <w:rPr>
          <w:rFonts w:hint="eastAsia" w:eastAsia="仿宋_GB2312"/>
        </w:rPr>
        <w:t>估算</w:t>
      </w:r>
      <w:r>
        <w:rPr>
          <w:rFonts w:eastAsia="仿宋_GB2312"/>
        </w:rPr>
        <w:t>总表；</w:t>
      </w:r>
    </w:p>
    <w:p>
      <w:pPr>
        <w:pStyle w:val="15"/>
        <w:ind w:firstLine="480"/>
        <w:rPr>
          <w:rFonts w:eastAsia="仿宋_GB2312"/>
        </w:rPr>
      </w:pPr>
      <w:r>
        <w:rPr>
          <w:rFonts w:eastAsia="仿宋_GB2312"/>
        </w:rPr>
        <w:t>表7.1-</w:t>
      </w:r>
      <w:r>
        <w:rPr>
          <w:rFonts w:hint="eastAsia" w:eastAsia="仿宋_GB2312"/>
        </w:rPr>
        <w:t>3</w:t>
      </w:r>
      <w:r>
        <w:rPr>
          <w:rFonts w:eastAsia="仿宋_GB2312"/>
        </w:rPr>
        <w:t>水土保持</w:t>
      </w:r>
      <w:r>
        <w:rPr>
          <w:rFonts w:hint="eastAsia" w:eastAsia="仿宋_GB2312"/>
        </w:rPr>
        <w:t>新增</w:t>
      </w:r>
      <w:r>
        <w:rPr>
          <w:rFonts w:eastAsia="仿宋_GB2312"/>
        </w:rPr>
        <w:t>分部工程</w:t>
      </w:r>
      <w:r>
        <w:rPr>
          <w:rFonts w:hint="eastAsia" w:eastAsia="仿宋_GB2312"/>
        </w:rPr>
        <w:t>估算</w:t>
      </w:r>
      <w:r>
        <w:rPr>
          <w:rFonts w:eastAsia="仿宋_GB2312"/>
        </w:rPr>
        <w:t>表；</w:t>
      </w:r>
    </w:p>
    <w:p>
      <w:pPr>
        <w:pStyle w:val="15"/>
        <w:ind w:firstLine="480"/>
        <w:rPr>
          <w:rFonts w:eastAsia="仿宋_GB2312"/>
        </w:rPr>
      </w:pPr>
      <w:r>
        <w:rPr>
          <w:rFonts w:eastAsia="仿宋_GB2312"/>
        </w:rPr>
        <w:t>表7.1-</w:t>
      </w:r>
      <w:r>
        <w:rPr>
          <w:rFonts w:hint="eastAsia" w:eastAsia="仿宋_GB2312"/>
        </w:rPr>
        <w:t>4</w:t>
      </w:r>
      <w:r>
        <w:rPr>
          <w:rFonts w:eastAsia="仿宋_GB2312"/>
        </w:rPr>
        <w:t>水土保持工程分年度投资表；</w:t>
      </w:r>
    </w:p>
    <w:p>
      <w:pPr>
        <w:pStyle w:val="15"/>
        <w:ind w:firstLine="480"/>
        <w:rPr>
          <w:rFonts w:eastAsia="仿宋_GB2312"/>
        </w:rPr>
      </w:pPr>
      <w:r>
        <w:rPr>
          <w:rFonts w:eastAsia="仿宋_GB2312"/>
        </w:rPr>
        <w:t>表7.1-</w:t>
      </w:r>
      <w:r>
        <w:rPr>
          <w:rFonts w:hint="eastAsia" w:eastAsia="仿宋_GB2312"/>
        </w:rPr>
        <w:t>5</w:t>
      </w:r>
      <w:r>
        <w:rPr>
          <w:rFonts w:eastAsia="仿宋_GB2312"/>
        </w:rPr>
        <w:t>独立费用</w:t>
      </w:r>
      <w:r>
        <w:rPr>
          <w:rFonts w:hint="eastAsia" w:eastAsia="仿宋_GB2312"/>
        </w:rPr>
        <w:t>计算</w:t>
      </w:r>
      <w:r>
        <w:rPr>
          <w:rFonts w:eastAsia="仿宋_GB2312"/>
        </w:rPr>
        <w:t>表；</w:t>
      </w:r>
    </w:p>
    <w:p>
      <w:pPr>
        <w:pStyle w:val="15"/>
        <w:ind w:firstLine="480"/>
        <w:rPr>
          <w:rFonts w:eastAsia="仿宋_GB2312"/>
        </w:rPr>
      </w:pPr>
      <w:r>
        <w:rPr>
          <w:rFonts w:eastAsia="仿宋_GB2312"/>
        </w:rPr>
        <w:t>表7.1-</w:t>
      </w:r>
      <w:r>
        <w:rPr>
          <w:rFonts w:hint="eastAsia" w:eastAsia="仿宋_GB2312"/>
        </w:rPr>
        <w:t>6水土保持补偿费计算</w:t>
      </w:r>
      <w:r>
        <w:rPr>
          <w:rFonts w:eastAsia="仿宋_GB2312"/>
        </w:rPr>
        <w:t>表；</w:t>
      </w:r>
    </w:p>
    <w:p>
      <w:pPr>
        <w:pStyle w:val="15"/>
        <w:ind w:firstLine="480"/>
        <w:rPr>
          <w:rFonts w:eastAsia="仿宋_GB2312"/>
        </w:rPr>
      </w:pPr>
      <w:r>
        <w:rPr>
          <w:rFonts w:eastAsia="仿宋_GB2312"/>
        </w:rPr>
        <w:t>表7.1-</w:t>
      </w:r>
      <w:r>
        <w:rPr>
          <w:rFonts w:hint="eastAsia" w:eastAsia="仿宋_GB2312"/>
        </w:rPr>
        <w:t>7工程单价汇总</w:t>
      </w:r>
      <w:r>
        <w:rPr>
          <w:rFonts w:eastAsia="仿宋_GB2312"/>
        </w:rPr>
        <w:t>表；</w:t>
      </w:r>
    </w:p>
    <w:p>
      <w:pPr>
        <w:pStyle w:val="15"/>
        <w:ind w:firstLine="480"/>
        <w:rPr>
          <w:rFonts w:eastAsia="仿宋_GB2312"/>
        </w:rPr>
      </w:pPr>
      <w:r>
        <w:rPr>
          <w:rFonts w:eastAsia="仿宋_GB2312"/>
        </w:rPr>
        <w:t>表7.1-</w:t>
      </w:r>
      <w:r>
        <w:rPr>
          <w:rFonts w:hint="eastAsia" w:eastAsia="仿宋_GB2312"/>
        </w:rPr>
        <w:t>8施工机械台时费汇总表；</w:t>
      </w:r>
    </w:p>
    <w:p>
      <w:pPr>
        <w:pStyle w:val="15"/>
        <w:ind w:firstLine="480"/>
        <w:rPr>
          <w:rFonts w:eastAsia="仿宋_GB2312"/>
        </w:rPr>
      </w:pPr>
      <w:r>
        <w:rPr>
          <w:rFonts w:eastAsia="仿宋_GB2312"/>
        </w:rPr>
        <w:t>表7.1-</w:t>
      </w:r>
      <w:r>
        <w:rPr>
          <w:rFonts w:hint="eastAsia" w:eastAsia="仿宋_GB2312"/>
        </w:rPr>
        <w:t>9</w:t>
      </w:r>
      <w:r>
        <w:rPr>
          <w:rFonts w:eastAsia="仿宋_GB2312"/>
        </w:rPr>
        <w:t>主要材料</w:t>
      </w:r>
      <w:r>
        <w:rPr>
          <w:rFonts w:hint="eastAsia" w:eastAsia="仿宋_GB2312"/>
        </w:rPr>
        <w:t>单价</w:t>
      </w:r>
      <w:r>
        <w:rPr>
          <w:rFonts w:eastAsia="仿宋_GB2312"/>
        </w:rPr>
        <w:t>汇总表；</w:t>
      </w:r>
    </w:p>
    <w:p>
      <w:pPr>
        <w:pStyle w:val="86"/>
        <w:spacing w:line="240" w:lineRule="auto"/>
        <w:rPr>
          <w:rFonts w:eastAsia="仿宋_GB2312"/>
        </w:rPr>
        <w:sectPr>
          <w:headerReference r:id="rId22" w:type="default"/>
          <w:pgSz w:w="11906" w:h="16838"/>
          <w:pgMar w:top="1440" w:right="1803" w:bottom="1440" w:left="1803" w:header="851" w:footer="992" w:gutter="0"/>
          <w:cols w:space="720" w:num="1"/>
          <w:docGrid w:linePitch="326" w:charSpace="0"/>
        </w:sectPr>
      </w:pPr>
    </w:p>
    <w:p>
      <w:pPr>
        <w:pStyle w:val="86"/>
        <w:spacing w:line="240" w:lineRule="auto"/>
        <w:rPr>
          <w:rFonts w:eastAsia="仿宋_GB2312"/>
        </w:rPr>
      </w:pPr>
      <w:r>
        <w:rPr>
          <w:rFonts w:eastAsia="仿宋_GB2312"/>
        </w:rPr>
        <w:t>表7.1-2    水土保持措施投资</w:t>
      </w:r>
      <w:r>
        <w:rPr>
          <w:rFonts w:hint="eastAsia" w:eastAsia="仿宋_GB2312"/>
        </w:rPr>
        <w:t>估算</w:t>
      </w:r>
      <w:r>
        <w:rPr>
          <w:rFonts w:eastAsia="仿宋_GB2312"/>
        </w:rPr>
        <w:t>总表</w:t>
      </w:r>
      <w:r>
        <w:rPr>
          <w:rFonts w:eastAsia="仿宋_GB2312"/>
        </w:rPr>
        <w:tab/>
      </w:r>
      <w:r>
        <w:rPr>
          <w:rFonts w:eastAsia="仿宋_GB2312"/>
        </w:rPr>
        <w:tab/>
      </w:r>
      <w:bookmarkStart w:id="316" w:name="RANGE!A1:H31"/>
      <w:bookmarkEnd w:id="316"/>
      <w:bookmarkStart w:id="317" w:name="RANGE!A1:H27"/>
      <w:bookmarkEnd w:id="317"/>
      <w:r>
        <w:rPr>
          <w:rFonts w:eastAsia="仿宋_GB2312"/>
        </w:rPr>
        <w:t>单位：万元</w:t>
      </w:r>
    </w:p>
    <w:tbl>
      <w:tblPr>
        <w:tblStyle w:val="40"/>
        <w:tblW w:w="5044"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361"/>
        <w:gridCol w:w="2804"/>
        <w:gridCol w:w="714"/>
        <w:gridCol w:w="687"/>
        <w:gridCol w:w="724"/>
        <w:gridCol w:w="849"/>
        <w:gridCol w:w="852"/>
        <w:gridCol w:w="706"/>
        <w:gridCol w:w="706"/>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8" w:hRule="atLeast"/>
        </w:trPr>
        <w:tc>
          <w:tcPr>
            <w:tcW w:w="214" w:type="pct"/>
            <w:vMerge w:val="restart"/>
            <w:tcBorders>
              <w:tl2br w:val="nil"/>
              <w:tr2bl w:val="nil"/>
            </w:tcBorders>
            <w:shd w:val="clear" w:color="auto" w:fill="auto"/>
            <w:tcMar>
              <w:top w:w="12" w:type="dxa"/>
              <w:left w:w="12" w:type="dxa"/>
              <w:right w:w="12" w:type="dxa"/>
            </w:tcMar>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序号</w:t>
            </w:r>
          </w:p>
        </w:tc>
        <w:tc>
          <w:tcPr>
            <w:tcW w:w="1667" w:type="pct"/>
            <w:vMerge w:val="restart"/>
            <w:tcBorders>
              <w:tl2br w:val="nil"/>
              <w:tr2bl w:val="nil"/>
            </w:tcBorders>
            <w:shd w:val="clear" w:color="auto" w:fill="auto"/>
            <w:tcMar>
              <w:top w:w="12" w:type="dxa"/>
              <w:left w:w="12" w:type="dxa"/>
              <w:right w:w="12" w:type="dxa"/>
            </w:tcMar>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工程或费用名称</w:t>
            </w:r>
          </w:p>
        </w:tc>
        <w:tc>
          <w:tcPr>
            <w:tcW w:w="2276" w:type="pct"/>
            <w:gridSpan w:val="5"/>
            <w:tcBorders>
              <w:tl2br w:val="nil"/>
              <w:tr2bl w:val="nil"/>
            </w:tcBorders>
            <w:shd w:val="clear" w:color="auto" w:fill="auto"/>
            <w:tcMar>
              <w:top w:w="12" w:type="dxa"/>
              <w:left w:w="12" w:type="dxa"/>
              <w:right w:w="12" w:type="dxa"/>
            </w:tcMar>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方案新增措施投资</w:t>
            </w:r>
          </w:p>
        </w:tc>
        <w:tc>
          <w:tcPr>
            <w:tcW w:w="420" w:type="pct"/>
            <w:vMerge w:val="restart"/>
            <w:tcBorders>
              <w:tl2br w:val="nil"/>
              <w:tr2bl w:val="nil"/>
            </w:tcBorders>
            <w:shd w:val="clear" w:color="auto" w:fill="auto"/>
            <w:tcMar>
              <w:top w:w="12" w:type="dxa"/>
              <w:left w:w="12" w:type="dxa"/>
              <w:right w:w="12" w:type="dxa"/>
            </w:tcMar>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主体</w:t>
            </w:r>
          </w:p>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已列</w:t>
            </w:r>
          </w:p>
        </w:tc>
        <w:tc>
          <w:tcPr>
            <w:tcW w:w="420" w:type="pct"/>
            <w:vMerge w:val="restart"/>
            <w:tcBorders>
              <w:tl2br w:val="nil"/>
              <w:tr2bl w:val="nil"/>
            </w:tcBorders>
            <w:shd w:val="clear" w:color="auto" w:fill="auto"/>
            <w:tcMar>
              <w:top w:w="12" w:type="dxa"/>
              <w:left w:w="12" w:type="dxa"/>
              <w:right w:w="12" w:type="dxa"/>
            </w:tcMar>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合计</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8" w:hRule="atLeast"/>
        </w:trPr>
        <w:tc>
          <w:tcPr>
            <w:tcW w:w="214" w:type="pct"/>
            <w:vMerge w:val="continue"/>
            <w:tcBorders>
              <w:tl2br w:val="nil"/>
              <w:tr2bl w:val="nil"/>
            </w:tcBorders>
            <w:shd w:val="clear" w:color="auto" w:fill="auto"/>
            <w:tcMar>
              <w:top w:w="12" w:type="dxa"/>
              <w:left w:w="12" w:type="dxa"/>
              <w:right w:w="12" w:type="dxa"/>
            </w:tcMar>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1667" w:type="pct"/>
            <w:vMerge w:val="continue"/>
            <w:tcBorders>
              <w:tl2br w:val="nil"/>
              <w:tr2bl w:val="nil"/>
            </w:tcBorders>
            <w:shd w:val="clear" w:color="auto" w:fill="auto"/>
            <w:tcMar>
              <w:top w:w="12" w:type="dxa"/>
              <w:left w:w="12" w:type="dxa"/>
              <w:right w:w="12" w:type="dxa"/>
            </w:tcMar>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424" w:type="pct"/>
            <w:vMerge w:val="restart"/>
            <w:tcBorders>
              <w:tl2br w:val="nil"/>
              <w:tr2bl w:val="nil"/>
            </w:tcBorders>
            <w:shd w:val="clear" w:color="auto" w:fill="auto"/>
            <w:tcMar>
              <w:top w:w="12" w:type="dxa"/>
              <w:left w:w="12" w:type="dxa"/>
              <w:right w:w="12" w:type="dxa"/>
            </w:tcMar>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建安工程费</w:t>
            </w:r>
          </w:p>
        </w:tc>
        <w:tc>
          <w:tcPr>
            <w:tcW w:w="840" w:type="pct"/>
            <w:gridSpan w:val="2"/>
            <w:tcBorders>
              <w:tl2br w:val="nil"/>
              <w:tr2bl w:val="nil"/>
            </w:tcBorders>
            <w:shd w:val="clear" w:color="auto" w:fill="auto"/>
            <w:tcMar>
              <w:top w:w="12" w:type="dxa"/>
              <w:left w:w="12" w:type="dxa"/>
              <w:right w:w="12" w:type="dxa"/>
            </w:tcMar>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植物措施费</w:t>
            </w:r>
          </w:p>
        </w:tc>
        <w:tc>
          <w:tcPr>
            <w:tcW w:w="505" w:type="pct"/>
            <w:vMerge w:val="restart"/>
            <w:tcBorders>
              <w:tl2br w:val="nil"/>
              <w:tr2bl w:val="nil"/>
            </w:tcBorders>
            <w:shd w:val="clear" w:color="auto" w:fill="auto"/>
            <w:tcMar>
              <w:top w:w="12" w:type="dxa"/>
              <w:left w:w="12" w:type="dxa"/>
              <w:right w:w="12" w:type="dxa"/>
            </w:tcMar>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独立</w:t>
            </w:r>
          </w:p>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费用</w:t>
            </w:r>
          </w:p>
        </w:tc>
        <w:tc>
          <w:tcPr>
            <w:tcW w:w="505" w:type="pct"/>
            <w:vMerge w:val="restart"/>
            <w:tcBorders>
              <w:tl2br w:val="nil"/>
              <w:tr2bl w:val="nil"/>
            </w:tcBorders>
            <w:shd w:val="clear" w:color="auto" w:fill="auto"/>
            <w:tcMar>
              <w:top w:w="12" w:type="dxa"/>
              <w:left w:w="12" w:type="dxa"/>
              <w:right w:w="12" w:type="dxa"/>
            </w:tcMar>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新增</w:t>
            </w:r>
          </w:p>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合计</w:t>
            </w:r>
          </w:p>
        </w:tc>
        <w:tc>
          <w:tcPr>
            <w:tcW w:w="420" w:type="pct"/>
            <w:vMerge w:val="continue"/>
            <w:tcBorders>
              <w:tl2br w:val="nil"/>
              <w:tr2bl w:val="nil"/>
            </w:tcBorders>
            <w:shd w:val="clear" w:color="auto" w:fill="auto"/>
            <w:tcMar>
              <w:top w:w="12" w:type="dxa"/>
              <w:left w:w="12" w:type="dxa"/>
              <w:right w:w="12" w:type="dxa"/>
            </w:tcMar>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420" w:type="pct"/>
            <w:vMerge w:val="continue"/>
            <w:tcBorders>
              <w:tl2br w:val="nil"/>
              <w:tr2bl w:val="nil"/>
            </w:tcBorders>
            <w:shd w:val="clear" w:color="auto" w:fill="auto"/>
            <w:tcMar>
              <w:top w:w="12" w:type="dxa"/>
              <w:left w:w="12" w:type="dxa"/>
              <w:right w:w="12" w:type="dxa"/>
            </w:tcMar>
            <w:vAlign w:val="center"/>
          </w:tcPr>
          <w:p>
            <w:pPr>
              <w:widowControl/>
              <w:topLinePunct w:val="0"/>
              <w:adjustRightInd/>
              <w:snapToGrid/>
              <w:spacing w:line="240" w:lineRule="auto"/>
              <w:ind w:firstLine="0" w:firstLineChars="0"/>
              <w:jc w:val="center"/>
              <w:rPr>
                <w:rFonts w:eastAsia="仿宋_GB2312"/>
                <w:color w:val="000000"/>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76" w:hRule="atLeast"/>
        </w:trPr>
        <w:tc>
          <w:tcPr>
            <w:tcW w:w="214" w:type="pct"/>
            <w:vMerge w:val="continue"/>
            <w:tcBorders>
              <w:tl2br w:val="nil"/>
              <w:tr2bl w:val="nil"/>
            </w:tcBorders>
            <w:shd w:val="clear" w:color="auto" w:fill="auto"/>
            <w:tcMar>
              <w:top w:w="12" w:type="dxa"/>
              <w:left w:w="12" w:type="dxa"/>
              <w:right w:w="12" w:type="dxa"/>
            </w:tcMar>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1667" w:type="pct"/>
            <w:vMerge w:val="continue"/>
            <w:tcBorders>
              <w:tl2br w:val="nil"/>
              <w:tr2bl w:val="nil"/>
            </w:tcBorders>
            <w:shd w:val="clear" w:color="auto" w:fill="auto"/>
            <w:tcMar>
              <w:top w:w="12" w:type="dxa"/>
              <w:left w:w="12" w:type="dxa"/>
              <w:right w:w="12" w:type="dxa"/>
            </w:tcMar>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424" w:type="pct"/>
            <w:vMerge w:val="continue"/>
            <w:tcBorders>
              <w:tl2br w:val="nil"/>
              <w:tr2bl w:val="nil"/>
            </w:tcBorders>
            <w:shd w:val="clear" w:color="auto" w:fill="auto"/>
            <w:tcMar>
              <w:top w:w="12" w:type="dxa"/>
              <w:left w:w="12" w:type="dxa"/>
              <w:right w:w="12" w:type="dxa"/>
            </w:tcMar>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409" w:type="pct"/>
            <w:tcBorders>
              <w:tl2br w:val="nil"/>
              <w:tr2bl w:val="nil"/>
            </w:tcBorders>
            <w:shd w:val="clear" w:color="auto" w:fill="auto"/>
            <w:tcMar>
              <w:top w:w="12" w:type="dxa"/>
              <w:left w:w="12" w:type="dxa"/>
              <w:right w:w="12" w:type="dxa"/>
            </w:tcMar>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栽（种）植费</w:t>
            </w:r>
          </w:p>
        </w:tc>
        <w:tc>
          <w:tcPr>
            <w:tcW w:w="431" w:type="pct"/>
            <w:tcBorders>
              <w:tl2br w:val="nil"/>
              <w:tr2bl w:val="nil"/>
            </w:tcBorders>
            <w:shd w:val="clear" w:color="auto" w:fill="auto"/>
            <w:tcMar>
              <w:top w:w="12" w:type="dxa"/>
              <w:left w:w="12" w:type="dxa"/>
              <w:right w:w="12" w:type="dxa"/>
            </w:tcMar>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苗木草种费</w:t>
            </w:r>
          </w:p>
        </w:tc>
        <w:tc>
          <w:tcPr>
            <w:tcW w:w="505" w:type="pct"/>
            <w:vMerge w:val="continue"/>
            <w:tcBorders>
              <w:tl2br w:val="nil"/>
              <w:tr2bl w:val="nil"/>
            </w:tcBorders>
            <w:shd w:val="clear" w:color="auto" w:fill="auto"/>
            <w:tcMar>
              <w:top w:w="12" w:type="dxa"/>
              <w:left w:w="12" w:type="dxa"/>
              <w:right w:w="12" w:type="dxa"/>
            </w:tcMar>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505" w:type="pct"/>
            <w:vMerge w:val="continue"/>
            <w:tcBorders>
              <w:tl2br w:val="nil"/>
              <w:tr2bl w:val="nil"/>
            </w:tcBorders>
            <w:shd w:val="clear" w:color="auto" w:fill="auto"/>
            <w:tcMar>
              <w:top w:w="12" w:type="dxa"/>
              <w:left w:w="12" w:type="dxa"/>
              <w:right w:w="12" w:type="dxa"/>
            </w:tcMar>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420" w:type="pct"/>
            <w:vMerge w:val="continue"/>
            <w:tcBorders>
              <w:tl2br w:val="nil"/>
              <w:tr2bl w:val="nil"/>
            </w:tcBorders>
            <w:shd w:val="clear" w:color="auto" w:fill="auto"/>
            <w:tcMar>
              <w:top w:w="12" w:type="dxa"/>
              <w:left w:w="12" w:type="dxa"/>
              <w:right w:w="12" w:type="dxa"/>
            </w:tcMar>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420" w:type="pct"/>
            <w:vMerge w:val="continue"/>
            <w:tcBorders>
              <w:tl2br w:val="nil"/>
              <w:tr2bl w:val="nil"/>
            </w:tcBorders>
            <w:shd w:val="clear" w:color="auto" w:fill="auto"/>
            <w:tcMar>
              <w:top w:w="12" w:type="dxa"/>
              <w:left w:w="12" w:type="dxa"/>
              <w:right w:w="12" w:type="dxa"/>
            </w:tcMar>
            <w:vAlign w:val="center"/>
          </w:tcPr>
          <w:p>
            <w:pPr>
              <w:widowControl/>
              <w:topLinePunct w:val="0"/>
              <w:adjustRightInd/>
              <w:snapToGrid/>
              <w:spacing w:line="240" w:lineRule="auto"/>
              <w:ind w:firstLine="0" w:firstLineChars="0"/>
              <w:jc w:val="center"/>
              <w:rPr>
                <w:rFonts w:eastAsia="仿宋_GB2312"/>
                <w:color w:val="000000"/>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8" w:hRule="atLeast"/>
        </w:trPr>
        <w:tc>
          <w:tcPr>
            <w:tcW w:w="1881" w:type="pct"/>
            <w:gridSpan w:val="2"/>
            <w:tcBorders>
              <w:tl2br w:val="nil"/>
              <w:tr2bl w:val="nil"/>
            </w:tcBorders>
            <w:shd w:val="clear" w:color="auto" w:fill="auto"/>
            <w:noWrap/>
            <w:tcMar>
              <w:top w:w="12" w:type="dxa"/>
              <w:left w:w="12" w:type="dxa"/>
              <w:right w:w="12" w:type="dxa"/>
            </w:tcMar>
            <w:vAlign w:val="center"/>
          </w:tcPr>
          <w:p>
            <w:pPr>
              <w:widowControl/>
              <w:topLinePunct w:val="0"/>
              <w:adjustRightInd/>
              <w:snapToGrid/>
              <w:spacing w:line="240" w:lineRule="auto"/>
              <w:ind w:firstLine="0" w:firstLineChars="0"/>
              <w:jc w:val="center"/>
              <w:rPr>
                <w:rFonts w:eastAsia="仿宋_GB2312"/>
                <w:b/>
                <w:bCs/>
                <w:color w:val="000000"/>
                <w:sz w:val="21"/>
                <w:szCs w:val="21"/>
              </w:rPr>
            </w:pPr>
            <w:r>
              <w:rPr>
                <w:rFonts w:eastAsia="仿宋_GB2312"/>
                <w:b/>
                <w:bCs/>
                <w:color w:val="000000"/>
                <w:sz w:val="21"/>
                <w:szCs w:val="21"/>
              </w:rPr>
              <w:t>第一部分工程措施</w:t>
            </w:r>
          </w:p>
        </w:tc>
        <w:tc>
          <w:tcPr>
            <w:tcW w:w="424" w:type="pct"/>
            <w:tcBorders>
              <w:tl2br w:val="nil"/>
              <w:tr2bl w:val="nil"/>
            </w:tcBorders>
            <w:shd w:val="clear" w:color="auto" w:fill="auto"/>
            <w:noWrap/>
            <w:tcMar>
              <w:top w:w="12" w:type="dxa"/>
              <w:left w:w="12" w:type="dxa"/>
              <w:right w:w="12" w:type="dxa"/>
            </w:tcMar>
            <w:vAlign w:val="center"/>
          </w:tcPr>
          <w:p>
            <w:pPr>
              <w:widowControl/>
              <w:topLinePunct w:val="0"/>
              <w:adjustRightInd/>
              <w:snapToGrid/>
              <w:spacing w:line="240" w:lineRule="auto"/>
              <w:ind w:firstLine="0" w:firstLineChars="0"/>
              <w:jc w:val="center"/>
              <w:rPr>
                <w:rFonts w:eastAsia="仿宋_GB2312"/>
                <w:b/>
                <w:bCs/>
                <w:color w:val="000000"/>
                <w:sz w:val="21"/>
                <w:szCs w:val="21"/>
              </w:rPr>
            </w:pPr>
          </w:p>
        </w:tc>
        <w:tc>
          <w:tcPr>
            <w:tcW w:w="409" w:type="pct"/>
            <w:tcBorders>
              <w:tl2br w:val="nil"/>
              <w:tr2bl w:val="nil"/>
            </w:tcBorders>
            <w:shd w:val="clear" w:color="auto" w:fill="auto"/>
            <w:noWrap/>
            <w:tcMar>
              <w:top w:w="12" w:type="dxa"/>
              <w:left w:w="12" w:type="dxa"/>
              <w:right w:w="12" w:type="dxa"/>
            </w:tcMar>
            <w:vAlign w:val="center"/>
          </w:tcPr>
          <w:p>
            <w:pPr>
              <w:widowControl/>
              <w:topLinePunct w:val="0"/>
              <w:adjustRightInd/>
              <w:snapToGrid/>
              <w:spacing w:line="240" w:lineRule="auto"/>
              <w:ind w:firstLine="0" w:firstLineChars="0"/>
              <w:jc w:val="center"/>
              <w:rPr>
                <w:rFonts w:eastAsia="仿宋_GB2312"/>
                <w:b/>
                <w:bCs/>
                <w:color w:val="000000"/>
                <w:sz w:val="21"/>
                <w:szCs w:val="21"/>
              </w:rPr>
            </w:pPr>
          </w:p>
        </w:tc>
        <w:tc>
          <w:tcPr>
            <w:tcW w:w="431" w:type="pct"/>
            <w:tcBorders>
              <w:tl2br w:val="nil"/>
              <w:tr2bl w:val="nil"/>
            </w:tcBorders>
            <w:shd w:val="clear" w:color="auto" w:fill="auto"/>
            <w:noWrap/>
            <w:tcMar>
              <w:top w:w="12" w:type="dxa"/>
              <w:left w:w="12" w:type="dxa"/>
              <w:right w:w="12" w:type="dxa"/>
            </w:tcMar>
            <w:vAlign w:val="center"/>
          </w:tcPr>
          <w:p>
            <w:pPr>
              <w:widowControl/>
              <w:topLinePunct w:val="0"/>
              <w:adjustRightInd/>
              <w:snapToGrid/>
              <w:spacing w:line="240" w:lineRule="auto"/>
              <w:ind w:firstLine="0" w:firstLineChars="0"/>
              <w:jc w:val="center"/>
              <w:rPr>
                <w:rFonts w:eastAsia="仿宋_GB2312"/>
                <w:b/>
                <w:bCs/>
                <w:color w:val="000000"/>
                <w:sz w:val="21"/>
                <w:szCs w:val="21"/>
              </w:rPr>
            </w:pPr>
          </w:p>
        </w:tc>
        <w:tc>
          <w:tcPr>
            <w:tcW w:w="505" w:type="pct"/>
            <w:tcBorders>
              <w:tl2br w:val="nil"/>
              <w:tr2bl w:val="nil"/>
            </w:tcBorders>
            <w:shd w:val="clear" w:color="auto" w:fill="auto"/>
            <w:noWrap/>
            <w:tcMar>
              <w:top w:w="12" w:type="dxa"/>
              <w:left w:w="12" w:type="dxa"/>
              <w:right w:w="12" w:type="dxa"/>
            </w:tcMar>
            <w:vAlign w:val="center"/>
          </w:tcPr>
          <w:p>
            <w:pPr>
              <w:widowControl/>
              <w:topLinePunct w:val="0"/>
              <w:adjustRightInd/>
              <w:snapToGrid/>
              <w:spacing w:line="240" w:lineRule="auto"/>
              <w:ind w:firstLine="0" w:firstLineChars="0"/>
              <w:jc w:val="center"/>
              <w:rPr>
                <w:rFonts w:eastAsia="仿宋_GB2312"/>
                <w:b/>
                <w:bCs/>
                <w:color w:val="000000"/>
                <w:sz w:val="21"/>
                <w:szCs w:val="21"/>
              </w:rPr>
            </w:pPr>
          </w:p>
        </w:tc>
        <w:tc>
          <w:tcPr>
            <w:tcW w:w="505" w:type="pct"/>
            <w:tcBorders>
              <w:tl2br w:val="nil"/>
              <w:tr2bl w:val="nil"/>
            </w:tcBorders>
            <w:shd w:val="clear" w:color="auto" w:fill="auto"/>
            <w:noWrap/>
            <w:tcMar>
              <w:top w:w="12" w:type="dxa"/>
              <w:left w:w="12" w:type="dxa"/>
              <w:right w:w="12" w:type="dxa"/>
            </w:tcMar>
            <w:vAlign w:val="center"/>
          </w:tcPr>
          <w:p>
            <w:pPr>
              <w:widowControl/>
              <w:topLinePunct w:val="0"/>
              <w:adjustRightInd/>
              <w:snapToGrid/>
              <w:spacing w:line="240" w:lineRule="auto"/>
              <w:ind w:firstLine="0" w:firstLineChars="0"/>
              <w:jc w:val="center"/>
              <w:rPr>
                <w:rFonts w:eastAsia="仿宋_GB2312"/>
                <w:b/>
                <w:bCs/>
                <w:color w:val="000000"/>
                <w:sz w:val="21"/>
                <w:szCs w:val="21"/>
              </w:rPr>
            </w:pPr>
            <w:r>
              <w:rPr>
                <w:rFonts w:eastAsia="仿宋_GB2312"/>
                <w:b/>
                <w:bCs/>
                <w:color w:val="000000"/>
                <w:sz w:val="21"/>
                <w:szCs w:val="21"/>
              </w:rPr>
              <w:t xml:space="preserve">0.00 </w:t>
            </w:r>
          </w:p>
        </w:tc>
        <w:tc>
          <w:tcPr>
            <w:tcW w:w="420" w:type="pct"/>
            <w:tcBorders>
              <w:tl2br w:val="nil"/>
              <w:tr2bl w:val="nil"/>
            </w:tcBorders>
            <w:shd w:val="clear" w:color="auto" w:fill="auto"/>
            <w:noWrap/>
            <w:tcMar>
              <w:top w:w="12" w:type="dxa"/>
              <w:left w:w="12" w:type="dxa"/>
              <w:right w:w="12" w:type="dxa"/>
            </w:tcMar>
            <w:vAlign w:val="center"/>
          </w:tcPr>
          <w:p>
            <w:pPr>
              <w:widowControl/>
              <w:topLinePunct w:val="0"/>
              <w:adjustRightInd/>
              <w:snapToGrid/>
              <w:spacing w:line="240" w:lineRule="auto"/>
              <w:ind w:firstLine="0" w:firstLineChars="0"/>
              <w:jc w:val="center"/>
              <w:rPr>
                <w:rFonts w:eastAsia="仿宋_GB2312"/>
                <w:b/>
                <w:bCs/>
                <w:color w:val="000000"/>
                <w:sz w:val="21"/>
                <w:szCs w:val="21"/>
              </w:rPr>
            </w:pPr>
            <w:r>
              <w:rPr>
                <w:rFonts w:eastAsia="仿宋_GB2312"/>
                <w:b/>
                <w:bCs/>
                <w:color w:val="000000"/>
                <w:sz w:val="21"/>
                <w:szCs w:val="21"/>
              </w:rPr>
              <w:t xml:space="preserve">0.75 </w:t>
            </w:r>
          </w:p>
        </w:tc>
        <w:tc>
          <w:tcPr>
            <w:tcW w:w="420" w:type="pct"/>
            <w:tcBorders>
              <w:tl2br w:val="nil"/>
              <w:tr2bl w:val="nil"/>
            </w:tcBorders>
            <w:shd w:val="clear" w:color="auto" w:fill="auto"/>
            <w:noWrap/>
            <w:tcMar>
              <w:top w:w="12" w:type="dxa"/>
              <w:left w:w="12" w:type="dxa"/>
              <w:right w:w="12" w:type="dxa"/>
            </w:tcMar>
            <w:vAlign w:val="center"/>
          </w:tcPr>
          <w:p>
            <w:pPr>
              <w:widowControl/>
              <w:topLinePunct w:val="0"/>
              <w:adjustRightInd/>
              <w:snapToGrid/>
              <w:spacing w:line="240" w:lineRule="auto"/>
              <w:ind w:firstLine="0" w:firstLineChars="0"/>
              <w:jc w:val="center"/>
              <w:rPr>
                <w:rFonts w:eastAsia="仿宋_GB2312"/>
                <w:b/>
                <w:bCs/>
                <w:color w:val="000000"/>
                <w:sz w:val="21"/>
                <w:szCs w:val="21"/>
              </w:rPr>
            </w:pPr>
            <w:r>
              <w:rPr>
                <w:rFonts w:eastAsia="仿宋_GB2312"/>
                <w:b/>
                <w:bCs/>
                <w:color w:val="000000"/>
                <w:sz w:val="21"/>
                <w:szCs w:val="21"/>
              </w:rPr>
              <w:t xml:space="preserve">0.75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14" w:type="pct"/>
            <w:tcBorders>
              <w:tl2br w:val="nil"/>
              <w:tr2bl w:val="nil"/>
            </w:tcBorders>
            <w:shd w:val="clear" w:color="auto" w:fill="auto"/>
            <w:noWrap/>
            <w:tcMar>
              <w:top w:w="12" w:type="dxa"/>
              <w:left w:w="12" w:type="dxa"/>
              <w:right w:w="12" w:type="dxa"/>
            </w:tcMar>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1</w:t>
            </w:r>
          </w:p>
        </w:tc>
        <w:tc>
          <w:tcPr>
            <w:tcW w:w="1667" w:type="pct"/>
            <w:tcBorders>
              <w:tl2br w:val="nil"/>
              <w:tr2bl w:val="nil"/>
            </w:tcBorders>
            <w:shd w:val="clear" w:color="auto" w:fill="auto"/>
            <w:tcMar>
              <w:top w:w="12" w:type="dxa"/>
              <w:left w:w="12" w:type="dxa"/>
              <w:right w:w="12" w:type="dxa"/>
            </w:tcMar>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管道工程区</w:t>
            </w:r>
          </w:p>
        </w:tc>
        <w:tc>
          <w:tcPr>
            <w:tcW w:w="424" w:type="pct"/>
            <w:tcBorders>
              <w:tl2br w:val="nil"/>
              <w:tr2bl w:val="nil"/>
            </w:tcBorders>
            <w:shd w:val="clear" w:color="auto" w:fill="auto"/>
            <w:noWrap/>
            <w:tcMar>
              <w:top w:w="12" w:type="dxa"/>
              <w:left w:w="12" w:type="dxa"/>
              <w:right w:w="12" w:type="dxa"/>
            </w:tcMar>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409" w:type="pct"/>
            <w:tcBorders>
              <w:tl2br w:val="nil"/>
              <w:tr2bl w:val="nil"/>
            </w:tcBorders>
            <w:shd w:val="clear" w:color="auto" w:fill="auto"/>
            <w:noWrap/>
            <w:tcMar>
              <w:top w:w="12" w:type="dxa"/>
              <w:left w:w="12" w:type="dxa"/>
              <w:right w:w="12" w:type="dxa"/>
            </w:tcMar>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431" w:type="pct"/>
            <w:tcBorders>
              <w:tl2br w:val="nil"/>
              <w:tr2bl w:val="nil"/>
            </w:tcBorders>
            <w:shd w:val="clear" w:color="auto" w:fill="auto"/>
            <w:noWrap/>
            <w:tcMar>
              <w:top w:w="12" w:type="dxa"/>
              <w:left w:w="12" w:type="dxa"/>
              <w:right w:w="12" w:type="dxa"/>
            </w:tcMar>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505" w:type="pct"/>
            <w:tcBorders>
              <w:tl2br w:val="nil"/>
              <w:tr2bl w:val="nil"/>
            </w:tcBorders>
            <w:shd w:val="clear" w:color="auto" w:fill="auto"/>
            <w:noWrap/>
            <w:tcMar>
              <w:top w:w="12" w:type="dxa"/>
              <w:left w:w="12" w:type="dxa"/>
              <w:right w:w="12" w:type="dxa"/>
            </w:tcMar>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505" w:type="pct"/>
            <w:tcBorders>
              <w:tl2br w:val="nil"/>
              <w:tr2bl w:val="nil"/>
            </w:tcBorders>
            <w:shd w:val="clear" w:color="auto" w:fill="auto"/>
            <w:noWrap/>
            <w:tcMar>
              <w:top w:w="12" w:type="dxa"/>
              <w:left w:w="12" w:type="dxa"/>
              <w:right w:w="12" w:type="dxa"/>
            </w:tcMar>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 xml:space="preserve">0.00 </w:t>
            </w:r>
          </w:p>
        </w:tc>
        <w:tc>
          <w:tcPr>
            <w:tcW w:w="420" w:type="pct"/>
            <w:tcBorders>
              <w:tl2br w:val="nil"/>
              <w:tr2bl w:val="nil"/>
            </w:tcBorders>
            <w:shd w:val="clear" w:color="auto" w:fill="auto"/>
            <w:noWrap/>
            <w:tcMar>
              <w:top w:w="12" w:type="dxa"/>
              <w:left w:w="12" w:type="dxa"/>
              <w:right w:w="12" w:type="dxa"/>
            </w:tcMar>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 xml:space="preserve">0.64 </w:t>
            </w:r>
          </w:p>
        </w:tc>
        <w:tc>
          <w:tcPr>
            <w:tcW w:w="420" w:type="pct"/>
            <w:tcBorders>
              <w:tl2br w:val="nil"/>
              <w:tr2bl w:val="nil"/>
            </w:tcBorders>
            <w:shd w:val="clear" w:color="auto" w:fill="auto"/>
            <w:noWrap/>
            <w:tcMar>
              <w:top w:w="12" w:type="dxa"/>
              <w:left w:w="12" w:type="dxa"/>
              <w:right w:w="12" w:type="dxa"/>
            </w:tcMar>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 xml:space="preserve">0.64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14" w:type="pct"/>
            <w:tcBorders>
              <w:tl2br w:val="nil"/>
              <w:tr2bl w:val="nil"/>
            </w:tcBorders>
            <w:shd w:val="clear" w:color="auto" w:fill="auto"/>
            <w:noWrap/>
            <w:tcMar>
              <w:top w:w="12" w:type="dxa"/>
              <w:left w:w="12" w:type="dxa"/>
              <w:right w:w="12" w:type="dxa"/>
            </w:tcMar>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2</w:t>
            </w:r>
          </w:p>
        </w:tc>
        <w:tc>
          <w:tcPr>
            <w:tcW w:w="1667" w:type="pct"/>
            <w:tcBorders>
              <w:tl2br w:val="nil"/>
              <w:tr2bl w:val="nil"/>
            </w:tcBorders>
            <w:shd w:val="clear" w:color="auto" w:fill="auto"/>
            <w:tcMar>
              <w:top w:w="12" w:type="dxa"/>
              <w:left w:w="12" w:type="dxa"/>
              <w:right w:w="12" w:type="dxa"/>
            </w:tcMar>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管道附属区</w:t>
            </w:r>
          </w:p>
        </w:tc>
        <w:tc>
          <w:tcPr>
            <w:tcW w:w="424" w:type="pct"/>
            <w:tcBorders>
              <w:tl2br w:val="nil"/>
              <w:tr2bl w:val="nil"/>
            </w:tcBorders>
            <w:shd w:val="clear" w:color="auto" w:fill="auto"/>
            <w:noWrap/>
            <w:tcMar>
              <w:top w:w="12" w:type="dxa"/>
              <w:left w:w="12" w:type="dxa"/>
              <w:right w:w="12" w:type="dxa"/>
            </w:tcMar>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409" w:type="pct"/>
            <w:tcBorders>
              <w:tl2br w:val="nil"/>
              <w:tr2bl w:val="nil"/>
            </w:tcBorders>
            <w:shd w:val="clear" w:color="auto" w:fill="auto"/>
            <w:noWrap/>
            <w:tcMar>
              <w:top w:w="12" w:type="dxa"/>
              <w:left w:w="12" w:type="dxa"/>
              <w:right w:w="12" w:type="dxa"/>
            </w:tcMar>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431" w:type="pct"/>
            <w:tcBorders>
              <w:tl2br w:val="nil"/>
              <w:tr2bl w:val="nil"/>
            </w:tcBorders>
            <w:shd w:val="clear" w:color="auto" w:fill="auto"/>
            <w:noWrap/>
            <w:tcMar>
              <w:top w:w="12" w:type="dxa"/>
              <w:left w:w="12" w:type="dxa"/>
              <w:right w:w="12" w:type="dxa"/>
            </w:tcMar>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505" w:type="pct"/>
            <w:tcBorders>
              <w:tl2br w:val="nil"/>
              <w:tr2bl w:val="nil"/>
            </w:tcBorders>
            <w:shd w:val="clear" w:color="auto" w:fill="auto"/>
            <w:noWrap/>
            <w:tcMar>
              <w:top w:w="12" w:type="dxa"/>
              <w:left w:w="12" w:type="dxa"/>
              <w:right w:w="12" w:type="dxa"/>
            </w:tcMar>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505" w:type="pct"/>
            <w:tcBorders>
              <w:tl2br w:val="nil"/>
              <w:tr2bl w:val="nil"/>
            </w:tcBorders>
            <w:shd w:val="clear" w:color="auto" w:fill="auto"/>
            <w:noWrap/>
            <w:tcMar>
              <w:top w:w="12" w:type="dxa"/>
              <w:left w:w="12" w:type="dxa"/>
              <w:right w:w="12" w:type="dxa"/>
            </w:tcMar>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 xml:space="preserve">0.00 </w:t>
            </w:r>
          </w:p>
        </w:tc>
        <w:tc>
          <w:tcPr>
            <w:tcW w:w="420" w:type="pct"/>
            <w:tcBorders>
              <w:tl2br w:val="nil"/>
              <w:tr2bl w:val="nil"/>
            </w:tcBorders>
            <w:shd w:val="clear" w:color="auto" w:fill="auto"/>
            <w:noWrap/>
            <w:tcMar>
              <w:top w:w="12" w:type="dxa"/>
              <w:left w:w="12" w:type="dxa"/>
              <w:right w:w="12" w:type="dxa"/>
            </w:tcMar>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 xml:space="preserve">0.11 </w:t>
            </w:r>
          </w:p>
        </w:tc>
        <w:tc>
          <w:tcPr>
            <w:tcW w:w="420" w:type="pct"/>
            <w:tcBorders>
              <w:tl2br w:val="nil"/>
              <w:tr2bl w:val="nil"/>
            </w:tcBorders>
            <w:shd w:val="clear" w:color="auto" w:fill="auto"/>
            <w:noWrap/>
            <w:tcMar>
              <w:top w:w="12" w:type="dxa"/>
              <w:left w:w="12" w:type="dxa"/>
              <w:right w:w="12" w:type="dxa"/>
            </w:tcMar>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 xml:space="preserve">0.11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8" w:hRule="atLeast"/>
        </w:trPr>
        <w:tc>
          <w:tcPr>
            <w:tcW w:w="1881" w:type="pct"/>
            <w:gridSpan w:val="2"/>
            <w:tcBorders>
              <w:tl2br w:val="nil"/>
              <w:tr2bl w:val="nil"/>
            </w:tcBorders>
            <w:shd w:val="clear" w:color="auto" w:fill="auto"/>
            <w:noWrap/>
            <w:tcMar>
              <w:top w:w="12" w:type="dxa"/>
              <w:left w:w="12" w:type="dxa"/>
              <w:right w:w="12" w:type="dxa"/>
            </w:tcMar>
            <w:vAlign w:val="center"/>
          </w:tcPr>
          <w:p>
            <w:pPr>
              <w:widowControl/>
              <w:topLinePunct w:val="0"/>
              <w:adjustRightInd/>
              <w:snapToGrid/>
              <w:spacing w:line="240" w:lineRule="auto"/>
              <w:ind w:firstLine="0" w:firstLineChars="0"/>
              <w:jc w:val="center"/>
              <w:rPr>
                <w:rFonts w:eastAsia="仿宋_GB2312"/>
                <w:b/>
                <w:bCs/>
                <w:color w:val="000000"/>
                <w:sz w:val="21"/>
                <w:szCs w:val="21"/>
              </w:rPr>
            </w:pPr>
            <w:r>
              <w:rPr>
                <w:rFonts w:eastAsia="仿宋_GB2312"/>
                <w:b/>
                <w:bCs/>
                <w:color w:val="000000"/>
                <w:sz w:val="21"/>
                <w:szCs w:val="21"/>
              </w:rPr>
              <w:t>第二部分植物措施</w:t>
            </w:r>
          </w:p>
        </w:tc>
        <w:tc>
          <w:tcPr>
            <w:tcW w:w="424" w:type="pct"/>
            <w:tcBorders>
              <w:tl2br w:val="nil"/>
              <w:tr2bl w:val="nil"/>
            </w:tcBorders>
            <w:shd w:val="clear" w:color="auto" w:fill="auto"/>
            <w:noWrap/>
            <w:tcMar>
              <w:top w:w="12" w:type="dxa"/>
              <w:left w:w="12" w:type="dxa"/>
              <w:right w:w="12" w:type="dxa"/>
            </w:tcMar>
            <w:vAlign w:val="center"/>
          </w:tcPr>
          <w:p>
            <w:pPr>
              <w:widowControl/>
              <w:topLinePunct w:val="0"/>
              <w:adjustRightInd/>
              <w:snapToGrid/>
              <w:spacing w:line="240" w:lineRule="auto"/>
              <w:ind w:firstLine="0" w:firstLineChars="0"/>
              <w:jc w:val="center"/>
              <w:rPr>
                <w:rFonts w:eastAsia="仿宋_GB2312"/>
                <w:b/>
                <w:bCs/>
                <w:color w:val="000000"/>
                <w:sz w:val="21"/>
                <w:szCs w:val="21"/>
              </w:rPr>
            </w:pPr>
          </w:p>
        </w:tc>
        <w:tc>
          <w:tcPr>
            <w:tcW w:w="409" w:type="pct"/>
            <w:tcBorders>
              <w:tl2br w:val="nil"/>
              <w:tr2bl w:val="nil"/>
            </w:tcBorders>
            <w:shd w:val="clear" w:color="auto" w:fill="auto"/>
            <w:noWrap/>
            <w:tcMar>
              <w:top w:w="12" w:type="dxa"/>
              <w:left w:w="12" w:type="dxa"/>
              <w:right w:w="12" w:type="dxa"/>
            </w:tcMar>
            <w:vAlign w:val="center"/>
          </w:tcPr>
          <w:p>
            <w:pPr>
              <w:widowControl/>
              <w:topLinePunct w:val="0"/>
              <w:adjustRightInd/>
              <w:snapToGrid/>
              <w:spacing w:line="240" w:lineRule="auto"/>
              <w:ind w:firstLine="0" w:firstLineChars="0"/>
              <w:jc w:val="center"/>
              <w:rPr>
                <w:rFonts w:eastAsia="仿宋_GB2312"/>
                <w:b/>
                <w:bCs/>
                <w:color w:val="000000"/>
                <w:sz w:val="21"/>
                <w:szCs w:val="21"/>
              </w:rPr>
            </w:pPr>
          </w:p>
        </w:tc>
        <w:tc>
          <w:tcPr>
            <w:tcW w:w="431" w:type="pct"/>
            <w:tcBorders>
              <w:tl2br w:val="nil"/>
              <w:tr2bl w:val="nil"/>
            </w:tcBorders>
            <w:shd w:val="clear" w:color="auto" w:fill="auto"/>
            <w:noWrap/>
            <w:tcMar>
              <w:top w:w="12" w:type="dxa"/>
              <w:left w:w="12" w:type="dxa"/>
              <w:right w:w="12" w:type="dxa"/>
            </w:tcMar>
            <w:vAlign w:val="center"/>
          </w:tcPr>
          <w:p>
            <w:pPr>
              <w:widowControl/>
              <w:topLinePunct w:val="0"/>
              <w:adjustRightInd/>
              <w:snapToGrid/>
              <w:spacing w:line="240" w:lineRule="auto"/>
              <w:ind w:firstLine="0" w:firstLineChars="0"/>
              <w:jc w:val="center"/>
              <w:rPr>
                <w:rFonts w:eastAsia="仿宋_GB2312"/>
                <w:b/>
                <w:bCs/>
                <w:color w:val="000000"/>
                <w:sz w:val="21"/>
                <w:szCs w:val="21"/>
              </w:rPr>
            </w:pPr>
          </w:p>
        </w:tc>
        <w:tc>
          <w:tcPr>
            <w:tcW w:w="505" w:type="pct"/>
            <w:tcBorders>
              <w:tl2br w:val="nil"/>
              <w:tr2bl w:val="nil"/>
            </w:tcBorders>
            <w:shd w:val="clear" w:color="auto" w:fill="auto"/>
            <w:noWrap/>
            <w:tcMar>
              <w:top w:w="12" w:type="dxa"/>
              <w:left w:w="12" w:type="dxa"/>
              <w:right w:w="12" w:type="dxa"/>
            </w:tcMar>
            <w:vAlign w:val="center"/>
          </w:tcPr>
          <w:p>
            <w:pPr>
              <w:widowControl/>
              <w:topLinePunct w:val="0"/>
              <w:adjustRightInd/>
              <w:snapToGrid/>
              <w:spacing w:line="240" w:lineRule="auto"/>
              <w:ind w:firstLine="0" w:firstLineChars="0"/>
              <w:jc w:val="center"/>
              <w:rPr>
                <w:rFonts w:eastAsia="仿宋_GB2312"/>
                <w:b/>
                <w:bCs/>
                <w:color w:val="000000"/>
                <w:sz w:val="21"/>
                <w:szCs w:val="21"/>
              </w:rPr>
            </w:pPr>
          </w:p>
        </w:tc>
        <w:tc>
          <w:tcPr>
            <w:tcW w:w="505" w:type="pct"/>
            <w:tcBorders>
              <w:tl2br w:val="nil"/>
              <w:tr2bl w:val="nil"/>
            </w:tcBorders>
            <w:shd w:val="clear" w:color="auto" w:fill="auto"/>
            <w:noWrap/>
            <w:tcMar>
              <w:top w:w="12" w:type="dxa"/>
              <w:left w:w="12" w:type="dxa"/>
              <w:right w:w="12" w:type="dxa"/>
            </w:tcMar>
            <w:vAlign w:val="center"/>
          </w:tcPr>
          <w:p>
            <w:pPr>
              <w:widowControl/>
              <w:topLinePunct w:val="0"/>
              <w:adjustRightInd/>
              <w:snapToGrid/>
              <w:spacing w:line="240" w:lineRule="auto"/>
              <w:ind w:firstLine="0" w:firstLineChars="0"/>
              <w:jc w:val="center"/>
              <w:rPr>
                <w:rFonts w:eastAsia="仿宋_GB2312"/>
                <w:b/>
                <w:bCs/>
                <w:color w:val="000000"/>
                <w:sz w:val="21"/>
                <w:szCs w:val="21"/>
              </w:rPr>
            </w:pPr>
            <w:r>
              <w:rPr>
                <w:rFonts w:eastAsia="仿宋_GB2312"/>
                <w:b/>
                <w:bCs/>
                <w:color w:val="000000"/>
                <w:sz w:val="21"/>
                <w:szCs w:val="21"/>
              </w:rPr>
              <w:t xml:space="preserve">0.00 </w:t>
            </w:r>
          </w:p>
        </w:tc>
        <w:tc>
          <w:tcPr>
            <w:tcW w:w="420" w:type="pct"/>
            <w:tcBorders>
              <w:tl2br w:val="nil"/>
              <w:tr2bl w:val="nil"/>
            </w:tcBorders>
            <w:shd w:val="clear" w:color="auto" w:fill="auto"/>
            <w:noWrap/>
            <w:tcMar>
              <w:top w:w="12" w:type="dxa"/>
              <w:left w:w="12" w:type="dxa"/>
              <w:right w:w="12" w:type="dxa"/>
            </w:tcMar>
            <w:vAlign w:val="center"/>
          </w:tcPr>
          <w:p>
            <w:pPr>
              <w:widowControl/>
              <w:topLinePunct w:val="0"/>
              <w:adjustRightInd/>
              <w:snapToGrid/>
              <w:spacing w:line="240" w:lineRule="auto"/>
              <w:ind w:firstLine="0" w:firstLineChars="0"/>
              <w:jc w:val="center"/>
              <w:rPr>
                <w:rFonts w:eastAsia="仿宋_GB2312"/>
                <w:b/>
                <w:bCs/>
                <w:color w:val="000000"/>
                <w:sz w:val="21"/>
                <w:szCs w:val="21"/>
              </w:rPr>
            </w:pPr>
          </w:p>
        </w:tc>
        <w:tc>
          <w:tcPr>
            <w:tcW w:w="420" w:type="pct"/>
            <w:tcBorders>
              <w:tl2br w:val="nil"/>
              <w:tr2bl w:val="nil"/>
            </w:tcBorders>
            <w:shd w:val="clear" w:color="auto" w:fill="auto"/>
            <w:noWrap/>
            <w:tcMar>
              <w:top w:w="12" w:type="dxa"/>
              <w:left w:w="12" w:type="dxa"/>
              <w:right w:w="12" w:type="dxa"/>
            </w:tcMar>
            <w:vAlign w:val="center"/>
          </w:tcPr>
          <w:p>
            <w:pPr>
              <w:widowControl/>
              <w:topLinePunct w:val="0"/>
              <w:adjustRightInd/>
              <w:snapToGrid/>
              <w:spacing w:line="240" w:lineRule="auto"/>
              <w:ind w:firstLine="0" w:firstLineChars="0"/>
              <w:jc w:val="center"/>
              <w:rPr>
                <w:rFonts w:eastAsia="仿宋_GB2312"/>
                <w:b/>
                <w:bCs/>
                <w:color w:val="000000"/>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8" w:hRule="atLeast"/>
        </w:trPr>
        <w:tc>
          <w:tcPr>
            <w:tcW w:w="1881" w:type="pct"/>
            <w:gridSpan w:val="2"/>
            <w:tcBorders>
              <w:tl2br w:val="nil"/>
              <w:tr2bl w:val="nil"/>
            </w:tcBorders>
            <w:shd w:val="clear" w:color="auto" w:fill="auto"/>
            <w:noWrap/>
            <w:tcMar>
              <w:top w:w="12" w:type="dxa"/>
              <w:left w:w="12" w:type="dxa"/>
              <w:right w:w="12" w:type="dxa"/>
            </w:tcMar>
            <w:vAlign w:val="center"/>
          </w:tcPr>
          <w:p>
            <w:pPr>
              <w:widowControl/>
              <w:topLinePunct w:val="0"/>
              <w:adjustRightInd/>
              <w:snapToGrid/>
              <w:spacing w:line="240" w:lineRule="auto"/>
              <w:ind w:firstLine="0" w:firstLineChars="0"/>
              <w:jc w:val="center"/>
              <w:rPr>
                <w:rFonts w:eastAsia="仿宋_GB2312"/>
                <w:b/>
                <w:bCs/>
                <w:color w:val="000000"/>
                <w:sz w:val="21"/>
                <w:szCs w:val="21"/>
              </w:rPr>
            </w:pPr>
            <w:r>
              <w:rPr>
                <w:rFonts w:eastAsia="仿宋_GB2312"/>
                <w:b/>
                <w:bCs/>
                <w:color w:val="000000"/>
                <w:sz w:val="21"/>
                <w:szCs w:val="21"/>
              </w:rPr>
              <w:t>第三部分临时措施</w:t>
            </w:r>
          </w:p>
        </w:tc>
        <w:tc>
          <w:tcPr>
            <w:tcW w:w="424" w:type="pct"/>
            <w:tcBorders>
              <w:tl2br w:val="nil"/>
              <w:tr2bl w:val="nil"/>
            </w:tcBorders>
            <w:shd w:val="clear" w:color="auto" w:fill="auto"/>
            <w:noWrap/>
            <w:tcMar>
              <w:top w:w="12" w:type="dxa"/>
              <w:left w:w="12" w:type="dxa"/>
              <w:right w:w="12" w:type="dxa"/>
            </w:tcMar>
            <w:vAlign w:val="center"/>
          </w:tcPr>
          <w:p>
            <w:pPr>
              <w:widowControl/>
              <w:topLinePunct w:val="0"/>
              <w:adjustRightInd/>
              <w:snapToGrid/>
              <w:spacing w:line="240" w:lineRule="auto"/>
              <w:ind w:firstLine="0" w:firstLineChars="0"/>
              <w:jc w:val="center"/>
              <w:rPr>
                <w:rFonts w:eastAsia="仿宋_GB2312"/>
                <w:b/>
                <w:bCs/>
                <w:color w:val="000000"/>
                <w:sz w:val="21"/>
                <w:szCs w:val="21"/>
              </w:rPr>
            </w:pPr>
            <w:r>
              <w:rPr>
                <w:rFonts w:eastAsia="仿宋_GB2312"/>
                <w:b/>
                <w:bCs/>
                <w:color w:val="000000"/>
                <w:sz w:val="21"/>
                <w:szCs w:val="21"/>
              </w:rPr>
              <w:t xml:space="preserve">3.42 </w:t>
            </w:r>
          </w:p>
        </w:tc>
        <w:tc>
          <w:tcPr>
            <w:tcW w:w="409" w:type="pct"/>
            <w:tcBorders>
              <w:tl2br w:val="nil"/>
              <w:tr2bl w:val="nil"/>
            </w:tcBorders>
            <w:shd w:val="clear" w:color="auto" w:fill="auto"/>
            <w:noWrap/>
            <w:tcMar>
              <w:top w:w="12" w:type="dxa"/>
              <w:left w:w="12" w:type="dxa"/>
              <w:right w:w="12" w:type="dxa"/>
            </w:tcMar>
            <w:vAlign w:val="center"/>
          </w:tcPr>
          <w:p>
            <w:pPr>
              <w:widowControl/>
              <w:topLinePunct w:val="0"/>
              <w:adjustRightInd/>
              <w:snapToGrid/>
              <w:spacing w:line="240" w:lineRule="auto"/>
              <w:ind w:firstLine="0" w:firstLineChars="0"/>
              <w:jc w:val="center"/>
              <w:rPr>
                <w:rFonts w:eastAsia="仿宋_GB2312"/>
                <w:b/>
                <w:bCs/>
                <w:color w:val="000000"/>
                <w:sz w:val="21"/>
                <w:szCs w:val="21"/>
              </w:rPr>
            </w:pPr>
          </w:p>
        </w:tc>
        <w:tc>
          <w:tcPr>
            <w:tcW w:w="431" w:type="pct"/>
            <w:tcBorders>
              <w:tl2br w:val="nil"/>
              <w:tr2bl w:val="nil"/>
            </w:tcBorders>
            <w:shd w:val="clear" w:color="auto" w:fill="auto"/>
            <w:noWrap/>
            <w:tcMar>
              <w:top w:w="12" w:type="dxa"/>
              <w:left w:w="12" w:type="dxa"/>
              <w:right w:w="12" w:type="dxa"/>
            </w:tcMar>
            <w:vAlign w:val="center"/>
          </w:tcPr>
          <w:p>
            <w:pPr>
              <w:widowControl/>
              <w:topLinePunct w:val="0"/>
              <w:adjustRightInd/>
              <w:snapToGrid/>
              <w:spacing w:line="240" w:lineRule="auto"/>
              <w:ind w:firstLine="0" w:firstLineChars="0"/>
              <w:jc w:val="center"/>
              <w:rPr>
                <w:rFonts w:eastAsia="仿宋_GB2312"/>
                <w:b/>
                <w:bCs/>
                <w:color w:val="000000"/>
                <w:sz w:val="21"/>
                <w:szCs w:val="21"/>
              </w:rPr>
            </w:pPr>
          </w:p>
        </w:tc>
        <w:tc>
          <w:tcPr>
            <w:tcW w:w="505" w:type="pct"/>
            <w:tcBorders>
              <w:tl2br w:val="nil"/>
              <w:tr2bl w:val="nil"/>
            </w:tcBorders>
            <w:shd w:val="clear" w:color="auto" w:fill="auto"/>
            <w:noWrap/>
            <w:tcMar>
              <w:top w:w="12" w:type="dxa"/>
              <w:left w:w="12" w:type="dxa"/>
              <w:right w:w="12" w:type="dxa"/>
            </w:tcMar>
            <w:vAlign w:val="center"/>
          </w:tcPr>
          <w:p>
            <w:pPr>
              <w:widowControl/>
              <w:topLinePunct w:val="0"/>
              <w:adjustRightInd/>
              <w:snapToGrid/>
              <w:spacing w:line="240" w:lineRule="auto"/>
              <w:ind w:firstLine="0" w:firstLineChars="0"/>
              <w:jc w:val="center"/>
              <w:rPr>
                <w:rFonts w:eastAsia="仿宋_GB2312"/>
                <w:b/>
                <w:bCs/>
                <w:color w:val="000000"/>
                <w:sz w:val="21"/>
                <w:szCs w:val="21"/>
              </w:rPr>
            </w:pPr>
          </w:p>
        </w:tc>
        <w:tc>
          <w:tcPr>
            <w:tcW w:w="505" w:type="pct"/>
            <w:tcBorders>
              <w:tl2br w:val="nil"/>
              <w:tr2bl w:val="nil"/>
            </w:tcBorders>
            <w:shd w:val="clear" w:color="auto" w:fill="auto"/>
            <w:noWrap/>
            <w:tcMar>
              <w:top w:w="12" w:type="dxa"/>
              <w:left w:w="12" w:type="dxa"/>
              <w:right w:w="12" w:type="dxa"/>
            </w:tcMar>
            <w:vAlign w:val="center"/>
          </w:tcPr>
          <w:p>
            <w:pPr>
              <w:widowControl/>
              <w:topLinePunct w:val="0"/>
              <w:adjustRightInd/>
              <w:snapToGrid/>
              <w:spacing w:line="240" w:lineRule="auto"/>
              <w:ind w:firstLine="0" w:firstLineChars="0"/>
              <w:jc w:val="center"/>
              <w:rPr>
                <w:rFonts w:eastAsia="仿宋_GB2312"/>
                <w:b/>
                <w:bCs/>
                <w:color w:val="000000"/>
                <w:sz w:val="21"/>
                <w:szCs w:val="21"/>
              </w:rPr>
            </w:pPr>
            <w:r>
              <w:rPr>
                <w:rFonts w:eastAsia="仿宋_GB2312"/>
                <w:b/>
                <w:bCs/>
                <w:color w:val="000000"/>
                <w:sz w:val="21"/>
                <w:szCs w:val="21"/>
              </w:rPr>
              <w:t xml:space="preserve">3.42 </w:t>
            </w:r>
          </w:p>
        </w:tc>
        <w:tc>
          <w:tcPr>
            <w:tcW w:w="420" w:type="pct"/>
            <w:tcBorders>
              <w:tl2br w:val="nil"/>
              <w:tr2bl w:val="nil"/>
            </w:tcBorders>
            <w:shd w:val="clear" w:color="auto" w:fill="auto"/>
            <w:noWrap/>
            <w:tcMar>
              <w:top w:w="12" w:type="dxa"/>
              <w:left w:w="12" w:type="dxa"/>
              <w:right w:w="12" w:type="dxa"/>
            </w:tcMar>
            <w:vAlign w:val="center"/>
          </w:tcPr>
          <w:p>
            <w:pPr>
              <w:widowControl/>
              <w:topLinePunct w:val="0"/>
              <w:adjustRightInd/>
              <w:snapToGrid/>
              <w:spacing w:line="240" w:lineRule="auto"/>
              <w:ind w:firstLine="0" w:firstLineChars="0"/>
              <w:jc w:val="center"/>
              <w:rPr>
                <w:rFonts w:eastAsia="仿宋_GB2312"/>
                <w:b/>
                <w:bCs/>
                <w:color w:val="000000"/>
                <w:sz w:val="21"/>
                <w:szCs w:val="21"/>
              </w:rPr>
            </w:pPr>
          </w:p>
        </w:tc>
        <w:tc>
          <w:tcPr>
            <w:tcW w:w="420" w:type="pct"/>
            <w:tcBorders>
              <w:tl2br w:val="nil"/>
              <w:tr2bl w:val="nil"/>
            </w:tcBorders>
            <w:shd w:val="clear" w:color="auto" w:fill="auto"/>
            <w:noWrap/>
            <w:tcMar>
              <w:top w:w="12" w:type="dxa"/>
              <w:left w:w="12" w:type="dxa"/>
              <w:right w:w="12" w:type="dxa"/>
            </w:tcMar>
            <w:vAlign w:val="center"/>
          </w:tcPr>
          <w:p>
            <w:pPr>
              <w:widowControl/>
              <w:topLinePunct w:val="0"/>
              <w:adjustRightInd/>
              <w:snapToGrid/>
              <w:spacing w:line="240" w:lineRule="auto"/>
              <w:ind w:firstLine="0" w:firstLineChars="0"/>
              <w:jc w:val="center"/>
              <w:rPr>
                <w:rFonts w:eastAsia="仿宋_GB2312"/>
                <w:b/>
                <w:bCs/>
                <w:color w:val="000000"/>
                <w:sz w:val="21"/>
                <w:szCs w:val="21"/>
              </w:rPr>
            </w:pPr>
            <w:r>
              <w:rPr>
                <w:rFonts w:eastAsia="仿宋_GB2312"/>
                <w:b/>
                <w:bCs/>
                <w:color w:val="000000"/>
                <w:sz w:val="21"/>
                <w:szCs w:val="21"/>
              </w:rPr>
              <w:t xml:space="preserve">3.42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14" w:type="pct"/>
            <w:tcBorders>
              <w:tl2br w:val="nil"/>
              <w:tr2bl w:val="nil"/>
            </w:tcBorders>
            <w:shd w:val="clear" w:color="auto" w:fill="auto"/>
            <w:noWrap/>
            <w:tcMar>
              <w:top w:w="12" w:type="dxa"/>
              <w:left w:w="12" w:type="dxa"/>
              <w:right w:w="12" w:type="dxa"/>
            </w:tcMar>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1</w:t>
            </w:r>
          </w:p>
        </w:tc>
        <w:tc>
          <w:tcPr>
            <w:tcW w:w="1667" w:type="pct"/>
            <w:tcBorders>
              <w:tl2br w:val="nil"/>
              <w:tr2bl w:val="nil"/>
            </w:tcBorders>
            <w:shd w:val="clear" w:color="auto" w:fill="auto"/>
            <w:tcMar>
              <w:top w:w="12" w:type="dxa"/>
              <w:left w:w="12" w:type="dxa"/>
              <w:right w:w="12" w:type="dxa"/>
            </w:tcMar>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管道工程区</w:t>
            </w:r>
          </w:p>
        </w:tc>
        <w:tc>
          <w:tcPr>
            <w:tcW w:w="424" w:type="pct"/>
            <w:tcBorders>
              <w:tl2br w:val="nil"/>
              <w:tr2bl w:val="nil"/>
            </w:tcBorders>
            <w:shd w:val="clear" w:color="auto" w:fill="auto"/>
            <w:noWrap/>
            <w:tcMar>
              <w:top w:w="12" w:type="dxa"/>
              <w:left w:w="12" w:type="dxa"/>
              <w:right w:w="12" w:type="dxa"/>
            </w:tcMar>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 xml:space="preserve">3.32 </w:t>
            </w:r>
          </w:p>
        </w:tc>
        <w:tc>
          <w:tcPr>
            <w:tcW w:w="409" w:type="pct"/>
            <w:tcBorders>
              <w:tl2br w:val="nil"/>
              <w:tr2bl w:val="nil"/>
            </w:tcBorders>
            <w:shd w:val="clear" w:color="auto" w:fill="auto"/>
            <w:noWrap/>
            <w:tcMar>
              <w:top w:w="12" w:type="dxa"/>
              <w:left w:w="12" w:type="dxa"/>
              <w:right w:w="12" w:type="dxa"/>
            </w:tcMar>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431" w:type="pct"/>
            <w:tcBorders>
              <w:tl2br w:val="nil"/>
              <w:tr2bl w:val="nil"/>
            </w:tcBorders>
            <w:shd w:val="clear" w:color="auto" w:fill="auto"/>
            <w:noWrap/>
            <w:tcMar>
              <w:top w:w="12" w:type="dxa"/>
              <w:left w:w="12" w:type="dxa"/>
              <w:right w:w="12" w:type="dxa"/>
            </w:tcMar>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505" w:type="pct"/>
            <w:tcBorders>
              <w:tl2br w:val="nil"/>
              <w:tr2bl w:val="nil"/>
            </w:tcBorders>
            <w:shd w:val="clear" w:color="auto" w:fill="auto"/>
            <w:noWrap/>
            <w:tcMar>
              <w:top w:w="12" w:type="dxa"/>
              <w:left w:w="12" w:type="dxa"/>
              <w:right w:w="12" w:type="dxa"/>
            </w:tcMar>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505" w:type="pct"/>
            <w:tcBorders>
              <w:tl2br w:val="nil"/>
              <w:tr2bl w:val="nil"/>
            </w:tcBorders>
            <w:shd w:val="clear" w:color="auto" w:fill="auto"/>
            <w:noWrap/>
            <w:tcMar>
              <w:top w:w="12" w:type="dxa"/>
              <w:left w:w="12" w:type="dxa"/>
              <w:right w:w="12" w:type="dxa"/>
            </w:tcMar>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 xml:space="preserve">3.32 </w:t>
            </w:r>
          </w:p>
        </w:tc>
        <w:tc>
          <w:tcPr>
            <w:tcW w:w="420" w:type="pct"/>
            <w:tcBorders>
              <w:tl2br w:val="nil"/>
              <w:tr2bl w:val="nil"/>
            </w:tcBorders>
            <w:shd w:val="clear" w:color="auto" w:fill="auto"/>
            <w:noWrap/>
            <w:tcMar>
              <w:top w:w="12" w:type="dxa"/>
              <w:left w:w="12" w:type="dxa"/>
              <w:right w:w="12" w:type="dxa"/>
            </w:tcMar>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420" w:type="pct"/>
            <w:tcBorders>
              <w:tl2br w:val="nil"/>
              <w:tr2bl w:val="nil"/>
            </w:tcBorders>
            <w:shd w:val="clear" w:color="auto" w:fill="auto"/>
            <w:noWrap/>
            <w:tcMar>
              <w:top w:w="12" w:type="dxa"/>
              <w:left w:w="12" w:type="dxa"/>
              <w:right w:w="12" w:type="dxa"/>
            </w:tcMar>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 xml:space="preserve">3.32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14" w:type="pct"/>
            <w:tcBorders>
              <w:tl2br w:val="nil"/>
              <w:tr2bl w:val="nil"/>
            </w:tcBorders>
            <w:shd w:val="clear" w:color="auto" w:fill="auto"/>
            <w:noWrap/>
            <w:tcMar>
              <w:top w:w="12" w:type="dxa"/>
              <w:left w:w="12" w:type="dxa"/>
              <w:right w:w="12" w:type="dxa"/>
            </w:tcMar>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2</w:t>
            </w:r>
          </w:p>
        </w:tc>
        <w:tc>
          <w:tcPr>
            <w:tcW w:w="1667" w:type="pct"/>
            <w:tcBorders>
              <w:tl2br w:val="nil"/>
              <w:tr2bl w:val="nil"/>
            </w:tcBorders>
            <w:shd w:val="clear" w:color="auto" w:fill="auto"/>
            <w:tcMar>
              <w:top w:w="12" w:type="dxa"/>
              <w:left w:w="12" w:type="dxa"/>
              <w:right w:w="12" w:type="dxa"/>
            </w:tcMar>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管道附属区</w:t>
            </w:r>
          </w:p>
        </w:tc>
        <w:tc>
          <w:tcPr>
            <w:tcW w:w="424" w:type="pct"/>
            <w:tcBorders>
              <w:tl2br w:val="nil"/>
              <w:tr2bl w:val="nil"/>
            </w:tcBorders>
            <w:shd w:val="clear" w:color="auto" w:fill="auto"/>
            <w:noWrap/>
            <w:tcMar>
              <w:top w:w="12" w:type="dxa"/>
              <w:left w:w="12" w:type="dxa"/>
              <w:right w:w="12" w:type="dxa"/>
            </w:tcMar>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 xml:space="preserve">0.10 </w:t>
            </w:r>
          </w:p>
        </w:tc>
        <w:tc>
          <w:tcPr>
            <w:tcW w:w="409" w:type="pct"/>
            <w:tcBorders>
              <w:tl2br w:val="nil"/>
              <w:tr2bl w:val="nil"/>
            </w:tcBorders>
            <w:shd w:val="clear" w:color="auto" w:fill="auto"/>
            <w:noWrap/>
            <w:tcMar>
              <w:top w:w="12" w:type="dxa"/>
              <w:left w:w="12" w:type="dxa"/>
              <w:right w:w="12" w:type="dxa"/>
            </w:tcMar>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431" w:type="pct"/>
            <w:tcBorders>
              <w:tl2br w:val="nil"/>
              <w:tr2bl w:val="nil"/>
            </w:tcBorders>
            <w:shd w:val="clear" w:color="auto" w:fill="auto"/>
            <w:noWrap/>
            <w:tcMar>
              <w:top w:w="12" w:type="dxa"/>
              <w:left w:w="12" w:type="dxa"/>
              <w:right w:w="12" w:type="dxa"/>
            </w:tcMar>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505" w:type="pct"/>
            <w:tcBorders>
              <w:tl2br w:val="nil"/>
              <w:tr2bl w:val="nil"/>
            </w:tcBorders>
            <w:shd w:val="clear" w:color="auto" w:fill="auto"/>
            <w:noWrap/>
            <w:tcMar>
              <w:top w:w="12" w:type="dxa"/>
              <w:left w:w="12" w:type="dxa"/>
              <w:right w:w="12" w:type="dxa"/>
            </w:tcMar>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505" w:type="pct"/>
            <w:tcBorders>
              <w:tl2br w:val="nil"/>
              <w:tr2bl w:val="nil"/>
            </w:tcBorders>
            <w:shd w:val="clear" w:color="auto" w:fill="auto"/>
            <w:noWrap/>
            <w:tcMar>
              <w:top w:w="12" w:type="dxa"/>
              <w:left w:w="12" w:type="dxa"/>
              <w:right w:w="12" w:type="dxa"/>
            </w:tcMar>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 xml:space="preserve">0.10 </w:t>
            </w:r>
          </w:p>
        </w:tc>
        <w:tc>
          <w:tcPr>
            <w:tcW w:w="420" w:type="pct"/>
            <w:tcBorders>
              <w:tl2br w:val="nil"/>
              <w:tr2bl w:val="nil"/>
            </w:tcBorders>
            <w:shd w:val="clear" w:color="auto" w:fill="auto"/>
            <w:noWrap/>
            <w:tcMar>
              <w:top w:w="12" w:type="dxa"/>
              <w:left w:w="12" w:type="dxa"/>
              <w:right w:w="12" w:type="dxa"/>
            </w:tcMar>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420" w:type="pct"/>
            <w:tcBorders>
              <w:tl2br w:val="nil"/>
              <w:tr2bl w:val="nil"/>
            </w:tcBorders>
            <w:shd w:val="clear" w:color="auto" w:fill="auto"/>
            <w:noWrap/>
            <w:tcMar>
              <w:top w:w="12" w:type="dxa"/>
              <w:left w:w="12" w:type="dxa"/>
              <w:right w:w="12" w:type="dxa"/>
            </w:tcMar>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 xml:space="preserve">0.10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8" w:hRule="atLeast"/>
        </w:trPr>
        <w:tc>
          <w:tcPr>
            <w:tcW w:w="214" w:type="pct"/>
            <w:tcBorders>
              <w:tl2br w:val="nil"/>
              <w:tr2bl w:val="nil"/>
            </w:tcBorders>
            <w:shd w:val="clear" w:color="auto" w:fill="auto"/>
            <w:noWrap/>
            <w:tcMar>
              <w:top w:w="12" w:type="dxa"/>
              <w:left w:w="12" w:type="dxa"/>
              <w:right w:w="12" w:type="dxa"/>
            </w:tcMar>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4</w:t>
            </w:r>
          </w:p>
        </w:tc>
        <w:tc>
          <w:tcPr>
            <w:tcW w:w="1667" w:type="pct"/>
            <w:tcBorders>
              <w:tl2br w:val="nil"/>
              <w:tr2bl w:val="nil"/>
            </w:tcBorders>
            <w:shd w:val="clear" w:color="auto" w:fill="auto"/>
            <w:noWrap/>
            <w:tcMar>
              <w:top w:w="12" w:type="dxa"/>
              <w:left w:w="12" w:type="dxa"/>
              <w:right w:w="12" w:type="dxa"/>
            </w:tcMar>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其他临时措施</w:t>
            </w:r>
          </w:p>
        </w:tc>
        <w:tc>
          <w:tcPr>
            <w:tcW w:w="424" w:type="pct"/>
            <w:tcBorders>
              <w:tl2br w:val="nil"/>
              <w:tr2bl w:val="nil"/>
            </w:tcBorders>
            <w:shd w:val="clear" w:color="auto" w:fill="auto"/>
            <w:noWrap/>
            <w:tcMar>
              <w:top w:w="12" w:type="dxa"/>
              <w:left w:w="12" w:type="dxa"/>
              <w:right w:w="12" w:type="dxa"/>
            </w:tcMar>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 xml:space="preserve">0.00 </w:t>
            </w:r>
          </w:p>
        </w:tc>
        <w:tc>
          <w:tcPr>
            <w:tcW w:w="409" w:type="pct"/>
            <w:tcBorders>
              <w:tl2br w:val="nil"/>
              <w:tr2bl w:val="nil"/>
            </w:tcBorders>
            <w:shd w:val="clear" w:color="auto" w:fill="auto"/>
            <w:noWrap/>
            <w:tcMar>
              <w:top w:w="12" w:type="dxa"/>
              <w:left w:w="12" w:type="dxa"/>
              <w:right w:w="12" w:type="dxa"/>
            </w:tcMar>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431" w:type="pct"/>
            <w:tcBorders>
              <w:tl2br w:val="nil"/>
              <w:tr2bl w:val="nil"/>
            </w:tcBorders>
            <w:shd w:val="clear" w:color="auto" w:fill="auto"/>
            <w:noWrap/>
            <w:tcMar>
              <w:top w:w="12" w:type="dxa"/>
              <w:left w:w="12" w:type="dxa"/>
              <w:right w:w="12" w:type="dxa"/>
            </w:tcMar>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505" w:type="pct"/>
            <w:tcBorders>
              <w:tl2br w:val="nil"/>
              <w:tr2bl w:val="nil"/>
            </w:tcBorders>
            <w:shd w:val="clear" w:color="auto" w:fill="auto"/>
            <w:noWrap/>
            <w:tcMar>
              <w:top w:w="12" w:type="dxa"/>
              <w:left w:w="12" w:type="dxa"/>
              <w:right w:w="12" w:type="dxa"/>
            </w:tcMar>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505" w:type="pct"/>
            <w:tcBorders>
              <w:tl2br w:val="nil"/>
              <w:tr2bl w:val="nil"/>
            </w:tcBorders>
            <w:shd w:val="clear" w:color="auto" w:fill="auto"/>
            <w:noWrap/>
            <w:tcMar>
              <w:top w:w="12" w:type="dxa"/>
              <w:left w:w="12" w:type="dxa"/>
              <w:right w:w="12" w:type="dxa"/>
            </w:tcMar>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 xml:space="preserve">0.00 </w:t>
            </w:r>
          </w:p>
        </w:tc>
        <w:tc>
          <w:tcPr>
            <w:tcW w:w="420" w:type="pct"/>
            <w:tcBorders>
              <w:tl2br w:val="nil"/>
              <w:tr2bl w:val="nil"/>
            </w:tcBorders>
            <w:shd w:val="clear" w:color="auto" w:fill="auto"/>
            <w:noWrap/>
            <w:tcMar>
              <w:top w:w="12" w:type="dxa"/>
              <w:left w:w="12" w:type="dxa"/>
              <w:right w:w="12" w:type="dxa"/>
            </w:tcMar>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420" w:type="pct"/>
            <w:tcBorders>
              <w:tl2br w:val="nil"/>
              <w:tr2bl w:val="nil"/>
            </w:tcBorders>
            <w:shd w:val="clear" w:color="auto" w:fill="auto"/>
            <w:noWrap/>
            <w:tcMar>
              <w:top w:w="12" w:type="dxa"/>
              <w:left w:w="12" w:type="dxa"/>
              <w:right w:w="12" w:type="dxa"/>
            </w:tcMar>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 xml:space="preserve">0.00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8" w:hRule="atLeast"/>
        </w:trPr>
        <w:tc>
          <w:tcPr>
            <w:tcW w:w="1881" w:type="pct"/>
            <w:gridSpan w:val="2"/>
            <w:tcBorders>
              <w:tl2br w:val="nil"/>
              <w:tr2bl w:val="nil"/>
            </w:tcBorders>
            <w:shd w:val="clear" w:color="auto" w:fill="auto"/>
            <w:noWrap/>
            <w:tcMar>
              <w:top w:w="12" w:type="dxa"/>
              <w:left w:w="12" w:type="dxa"/>
              <w:right w:w="12" w:type="dxa"/>
            </w:tcMar>
            <w:vAlign w:val="center"/>
          </w:tcPr>
          <w:p>
            <w:pPr>
              <w:widowControl/>
              <w:topLinePunct w:val="0"/>
              <w:adjustRightInd/>
              <w:snapToGrid/>
              <w:spacing w:line="240" w:lineRule="auto"/>
              <w:ind w:firstLine="0" w:firstLineChars="0"/>
              <w:jc w:val="center"/>
              <w:rPr>
                <w:rFonts w:eastAsia="仿宋_GB2312"/>
                <w:b/>
                <w:bCs/>
                <w:color w:val="000000"/>
                <w:sz w:val="21"/>
                <w:szCs w:val="21"/>
              </w:rPr>
            </w:pPr>
            <w:r>
              <w:rPr>
                <w:rFonts w:eastAsia="仿宋_GB2312"/>
                <w:b/>
                <w:bCs/>
                <w:color w:val="000000"/>
                <w:sz w:val="21"/>
                <w:szCs w:val="21"/>
              </w:rPr>
              <w:t>第四部分独立费用</w:t>
            </w:r>
          </w:p>
        </w:tc>
        <w:tc>
          <w:tcPr>
            <w:tcW w:w="424" w:type="pct"/>
            <w:tcBorders>
              <w:tl2br w:val="nil"/>
              <w:tr2bl w:val="nil"/>
            </w:tcBorders>
            <w:shd w:val="clear" w:color="auto" w:fill="auto"/>
            <w:noWrap/>
            <w:tcMar>
              <w:top w:w="12" w:type="dxa"/>
              <w:left w:w="12" w:type="dxa"/>
              <w:right w:w="12" w:type="dxa"/>
            </w:tcMar>
            <w:vAlign w:val="center"/>
          </w:tcPr>
          <w:p>
            <w:pPr>
              <w:widowControl/>
              <w:topLinePunct w:val="0"/>
              <w:adjustRightInd/>
              <w:snapToGrid/>
              <w:spacing w:line="240" w:lineRule="auto"/>
              <w:ind w:firstLine="0" w:firstLineChars="0"/>
              <w:jc w:val="center"/>
              <w:rPr>
                <w:rFonts w:eastAsia="仿宋_GB2312"/>
                <w:b/>
                <w:bCs/>
                <w:color w:val="000000"/>
                <w:sz w:val="21"/>
                <w:szCs w:val="21"/>
              </w:rPr>
            </w:pPr>
          </w:p>
        </w:tc>
        <w:tc>
          <w:tcPr>
            <w:tcW w:w="409" w:type="pct"/>
            <w:tcBorders>
              <w:tl2br w:val="nil"/>
              <w:tr2bl w:val="nil"/>
            </w:tcBorders>
            <w:shd w:val="clear" w:color="auto" w:fill="auto"/>
            <w:noWrap/>
            <w:tcMar>
              <w:top w:w="12" w:type="dxa"/>
              <w:left w:w="12" w:type="dxa"/>
              <w:right w:w="12" w:type="dxa"/>
            </w:tcMar>
            <w:vAlign w:val="center"/>
          </w:tcPr>
          <w:p>
            <w:pPr>
              <w:widowControl/>
              <w:topLinePunct w:val="0"/>
              <w:adjustRightInd/>
              <w:snapToGrid/>
              <w:spacing w:line="240" w:lineRule="auto"/>
              <w:ind w:firstLine="0" w:firstLineChars="0"/>
              <w:jc w:val="center"/>
              <w:rPr>
                <w:rFonts w:eastAsia="仿宋_GB2312"/>
                <w:b/>
                <w:bCs/>
                <w:color w:val="000000"/>
                <w:sz w:val="21"/>
                <w:szCs w:val="21"/>
              </w:rPr>
            </w:pPr>
          </w:p>
        </w:tc>
        <w:tc>
          <w:tcPr>
            <w:tcW w:w="431" w:type="pct"/>
            <w:tcBorders>
              <w:tl2br w:val="nil"/>
              <w:tr2bl w:val="nil"/>
            </w:tcBorders>
            <w:shd w:val="clear" w:color="auto" w:fill="auto"/>
            <w:noWrap/>
            <w:tcMar>
              <w:top w:w="12" w:type="dxa"/>
              <w:left w:w="12" w:type="dxa"/>
              <w:right w:w="12" w:type="dxa"/>
            </w:tcMar>
            <w:vAlign w:val="center"/>
          </w:tcPr>
          <w:p>
            <w:pPr>
              <w:widowControl/>
              <w:topLinePunct w:val="0"/>
              <w:adjustRightInd/>
              <w:snapToGrid/>
              <w:spacing w:line="240" w:lineRule="auto"/>
              <w:ind w:firstLine="0" w:firstLineChars="0"/>
              <w:jc w:val="center"/>
              <w:rPr>
                <w:rFonts w:eastAsia="仿宋_GB2312"/>
                <w:b/>
                <w:bCs/>
                <w:color w:val="000000"/>
                <w:sz w:val="21"/>
                <w:szCs w:val="21"/>
              </w:rPr>
            </w:pPr>
          </w:p>
        </w:tc>
        <w:tc>
          <w:tcPr>
            <w:tcW w:w="505" w:type="pct"/>
            <w:tcBorders>
              <w:tl2br w:val="nil"/>
              <w:tr2bl w:val="nil"/>
            </w:tcBorders>
            <w:shd w:val="clear" w:color="auto" w:fill="auto"/>
            <w:noWrap/>
            <w:tcMar>
              <w:top w:w="12" w:type="dxa"/>
              <w:left w:w="12" w:type="dxa"/>
              <w:right w:w="12" w:type="dxa"/>
            </w:tcMar>
            <w:vAlign w:val="center"/>
          </w:tcPr>
          <w:p>
            <w:pPr>
              <w:widowControl/>
              <w:topLinePunct w:val="0"/>
              <w:adjustRightInd/>
              <w:snapToGrid/>
              <w:spacing w:line="240" w:lineRule="auto"/>
              <w:ind w:firstLine="0" w:firstLineChars="0"/>
              <w:jc w:val="center"/>
              <w:rPr>
                <w:rFonts w:eastAsia="仿宋_GB2312"/>
                <w:b/>
                <w:bCs/>
                <w:color w:val="000000"/>
                <w:sz w:val="21"/>
                <w:szCs w:val="21"/>
              </w:rPr>
            </w:pPr>
            <w:r>
              <w:rPr>
                <w:rFonts w:eastAsia="仿宋_GB2312"/>
                <w:b/>
                <w:bCs/>
                <w:color w:val="000000"/>
                <w:sz w:val="21"/>
                <w:szCs w:val="21"/>
              </w:rPr>
              <w:t xml:space="preserve">13.08 </w:t>
            </w:r>
          </w:p>
        </w:tc>
        <w:tc>
          <w:tcPr>
            <w:tcW w:w="505" w:type="pct"/>
            <w:tcBorders>
              <w:tl2br w:val="nil"/>
              <w:tr2bl w:val="nil"/>
            </w:tcBorders>
            <w:shd w:val="clear" w:color="auto" w:fill="auto"/>
            <w:noWrap/>
            <w:tcMar>
              <w:top w:w="12" w:type="dxa"/>
              <w:left w:w="12" w:type="dxa"/>
              <w:right w:w="12" w:type="dxa"/>
            </w:tcMar>
            <w:vAlign w:val="center"/>
          </w:tcPr>
          <w:p>
            <w:pPr>
              <w:widowControl/>
              <w:topLinePunct w:val="0"/>
              <w:adjustRightInd/>
              <w:snapToGrid/>
              <w:spacing w:line="240" w:lineRule="auto"/>
              <w:ind w:firstLine="0" w:firstLineChars="0"/>
              <w:jc w:val="center"/>
              <w:rPr>
                <w:rFonts w:eastAsia="仿宋_GB2312"/>
                <w:b/>
                <w:bCs/>
                <w:color w:val="000000"/>
                <w:sz w:val="21"/>
                <w:szCs w:val="21"/>
              </w:rPr>
            </w:pPr>
            <w:r>
              <w:rPr>
                <w:rFonts w:eastAsia="仿宋_GB2312"/>
                <w:b/>
                <w:bCs/>
                <w:color w:val="000000"/>
                <w:sz w:val="21"/>
                <w:szCs w:val="21"/>
              </w:rPr>
              <w:t xml:space="preserve">13.08 </w:t>
            </w:r>
          </w:p>
        </w:tc>
        <w:tc>
          <w:tcPr>
            <w:tcW w:w="420" w:type="pct"/>
            <w:tcBorders>
              <w:tl2br w:val="nil"/>
              <w:tr2bl w:val="nil"/>
            </w:tcBorders>
            <w:shd w:val="clear" w:color="auto" w:fill="auto"/>
            <w:noWrap/>
            <w:tcMar>
              <w:top w:w="12" w:type="dxa"/>
              <w:left w:w="12" w:type="dxa"/>
              <w:right w:w="12" w:type="dxa"/>
            </w:tcMar>
            <w:vAlign w:val="center"/>
          </w:tcPr>
          <w:p>
            <w:pPr>
              <w:widowControl/>
              <w:topLinePunct w:val="0"/>
              <w:adjustRightInd/>
              <w:snapToGrid/>
              <w:spacing w:line="240" w:lineRule="auto"/>
              <w:ind w:firstLine="0" w:firstLineChars="0"/>
              <w:jc w:val="center"/>
              <w:rPr>
                <w:rFonts w:eastAsia="仿宋_GB2312"/>
                <w:b/>
                <w:bCs/>
                <w:color w:val="000000"/>
                <w:sz w:val="21"/>
                <w:szCs w:val="21"/>
              </w:rPr>
            </w:pPr>
          </w:p>
        </w:tc>
        <w:tc>
          <w:tcPr>
            <w:tcW w:w="420" w:type="pct"/>
            <w:tcBorders>
              <w:tl2br w:val="nil"/>
              <w:tr2bl w:val="nil"/>
            </w:tcBorders>
            <w:shd w:val="clear" w:color="auto" w:fill="auto"/>
            <w:noWrap/>
            <w:tcMar>
              <w:top w:w="12" w:type="dxa"/>
              <w:left w:w="12" w:type="dxa"/>
              <w:right w:w="12" w:type="dxa"/>
            </w:tcMar>
            <w:vAlign w:val="center"/>
          </w:tcPr>
          <w:p>
            <w:pPr>
              <w:widowControl/>
              <w:topLinePunct w:val="0"/>
              <w:adjustRightInd/>
              <w:snapToGrid/>
              <w:spacing w:line="240" w:lineRule="auto"/>
              <w:ind w:firstLine="0" w:firstLineChars="0"/>
              <w:jc w:val="center"/>
              <w:rPr>
                <w:rFonts w:eastAsia="仿宋_GB2312"/>
                <w:b/>
                <w:bCs/>
                <w:color w:val="000000"/>
                <w:sz w:val="21"/>
                <w:szCs w:val="21"/>
              </w:rPr>
            </w:pPr>
            <w:r>
              <w:rPr>
                <w:rFonts w:eastAsia="仿宋_GB2312"/>
                <w:b/>
                <w:bCs/>
                <w:color w:val="000000"/>
                <w:sz w:val="21"/>
                <w:szCs w:val="21"/>
              </w:rPr>
              <w:t xml:space="preserve">13.08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8" w:hRule="atLeast"/>
        </w:trPr>
        <w:tc>
          <w:tcPr>
            <w:tcW w:w="214" w:type="pct"/>
            <w:tcBorders>
              <w:tl2br w:val="nil"/>
              <w:tr2bl w:val="nil"/>
            </w:tcBorders>
            <w:shd w:val="clear" w:color="auto" w:fill="auto"/>
            <w:noWrap/>
            <w:tcMar>
              <w:top w:w="12" w:type="dxa"/>
              <w:left w:w="12" w:type="dxa"/>
              <w:right w:w="12" w:type="dxa"/>
            </w:tcMar>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1</w:t>
            </w:r>
          </w:p>
        </w:tc>
        <w:tc>
          <w:tcPr>
            <w:tcW w:w="1667" w:type="pct"/>
            <w:tcBorders>
              <w:tl2br w:val="nil"/>
              <w:tr2bl w:val="nil"/>
            </w:tcBorders>
            <w:shd w:val="clear" w:color="auto" w:fill="auto"/>
            <w:noWrap/>
            <w:tcMar>
              <w:top w:w="12" w:type="dxa"/>
              <w:left w:w="12" w:type="dxa"/>
              <w:right w:w="12" w:type="dxa"/>
            </w:tcMar>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建设单位管理费</w:t>
            </w:r>
          </w:p>
        </w:tc>
        <w:tc>
          <w:tcPr>
            <w:tcW w:w="424" w:type="pct"/>
            <w:tcBorders>
              <w:tl2br w:val="nil"/>
              <w:tr2bl w:val="nil"/>
            </w:tcBorders>
            <w:shd w:val="clear" w:color="auto" w:fill="auto"/>
            <w:noWrap/>
            <w:tcMar>
              <w:top w:w="12" w:type="dxa"/>
              <w:left w:w="12" w:type="dxa"/>
              <w:right w:w="12" w:type="dxa"/>
            </w:tcMar>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409" w:type="pct"/>
            <w:tcBorders>
              <w:tl2br w:val="nil"/>
              <w:tr2bl w:val="nil"/>
            </w:tcBorders>
            <w:shd w:val="clear" w:color="auto" w:fill="auto"/>
            <w:noWrap/>
            <w:tcMar>
              <w:top w:w="12" w:type="dxa"/>
              <w:left w:w="12" w:type="dxa"/>
              <w:right w:w="12" w:type="dxa"/>
            </w:tcMar>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431" w:type="pct"/>
            <w:tcBorders>
              <w:tl2br w:val="nil"/>
              <w:tr2bl w:val="nil"/>
            </w:tcBorders>
            <w:shd w:val="clear" w:color="auto" w:fill="auto"/>
            <w:noWrap/>
            <w:tcMar>
              <w:top w:w="12" w:type="dxa"/>
              <w:left w:w="12" w:type="dxa"/>
              <w:right w:w="12" w:type="dxa"/>
            </w:tcMar>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505" w:type="pct"/>
            <w:tcBorders>
              <w:tl2br w:val="nil"/>
              <w:tr2bl w:val="nil"/>
            </w:tcBorders>
            <w:shd w:val="clear" w:color="auto" w:fill="auto"/>
            <w:noWrap/>
            <w:tcMar>
              <w:top w:w="12" w:type="dxa"/>
              <w:left w:w="12" w:type="dxa"/>
              <w:right w:w="12" w:type="dxa"/>
            </w:tcMar>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 xml:space="preserve">0.08 </w:t>
            </w:r>
          </w:p>
        </w:tc>
        <w:tc>
          <w:tcPr>
            <w:tcW w:w="505" w:type="pct"/>
            <w:tcBorders>
              <w:tl2br w:val="nil"/>
              <w:tr2bl w:val="nil"/>
            </w:tcBorders>
            <w:shd w:val="clear" w:color="auto" w:fill="auto"/>
            <w:noWrap/>
            <w:tcMar>
              <w:top w:w="12" w:type="dxa"/>
              <w:left w:w="12" w:type="dxa"/>
              <w:right w:w="12" w:type="dxa"/>
            </w:tcMar>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 xml:space="preserve">0.08 </w:t>
            </w:r>
          </w:p>
        </w:tc>
        <w:tc>
          <w:tcPr>
            <w:tcW w:w="420" w:type="pct"/>
            <w:tcBorders>
              <w:tl2br w:val="nil"/>
              <w:tr2bl w:val="nil"/>
            </w:tcBorders>
            <w:shd w:val="clear" w:color="auto" w:fill="auto"/>
            <w:noWrap/>
            <w:tcMar>
              <w:top w:w="12" w:type="dxa"/>
              <w:left w:w="12" w:type="dxa"/>
              <w:right w:w="12" w:type="dxa"/>
            </w:tcMar>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420" w:type="pct"/>
            <w:tcBorders>
              <w:tl2br w:val="nil"/>
              <w:tr2bl w:val="nil"/>
            </w:tcBorders>
            <w:shd w:val="clear" w:color="auto" w:fill="auto"/>
            <w:noWrap/>
            <w:tcMar>
              <w:top w:w="12" w:type="dxa"/>
              <w:left w:w="12" w:type="dxa"/>
              <w:right w:w="12" w:type="dxa"/>
            </w:tcMar>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 xml:space="preserve">0.08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8" w:hRule="atLeast"/>
        </w:trPr>
        <w:tc>
          <w:tcPr>
            <w:tcW w:w="214" w:type="pct"/>
            <w:tcBorders>
              <w:tl2br w:val="nil"/>
              <w:tr2bl w:val="nil"/>
            </w:tcBorders>
            <w:shd w:val="clear" w:color="auto" w:fill="auto"/>
            <w:noWrap/>
            <w:tcMar>
              <w:top w:w="12" w:type="dxa"/>
              <w:left w:w="12" w:type="dxa"/>
              <w:right w:w="12" w:type="dxa"/>
            </w:tcMar>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2</w:t>
            </w:r>
          </w:p>
        </w:tc>
        <w:tc>
          <w:tcPr>
            <w:tcW w:w="1667" w:type="pct"/>
            <w:tcBorders>
              <w:tl2br w:val="nil"/>
              <w:tr2bl w:val="nil"/>
            </w:tcBorders>
            <w:shd w:val="clear" w:color="auto" w:fill="auto"/>
            <w:noWrap/>
            <w:tcMar>
              <w:top w:w="12" w:type="dxa"/>
              <w:left w:w="12" w:type="dxa"/>
              <w:right w:w="12" w:type="dxa"/>
            </w:tcMar>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科研勘测设计费</w:t>
            </w:r>
          </w:p>
        </w:tc>
        <w:tc>
          <w:tcPr>
            <w:tcW w:w="424" w:type="pct"/>
            <w:tcBorders>
              <w:tl2br w:val="nil"/>
              <w:tr2bl w:val="nil"/>
            </w:tcBorders>
            <w:shd w:val="clear" w:color="auto" w:fill="auto"/>
            <w:noWrap/>
            <w:tcMar>
              <w:top w:w="12" w:type="dxa"/>
              <w:left w:w="12" w:type="dxa"/>
              <w:right w:w="12" w:type="dxa"/>
            </w:tcMar>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409" w:type="pct"/>
            <w:tcBorders>
              <w:tl2br w:val="nil"/>
              <w:tr2bl w:val="nil"/>
            </w:tcBorders>
            <w:shd w:val="clear" w:color="auto" w:fill="auto"/>
            <w:noWrap/>
            <w:tcMar>
              <w:top w:w="12" w:type="dxa"/>
              <w:left w:w="12" w:type="dxa"/>
              <w:right w:w="12" w:type="dxa"/>
            </w:tcMar>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431" w:type="pct"/>
            <w:tcBorders>
              <w:tl2br w:val="nil"/>
              <w:tr2bl w:val="nil"/>
            </w:tcBorders>
            <w:shd w:val="clear" w:color="auto" w:fill="auto"/>
            <w:noWrap/>
            <w:tcMar>
              <w:top w:w="12" w:type="dxa"/>
              <w:left w:w="12" w:type="dxa"/>
              <w:right w:w="12" w:type="dxa"/>
            </w:tcMar>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505" w:type="pct"/>
            <w:tcBorders>
              <w:tl2br w:val="nil"/>
              <w:tr2bl w:val="nil"/>
            </w:tcBorders>
            <w:shd w:val="clear" w:color="auto" w:fill="auto"/>
            <w:noWrap/>
            <w:tcMar>
              <w:top w:w="12" w:type="dxa"/>
              <w:left w:w="12" w:type="dxa"/>
              <w:right w:w="12" w:type="dxa"/>
            </w:tcMar>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 xml:space="preserve">6.00 </w:t>
            </w:r>
          </w:p>
        </w:tc>
        <w:tc>
          <w:tcPr>
            <w:tcW w:w="505" w:type="pct"/>
            <w:tcBorders>
              <w:tl2br w:val="nil"/>
              <w:tr2bl w:val="nil"/>
            </w:tcBorders>
            <w:shd w:val="clear" w:color="auto" w:fill="auto"/>
            <w:noWrap/>
            <w:tcMar>
              <w:top w:w="12" w:type="dxa"/>
              <w:left w:w="12" w:type="dxa"/>
              <w:right w:w="12" w:type="dxa"/>
            </w:tcMar>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 xml:space="preserve">6.00 </w:t>
            </w:r>
          </w:p>
        </w:tc>
        <w:tc>
          <w:tcPr>
            <w:tcW w:w="420" w:type="pct"/>
            <w:tcBorders>
              <w:tl2br w:val="nil"/>
              <w:tr2bl w:val="nil"/>
            </w:tcBorders>
            <w:shd w:val="clear" w:color="auto" w:fill="auto"/>
            <w:noWrap/>
            <w:tcMar>
              <w:top w:w="12" w:type="dxa"/>
              <w:left w:w="12" w:type="dxa"/>
              <w:right w:w="12" w:type="dxa"/>
            </w:tcMar>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420" w:type="pct"/>
            <w:tcBorders>
              <w:tl2br w:val="nil"/>
              <w:tr2bl w:val="nil"/>
            </w:tcBorders>
            <w:shd w:val="clear" w:color="auto" w:fill="auto"/>
            <w:noWrap/>
            <w:tcMar>
              <w:top w:w="12" w:type="dxa"/>
              <w:left w:w="12" w:type="dxa"/>
              <w:right w:w="12" w:type="dxa"/>
            </w:tcMar>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 xml:space="preserve">6.00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8" w:hRule="atLeast"/>
        </w:trPr>
        <w:tc>
          <w:tcPr>
            <w:tcW w:w="214" w:type="pct"/>
            <w:tcBorders>
              <w:tl2br w:val="nil"/>
              <w:tr2bl w:val="nil"/>
            </w:tcBorders>
            <w:shd w:val="clear" w:color="auto" w:fill="auto"/>
            <w:noWrap/>
            <w:tcMar>
              <w:top w:w="12" w:type="dxa"/>
              <w:left w:w="12" w:type="dxa"/>
              <w:right w:w="12" w:type="dxa"/>
            </w:tcMar>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3</w:t>
            </w:r>
          </w:p>
        </w:tc>
        <w:tc>
          <w:tcPr>
            <w:tcW w:w="1667" w:type="pct"/>
            <w:tcBorders>
              <w:tl2br w:val="nil"/>
              <w:tr2bl w:val="nil"/>
            </w:tcBorders>
            <w:shd w:val="clear" w:color="auto" w:fill="auto"/>
            <w:noWrap/>
            <w:tcMar>
              <w:top w:w="12" w:type="dxa"/>
              <w:left w:w="12" w:type="dxa"/>
              <w:right w:w="12" w:type="dxa"/>
            </w:tcMar>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水土保持监理费</w:t>
            </w:r>
          </w:p>
        </w:tc>
        <w:tc>
          <w:tcPr>
            <w:tcW w:w="424" w:type="pct"/>
            <w:tcBorders>
              <w:tl2br w:val="nil"/>
              <w:tr2bl w:val="nil"/>
            </w:tcBorders>
            <w:shd w:val="clear" w:color="auto" w:fill="auto"/>
            <w:noWrap/>
            <w:tcMar>
              <w:top w:w="12" w:type="dxa"/>
              <w:left w:w="12" w:type="dxa"/>
              <w:right w:w="12" w:type="dxa"/>
            </w:tcMar>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409" w:type="pct"/>
            <w:tcBorders>
              <w:tl2br w:val="nil"/>
              <w:tr2bl w:val="nil"/>
            </w:tcBorders>
            <w:shd w:val="clear" w:color="auto" w:fill="auto"/>
            <w:noWrap/>
            <w:tcMar>
              <w:top w:w="12" w:type="dxa"/>
              <w:left w:w="12" w:type="dxa"/>
              <w:right w:w="12" w:type="dxa"/>
            </w:tcMar>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431" w:type="pct"/>
            <w:tcBorders>
              <w:tl2br w:val="nil"/>
              <w:tr2bl w:val="nil"/>
            </w:tcBorders>
            <w:shd w:val="clear" w:color="auto" w:fill="auto"/>
            <w:noWrap/>
            <w:tcMar>
              <w:top w:w="12" w:type="dxa"/>
              <w:left w:w="12" w:type="dxa"/>
              <w:right w:w="12" w:type="dxa"/>
            </w:tcMar>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505" w:type="pct"/>
            <w:tcBorders>
              <w:tl2br w:val="nil"/>
              <w:tr2bl w:val="nil"/>
            </w:tcBorders>
            <w:shd w:val="clear" w:color="auto" w:fill="auto"/>
            <w:noWrap/>
            <w:tcMar>
              <w:top w:w="12" w:type="dxa"/>
              <w:left w:w="12" w:type="dxa"/>
              <w:right w:w="12" w:type="dxa"/>
            </w:tcMar>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 xml:space="preserve">2.00 </w:t>
            </w:r>
          </w:p>
        </w:tc>
        <w:tc>
          <w:tcPr>
            <w:tcW w:w="505" w:type="pct"/>
            <w:tcBorders>
              <w:tl2br w:val="nil"/>
              <w:tr2bl w:val="nil"/>
            </w:tcBorders>
            <w:shd w:val="clear" w:color="auto" w:fill="auto"/>
            <w:noWrap/>
            <w:tcMar>
              <w:top w:w="12" w:type="dxa"/>
              <w:left w:w="12" w:type="dxa"/>
              <w:right w:w="12" w:type="dxa"/>
            </w:tcMar>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 xml:space="preserve">2.00 </w:t>
            </w:r>
          </w:p>
        </w:tc>
        <w:tc>
          <w:tcPr>
            <w:tcW w:w="420" w:type="pct"/>
            <w:tcBorders>
              <w:tl2br w:val="nil"/>
              <w:tr2bl w:val="nil"/>
            </w:tcBorders>
            <w:shd w:val="clear" w:color="auto" w:fill="auto"/>
            <w:noWrap/>
            <w:tcMar>
              <w:top w:w="12" w:type="dxa"/>
              <w:left w:w="12" w:type="dxa"/>
              <w:right w:w="12" w:type="dxa"/>
            </w:tcMar>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420" w:type="pct"/>
            <w:tcBorders>
              <w:tl2br w:val="nil"/>
              <w:tr2bl w:val="nil"/>
            </w:tcBorders>
            <w:shd w:val="clear" w:color="auto" w:fill="auto"/>
            <w:noWrap/>
            <w:tcMar>
              <w:top w:w="12" w:type="dxa"/>
              <w:left w:w="12" w:type="dxa"/>
              <w:right w:w="12" w:type="dxa"/>
            </w:tcMar>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 xml:space="preserve">2.00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8" w:hRule="atLeast"/>
        </w:trPr>
        <w:tc>
          <w:tcPr>
            <w:tcW w:w="214" w:type="pct"/>
            <w:tcBorders>
              <w:tl2br w:val="nil"/>
              <w:tr2bl w:val="nil"/>
            </w:tcBorders>
            <w:shd w:val="clear" w:color="auto" w:fill="auto"/>
            <w:noWrap/>
            <w:tcMar>
              <w:top w:w="12" w:type="dxa"/>
              <w:left w:w="12" w:type="dxa"/>
              <w:right w:w="12" w:type="dxa"/>
            </w:tcMar>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4</w:t>
            </w:r>
          </w:p>
        </w:tc>
        <w:tc>
          <w:tcPr>
            <w:tcW w:w="1667" w:type="pct"/>
            <w:tcBorders>
              <w:tl2br w:val="nil"/>
              <w:tr2bl w:val="nil"/>
            </w:tcBorders>
            <w:shd w:val="clear" w:color="auto" w:fill="auto"/>
            <w:noWrap/>
            <w:tcMar>
              <w:top w:w="12" w:type="dxa"/>
              <w:left w:w="12" w:type="dxa"/>
              <w:right w:w="12" w:type="dxa"/>
            </w:tcMar>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水土保持监测费</w:t>
            </w:r>
          </w:p>
        </w:tc>
        <w:tc>
          <w:tcPr>
            <w:tcW w:w="424" w:type="pct"/>
            <w:tcBorders>
              <w:tl2br w:val="nil"/>
              <w:tr2bl w:val="nil"/>
            </w:tcBorders>
            <w:shd w:val="clear" w:color="auto" w:fill="auto"/>
            <w:noWrap/>
            <w:tcMar>
              <w:top w:w="12" w:type="dxa"/>
              <w:left w:w="12" w:type="dxa"/>
              <w:right w:w="12" w:type="dxa"/>
            </w:tcMar>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409" w:type="pct"/>
            <w:tcBorders>
              <w:tl2br w:val="nil"/>
              <w:tr2bl w:val="nil"/>
            </w:tcBorders>
            <w:shd w:val="clear" w:color="auto" w:fill="auto"/>
            <w:noWrap/>
            <w:tcMar>
              <w:top w:w="12" w:type="dxa"/>
              <w:left w:w="12" w:type="dxa"/>
              <w:right w:w="12" w:type="dxa"/>
            </w:tcMar>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431" w:type="pct"/>
            <w:tcBorders>
              <w:tl2br w:val="nil"/>
              <w:tr2bl w:val="nil"/>
            </w:tcBorders>
            <w:shd w:val="clear" w:color="auto" w:fill="auto"/>
            <w:noWrap/>
            <w:tcMar>
              <w:top w:w="12" w:type="dxa"/>
              <w:left w:w="12" w:type="dxa"/>
              <w:right w:w="12" w:type="dxa"/>
            </w:tcMar>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505" w:type="pct"/>
            <w:tcBorders>
              <w:tl2br w:val="nil"/>
              <w:tr2bl w:val="nil"/>
            </w:tcBorders>
            <w:shd w:val="clear" w:color="auto" w:fill="auto"/>
            <w:noWrap/>
            <w:tcMar>
              <w:top w:w="12" w:type="dxa"/>
              <w:left w:w="12" w:type="dxa"/>
              <w:right w:w="12" w:type="dxa"/>
            </w:tcMar>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 xml:space="preserve">0.00 </w:t>
            </w:r>
          </w:p>
        </w:tc>
        <w:tc>
          <w:tcPr>
            <w:tcW w:w="505" w:type="pct"/>
            <w:tcBorders>
              <w:tl2br w:val="nil"/>
              <w:tr2bl w:val="nil"/>
            </w:tcBorders>
            <w:shd w:val="clear" w:color="auto" w:fill="auto"/>
            <w:noWrap/>
            <w:tcMar>
              <w:top w:w="12" w:type="dxa"/>
              <w:left w:w="12" w:type="dxa"/>
              <w:right w:w="12" w:type="dxa"/>
            </w:tcMar>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 xml:space="preserve">0.00 </w:t>
            </w:r>
          </w:p>
        </w:tc>
        <w:tc>
          <w:tcPr>
            <w:tcW w:w="420" w:type="pct"/>
            <w:tcBorders>
              <w:tl2br w:val="nil"/>
              <w:tr2bl w:val="nil"/>
            </w:tcBorders>
            <w:shd w:val="clear" w:color="auto" w:fill="auto"/>
            <w:noWrap/>
            <w:tcMar>
              <w:top w:w="12" w:type="dxa"/>
              <w:left w:w="12" w:type="dxa"/>
              <w:right w:w="12" w:type="dxa"/>
            </w:tcMar>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420" w:type="pct"/>
            <w:tcBorders>
              <w:tl2br w:val="nil"/>
              <w:tr2bl w:val="nil"/>
            </w:tcBorders>
            <w:shd w:val="clear" w:color="auto" w:fill="auto"/>
            <w:noWrap/>
            <w:tcMar>
              <w:top w:w="12" w:type="dxa"/>
              <w:left w:w="12" w:type="dxa"/>
              <w:right w:w="12" w:type="dxa"/>
            </w:tcMar>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 xml:space="preserve">0.00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8" w:hRule="atLeast"/>
        </w:trPr>
        <w:tc>
          <w:tcPr>
            <w:tcW w:w="214" w:type="pct"/>
            <w:tcBorders>
              <w:tl2br w:val="nil"/>
              <w:tr2bl w:val="nil"/>
            </w:tcBorders>
            <w:shd w:val="clear" w:color="auto" w:fill="auto"/>
            <w:noWrap/>
            <w:tcMar>
              <w:top w:w="12" w:type="dxa"/>
              <w:left w:w="12" w:type="dxa"/>
              <w:right w:w="12" w:type="dxa"/>
            </w:tcMar>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5</w:t>
            </w:r>
          </w:p>
        </w:tc>
        <w:tc>
          <w:tcPr>
            <w:tcW w:w="1667" w:type="pct"/>
            <w:tcBorders>
              <w:tl2br w:val="nil"/>
              <w:tr2bl w:val="nil"/>
            </w:tcBorders>
            <w:shd w:val="clear" w:color="auto" w:fill="auto"/>
            <w:noWrap/>
            <w:tcMar>
              <w:top w:w="12" w:type="dxa"/>
              <w:left w:w="12" w:type="dxa"/>
              <w:right w:w="12" w:type="dxa"/>
            </w:tcMar>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水土保持设施验收报告编制费</w:t>
            </w:r>
          </w:p>
        </w:tc>
        <w:tc>
          <w:tcPr>
            <w:tcW w:w="424" w:type="pct"/>
            <w:tcBorders>
              <w:tl2br w:val="nil"/>
              <w:tr2bl w:val="nil"/>
            </w:tcBorders>
            <w:shd w:val="clear" w:color="auto" w:fill="auto"/>
            <w:noWrap/>
            <w:tcMar>
              <w:top w:w="12" w:type="dxa"/>
              <w:left w:w="12" w:type="dxa"/>
              <w:right w:w="12" w:type="dxa"/>
            </w:tcMar>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409" w:type="pct"/>
            <w:tcBorders>
              <w:tl2br w:val="nil"/>
              <w:tr2bl w:val="nil"/>
            </w:tcBorders>
            <w:shd w:val="clear" w:color="auto" w:fill="auto"/>
            <w:noWrap/>
            <w:tcMar>
              <w:top w:w="12" w:type="dxa"/>
              <w:left w:w="12" w:type="dxa"/>
              <w:right w:w="12" w:type="dxa"/>
            </w:tcMar>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431" w:type="pct"/>
            <w:tcBorders>
              <w:tl2br w:val="nil"/>
              <w:tr2bl w:val="nil"/>
            </w:tcBorders>
            <w:shd w:val="clear" w:color="auto" w:fill="auto"/>
            <w:noWrap/>
            <w:tcMar>
              <w:top w:w="12" w:type="dxa"/>
              <w:left w:w="12" w:type="dxa"/>
              <w:right w:w="12" w:type="dxa"/>
            </w:tcMar>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505" w:type="pct"/>
            <w:tcBorders>
              <w:tl2br w:val="nil"/>
              <w:tr2bl w:val="nil"/>
            </w:tcBorders>
            <w:shd w:val="clear" w:color="auto" w:fill="auto"/>
            <w:noWrap/>
            <w:tcMar>
              <w:top w:w="12" w:type="dxa"/>
              <w:left w:w="12" w:type="dxa"/>
              <w:right w:w="12" w:type="dxa"/>
            </w:tcMar>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 xml:space="preserve">5.00 </w:t>
            </w:r>
          </w:p>
        </w:tc>
        <w:tc>
          <w:tcPr>
            <w:tcW w:w="505" w:type="pct"/>
            <w:tcBorders>
              <w:tl2br w:val="nil"/>
              <w:tr2bl w:val="nil"/>
            </w:tcBorders>
            <w:shd w:val="clear" w:color="auto" w:fill="auto"/>
            <w:noWrap/>
            <w:tcMar>
              <w:top w:w="12" w:type="dxa"/>
              <w:left w:w="12" w:type="dxa"/>
              <w:right w:w="12" w:type="dxa"/>
            </w:tcMar>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 xml:space="preserve">5.00 </w:t>
            </w:r>
          </w:p>
        </w:tc>
        <w:tc>
          <w:tcPr>
            <w:tcW w:w="420" w:type="pct"/>
            <w:tcBorders>
              <w:tl2br w:val="nil"/>
              <w:tr2bl w:val="nil"/>
            </w:tcBorders>
            <w:shd w:val="clear" w:color="auto" w:fill="auto"/>
            <w:noWrap/>
            <w:tcMar>
              <w:top w:w="12" w:type="dxa"/>
              <w:left w:w="12" w:type="dxa"/>
              <w:right w:w="12" w:type="dxa"/>
            </w:tcMar>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420" w:type="pct"/>
            <w:tcBorders>
              <w:tl2br w:val="nil"/>
              <w:tr2bl w:val="nil"/>
            </w:tcBorders>
            <w:shd w:val="clear" w:color="auto" w:fill="auto"/>
            <w:noWrap/>
            <w:tcMar>
              <w:top w:w="12" w:type="dxa"/>
              <w:left w:w="12" w:type="dxa"/>
              <w:right w:w="12" w:type="dxa"/>
            </w:tcMar>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 xml:space="preserve">5.00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8" w:hRule="atLeast"/>
        </w:trPr>
        <w:tc>
          <w:tcPr>
            <w:tcW w:w="1881" w:type="pct"/>
            <w:gridSpan w:val="2"/>
            <w:tcBorders>
              <w:tl2br w:val="nil"/>
              <w:tr2bl w:val="nil"/>
            </w:tcBorders>
            <w:shd w:val="clear" w:color="auto" w:fill="auto"/>
            <w:noWrap/>
            <w:tcMar>
              <w:top w:w="12" w:type="dxa"/>
              <w:left w:w="12" w:type="dxa"/>
              <w:right w:w="12" w:type="dxa"/>
            </w:tcMar>
            <w:vAlign w:val="center"/>
          </w:tcPr>
          <w:p>
            <w:pPr>
              <w:widowControl/>
              <w:topLinePunct w:val="0"/>
              <w:adjustRightInd/>
              <w:snapToGrid/>
              <w:spacing w:line="240" w:lineRule="auto"/>
              <w:ind w:firstLine="0" w:firstLineChars="0"/>
              <w:jc w:val="center"/>
              <w:rPr>
                <w:rFonts w:eastAsia="仿宋_GB2312"/>
                <w:b/>
                <w:bCs/>
                <w:color w:val="000000"/>
                <w:sz w:val="21"/>
                <w:szCs w:val="21"/>
              </w:rPr>
            </w:pPr>
            <w:r>
              <w:rPr>
                <w:rFonts w:eastAsia="仿宋_GB2312"/>
                <w:b/>
                <w:bCs/>
                <w:color w:val="000000"/>
                <w:sz w:val="21"/>
                <w:szCs w:val="21"/>
              </w:rPr>
              <w:t>一至四部分合计</w:t>
            </w:r>
          </w:p>
        </w:tc>
        <w:tc>
          <w:tcPr>
            <w:tcW w:w="424" w:type="pct"/>
            <w:tcBorders>
              <w:tl2br w:val="nil"/>
              <w:tr2bl w:val="nil"/>
            </w:tcBorders>
            <w:shd w:val="clear" w:color="auto" w:fill="auto"/>
            <w:noWrap/>
            <w:tcMar>
              <w:top w:w="12" w:type="dxa"/>
              <w:left w:w="12" w:type="dxa"/>
              <w:right w:w="12" w:type="dxa"/>
            </w:tcMar>
            <w:vAlign w:val="center"/>
          </w:tcPr>
          <w:p>
            <w:pPr>
              <w:widowControl/>
              <w:topLinePunct w:val="0"/>
              <w:adjustRightInd/>
              <w:snapToGrid/>
              <w:spacing w:line="240" w:lineRule="auto"/>
              <w:ind w:firstLine="0" w:firstLineChars="0"/>
              <w:jc w:val="center"/>
              <w:rPr>
                <w:rFonts w:eastAsia="仿宋_GB2312"/>
                <w:b/>
                <w:bCs/>
                <w:color w:val="000000"/>
                <w:sz w:val="21"/>
                <w:szCs w:val="21"/>
              </w:rPr>
            </w:pPr>
            <w:r>
              <w:rPr>
                <w:rFonts w:eastAsia="仿宋_GB2312"/>
                <w:b/>
                <w:bCs/>
                <w:color w:val="000000"/>
                <w:sz w:val="21"/>
                <w:szCs w:val="21"/>
              </w:rPr>
              <w:t xml:space="preserve">3.42 </w:t>
            </w:r>
          </w:p>
        </w:tc>
        <w:tc>
          <w:tcPr>
            <w:tcW w:w="409" w:type="pct"/>
            <w:tcBorders>
              <w:tl2br w:val="nil"/>
              <w:tr2bl w:val="nil"/>
            </w:tcBorders>
            <w:shd w:val="clear" w:color="auto" w:fill="auto"/>
            <w:noWrap/>
            <w:tcMar>
              <w:top w:w="12" w:type="dxa"/>
              <w:left w:w="12" w:type="dxa"/>
              <w:right w:w="12" w:type="dxa"/>
            </w:tcMar>
            <w:vAlign w:val="center"/>
          </w:tcPr>
          <w:p>
            <w:pPr>
              <w:widowControl/>
              <w:topLinePunct w:val="0"/>
              <w:adjustRightInd/>
              <w:snapToGrid/>
              <w:spacing w:line="240" w:lineRule="auto"/>
              <w:ind w:firstLine="0" w:firstLineChars="0"/>
              <w:jc w:val="center"/>
              <w:rPr>
                <w:rFonts w:eastAsia="仿宋_GB2312"/>
                <w:b/>
                <w:bCs/>
                <w:color w:val="000000"/>
                <w:sz w:val="21"/>
                <w:szCs w:val="21"/>
              </w:rPr>
            </w:pPr>
          </w:p>
        </w:tc>
        <w:tc>
          <w:tcPr>
            <w:tcW w:w="431" w:type="pct"/>
            <w:tcBorders>
              <w:tl2br w:val="nil"/>
              <w:tr2bl w:val="nil"/>
            </w:tcBorders>
            <w:shd w:val="clear" w:color="auto" w:fill="auto"/>
            <w:noWrap/>
            <w:tcMar>
              <w:top w:w="12" w:type="dxa"/>
              <w:left w:w="12" w:type="dxa"/>
              <w:right w:w="12" w:type="dxa"/>
            </w:tcMar>
            <w:vAlign w:val="center"/>
          </w:tcPr>
          <w:p>
            <w:pPr>
              <w:widowControl/>
              <w:topLinePunct w:val="0"/>
              <w:adjustRightInd/>
              <w:snapToGrid/>
              <w:spacing w:line="240" w:lineRule="auto"/>
              <w:ind w:firstLine="0" w:firstLineChars="0"/>
              <w:jc w:val="center"/>
              <w:rPr>
                <w:rFonts w:eastAsia="仿宋_GB2312"/>
                <w:b/>
                <w:bCs/>
                <w:color w:val="000000"/>
                <w:sz w:val="21"/>
                <w:szCs w:val="21"/>
              </w:rPr>
            </w:pPr>
          </w:p>
        </w:tc>
        <w:tc>
          <w:tcPr>
            <w:tcW w:w="505" w:type="pct"/>
            <w:tcBorders>
              <w:tl2br w:val="nil"/>
              <w:tr2bl w:val="nil"/>
            </w:tcBorders>
            <w:shd w:val="clear" w:color="auto" w:fill="auto"/>
            <w:noWrap/>
            <w:tcMar>
              <w:top w:w="12" w:type="dxa"/>
              <w:left w:w="12" w:type="dxa"/>
              <w:right w:w="12" w:type="dxa"/>
            </w:tcMar>
            <w:vAlign w:val="center"/>
          </w:tcPr>
          <w:p>
            <w:pPr>
              <w:widowControl/>
              <w:topLinePunct w:val="0"/>
              <w:adjustRightInd/>
              <w:snapToGrid/>
              <w:spacing w:line="240" w:lineRule="auto"/>
              <w:ind w:firstLine="0" w:firstLineChars="0"/>
              <w:jc w:val="center"/>
              <w:rPr>
                <w:rFonts w:eastAsia="仿宋_GB2312"/>
                <w:b/>
                <w:bCs/>
                <w:color w:val="000000"/>
                <w:sz w:val="21"/>
                <w:szCs w:val="21"/>
              </w:rPr>
            </w:pPr>
            <w:r>
              <w:rPr>
                <w:rFonts w:eastAsia="仿宋_GB2312"/>
                <w:b/>
                <w:bCs/>
                <w:color w:val="000000"/>
                <w:sz w:val="21"/>
                <w:szCs w:val="21"/>
              </w:rPr>
              <w:t xml:space="preserve">13.08 </w:t>
            </w:r>
          </w:p>
        </w:tc>
        <w:tc>
          <w:tcPr>
            <w:tcW w:w="505" w:type="pct"/>
            <w:tcBorders>
              <w:tl2br w:val="nil"/>
              <w:tr2bl w:val="nil"/>
            </w:tcBorders>
            <w:shd w:val="clear" w:color="auto" w:fill="auto"/>
            <w:noWrap/>
            <w:tcMar>
              <w:top w:w="12" w:type="dxa"/>
              <w:left w:w="12" w:type="dxa"/>
              <w:right w:w="12" w:type="dxa"/>
            </w:tcMar>
            <w:vAlign w:val="center"/>
          </w:tcPr>
          <w:p>
            <w:pPr>
              <w:widowControl/>
              <w:topLinePunct w:val="0"/>
              <w:adjustRightInd/>
              <w:snapToGrid/>
              <w:spacing w:line="240" w:lineRule="auto"/>
              <w:ind w:firstLine="0" w:firstLineChars="0"/>
              <w:jc w:val="center"/>
              <w:rPr>
                <w:rFonts w:eastAsia="仿宋_GB2312"/>
                <w:b/>
                <w:bCs/>
                <w:color w:val="000000"/>
                <w:sz w:val="21"/>
                <w:szCs w:val="21"/>
              </w:rPr>
            </w:pPr>
            <w:r>
              <w:rPr>
                <w:rFonts w:eastAsia="仿宋_GB2312"/>
                <w:b/>
                <w:bCs/>
                <w:color w:val="000000"/>
                <w:sz w:val="21"/>
                <w:szCs w:val="21"/>
              </w:rPr>
              <w:t xml:space="preserve">16.50 </w:t>
            </w:r>
          </w:p>
        </w:tc>
        <w:tc>
          <w:tcPr>
            <w:tcW w:w="420" w:type="pct"/>
            <w:tcBorders>
              <w:tl2br w:val="nil"/>
              <w:tr2bl w:val="nil"/>
            </w:tcBorders>
            <w:shd w:val="clear" w:color="auto" w:fill="auto"/>
            <w:noWrap/>
            <w:tcMar>
              <w:top w:w="12" w:type="dxa"/>
              <w:left w:w="12" w:type="dxa"/>
              <w:right w:w="12" w:type="dxa"/>
            </w:tcMar>
            <w:vAlign w:val="center"/>
          </w:tcPr>
          <w:p>
            <w:pPr>
              <w:widowControl/>
              <w:topLinePunct w:val="0"/>
              <w:adjustRightInd/>
              <w:snapToGrid/>
              <w:spacing w:line="240" w:lineRule="auto"/>
              <w:ind w:firstLine="0" w:firstLineChars="0"/>
              <w:jc w:val="center"/>
              <w:rPr>
                <w:rFonts w:eastAsia="仿宋_GB2312"/>
                <w:b/>
                <w:bCs/>
                <w:color w:val="000000"/>
                <w:sz w:val="21"/>
                <w:szCs w:val="21"/>
              </w:rPr>
            </w:pPr>
            <w:r>
              <w:rPr>
                <w:rFonts w:eastAsia="仿宋_GB2312"/>
                <w:b/>
                <w:bCs/>
                <w:color w:val="000000"/>
                <w:sz w:val="21"/>
                <w:szCs w:val="21"/>
              </w:rPr>
              <w:t xml:space="preserve">0.75 </w:t>
            </w:r>
          </w:p>
        </w:tc>
        <w:tc>
          <w:tcPr>
            <w:tcW w:w="420" w:type="pct"/>
            <w:tcBorders>
              <w:tl2br w:val="nil"/>
              <w:tr2bl w:val="nil"/>
            </w:tcBorders>
            <w:shd w:val="clear" w:color="auto" w:fill="auto"/>
            <w:noWrap/>
            <w:tcMar>
              <w:top w:w="12" w:type="dxa"/>
              <w:left w:w="12" w:type="dxa"/>
              <w:right w:w="12" w:type="dxa"/>
            </w:tcMar>
            <w:vAlign w:val="center"/>
          </w:tcPr>
          <w:p>
            <w:pPr>
              <w:widowControl/>
              <w:topLinePunct w:val="0"/>
              <w:adjustRightInd/>
              <w:snapToGrid/>
              <w:spacing w:line="240" w:lineRule="auto"/>
              <w:ind w:firstLine="0" w:firstLineChars="0"/>
              <w:jc w:val="center"/>
              <w:rPr>
                <w:rFonts w:eastAsia="仿宋_GB2312"/>
                <w:b/>
                <w:bCs/>
                <w:color w:val="000000"/>
                <w:sz w:val="21"/>
                <w:szCs w:val="21"/>
              </w:rPr>
            </w:pPr>
            <w:r>
              <w:rPr>
                <w:rFonts w:eastAsia="仿宋_GB2312"/>
                <w:b/>
                <w:bCs/>
                <w:color w:val="000000"/>
                <w:sz w:val="21"/>
                <w:szCs w:val="21"/>
              </w:rPr>
              <w:t xml:space="preserve">17.25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8" w:hRule="atLeast"/>
        </w:trPr>
        <w:tc>
          <w:tcPr>
            <w:tcW w:w="1881" w:type="pct"/>
            <w:gridSpan w:val="2"/>
            <w:tcBorders>
              <w:tl2br w:val="nil"/>
              <w:tr2bl w:val="nil"/>
            </w:tcBorders>
            <w:shd w:val="clear" w:color="auto" w:fill="auto"/>
            <w:noWrap/>
            <w:tcMar>
              <w:top w:w="12" w:type="dxa"/>
              <w:left w:w="12" w:type="dxa"/>
              <w:right w:w="12" w:type="dxa"/>
            </w:tcMar>
            <w:vAlign w:val="center"/>
          </w:tcPr>
          <w:p>
            <w:pPr>
              <w:widowControl/>
              <w:topLinePunct w:val="0"/>
              <w:adjustRightInd/>
              <w:snapToGrid/>
              <w:spacing w:line="240" w:lineRule="auto"/>
              <w:ind w:firstLine="0" w:firstLineChars="0"/>
              <w:jc w:val="center"/>
              <w:rPr>
                <w:rFonts w:eastAsia="仿宋_GB2312"/>
                <w:b/>
                <w:bCs/>
                <w:color w:val="000000"/>
                <w:sz w:val="21"/>
                <w:szCs w:val="21"/>
              </w:rPr>
            </w:pPr>
            <w:r>
              <w:rPr>
                <w:rFonts w:eastAsia="仿宋_GB2312"/>
                <w:b/>
                <w:bCs/>
                <w:color w:val="000000"/>
                <w:sz w:val="21"/>
                <w:szCs w:val="21"/>
              </w:rPr>
              <w:t>基本预备费</w:t>
            </w:r>
          </w:p>
        </w:tc>
        <w:tc>
          <w:tcPr>
            <w:tcW w:w="424" w:type="pct"/>
            <w:tcBorders>
              <w:tl2br w:val="nil"/>
              <w:tr2bl w:val="nil"/>
            </w:tcBorders>
            <w:shd w:val="clear" w:color="auto" w:fill="auto"/>
            <w:noWrap/>
            <w:tcMar>
              <w:top w:w="12" w:type="dxa"/>
              <w:left w:w="12" w:type="dxa"/>
              <w:right w:w="12" w:type="dxa"/>
            </w:tcMar>
            <w:vAlign w:val="center"/>
          </w:tcPr>
          <w:p>
            <w:pPr>
              <w:widowControl/>
              <w:topLinePunct w:val="0"/>
              <w:adjustRightInd/>
              <w:snapToGrid/>
              <w:spacing w:line="240" w:lineRule="auto"/>
              <w:ind w:firstLine="0" w:firstLineChars="0"/>
              <w:jc w:val="center"/>
              <w:rPr>
                <w:rFonts w:eastAsia="仿宋_GB2312"/>
                <w:b/>
                <w:bCs/>
                <w:color w:val="000000"/>
                <w:sz w:val="21"/>
                <w:szCs w:val="21"/>
              </w:rPr>
            </w:pPr>
          </w:p>
        </w:tc>
        <w:tc>
          <w:tcPr>
            <w:tcW w:w="409" w:type="pct"/>
            <w:tcBorders>
              <w:tl2br w:val="nil"/>
              <w:tr2bl w:val="nil"/>
            </w:tcBorders>
            <w:shd w:val="clear" w:color="auto" w:fill="auto"/>
            <w:noWrap/>
            <w:tcMar>
              <w:top w:w="12" w:type="dxa"/>
              <w:left w:w="12" w:type="dxa"/>
              <w:right w:w="12" w:type="dxa"/>
            </w:tcMar>
            <w:vAlign w:val="center"/>
          </w:tcPr>
          <w:p>
            <w:pPr>
              <w:widowControl/>
              <w:topLinePunct w:val="0"/>
              <w:adjustRightInd/>
              <w:snapToGrid/>
              <w:spacing w:line="240" w:lineRule="auto"/>
              <w:ind w:firstLine="0" w:firstLineChars="0"/>
              <w:jc w:val="center"/>
              <w:rPr>
                <w:rFonts w:eastAsia="仿宋_GB2312"/>
                <w:b/>
                <w:bCs/>
                <w:color w:val="000000"/>
                <w:sz w:val="21"/>
                <w:szCs w:val="21"/>
              </w:rPr>
            </w:pPr>
          </w:p>
        </w:tc>
        <w:tc>
          <w:tcPr>
            <w:tcW w:w="431" w:type="pct"/>
            <w:tcBorders>
              <w:tl2br w:val="nil"/>
              <w:tr2bl w:val="nil"/>
            </w:tcBorders>
            <w:shd w:val="clear" w:color="auto" w:fill="auto"/>
            <w:noWrap/>
            <w:tcMar>
              <w:top w:w="12" w:type="dxa"/>
              <w:left w:w="12" w:type="dxa"/>
              <w:right w:w="12" w:type="dxa"/>
            </w:tcMar>
            <w:vAlign w:val="center"/>
          </w:tcPr>
          <w:p>
            <w:pPr>
              <w:widowControl/>
              <w:topLinePunct w:val="0"/>
              <w:adjustRightInd/>
              <w:snapToGrid/>
              <w:spacing w:line="240" w:lineRule="auto"/>
              <w:ind w:firstLine="0" w:firstLineChars="0"/>
              <w:jc w:val="center"/>
              <w:rPr>
                <w:rFonts w:eastAsia="仿宋_GB2312"/>
                <w:b/>
                <w:bCs/>
                <w:color w:val="000000"/>
                <w:sz w:val="21"/>
                <w:szCs w:val="21"/>
              </w:rPr>
            </w:pPr>
          </w:p>
        </w:tc>
        <w:tc>
          <w:tcPr>
            <w:tcW w:w="505" w:type="pct"/>
            <w:tcBorders>
              <w:tl2br w:val="nil"/>
              <w:tr2bl w:val="nil"/>
            </w:tcBorders>
            <w:shd w:val="clear" w:color="auto" w:fill="auto"/>
            <w:noWrap/>
            <w:tcMar>
              <w:top w:w="12" w:type="dxa"/>
              <w:left w:w="12" w:type="dxa"/>
              <w:right w:w="12" w:type="dxa"/>
            </w:tcMar>
            <w:vAlign w:val="center"/>
          </w:tcPr>
          <w:p>
            <w:pPr>
              <w:widowControl/>
              <w:topLinePunct w:val="0"/>
              <w:adjustRightInd/>
              <w:snapToGrid/>
              <w:spacing w:line="240" w:lineRule="auto"/>
              <w:ind w:firstLine="0" w:firstLineChars="0"/>
              <w:jc w:val="center"/>
              <w:rPr>
                <w:rFonts w:eastAsia="仿宋_GB2312"/>
                <w:b/>
                <w:bCs/>
                <w:color w:val="000000"/>
                <w:sz w:val="21"/>
                <w:szCs w:val="21"/>
              </w:rPr>
            </w:pPr>
          </w:p>
        </w:tc>
        <w:tc>
          <w:tcPr>
            <w:tcW w:w="505" w:type="pct"/>
            <w:tcBorders>
              <w:tl2br w:val="nil"/>
              <w:tr2bl w:val="nil"/>
            </w:tcBorders>
            <w:shd w:val="clear" w:color="auto" w:fill="auto"/>
            <w:noWrap/>
            <w:tcMar>
              <w:top w:w="12" w:type="dxa"/>
              <w:left w:w="12" w:type="dxa"/>
              <w:right w:w="12" w:type="dxa"/>
            </w:tcMar>
            <w:vAlign w:val="center"/>
          </w:tcPr>
          <w:p>
            <w:pPr>
              <w:widowControl/>
              <w:topLinePunct w:val="0"/>
              <w:adjustRightInd/>
              <w:snapToGrid/>
              <w:spacing w:line="240" w:lineRule="auto"/>
              <w:ind w:firstLine="0" w:firstLineChars="0"/>
              <w:jc w:val="center"/>
              <w:rPr>
                <w:rFonts w:eastAsia="仿宋_GB2312"/>
                <w:b/>
                <w:bCs/>
                <w:color w:val="000000"/>
                <w:sz w:val="21"/>
                <w:szCs w:val="21"/>
              </w:rPr>
            </w:pPr>
            <w:r>
              <w:rPr>
                <w:rFonts w:eastAsia="仿宋_GB2312"/>
                <w:b/>
                <w:bCs/>
                <w:color w:val="000000"/>
                <w:sz w:val="21"/>
                <w:szCs w:val="21"/>
              </w:rPr>
              <w:t xml:space="preserve">0.99 </w:t>
            </w:r>
          </w:p>
        </w:tc>
        <w:tc>
          <w:tcPr>
            <w:tcW w:w="420" w:type="pct"/>
            <w:tcBorders>
              <w:tl2br w:val="nil"/>
              <w:tr2bl w:val="nil"/>
            </w:tcBorders>
            <w:shd w:val="clear" w:color="auto" w:fill="auto"/>
            <w:noWrap/>
            <w:tcMar>
              <w:top w:w="12" w:type="dxa"/>
              <w:left w:w="12" w:type="dxa"/>
              <w:right w:w="12" w:type="dxa"/>
            </w:tcMar>
            <w:vAlign w:val="center"/>
          </w:tcPr>
          <w:p>
            <w:pPr>
              <w:widowControl/>
              <w:topLinePunct w:val="0"/>
              <w:adjustRightInd/>
              <w:snapToGrid/>
              <w:spacing w:line="240" w:lineRule="auto"/>
              <w:ind w:firstLine="0" w:firstLineChars="0"/>
              <w:jc w:val="center"/>
              <w:rPr>
                <w:rFonts w:eastAsia="仿宋_GB2312"/>
                <w:b/>
                <w:bCs/>
                <w:color w:val="000000"/>
                <w:sz w:val="21"/>
                <w:szCs w:val="21"/>
              </w:rPr>
            </w:pPr>
          </w:p>
        </w:tc>
        <w:tc>
          <w:tcPr>
            <w:tcW w:w="420" w:type="pct"/>
            <w:tcBorders>
              <w:tl2br w:val="nil"/>
              <w:tr2bl w:val="nil"/>
            </w:tcBorders>
            <w:shd w:val="clear" w:color="auto" w:fill="auto"/>
            <w:noWrap/>
            <w:tcMar>
              <w:top w:w="12" w:type="dxa"/>
              <w:left w:w="12" w:type="dxa"/>
              <w:right w:w="12" w:type="dxa"/>
            </w:tcMar>
            <w:vAlign w:val="center"/>
          </w:tcPr>
          <w:p>
            <w:pPr>
              <w:widowControl/>
              <w:topLinePunct w:val="0"/>
              <w:adjustRightInd/>
              <w:snapToGrid/>
              <w:spacing w:line="240" w:lineRule="auto"/>
              <w:ind w:firstLine="0" w:firstLineChars="0"/>
              <w:jc w:val="center"/>
              <w:rPr>
                <w:rFonts w:eastAsia="仿宋_GB2312"/>
                <w:b/>
                <w:bCs/>
                <w:color w:val="000000"/>
                <w:sz w:val="21"/>
                <w:szCs w:val="21"/>
              </w:rPr>
            </w:pPr>
            <w:r>
              <w:rPr>
                <w:rFonts w:eastAsia="仿宋_GB2312"/>
                <w:b/>
                <w:bCs/>
                <w:color w:val="000000"/>
                <w:sz w:val="21"/>
                <w:szCs w:val="21"/>
              </w:rPr>
              <w:t xml:space="preserve">0.99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8" w:hRule="atLeast"/>
        </w:trPr>
        <w:tc>
          <w:tcPr>
            <w:tcW w:w="1881" w:type="pct"/>
            <w:gridSpan w:val="2"/>
            <w:tcBorders>
              <w:tl2br w:val="nil"/>
              <w:tr2bl w:val="nil"/>
            </w:tcBorders>
            <w:shd w:val="clear" w:color="auto" w:fill="auto"/>
            <w:noWrap/>
            <w:tcMar>
              <w:top w:w="12" w:type="dxa"/>
              <w:left w:w="12" w:type="dxa"/>
              <w:right w:w="12" w:type="dxa"/>
            </w:tcMar>
            <w:vAlign w:val="center"/>
          </w:tcPr>
          <w:p>
            <w:pPr>
              <w:widowControl/>
              <w:topLinePunct w:val="0"/>
              <w:adjustRightInd/>
              <w:snapToGrid/>
              <w:spacing w:line="240" w:lineRule="auto"/>
              <w:ind w:firstLine="0" w:firstLineChars="0"/>
              <w:jc w:val="center"/>
              <w:rPr>
                <w:rFonts w:eastAsia="仿宋_GB2312"/>
                <w:b/>
                <w:bCs/>
                <w:color w:val="000000"/>
                <w:sz w:val="21"/>
                <w:szCs w:val="21"/>
              </w:rPr>
            </w:pPr>
            <w:r>
              <w:rPr>
                <w:rFonts w:eastAsia="仿宋_GB2312"/>
                <w:b/>
                <w:bCs/>
                <w:color w:val="000000"/>
                <w:sz w:val="21"/>
                <w:szCs w:val="21"/>
              </w:rPr>
              <w:t>水土保持补偿费</w:t>
            </w:r>
          </w:p>
        </w:tc>
        <w:tc>
          <w:tcPr>
            <w:tcW w:w="424" w:type="pct"/>
            <w:tcBorders>
              <w:tl2br w:val="nil"/>
              <w:tr2bl w:val="nil"/>
            </w:tcBorders>
            <w:shd w:val="clear" w:color="auto" w:fill="auto"/>
            <w:noWrap/>
            <w:tcMar>
              <w:top w:w="12" w:type="dxa"/>
              <w:left w:w="12" w:type="dxa"/>
              <w:right w:w="12" w:type="dxa"/>
            </w:tcMar>
            <w:vAlign w:val="center"/>
          </w:tcPr>
          <w:p>
            <w:pPr>
              <w:widowControl/>
              <w:topLinePunct w:val="0"/>
              <w:adjustRightInd/>
              <w:snapToGrid/>
              <w:spacing w:line="240" w:lineRule="auto"/>
              <w:ind w:firstLine="0" w:firstLineChars="0"/>
              <w:jc w:val="center"/>
              <w:rPr>
                <w:rFonts w:eastAsia="仿宋_GB2312"/>
                <w:b/>
                <w:bCs/>
                <w:color w:val="000000"/>
                <w:sz w:val="21"/>
                <w:szCs w:val="21"/>
              </w:rPr>
            </w:pPr>
          </w:p>
        </w:tc>
        <w:tc>
          <w:tcPr>
            <w:tcW w:w="409" w:type="pct"/>
            <w:tcBorders>
              <w:tl2br w:val="nil"/>
              <w:tr2bl w:val="nil"/>
            </w:tcBorders>
            <w:shd w:val="clear" w:color="auto" w:fill="auto"/>
            <w:noWrap/>
            <w:tcMar>
              <w:top w:w="12" w:type="dxa"/>
              <w:left w:w="12" w:type="dxa"/>
              <w:right w:w="12" w:type="dxa"/>
            </w:tcMar>
            <w:vAlign w:val="center"/>
          </w:tcPr>
          <w:p>
            <w:pPr>
              <w:widowControl/>
              <w:topLinePunct w:val="0"/>
              <w:adjustRightInd/>
              <w:snapToGrid/>
              <w:spacing w:line="240" w:lineRule="auto"/>
              <w:ind w:firstLine="0" w:firstLineChars="0"/>
              <w:jc w:val="center"/>
              <w:rPr>
                <w:rFonts w:eastAsia="仿宋_GB2312"/>
                <w:b/>
                <w:bCs/>
                <w:color w:val="000000"/>
                <w:sz w:val="21"/>
                <w:szCs w:val="21"/>
              </w:rPr>
            </w:pPr>
          </w:p>
        </w:tc>
        <w:tc>
          <w:tcPr>
            <w:tcW w:w="431" w:type="pct"/>
            <w:tcBorders>
              <w:tl2br w:val="nil"/>
              <w:tr2bl w:val="nil"/>
            </w:tcBorders>
            <w:shd w:val="clear" w:color="auto" w:fill="auto"/>
            <w:noWrap/>
            <w:tcMar>
              <w:top w:w="12" w:type="dxa"/>
              <w:left w:w="12" w:type="dxa"/>
              <w:right w:w="12" w:type="dxa"/>
            </w:tcMar>
            <w:vAlign w:val="center"/>
          </w:tcPr>
          <w:p>
            <w:pPr>
              <w:widowControl/>
              <w:topLinePunct w:val="0"/>
              <w:adjustRightInd/>
              <w:snapToGrid/>
              <w:spacing w:line="240" w:lineRule="auto"/>
              <w:ind w:firstLine="0" w:firstLineChars="0"/>
              <w:jc w:val="center"/>
              <w:rPr>
                <w:rFonts w:eastAsia="仿宋_GB2312"/>
                <w:b/>
                <w:bCs/>
                <w:color w:val="000000"/>
                <w:sz w:val="21"/>
                <w:szCs w:val="21"/>
              </w:rPr>
            </w:pPr>
          </w:p>
        </w:tc>
        <w:tc>
          <w:tcPr>
            <w:tcW w:w="505" w:type="pct"/>
            <w:tcBorders>
              <w:tl2br w:val="nil"/>
              <w:tr2bl w:val="nil"/>
            </w:tcBorders>
            <w:shd w:val="clear" w:color="auto" w:fill="auto"/>
            <w:noWrap/>
            <w:tcMar>
              <w:top w:w="12" w:type="dxa"/>
              <w:left w:w="12" w:type="dxa"/>
              <w:right w:w="12" w:type="dxa"/>
            </w:tcMar>
            <w:vAlign w:val="center"/>
          </w:tcPr>
          <w:p>
            <w:pPr>
              <w:widowControl/>
              <w:topLinePunct w:val="0"/>
              <w:adjustRightInd/>
              <w:snapToGrid/>
              <w:spacing w:line="240" w:lineRule="auto"/>
              <w:ind w:firstLine="0" w:firstLineChars="0"/>
              <w:jc w:val="center"/>
              <w:rPr>
                <w:rFonts w:eastAsia="仿宋_GB2312"/>
                <w:b/>
                <w:bCs/>
                <w:color w:val="000000"/>
                <w:sz w:val="21"/>
                <w:szCs w:val="21"/>
              </w:rPr>
            </w:pPr>
          </w:p>
        </w:tc>
        <w:tc>
          <w:tcPr>
            <w:tcW w:w="505" w:type="pct"/>
            <w:tcBorders>
              <w:tl2br w:val="nil"/>
              <w:tr2bl w:val="nil"/>
            </w:tcBorders>
            <w:shd w:val="clear" w:color="auto" w:fill="auto"/>
            <w:noWrap/>
            <w:tcMar>
              <w:top w:w="12" w:type="dxa"/>
              <w:left w:w="12" w:type="dxa"/>
              <w:right w:w="12" w:type="dxa"/>
            </w:tcMar>
            <w:vAlign w:val="center"/>
          </w:tcPr>
          <w:p>
            <w:pPr>
              <w:widowControl/>
              <w:topLinePunct w:val="0"/>
              <w:adjustRightInd/>
              <w:snapToGrid/>
              <w:spacing w:line="240" w:lineRule="auto"/>
              <w:ind w:firstLine="0" w:firstLineChars="0"/>
              <w:jc w:val="center"/>
              <w:rPr>
                <w:rFonts w:eastAsia="仿宋_GB2312"/>
                <w:b/>
                <w:bCs/>
                <w:color w:val="000000"/>
                <w:sz w:val="21"/>
                <w:szCs w:val="21"/>
              </w:rPr>
            </w:pPr>
            <w:r>
              <w:rPr>
                <w:rFonts w:eastAsia="仿宋_GB2312"/>
                <w:b/>
                <w:bCs/>
                <w:color w:val="000000"/>
                <w:sz w:val="21"/>
                <w:szCs w:val="21"/>
              </w:rPr>
              <w:t xml:space="preserve">0.55 </w:t>
            </w:r>
          </w:p>
        </w:tc>
        <w:tc>
          <w:tcPr>
            <w:tcW w:w="420" w:type="pct"/>
            <w:tcBorders>
              <w:tl2br w:val="nil"/>
              <w:tr2bl w:val="nil"/>
            </w:tcBorders>
            <w:shd w:val="clear" w:color="auto" w:fill="auto"/>
            <w:noWrap/>
            <w:tcMar>
              <w:top w:w="12" w:type="dxa"/>
              <w:left w:w="12" w:type="dxa"/>
              <w:right w:w="12" w:type="dxa"/>
            </w:tcMar>
            <w:vAlign w:val="center"/>
          </w:tcPr>
          <w:p>
            <w:pPr>
              <w:widowControl/>
              <w:topLinePunct w:val="0"/>
              <w:adjustRightInd/>
              <w:snapToGrid/>
              <w:spacing w:line="240" w:lineRule="auto"/>
              <w:ind w:firstLine="0" w:firstLineChars="0"/>
              <w:jc w:val="center"/>
              <w:rPr>
                <w:rFonts w:eastAsia="仿宋_GB2312"/>
                <w:b/>
                <w:bCs/>
                <w:color w:val="000000"/>
                <w:sz w:val="21"/>
                <w:szCs w:val="21"/>
              </w:rPr>
            </w:pPr>
          </w:p>
        </w:tc>
        <w:tc>
          <w:tcPr>
            <w:tcW w:w="420" w:type="pct"/>
            <w:tcBorders>
              <w:tl2br w:val="nil"/>
              <w:tr2bl w:val="nil"/>
            </w:tcBorders>
            <w:shd w:val="clear" w:color="auto" w:fill="auto"/>
            <w:noWrap/>
            <w:tcMar>
              <w:top w:w="12" w:type="dxa"/>
              <w:left w:w="12" w:type="dxa"/>
              <w:right w:w="12" w:type="dxa"/>
            </w:tcMar>
            <w:vAlign w:val="center"/>
          </w:tcPr>
          <w:p>
            <w:pPr>
              <w:widowControl/>
              <w:topLinePunct w:val="0"/>
              <w:adjustRightInd/>
              <w:snapToGrid/>
              <w:spacing w:line="240" w:lineRule="auto"/>
              <w:ind w:firstLine="0" w:firstLineChars="0"/>
              <w:jc w:val="center"/>
              <w:rPr>
                <w:rFonts w:eastAsia="仿宋_GB2312"/>
                <w:b/>
                <w:bCs/>
                <w:color w:val="000000"/>
                <w:sz w:val="21"/>
                <w:szCs w:val="21"/>
              </w:rPr>
            </w:pPr>
            <w:r>
              <w:rPr>
                <w:rFonts w:eastAsia="仿宋_GB2312"/>
                <w:b/>
                <w:bCs/>
                <w:color w:val="000000"/>
                <w:sz w:val="21"/>
                <w:szCs w:val="21"/>
              </w:rPr>
              <w:t xml:space="preserve">0.55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8" w:hRule="atLeast"/>
        </w:trPr>
        <w:tc>
          <w:tcPr>
            <w:tcW w:w="1881" w:type="pct"/>
            <w:gridSpan w:val="2"/>
            <w:tcBorders>
              <w:tl2br w:val="nil"/>
              <w:tr2bl w:val="nil"/>
            </w:tcBorders>
            <w:shd w:val="clear" w:color="auto" w:fill="auto"/>
            <w:noWrap/>
            <w:tcMar>
              <w:top w:w="12" w:type="dxa"/>
              <w:left w:w="12" w:type="dxa"/>
              <w:right w:w="12" w:type="dxa"/>
            </w:tcMar>
            <w:vAlign w:val="center"/>
          </w:tcPr>
          <w:p>
            <w:pPr>
              <w:widowControl/>
              <w:topLinePunct w:val="0"/>
              <w:adjustRightInd/>
              <w:snapToGrid/>
              <w:spacing w:line="240" w:lineRule="auto"/>
              <w:ind w:firstLine="0" w:firstLineChars="0"/>
              <w:jc w:val="center"/>
              <w:rPr>
                <w:rFonts w:eastAsia="仿宋_GB2312"/>
                <w:b/>
                <w:bCs/>
                <w:color w:val="000000"/>
                <w:sz w:val="21"/>
                <w:szCs w:val="21"/>
              </w:rPr>
            </w:pPr>
            <w:r>
              <w:rPr>
                <w:rFonts w:eastAsia="仿宋_GB2312"/>
                <w:b/>
                <w:bCs/>
                <w:color w:val="000000"/>
                <w:sz w:val="21"/>
                <w:szCs w:val="21"/>
              </w:rPr>
              <w:t>水土保持投资合计</w:t>
            </w:r>
          </w:p>
        </w:tc>
        <w:tc>
          <w:tcPr>
            <w:tcW w:w="424" w:type="pct"/>
            <w:tcBorders>
              <w:tl2br w:val="nil"/>
              <w:tr2bl w:val="nil"/>
            </w:tcBorders>
            <w:shd w:val="clear" w:color="auto" w:fill="auto"/>
            <w:noWrap/>
            <w:tcMar>
              <w:top w:w="12" w:type="dxa"/>
              <w:left w:w="12" w:type="dxa"/>
              <w:right w:w="12" w:type="dxa"/>
            </w:tcMar>
            <w:vAlign w:val="center"/>
          </w:tcPr>
          <w:p>
            <w:pPr>
              <w:widowControl/>
              <w:topLinePunct w:val="0"/>
              <w:adjustRightInd/>
              <w:snapToGrid/>
              <w:spacing w:line="240" w:lineRule="auto"/>
              <w:ind w:firstLine="0" w:firstLineChars="0"/>
              <w:jc w:val="center"/>
              <w:rPr>
                <w:rFonts w:eastAsia="仿宋_GB2312"/>
                <w:b/>
                <w:bCs/>
                <w:color w:val="000000"/>
                <w:sz w:val="21"/>
                <w:szCs w:val="21"/>
              </w:rPr>
            </w:pPr>
          </w:p>
        </w:tc>
        <w:tc>
          <w:tcPr>
            <w:tcW w:w="409" w:type="pct"/>
            <w:tcBorders>
              <w:tl2br w:val="nil"/>
              <w:tr2bl w:val="nil"/>
            </w:tcBorders>
            <w:shd w:val="clear" w:color="auto" w:fill="auto"/>
            <w:noWrap/>
            <w:tcMar>
              <w:top w:w="12" w:type="dxa"/>
              <w:left w:w="12" w:type="dxa"/>
              <w:right w:w="12" w:type="dxa"/>
            </w:tcMar>
            <w:vAlign w:val="center"/>
          </w:tcPr>
          <w:p>
            <w:pPr>
              <w:widowControl/>
              <w:topLinePunct w:val="0"/>
              <w:adjustRightInd/>
              <w:snapToGrid/>
              <w:spacing w:line="240" w:lineRule="auto"/>
              <w:ind w:firstLine="0" w:firstLineChars="0"/>
              <w:jc w:val="center"/>
              <w:rPr>
                <w:rFonts w:eastAsia="仿宋_GB2312"/>
                <w:b/>
                <w:bCs/>
                <w:color w:val="000000"/>
                <w:sz w:val="21"/>
                <w:szCs w:val="21"/>
              </w:rPr>
            </w:pPr>
          </w:p>
        </w:tc>
        <w:tc>
          <w:tcPr>
            <w:tcW w:w="431" w:type="pct"/>
            <w:tcBorders>
              <w:tl2br w:val="nil"/>
              <w:tr2bl w:val="nil"/>
            </w:tcBorders>
            <w:shd w:val="clear" w:color="auto" w:fill="auto"/>
            <w:noWrap/>
            <w:tcMar>
              <w:top w:w="12" w:type="dxa"/>
              <w:left w:w="12" w:type="dxa"/>
              <w:right w:w="12" w:type="dxa"/>
            </w:tcMar>
            <w:vAlign w:val="center"/>
          </w:tcPr>
          <w:p>
            <w:pPr>
              <w:widowControl/>
              <w:topLinePunct w:val="0"/>
              <w:adjustRightInd/>
              <w:snapToGrid/>
              <w:spacing w:line="240" w:lineRule="auto"/>
              <w:ind w:firstLine="0" w:firstLineChars="0"/>
              <w:jc w:val="center"/>
              <w:rPr>
                <w:rFonts w:eastAsia="仿宋_GB2312"/>
                <w:b/>
                <w:bCs/>
                <w:color w:val="000000"/>
                <w:sz w:val="21"/>
                <w:szCs w:val="21"/>
              </w:rPr>
            </w:pPr>
          </w:p>
        </w:tc>
        <w:tc>
          <w:tcPr>
            <w:tcW w:w="505" w:type="pct"/>
            <w:tcBorders>
              <w:tl2br w:val="nil"/>
              <w:tr2bl w:val="nil"/>
            </w:tcBorders>
            <w:shd w:val="clear" w:color="auto" w:fill="auto"/>
            <w:noWrap/>
            <w:tcMar>
              <w:top w:w="12" w:type="dxa"/>
              <w:left w:w="12" w:type="dxa"/>
              <w:right w:w="12" w:type="dxa"/>
            </w:tcMar>
            <w:vAlign w:val="center"/>
          </w:tcPr>
          <w:p>
            <w:pPr>
              <w:widowControl/>
              <w:topLinePunct w:val="0"/>
              <w:adjustRightInd/>
              <w:snapToGrid/>
              <w:spacing w:line="240" w:lineRule="auto"/>
              <w:ind w:firstLine="0" w:firstLineChars="0"/>
              <w:jc w:val="center"/>
              <w:rPr>
                <w:rFonts w:eastAsia="仿宋_GB2312"/>
                <w:b/>
                <w:bCs/>
                <w:color w:val="000000"/>
                <w:sz w:val="21"/>
                <w:szCs w:val="21"/>
              </w:rPr>
            </w:pPr>
          </w:p>
        </w:tc>
        <w:tc>
          <w:tcPr>
            <w:tcW w:w="505" w:type="pct"/>
            <w:tcBorders>
              <w:tl2br w:val="nil"/>
              <w:tr2bl w:val="nil"/>
            </w:tcBorders>
            <w:shd w:val="clear" w:color="auto" w:fill="auto"/>
            <w:noWrap/>
            <w:tcMar>
              <w:top w:w="12" w:type="dxa"/>
              <w:left w:w="12" w:type="dxa"/>
              <w:right w:w="12" w:type="dxa"/>
            </w:tcMar>
            <w:vAlign w:val="center"/>
          </w:tcPr>
          <w:p>
            <w:pPr>
              <w:widowControl/>
              <w:topLinePunct w:val="0"/>
              <w:adjustRightInd/>
              <w:snapToGrid/>
              <w:spacing w:line="240" w:lineRule="auto"/>
              <w:ind w:firstLine="0" w:firstLineChars="0"/>
              <w:jc w:val="center"/>
              <w:rPr>
                <w:rFonts w:eastAsia="仿宋_GB2312"/>
                <w:b/>
                <w:bCs/>
                <w:color w:val="000000"/>
                <w:sz w:val="21"/>
                <w:szCs w:val="21"/>
              </w:rPr>
            </w:pPr>
            <w:r>
              <w:rPr>
                <w:rFonts w:eastAsia="仿宋_GB2312"/>
                <w:b/>
                <w:bCs/>
                <w:color w:val="000000"/>
                <w:sz w:val="21"/>
                <w:szCs w:val="21"/>
              </w:rPr>
              <w:t xml:space="preserve">18.05 </w:t>
            </w:r>
          </w:p>
        </w:tc>
        <w:tc>
          <w:tcPr>
            <w:tcW w:w="420" w:type="pct"/>
            <w:tcBorders>
              <w:tl2br w:val="nil"/>
              <w:tr2bl w:val="nil"/>
            </w:tcBorders>
            <w:shd w:val="clear" w:color="auto" w:fill="auto"/>
            <w:noWrap/>
            <w:tcMar>
              <w:top w:w="12" w:type="dxa"/>
              <w:left w:w="12" w:type="dxa"/>
              <w:right w:w="12" w:type="dxa"/>
            </w:tcMar>
            <w:vAlign w:val="center"/>
          </w:tcPr>
          <w:p>
            <w:pPr>
              <w:widowControl/>
              <w:topLinePunct w:val="0"/>
              <w:adjustRightInd/>
              <w:snapToGrid/>
              <w:spacing w:line="240" w:lineRule="auto"/>
              <w:ind w:firstLine="0" w:firstLineChars="0"/>
              <w:jc w:val="center"/>
              <w:rPr>
                <w:rFonts w:eastAsia="仿宋_GB2312"/>
                <w:b/>
                <w:bCs/>
                <w:color w:val="000000"/>
                <w:sz w:val="21"/>
                <w:szCs w:val="21"/>
              </w:rPr>
            </w:pPr>
            <w:r>
              <w:rPr>
                <w:rFonts w:eastAsia="仿宋_GB2312"/>
                <w:b/>
                <w:bCs/>
                <w:color w:val="000000"/>
                <w:sz w:val="21"/>
                <w:szCs w:val="21"/>
              </w:rPr>
              <w:t xml:space="preserve">0.75 </w:t>
            </w:r>
          </w:p>
        </w:tc>
        <w:tc>
          <w:tcPr>
            <w:tcW w:w="420" w:type="pct"/>
            <w:tcBorders>
              <w:tl2br w:val="nil"/>
              <w:tr2bl w:val="nil"/>
            </w:tcBorders>
            <w:shd w:val="clear" w:color="auto" w:fill="auto"/>
            <w:noWrap/>
            <w:tcMar>
              <w:top w:w="12" w:type="dxa"/>
              <w:left w:w="12" w:type="dxa"/>
              <w:right w:w="12" w:type="dxa"/>
            </w:tcMar>
            <w:vAlign w:val="center"/>
          </w:tcPr>
          <w:p>
            <w:pPr>
              <w:widowControl/>
              <w:topLinePunct w:val="0"/>
              <w:adjustRightInd/>
              <w:snapToGrid/>
              <w:spacing w:line="240" w:lineRule="auto"/>
              <w:ind w:firstLine="0" w:firstLineChars="0"/>
              <w:jc w:val="center"/>
              <w:rPr>
                <w:rFonts w:eastAsia="仿宋_GB2312"/>
                <w:b/>
                <w:bCs/>
                <w:color w:val="000000"/>
                <w:sz w:val="21"/>
                <w:szCs w:val="21"/>
              </w:rPr>
            </w:pPr>
            <w:r>
              <w:rPr>
                <w:rFonts w:eastAsia="仿宋_GB2312"/>
                <w:b/>
                <w:bCs/>
                <w:color w:val="000000"/>
                <w:sz w:val="21"/>
                <w:szCs w:val="21"/>
              </w:rPr>
              <w:t xml:space="preserve">18.79 </w:t>
            </w:r>
          </w:p>
        </w:tc>
      </w:tr>
    </w:tbl>
    <w:p>
      <w:pPr>
        <w:pStyle w:val="86"/>
        <w:spacing w:line="240" w:lineRule="auto"/>
        <w:rPr>
          <w:rFonts w:eastAsia="仿宋_GB2312"/>
        </w:rPr>
      </w:pPr>
    </w:p>
    <w:p>
      <w:pPr>
        <w:pStyle w:val="86"/>
        <w:spacing w:line="240" w:lineRule="auto"/>
        <w:rPr>
          <w:rFonts w:eastAsia="仿宋_GB2312"/>
        </w:rPr>
      </w:pPr>
      <w:r>
        <w:rPr>
          <w:rFonts w:hint="eastAsia" w:eastAsia="仿宋_GB2312"/>
        </w:rPr>
        <w:t xml:space="preserve">表7.1-3   </w:t>
      </w:r>
      <w:r>
        <w:rPr>
          <w:rFonts w:eastAsia="仿宋_GB2312"/>
        </w:rPr>
        <w:t>水土保持</w:t>
      </w:r>
      <w:r>
        <w:rPr>
          <w:rFonts w:hint="eastAsia" w:eastAsia="仿宋_GB2312"/>
        </w:rPr>
        <w:t>新增分部工程</w:t>
      </w:r>
      <w:r>
        <w:rPr>
          <w:rFonts w:eastAsia="仿宋_GB2312"/>
        </w:rPr>
        <w:t>投资总表单位：万元</w:t>
      </w:r>
    </w:p>
    <w:tbl>
      <w:tblPr>
        <w:tblStyle w:val="40"/>
        <w:tblW w:w="5000" w:type="pct"/>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108" w:type="dxa"/>
          <w:bottom w:w="0" w:type="dxa"/>
          <w:right w:w="108" w:type="dxa"/>
        </w:tblCellMar>
      </w:tblPr>
      <w:tblGrid>
        <w:gridCol w:w="1098"/>
        <w:gridCol w:w="2871"/>
        <w:gridCol w:w="932"/>
        <w:gridCol w:w="862"/>
        <w:gridCol w:w="1271"/>
        <w:gridCol w:w="1482"/>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645" w:type="pct"/>
            <w:shd w:val="clear" w:color="auto" w:fill="auto"/>
            <w:noWrap/>
            <w:vAlign w:val="center"/>
          </w:tcPr>
          <w:p>
            <w:pPr>
              <w:widowControl/>
              <w:topLinePunct w:val="0"/>
              <w:adjustRightInd/>
              <w:snapToGrid/>
              <w:spacing w:line="240" w:lineRule="auto"/>
              <w:ind w:firstLine="422" w:firstLineChars="0"/>
              <w:jc w:val="center"/>
              <w:rPr>
                <w:rFonts w:eastAsia="仿宋_GB2312"/>
                <w:b/>
                <w:bCs/>
                <w:color w:val="000000"/>
                <w:sz w:val="21"/>
                <w:szCs w:val="21"/>
              </w:rPr>
            </w:pPr>
            <w:r>
              <w:rPr>
                <w:rFonts w:eastAsia="仿宋_GB2312"/>
                <w:b/>
                <w:bCs/>
                <w:color w:val="000000"/>
                <w:sz w:val="21"/>
                <w:szCs w:val="21"/>
              </w:rPr>
              <w:t>序号</w:t>
            </w:r>
          </w:p>
        </w:tc>
        <w:tc>
          <w:tcPr>
            <w:tcW w:w="1685" w:type="pct"/>
            <w:shd w:val="clear" w:color="auto" w:fill="auto"/>
            <w:noWrap/>
            <w:vAlign w:val="center"/>
          </w:tcPr>
          <w:p>
            <w:pPr>
              <w:widowControl/>
              <w:topLinePunct w:val="0"/>
              <w:adjustRightInd/>
              <w:snapToGrid/>
              <w:spacing w:line="240" w:lineRule="auto"/>
              <w:ind w:firstLine="0" w:firstLineChars="0"/>
              <w:jc w:val="center"/>
              <w:rPr>
                <w:rFonts w:eastAsia="仿宋_GB2312"/>
                <w:b/>
                <w:bCs/>
                <w:color w:val="000000"/>
                <w:sz w:val="21"/>
                <w:szCs w:val="21"/>
              </w:rPr>
            </w:pPr>
            <w:r>
              <w:rPr>
                <w:rFonts w:eastAsia="仿宋_GB2312"/>
                <w:b/>
                <w:bCs/>
                <w:color w:val="000000"/>
                <w:sz w:val="21"/>
                <w:szCs w:val="21"/>
              </w:rPr>
              <w:t>工程或费用名称</w:t>
            </w:r>
          </w:p>
        </w:tc>
        <w:tc>
          <w:tcPr>
            <w:tcW w:w="547" w:type="pct"/>
            <w:shd w:val="clear" w:color="auto" w:fill="auto"/>
            <w:noWrap/>
            <w:vAlign w:val="center"/>
          </w:tcPr>
          <w:p>
            <w:pPr>
              <w:widowControl/>
              <w:topLinePunct w:val="0"/>
              <w:adjustRightInd/>
              <w:snapToGrid/>
              <w:spacing w:line="240" w:lineRule="auto"/>
              <w:ind w:firstLine="0" w:firstLineChars="0"/>
              <w:jc w:val="center"/>
              <w:rPr>
                <w:rFonts w:eastAsia="仿宋_GB2312"/>
                <w:b/>
                <w:bCs/>
                <w:color w:val="000000"/>
                <w:sz w:val="21"/>
                <w:szCs w:val="21"/>
              </w:rPr>
            </w:pPr>
            <w:r>
              <w:rPr>
                <w:rFonts w:eastAsia="仿宋_GB2312"/>
                <w:b/>
                <w:bCs/>
                <w:color w:val="000000"/>
                <w:sz w:val="21"/>
                <w:szCs w:val="21"/>
              </w:rPr>
              <w:t>单位</w:t>
            </w:r>
          </w:p>
        </w:tc>
        <w:tc>
          <w:tcPr>
            <w:tcW w:w="506" w:type="pct"/>
            <w:shd w:val="clear" w:color="auto" w:fill="auto"/>
            <w:noWrap/>
            <w:vAlign w:val="center"/>
          </w:tcPr>
          <w:p>
            <w:pPr>
              <w:widowControl/>
              <w:topLinePunct w:val="0"/>
              <w:adjustRightInd/>
              <w:snapToGrid/>
              <w:spacing w:line="240" w:lineRule="auto"/>
              <w:ind w:firstLine="0" w:firstLineChars="0"/>
              <w:jc w:val="center"/>
              <w:rPr>
                <w:rFonts w:eastAsia="仿宋_GB2312"/>
                <w:b/>
                <w:bCs/>
                <w:color w:val="000000"/>
                <w:sz w:val="21"/>
                <w:szCs w:val="21"/>
              </w:rPr>
            </w:pPr>
            <w:r>
              <w:rPr>
                <w:rFonts w:eastAsia="仿宋_GB2312"/>
                <w:b/>
                <w:bCs/>
                <w:color w:val="000000"/>
                <w:sz w:val="21"/>
                <w:szCs w:val="21"/>
              </w:rPr>
              <w:t>数量</w:t>
            </w:r>
          </w:p>
        </w:tc>
        <w:tc>
          <w:tcPr>
            <w:tcW w:w="746" w:type="pct"/>
            <w:shd w:val="clear" w:color="auto" w:fill="auto"/>
            <w:noWrap/>
            <w:vAlign w:val="center"/>
          </w:tcPr>
          <w:p>
            <w:pPr>
              <w:widowControl/>
              <w:topLinePunct w:val="0"/>
              <w:adjustRightInd/>
              <w:snapToGrid/>
              <w:spacing w:line="240" w:lineRule="auto"/>
              <w:ind w:firstLine="0" w:firstLineChars="0"/>
              <w:jc w:val="center"/>
              <w:rPr>
                <w:rFonts w:eastAsia="仿宋_GB2312"/>
                <w:b/>
                <w:bCs/>
                <w:color w:val="000000"/>
                <w:sz w:val="21"/>
                <w:szCs w:val="21"/>
              </w:rPr>
            </w:pPr>
            <w:r>
              <w:rPr>
                <w:rFonts w:eastAsia="仿宋_GB2312"/>
                <w:b/>
                <w:bCs/>
                <w:color w:val="000000"/>
                <w:sz w:val="21"/>
                <w:szCs w:val="21"/>
              </w:rPr>
              <w:t>单价（元）</w:t>
            </w:r>
          </w:p>
        </w:tc>
        <w:tc>
          <w:tcPr>
            <w:tcW w:w="870" w:type="pct"/>
            <w:shd w:val="clear" w:color="auto" w:fill="auto"/>
            <w:noWrap/>
            <w:vAlign w:val="center"/>
          </w:tcPr>
          <w:p>
            <w:pPr>
              <w:widowControl/>
              <w:topLinePunct w:val="0"/>
              <w:adjustRightInd/>
              <w:snapToGrid/>
              <w:spacing w:line="240" w:lineRule="auto"/>
              <w:ind w:firstLine="0" w:firstLineChars="0"/>
              <w:jc w:val="center"/>
              <w:rPr>
                <w:rFonts w:eastAsia="仿宋_GB2312"/>
                <w:b/>
                <w:bCs/>
                <w:color w:val="000000"/>
                <w:sz w:val="21"/>
                <w:szCs w:val="21"/>
              </w:rPr>
            </w:pPr>
            <w:r>
              <w:rPr>
                <w:rFonts w:eastAsia="仿宋_GB2312"/>
                <w:b/>
                <w:bCs/>
                <w:color w:val="000000"/>
                <w:sz w:val="21"/>
                <w:szCs w:val="21"/>
              </w:rPr>
              <w:t>合计（万元）</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2330" w:type="pct"/>
            <w:gridSpan w:val="2"/>
            <w:shd w:val="clear" w:color="auto" w:fill="auto"/>
            <w:noWrap/>
            <w:vAlign w:val="center"/>
          </w:tcPr>
          <w:p>
            <w:pPr>
              <w:widowControl/>
              <w:topLinePunct w:val="0"/>
              <w:adjustRightInd/>
              <w:snapToGrid/>
              <w:spacing w:line="240" w:lineRule="auto"/>
              <w:ind w:firstLine="0" w:firstLineChars="0"/>
              <w:jc w:val="center"/>
              <w:rPr>
                <w:rFonts w:eastAsia="仿宋_GB2312"/>
                <w:b/>
                <w:bCs/>
                <w:color w:val="000000"/>
                <w:sz w:val="21"/>
                <w:szCs w:val="21"/>
              </w:rPr>
            </w:pPr>
            <w:r>
              <w:rPr>
                <w:rFonts w:eastAsia="仿宋_GB2312"/>
                <w:b/>
                <w:bCs/>
                <w:color w:val="000000"/>
                <w:sz w:val="21"/>
                <w:szCs w:val="21"/>
              </w:rPr>
              <w:t>第三部分临时措施</w:t>
            </w:r>
          </w:p>
        </w:tc>
        <w:tc>
          <w:tcPr>
            <w:tcW w:w="547"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506"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746" w:type="pct"/>
            <w:shd w:val="clear" w:color="auto" w:fill="auto"/>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870" w:type="pct"/>
            <w:shd w:val="clear" w:color="auto" w:fill="auto"/>
            <w:vAlign w:val="center"/>
          </w:tcPr>
          <w:p>
            <w:pPr>
              <w:widowControl/>
              <w:topLinePunct w:val="0"/>
              <w:adjustRightInd/>
              <w:snapToGrid/>
              <w:spacing w:line="240" w:lineRule="auto"/>
              <w:ind w:firstLine="0" w:firstLineChars="0"/>
              <w:jc w:val="center"/>
              <w:rPr>
                <w:rFonts w:eastAsia="仿宋_GB2312"/>
                <w:b/>
                <w:bCs/>
                <w:color w:val="000000"/>
                <w:sz w:val="21"/>
                <w:szCs w:val="21"/>
              </w:rPr>
            </w:pPr>
            <w:r>
              <w:rPr>
                <w:rFonts w:eastAsia="仿宋_GB2312"/>
                <w:b/>
                <w:bCs/>
                <w:color w:val="000000"/>
                <w:sz w:val="21"/>
                <w:szCs w:val="21"/>
              </w:rPr>
              <w:t>3.</w:t>
            </w:r>
            <w:r>
              <w:rPr>
                <w:rFonts w:hint="eastAsia" w:eastAsia="仿宋_GB2312"/>
                <w:b/>
                <w:bCs/>
                <w:color w:val="000000"/>
                <w:sz w:val="21"/>
                <w:szCs w:val="21"/>
              </w:rPr>
              <w:t>42</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645" w:type="pct"/>
            <w:shd w:val="clear" w:color="auto" w:fill="auto"/>
            <w:noWrap/>
            <w:vAlign w:val="center"/>
          </w:tcPr>
          <w:p>
            <w:pPr>
              <w:widowControl/>
              <w:topLinePunct w:val="0"/>
              <w:adjustRightInd/>
              <w:snapToGrid/>
              <w:spacing w:line="240" w:lineRule="auto"/>
              <w:ind w:firstLine="0" w:firstLineChars="0"/>
              <w:jc w:val="center"/>
              <w:rPr>
                <w:rFonts w:eastAsia="仿宋_GB2312"/>
                <w:b/>
                <w:bCs/>
                <w:color w:val="000000"/>
                <w:sz w:val="21"/>
                <w:szCs w:val="21"/>
              </w:rPr>
            </w:pPr>
            <w:r>
              <w:rPr>
                <w:rFonts w:eastAsia="仿宋_GB2312"/>
                <w:b/>
                <w:bCs/>
                <w:color w:val="000000"/>
                <w:sz w:val="21"/>
                <w:szCs w:val="21"/>
              </w:rPr>
              <w:t>一</w:t>
            </w:r>
          </w:p>
        </w:tc>
        <w:tc>
          <w:tcPr>
            <w:tcW w:w="1685" w:type="pct"/>
            <w:shd w:val="clear" w:color="auto" w:fill="auto"/>
            <w:vAlign w:val="center"/>
          </w:tcPr>
          <w:p>
            <w:pPr>
              <w:widowControl/>
              <w:topLinePunct w:val="0"/>
              <w:adjustRightInd/>
              <w:snapToGrid/>
              <w:spacing w:line="240" w:lineRule="auto"/>
              <w:ind w:firstLine="0" w:firstLineChars="0"/>
              <w:jc w:val="center"/>
              <w:rPr>
                <w:rFonts w:eastAsia="仿宋_GB2312"/>
                <w:b/>
                <w:bCs/>
                <w:color w:val="000000"/>
                <w:sz w:val="21"/>
                <w:szCs w:val="21"/>
              </w:rPr>
            </w:pPr>
            <w:r>
              <w:rPr>
                <w:rFonts w:eastAsia="仿宋_GB2312"/>
                <w:b/>
                <w:bCs/>
                <w:color w:val="000000"/>
                <w:sz w:val="21"/>
                <w:szCs w:val="21"/>
              </w:rPr>
              <w:t>管道工程区</w:t>
            </w:r>
          </w:p>
        </w:tc>
        <w:tc>
          <w:tcPr>
            <w:tcW w:w="547" w:type="pct"/>
            <w:shd w:val="clear" w:color="auto" w:fill="auto"/>
            <w:noWrap/>
            <w:vAlign w:val="center"/>
          </w:tcPr>
          <w:p>
            <w:pPr>
              <w:widowControl/>
              <w:topLinePunct w:val="0"/>
              <w:adjustRightInd/>
              <w:snapToGrid/>
              <w:spacing w:line="240" w:lineRule="auto"/>
              <w:ind w:firstLine="0" w:firstLineChars="0"/>
              <w:jc w:val="center"/>
              <w:rPr>
                <w:rFonts w:eastAsia="仿宋_GB2312"/>
                <w:b/>
                <w:bCs/>
                <w:color w:val="000000"/>
                <w:sz w:val="21"/>
                <w:szCs w:val="21"/>
              </w:rPr>
            </w:pPr>
          </w:p>
        </w:tc>
        <w:tc>
          <w:tcPr>
            <w:tcW w:w="506" w:type="pct"/>
            <w:shd w:val="clear" w:color="auto" w:fill="auto"/>
            <w:noWrap/>
            <w:vAlign w:val="center"/>
          </w:tcPr>
          <w:p>
            <w:pPr>
              <w:widowControl/>
              <w:topLinePunct w:val="0"/>
              <w:adjustRightInd/>
              <w:snapToGrid/>
              <w:spacing w:line="240" w:lineRule="auto"/>
              <w:ind w:firstLine="0" w:firstLineChars="0"/>
              <w:jc w:val="center"/>
              <w:rPr>
                <w:rFonts w:eastAsia="仿宋_GB2312"/>
                <w:b/>
                <w:bCs/>
                <w:color w:val="000000"/>
                <w:sz w:val="21"/>
                <w:szCs w:val="21"/>
              </w:rPr>
            </w:pPr>
          </w:p>
        </w:tc>
        <w:tc>
          <w:tcPr>
            <w:tcW w:w="746" w:type="pct"/>
            <w:shd w:val="clear" w:color="auto" w:fill="auto"/>
            <w:vAlign w:val="center"/>
          </w:tcPr>
          <w:p>
            <w:pPr>
              <w:widowControl/>
              <w:topLinePunct w:val="0"/>
              <w:adjustRightInd/>
              <w:snapToGrid/>
              <w:spacing w:line="240" w:lineRule="auto"/>
              <w:ind w:firstLine="0" w:firstLineChars="0"/>
              <w:jc w:val="center"/>
              <w:rPr>
                <w:rFonts w:eastAsia="仿宋_GB2312"/>
                <w:b/>
                <w:bCs/>
                <w:color w:val="000000"/>
                <w:sz w:val="21"/>
                <w:szCs w:val="21"/>
              </w:rPr>
            </w:pPr>
          </w:p>
        </w:tc>
        <w:tc>
          <w:tcPr>
            <w:tcW w:w="870" w:type="pct"/>
            <w:shd w:val="clear" w:color="auto" w:fill="auto"/>
            <w:vAlign w:val="center"/>
          </w:tcPr>
          <w:p>
            <w:pPr>
              <w:widowControl/>
              <w:topLinePunct w:val="0"/>
              <w:adjustRightInd/>
              <w:snapToGrid/>
              <w:spacing w:line="240" w:lineRule="auto"/>
              <w:ind w:firstLine="0" w:firstLineChars="0"/>
              <w:jc w:val="center"/>
              <w:rPr>
                <w:rFonts w:eastAsia="仿宋_GB2312"/>
                <w:b/>
                <w:bCs/>
                <w:color w:val="000000"/>
                <w:sz w:val="21"/>
                <w:szCs w:val="21"/>
              </w:rPr>
            </w:pPr>
            <w:r>
              <w:rPr>
                <w:rFonts w:eastAsia="仿宋_GB2312"/>
                <w:b/>
                <w:bCs/>
                <w:color w:val="000000"/>
                <w:sz w:val="21"/>
                <w:szCs w:val="21"/>
              </w:rPr>
              <w:t>3.</w:t>
            </w:r>
            <w:r>
              <w:rPr>
                <w:rFonts w:hint="eastAsia" w:eastAsia="仿宋_GB2312"/>
                <w:b/>
                <w:bCs/>
                <w:color w:val="000000"/>
                <w:sz w:val="21"/>
                <w:szCs w:val="21"/>
              </w:rPr>
              <w:t>3</w:t>
            </w:r>
            <w:r>
              <w:rPr>
                <w:rFonts w:eastAsia="仿宋_GB2312"/>
                <w:b/>
                <w:bCs/>
                <w:color w:val="000000"/>
                <w:sz w:val="21"/>
                <w:szCs w:val="21"/>
              </w:rPr>
              <w:t>2</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645"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1</w:t>
            </w:r>
          </w:p>
        </w:tc>
        <w:tc>
          <w:tcPr>
            <w:tcW w:w="1685"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防尘网苫盖</w:t>
            </w:r>
          </w:p>
        </w:tc>
        <w:tc>
          <w:tcPr>
            <w:tcW w:w="547"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m</w:t>
            </w:r>
            <w:r>
              <w:rPr>
                <w:rFonts w:eastAsia="宋体"/>
                <w:color w:val="000000"/>
                <w:sz w:val="21"/>
                <w:szCs w:val="21"/>
              </w:rPr>
              <w:t>²</w:t>
            </w:r>
          </w:p>
        </w:tc>
        <w:tc>
          <w:tcPr>
            <w:tcW w:w="506"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hint="eastAsia" w:eastAsia="仿宋_GB2312"/>
                <w:color w:val="000000"/>
                <w:sz w:val="21"/>
                <w:szCs w:val="21"/>
              </w:rPr>
              <w:t>3454</w:t>
            </w:r>
          </w:p>
        </w:tc>
        <w:tc>
          <w:tcPr>
            <w:tcW w:w="746" w:type="pct"/>
            <w:shd w:val="clear" w:color="auto" w:fill="auto"/>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4.72</w:t>
            </w:r>
          </w:p>
        </w:tc>
        <w:tc>
          <w:tcPr>
            <w:tcW w:w="870" w:type="pct"/>
            <w:shd w:val="clear" w:color="auto" w:fill="auto"/>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1.63</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645"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2</w:t>
            </w:r>
          </w:p>
        </w:tc>
        <w:tc>
          <w:tcPr>
            <w:tcW w:w="1685"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洒水</w:t>
            </w:r>
          </w:p>
        </w:tc>
        <w:tc>
          <w:tcPr>
            <w:tcW w:w="547"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m</w:t>
            </w:r>
            <w:r>
              <w:rPr>
                <w:rFonts w:eastAsia="宋体"/>
                <w:color w:val="000000"/>
                <w:sz w:val="21"/>
                <w:szCs w:val="21"/>
              </w:rPr>
              <w:t>³</w:t>
            </w:r>
          </w:p>
        </w:tc>
        <w:tc>
          <w:tcPr>
            <w:tcW w:w="506"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104</w:t>
            </w:r>
          </w:p>
        </w:tc>
        <w:tc>
          <w:tcPr>
            <w:tcW w:w="746" w:type="pct"/>
            <w:shd w:val="clear" w:color="auto" w:fill="auto"/>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26.67</w:t>
            </w:r>
          </w:p>
        </w:tc>
        <w:tc>
          <w:tcPr>
            <w:tcW w:w="870" w:type="pct"/>
            <w:shd w:val="clear" w:color="auto" w:fill="auto"/>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0.28</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645"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3</w:t>
            </w:r>
          </w:p>
        </w:tc>
        <w:tc>
          <w:tcPr>
            <w:tcW w:w="1685"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彩条旗限界</w:t>
            </w:r>
          </w:p>
        </w:tc>
        <w:tc>
          <w:tcPr>
            <w:tcW w:w="547"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m</w:t>
            </w:r>
          </w:p>
        </w:tc>
        <w:tc>
          <w:tcPr>
            <w:tcW w:w="506"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6908</w:t>
            </w:r>
          </w:p>
        </w:tc>
        <w:tc>
          <w:tcPr>
            <w:tcW w:w="746" w:type="pct"/>
            <w:shd w:val="clear" w:color="auto" w:fill="auto"/>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1.75</w:t>
            </w:r>
          </w:p>
        </w:tc>
        <w:tc>
          <w:tcPr>
            <w:tcW w:w="870" w:type="pct"/>
            <w:shd w:val="clear" w:color="auto" w:fill="auto"/>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1.21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645"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hint="eastAsia" w:eastAsia="仿宋_GB2312"/>
                <w:color w:val="000000"/>
                <w:sz w:val="21"/>
                <w:szCs w:val="21"/>
              </w:rPr>
              <w:t>4</w:t>
            </w:r>
          </w:p>
        </w:tc>
        <w:tc>
          <w:tcPr>
            <w:tcW w:w="1685"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hint="eastAsia" w:eastAsia="仿宋_GB2312"/>
                <w:color w:val="000000"/>
                <w:sz w:val="21"/>
                <w:szCs w:val="21"/>
              </w:rPr>
              <w:t>宣传牌</w:t>
            </w:r>
          </w:p>
        </w:tc>
        <w:tc>
          <w:tcPr>
            <w:tcW w:w="547"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hint="eastAsia" w:eastAsia="仿宋_GB2312"/>
                <w:color w:val="000000"/>
                <w:sz w:val="21"/>
                <w:szCs w:val="21"/>
              </w:rPr>
              <w:t>块</w:t>
            </w:r>
          </w:p>
        </w:tc>
        <w:tc>
          <w:tcPr>
            <w:tcW w:w="506"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hint="eastAsia" w:eastAsia="仿宋_GB2312"/>
                <w:color w:val="000000"/>
                <w:sz w:val="21"/>
                <w:szCs w:val="21"/>
              </w:rPr>
              <w:t>2</w:t>
            </w:r>
          </w:p>
        </w:tc>
        <w:tc>
          <w:tcPr>
            <w:tcW w:w="746" w:type="pct"/>
            <w:shd w:val="clear" w:color="auto" w:fill="auto"/>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hint="eastAsia" w:eastAsia="仿宋_GB2312"/>
                <w:color w:val="000000"/>
                <w:sz w:val="21"/>
                <w:szCs w:val="21"/>
              </w:rPr>
              <w:t>1000</w:t>
            </w:r>
          </w:p>
        </w:tc>
        <w:tc>
          <w:tcPr>
            <w:tcW w:w="870" w:type="pct"/>
            <w:shd w:val="clear" w:color="auto" w:fill="auto"/>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hint="eastAsia" w:eastAsia="仿宋_GB2312"/>
                <w:color w:val="000000"/>
                <w:sz w:val="21"/>
                <w:szCs w:val="21"/>
              </w:rPr>
              <w:t>0.20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645" w:type="pct"/>
            <w:shd w:val="clear" w:color="auto" w:fill="auto"/>
            <w:noWrap/>
            <w:vAlign w:val="center"/>
          </w:tcPr>
          <w:p>
            <w:pPr>
              <w:widowControl/>
              <w:topLinePunct w:val="0"/>
              <w:adjustRightInd/>
              <w:snapToGrid/>
              <w:spacing w:line="240" w:lineRule="auto"/>
              <w:ind w:firstLine="0" w:firstLineChars="0"/>
              <w:jc w:val="center"/>
              <w:rPr>
                <w:rFonts w:eastAsia="仿宋_GB2312"/>
                <w:b/>
                <w:bCs/>
                <w:color w:val="000000"/>
                <w:sz w:val="21"/>
                <w:szCs w:val="21"/>
              </w:rPr>
            </w:pPr>
            <w:r>
              <w:rPr>
                <w:rFonts w:eastAsia="仿宋_GB2312"/>
                <w:b/>
                <w:bCs/>
                <w:color w:val="000000"/>
                <w:sz w:val="21"/>
                <w:szCs w:val="21"/>
              </w:rPr>
              <w:t>二</w:t>
            </w:r>
          </w:p>
        </w:tc>
        <w:tc>
          <w:tcPr>
            <w:tcW w:w="1685" w:type="pct"/>
            <w:shd w:val="clear" w:color="auto" w:fill="auto"/>
            <w:vAlign w:val="center"/>
          </w:tcPr>
          <w:p>
            <w:pPr>
              <w:widowControl/>
              <w:topLinePunct w:val="0"/>
              <w:adjustRightInd/>
              <w:snapToGrid/>
              <w:spacing w:line="240" w:lineRule="auto"/>
              <w:ind w:firstLine="0" w:firstLineChars="0"/>
              <w:jc w:val="center"/>
              <w:rPr>
                <w:rFonts w:eastAsia="仿宋_GB2312"/>
                <w:b/>
                <w:bCs/>
                <w:color w:val="000000"/>
                <w:sz w:val="21"/>
                <w:szCs w:val="21"/>
              </w:rPr>
            </w:pPr>
            <w:r>
              <w:rPr>
                <w:rFonts w:eastAsia="仿宋_GB2312"/>
                <w:b/>
                <w:bCs/>
                <w:color w:val="000000"/>
                <w:sz w:val="21"/>
                <w:szCs w:val="21"/>
              </w:rPr>
              <w:t>附属构筑物区</w:t>
            </w:r>
          </w:p>
        </w:tc>
        <w:tc>
          <w:tcPr>
            <w:tcW w:w="547" w:type="pct"/>
            <w:shd w:val="clear" w:color="auto" w:fill="auto"/>
            <w:noWrap/>
            <w:vAlign w:val="center"/>
          </w:tcPr>
          <w:p>
            <w:pPr>
              <w:widowControl/>
              <w:topLinePunct w:val="0"/>
              <w:adjustRightInd/>
              <w:snapToGrid/>
              <w:spacing w:line="240" w:lineRule="auto"/>
              <w:ind w:firstLine="0" w:firstLineChars="0"/>
              <w:jc w:val="center"/>
              <w:rPr>
                <w:rFonts w:eastAsia="仿宋_GB2312"/>
                <w:b/>
                <w:bCs/>
                <w:color w:val="000000"/>
                <w:sz w:val="21"/>
                <w:szCs w:val="21"/>
              </w:rPr>
            </w:pPr>
          </w:p>
        </w:tc>
        <w:tc>
          <w:tcPr>
            <w:tcW w:w="506" w:type="pct"/>
            <w:shd w:val="clear" w:color="auto" w:fill="auto"/>
            <w:noWrap/>
            <w:vAlign w:val="center"/>
          </w:tcPr>
          <w:p>
            <w:pPr>
              <w:widowControl/>
              <w:topLinePunct w:val="0"/>
              <w:adjustRightInd/>
              <w:snapToGrid/>
              <w:spacing w:line="240" w:lineRule="auto"/>
              <w:ind w:firstLine="0" w:firstLineChars="0"/>
              <w:jc w:val="center"/>
              <w:rPr>
                <w:rFonts w:eastAsia="仿宋_GB2312"/>
                <w:b/>
                <w:bCs/>
                <w:color w:val="000000"/>
                <w:sz w:val="21"/>
                <w:szCs w:val="21"/>
              </w:rPr>
            </w:pPr>
          </w:p>
        </w:tc>
        <w:tc>
          <w:tcPr>
            <w:tcW w:w="746" w:type="pct"/>
            <w:shd w:val="clear" w:color="auto" w:fill="auto"/>
            <w:vAlign w:val="center"/>
          </w:tcPr>
          <w:p>
            <w:pPr>
              <w:widowControl/>
              <w:topLinePunct w:val="0"/>
              <w:adjustRightInd/>
              <w:snapToGrid/>
              <w:spacing w:line="240" w:lineRule="auto"/>
              <w:ind w:firstLine="0" w:firstLineChars="0"/>
              <w:jc w:val="center"/>
              <w:rPr>
                <w:rFonts w:eastAsia="仿宋_GB2312"/>
                <w:b/>
                <w:bCs/>
                <w:color w:val="000000"/>
                <w:sz w:val="21"/>
                <w:szCs w:val="21"/>
              </w:rPr>
            </w:pPr>
          </w:p>
        </w:tc>
        <w:tc>
          <w:tcPr>
            <w:tcW w:w="870" w:type="pct"/>
            <w:shd w:val="clear" w:color="auto" w:fill="auto"/>
            <w:vAlign w:val="center"/>
          </w:tcPr>
          <w:p>
            <w:pPr>
              <w:widowControl/>
              <w:topLinePunct w:val="0"/>
              <w:adjustRightInd/>
              <w:snapToGrid/>
              <w:spacing w:line="240" w:lineRule="auto"/>
              <w:ind w:firstLine="0" w:firstLineChars="0"/>
              <w:jc w:val="center"/>
              <w:rPr>
                <w:rFonts w:eastAsia="仿宋_GB2312"/>
                <w:b/>
                <w:bCs/>
                <w:color w:val="000000"/>
                <w:sz w:val="21"/>
                <w:szCs w:val="21"/>
              </w:rPr>
            </w:pPr>
            <w:r>
              <w:rPr>
                <w:rFonts w:eastAsia="仿宋_GB2312"/>
                <w:b/>
                <w:bCs/>
                <w:color w:val="000000"/>
                <w:sz w:val="21"/>
                <w:szCs w:val="21"/>
              </w:rPr>
              <w:t>0.10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645"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1</w:t>
            </w:r>
          </w:p>
        </w:tc>
        <w:tc>
          <w:tcPr>
            <w:tcW w:w="1685"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防尘网苫盖</w:t>
            </w:r>
          </w:p>
        </w:tc>
        <w:tc>
          <w:tcPr>
            <w:tcW w:w="547"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m</w:t>
            </w:r>
            <w:r>
              <w:rPr>
                <w:rFonts w:eastAsia="宋体"/>
                <w:color w:val="000000"/>
                <w:sz w:val="21"/>
                <w:szCs w:val="21"/>
              </w:rPr>
              <w:t>²</w:t>
            </w:r>
          </w:p>
        </w:tc>
        <w:tc>
          <w:tcPr>
            <w:tcW w:w="506"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220</w:t>
            </w:r>
          </w:p>
        </w:tc>
        <w:tc>
          <w:tcPr>
            <w:tcW w:w="746" w:type="pct"/>
            <w:shd w:val="clear" w:color="auto" w:fill="auto"/>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4.72</w:t>
            </w:r>
          </w:p>
        </w:tc>
        <w:tc>
          <w:tcPr>
            <w:tcW w:w="870" w:type="pct"/>
            <w:shd w:val="clear" w:color="auto" w:fill="auto"/>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0.10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645" w:type="pct"/>
            <w:shd w:val="clear" w:color="auto" w:fill="auto"/>
            <w:noWrap/>
            <w:vAlign w:val="center"/>
          </w:tcPr>
          <w:p>
            <w:pPr>
              <w:widowControl/>
              <w:topLinePunct w:val="0"/>
              <w:adjustRightInd/>
              <w:snapToGrid/>
              <w:spacing w:line="240" w:lineRule="auto"/>
              <w:ind w:firstLine="0" w:firstLineChars="0"/>
              <w:jc w:val="center"/>
              <w:rPr>
                <w:rFonts w:eastAsia="仿宋_GB2312"/>
                <w:b/>
                <w:bCs/>
                <w:color w:val="000000"/>
                <w:sz w:val="21"/>
                <w:szCs w:val="21"/>
              </w:rPr>
            </w:pPr>
            <w:r>
              <w:rPr>
                <w:rFonts w:hint="eastAsia" w:eastAsia="仿宋_GB2312"/>
                <w:b/>
                <w:bCs/>
                <w:color w:val="000000"/>
                <w:sz w:val="21"/>
                <w:szCs w:val="21"/>
              </w:rPr>
              <w:t>三</w:t>
            </w:r>
          </w:p>
        </w:tc>
        <w:tc>
          <w:tcPr>
            <w:tcW w:w="1685" w:type="pct"/>
            <w:shd w:val="clear" w:color="auto" w:fill="auto"/>
            <w:noWrap/>
            <w:vAlign w:val="center"/>
          </w:tcPr>
          <w:p>
            <w:pPr>
              <w:widowControl/>
              <w:topLinePunct w:val="0"/>
              <w:adjustRightInd/>
              <w:snapToGrid/>
              <w:spacing w:line="240" w:lineRule="auto"/>
              <w:ind w:firstLine="0" w:firstLineChars="0"/>
              <w:jc w:val="center"/>
              <w:rPr>
                <w:rFonts w:eastAsia="仿宋_GB2312"/>
                <w:b/>
                <w:bCs/>
                <w:color w:val="000000"/>
                <w:sz w:val="21"/>
                <w:szCs w:val="21"/>
              </w:rPr>
            </w:pPr>
            <w:r>
              <w:rPr>
                <w:rFonts w:eastAsia="仿宋_GB2312"/>
                <w:b/>
                <w:bCs/>
                <w:color w:val="000000"/>
                <w:sz w:val="21"/>
                <w:szCs w:val="21"/>
              </w:rPr>
              <w:t>其他临时措施</w:t>
            </w:r>
          </w:p>
        </w:tc>
        <w:tc>
          <w:tcPr>
            <w:tcW w:w="547" w:type="pct"/>
            <w:shd w:val="clear" w:color="auto" w:fill="auto"/>
            <w:noWrap/>
            <w:vAlign w:val="center"/>
          </w:tcPr>
          <w:p>
            <w:pPr>
              <w:widowControl/>
              <w:topLinePunct w:val="0"/>
              <w:adjustRightInd/>
              <w:snapToGrid/>
              <w:spacing w:line="240" w:lineRule="auto"/>
              <w:ind w:firstLine="0" w:firstLineChars="0"/>
              <w:jc w:val="center"/>
              <w:rPr>
                <w:rFonts w:eastAsia="仿宋_GB2312"/>
                <w:b/>
                <w:bCs/>
                <w:color w:val="000000"/>
                <w:sz w:val="21"/>
                <w:szCs w:val="21"/>
              </w:rPr>
            </w:pPr>
          </w:p>
        </w:tc>
        <w:tc>
          <w:tcPr>
            <w:tcW w:w="506" w:type="pct"/>
            <w:shd w:val="clear" w:color="auto" w:fill="auto"/>
            <w:noWrap/>
            <w:vAlign w:val="center"/>
          </w:tcPr>
          <w:p>
            <w:pPr>
              <w:widowControl/>
              <w:topLinePunct w:val="0"/>
              <w:adjustRightInd/>
              <w:snapToGrid/>
              <w:spacing w:line="240" w:lineRule="auto"/>
              <w:ind w:firstLine="0" w:firstLineChars="0"/>
              <w:jc w:val="center"/>
              <w:rPr>
                <w:rFonts w:eastAsia="仿宋_GB2312"/>
                <w:b/>
                <w:bCs/>
                <w:color w:val="000000"/>
                <w:sz w:val="21"/>
                <w:szCs w:val="21"/>
              </w:rPr>
            </w:pPr>
            <w:r>
              <w:rPr>
                <w:rFonts w:eastAsia="仿宋_GB2312"/>
                <w:b/>
                <w:bCs/>
                <w:color w:val="000000"/>
                <w:sz w:val="21"/>
                <w:szCs w:val="21"/>
              </w:rPr>
              <w:t>2%</w:t>
            </w:r>
          </w:p>
        </w:tc>
        <w:tc>
          <w:tcPr>
            <w:tcW w:w="746" w:type="pct"/>
            <w:shd w:val="clear" w:color="auto" w:fill="auto"/>
            <w:vAlign w:val="center"/>
          </w:tcPr>
          <w:p>
            <w:pPr>
              <w:widowControl/>
              <w:topLinePunct w:val="0"/>
              <w:adjustRightInd/>
              <w:snapToGrid/>
              <w:spacing w:line="240" w:lineRule="auto"/>
              <w:ind w:firstLine="0" w:firstLineChars="0"/>
              <w:jc w:val="center"/>
              <w:rPr>
                <w:rFonts w:eastAsia="仿宋_GB2312"/>
                <w:b/>
                <w:bCs/>
                <w:color w:val="000000"/>
                <w:sz w:val="21"/>
                <w:szCs w:val="21"/>
              </w:rPr>
            </w:pPr>
          </w:p>
        </w:tc>
        <w:tc>
          <w:tcPr>
            <w:tcW w:w="870" w:type="pct"/>
            <w:shd w:val="clear" w:color="auto" w:fill="auto"/>
            <w:vAlign w:val="center"/>
          </w:tcPr>
          <w:p>
            <w:pPr>
              <w:widowControl/>
              <w:topLinePunct w:val="0"/>
              <w:adjustRightInd/>
              <w:snapToGrid/>
              <w:spacing w:line="240" w:lineRule="auto"/>
              <w:ind w:firstLine="0" w:firstLineChars="0"/>
              <w:jc w:val="center"/>
              <w:rPr>
                <w:rFonts w:eastAsia="仿宋_GB2312"/>
                <w:b/>
                <w:bCs/>
                <w:color w:val="000000"/>
                <w:sz w:val="21"/>
                <w:szCs w:val="21"/>
              </w:rPr>
            </w:pPr>
            <w:r>
              <w:rPr>
                <w:rFonts w:eastAsia="仿宋_GB2312"/>
                <w:b/>
                <w:bCs/>
                <w:color w:val="000000"/>
                <w:sz w:val="21"/>
                <w:szCs w:val="21"/>
              </w:rPr>
              <w:t>0.00</w:t>
            </w:r>
          </w:p>
        </w:tc>
      </w:tr>
    </w:tbl>
    <w:p>
      <w:pPr>
        <w:pStyle w:val="86"/>
        <w:spacing w:line="240" w:lineRule="auto"/>
        <w:rPr>
          <w:rFonts w:eastAsia="仿宋_GB2312"/>
        </w:rPr>
        <w:sectPr>
          <w:pgSz w:w="11906" w:h="16838"/>
          <w:pgMar w:top="1440" w:right="1803" w:bottom="1440" w:left="1803" w:header="851" w:footer="992" w:gutter="0"/>
          <w:cols w:space="720" w:num="1"/>
          <w:docGrid w:linePitch="326" w:charSpace="0"/>
        </w:sectPr>
      </w:pPr>
    </w:p>
    <w:p>
      <w:pPr>
        <w:pStyle w:val="86"/>
        <w:spacing w:line="240" w:lineRule="auto"/>
        <w:rPr>
          <w:rFonts w:eastAsia="仿宋_GB2312"/>
        </w:rPr>
      </w:pPr>
      <w:r>
        <w:rPr>
          <w:rFonts w:hint="eastAsia" w:eastAsia="仿宋_GB2312"/>
        </w:rPr>
        <w:t xml:space="preserve">表7.1-4   </w:t>
      </w:r>
      <w:r>
        <w:rPr>
          <w:rFonts w:eastAsia="仿宋_GB2312"/>
        </w:rPr>
        <w:t>分年度水土保持措施投资总表单位：万元</w:t>
      </w:r>
    </w:p>
    <w:tbl>
      <w:tblPr>
        <w:tblStyle w:val="40"/>
        <w:tblW w:w="5000" w:type="pct"/>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108" w:type="dxa"/>
          <w:bottom w:w="0" w:type="dxa"/>
          <w:right w:w="108" w:type="dxa"/>
        </w:tblCellMar>
      </w:tblPr>
      <w:tblGrid>
        <w:gridCol w:w="856"/>
        <w:gridCol w:w="3788"/>
        <w:gridCol w:w="1884"/>
        <w:gridCol w:w="1988"/>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503" w:type="pct"/>
            <w:vMerge w:val="restart"/>
            <w:shd w:val="clear" w:color="auto" w:fill="auto"/>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序号</w:t>
            </w:r>
          </w:p>
        </w:tc>
        <w:tc>
          <w:tcPr>
            <w:tcW w:w="2224" w:type="pct"/>
            <w:vMerge w:val="restart"/>
            <w:shd w:val="clear" w:color="auto" w:fill="auto"/>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工程或费用名称</w:t>
            </w:r>
          </w:p>
        </w:tc>
        <w:tc>
          <w:tcPr>
            <w:tcW w:w="1106" w:type="pct"/>
            <w:vMerge w:val="restart"/>
            <w:shd w:val="clear" w:color="auto" w:fill="auto"/>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总投资</w:t>
            </w:r>
          </w:p>
        </w:tc>
        <w:tc>
          <w:tcPr>
            <w:tcW w:w="1167"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分年度投资</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503" w:type="pct"/>
            <w:vMerge w:val="continue"/>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2224" w:type="pct"/>
            <w:vMerge w:val="continue"/>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1106" w:type="pct"/>
            <w:vMerge w:val="continue"/>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1167"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2020年</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2727" w:type="pct"/>
            <w:gridSpan w:val="2"/>
            <w:shd w:val="clear" w:color="auto" w:fill="auto"/>
            <w:noWrap/>
            <w:vAlign w:val="center"/>
          </w:tcPr>
          <w:p>
            <w:pPr>
              <w:widowControl/>
              <w:topLinePunct w:val="0"/>
              <w:adjustRightInd/>
              <w:snapToGrid/>
              <w:spacing w:line="240" w:lineRule="auto"/>
              <w:ind w:firstLine="0" w:firstLineChars="0"/>
              <w:jc w:val="center"/>
              <w:rPr>
                <w:rFonts w:eastAsia="仿宋_GB2312"/>
                <w:b/>
                <w:bCs/>
                <w:color w:val="000000"/>
                <w:sz w:val="21"/>
                <w:szCs w:val="21"/>
              </w:rPr>
            </w:pPr>
            <w:r>
              <w:rPr>
                <w:rFonts w:eastAsia="仿宋_GB2312"/>
                <w:b/>
                <w:bCs/>
                <w:color w:val="000000"/>
                <w:sz w:val="21"/>
                <w:szCs w:val="21"/>
              </w:rPr>
              <w:t>第一部分工程措施</w:t>
            </w:r>
          </w:p>
        </w:tc>
        <w:tc>
          <w:tcPr>
            <w:tcW w:w="1106"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0.75</w:t>
            </w:r>
          </w:p>
        </w:tc>
        <w:tc>
          <w:tcPr>
            <w:tcW w:w="1167"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0.75</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503"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1</w:t>
            </w:r>
          </w:p>
        </w:tc>
        <w:tc>
          <w:tcPr>
            <w:tcW w:w="2224" w:type="pct"/>
            <w:shd w:val="clear" w:color="auto" w:fill="auto"/>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管道工程区</w:t>
            </w:r>
          </w:p>
        </w:tc>
        <w:tc>
          <w:tcPr>
            <w:tcW w:w="1106"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0.64</w:t>
            </w:r>
          </w:p>
        </w:tc>
        <w:tc>
          <w:tcPr>
            <w:tcW w:w="1167"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0.64</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503"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2</w:t>
            </w:r>
          </w:p>
        </w:tc>
        <w:tc>
          <w:tcPr>
            <w:tcW w:w="2224" w:type="pct"/>
            <w:shd w:val="clear" w:color="auto" w:fill="auto"/>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附属构筑物区</w:t>
            </w:r>
          </w:p>
        </w:tc>
        <w:tc>
          <w:tcPr>
            <w:tcW w:w="1106"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0.11</w:t>
            </w:r>
          </w:p>
        </w:tc>
        <w:tc>
          <w:tcPr>
            <w:tcW w:w="1167"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0.11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2727" w:type="pct"/>
            <w:gridSpan w:val="2"/>
            <w:shd w:val="clear" w:color="auto" w:fill="auto"/>
            <w:noWrap/>
            <w:vAlign w:val="center"/>
          </w:tcPr>
          <w:p>
            <w:pPr>
              <w:widowControl/>
              <w:topLinePunct w:val="0"/>
              <w:adjustRightInd/>
              <w:snapToGrid/>
              <w:spacing w:line="240" w:lineRule="auto"/>
              <w:ind w:firstLine="0" w:firstLineChars="0"/>
              <w:jc w:val="center"/>
              <w:rPr>
                <w:rFonts w:eastAsia="仿宋_GB2312"/>
                <w:b/>
                <w:bCs/>
                <w:color w:val="000000"/>
                <w:sz w:val="21"/>
                <w:szCs w:val="21"/>
              </w:rPr>
            </w:pPr>
            <w:r>
              <w:rPr>
                <w:rFonts w:eastAsia="仿宋_GB2312"/>
                <w:b/>
                <w:bCs/>
                <w:color w:val="000000"/>
                <w:sz w:val="21"/>
                <w:szCs w:val="21"/>
              </w:rPr>
              <w:t>第二部分植物措施</w:t>
            </w:r>
          </w:p>
        </w:tc>
        <w:tc>
          <w:tcPr>
            <w:tcW w:w="1106"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0.00</w:t>
            </w:r>
          </w:p>
        </w:tc>
        <w:tc>
          <w:tcPr>
            <w:tcW w:w="1167"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0.00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2727" w:type="pct"/>
            <w:gridSpan w:val="2"/>
            <w:shd w:val="clear" w:color="auto" w:fill="auto"/>
            <w:noWrap/>
            <w:vAlign w:val="center"/>
          </w:tcPr>
          <w:p>
            <w:pPr>
              <w:widowControl/>
              <w:topLinePunct w:val="0"/>
              <w:adjustRightInd/>
              <w:snapToGrid/>
              <w:spacing w:line="240" w:lineRule="auto"/>
              <w:ind w:firstLine="0" w:firstLineChars="0"/>
              <w:jc w:val="center"/>
              <w:rPr>
                <w:rFonts w:eastAsia="仿宋_GB2312"/>
                <w:b/>
                <w:bCs/>
                <w:color w:val="000000"/>
                <w:sz w:val="21"/>
                <w:szCs w:val="21"/>
              </w:rPr>
            </w:pPr>
            <w:r>
              <w:rPr>
                <w:rFonts w:eastAsia="仿宋_GB2312"/>
                <w:b/>
                <w:bCs/>
                <w:color w:val="000000"/>
                <w:sz w:val="21"/>
                <w:szCs w:val="21"/>
              </w:rPr>
              <w:t>第三部分临时措施</w:t>
            </w:r>
          </w:p>
        </w:tc>
        <w:tc>
          <w:tcPr>
            <w:tcW w:w="1106"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3.</w:t>
            </w:r>
            <w:r>
              <w:rPr>
                <w:rFonts w:hint="eastAsia" w:eastAsia="仿宋_GB2312"/>
                <w:color w:val="000000"/>
                <w:sz w:val="21"/>
                <w:szCs w:val="21"/>
              </w:rPr>
              <w:t>4</w:t>
            </w:r>
            <w:r>
              <w:rPr>
                <w:rFonts w:eastAsia="仿宋_GB2312"/>
                <w:color w:val="000000"/>
                <w:sz w:val="21"/>
                <w:szCs w:val="21"/>
              </w:rPr>
              <w:t>2</w:t>
            </w:r>
          </w:p>
        </w:tc>
        <w:tc>
          <w:tcPr>
            <w:tcW w:w="1167"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3.</w:t>
            </w:r>
            <w:r>
              <w:rPr>
                <w:rFonts w:hint="eastAsia" w:eastAsia="仿宋_GB2312"/>
                <w:color w:val="000000"/>
                <w:sz w:val="21"/>
                <w:szCs w:val="21"/>
              </w:rPr>
              <w:t>4</w:t>
            </w:r>
            <w:r>
              <w:rPr>
                <w:rFonts w:eastAsia="仿宋_GB2312"/>
                <w:color w:val="000000"/>
                <w:sz w:val="21"/>
                <w:szCs w:val="21"/>
              </w:rPr>
              <w:t>2</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503"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1</w:t>
            </w:r>
          </w:p>
        </w:tc>
        <w:tc>
          <w:tcPr>
            <w:tcW w:w="2224" w:type="pct"/>
            <w:shd w:val="clear" w:color="auto" w:fill="auto"/>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管道工程区</w:t>
            </w:r>
          </w:p>
        </w:tc>
        <w:tc>
          <w:tcPr>
            <w:tcW w:w="1106"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3.</w:t>
            </w:r>
            <w:r>
              <w:rPr>
                <w:rFonts w:hint="eastAsia" w:eastAsia="仿宋_GB2312"/>
                <w:color w:val="000000"/>
                <w:sz w:val="21"/>
                <w:szCs w:val="21"/>
              </w:rPr>
              <w:t>32</w:t>
            </w:r>
          </w:p>
        </w:tc>
        <w:tc>
          <w:tcPr>
            <w:tcW w:w="1167"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3.</w:t>
            </w:r>
            <w:r>
              <w:rPr>
                <w:rFonts w:hint="eastAsia" w:eastAsia="仿宋_GB2312"/>
                <w:color w:val="000000"/>
                <w:sz w:val="21"/>
                <w:szCs w:val="21"/>
              </w:rPr>
              <w:t>3</w:t>
            </w:r>
            <w:r>
              <w:rPr>
                <w:rFonts w:eastAsia="仿宋_GB2312"/>
                <w:color w:val="000000"/>
                <w:sz w:val="21"/>
                <w:szCs w:val="21"/>
              </w:rPr>
              <w:t>2</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503"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2</w:t>
            </w:r>
          </w:p>
        </w:tc>
        <w:tc>
          <w:tcPr>
            <w:tcW w:w="2224" w:type="pct"/>
            <w:shd w:val="clear" w:color="auto" w:fill="auto"/>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附属构筑物区</w:t>
            </w:r>
          </w:p>
        </w:tc>
        <w:tc>
          <w:tcPr>
            <w:tcW w:w="1106"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0.10</w:t>
            </w:r>
          </w:p>
        </w:tc>
        <w:tc>
          <w:tcPr>
            <w:tcW w:w="1167"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0.10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503"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hint="eastAsia" w:eastAsia="仿宋_GB2312"/>
                <w:color w:val="000000"/>
                <w:sz w:val="21"/>
                <w:szCs w:val="21"/>
              </w:rPr>
              <w:t>3</w:t>
            </w:r>
          </w:p>
        </w:tc>
        <w:tc>
          <w:tcPr>
            <w:tcW w:w="2224"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其他临时措施</w:t>
            </w:r>
          </w:p>
        </w:tc>
        <w:tc>
          <w:tcPr>
            <w:tcW w:w="1106"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0.00</w:t>
            </w:r>
          </w:p>
        </w:tc>
        <w:tc>
          <w:tcPr>
            <w:tcW w:w="1167"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0.00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2727" w:type="pct"/>
            <w:gridSpan w:val="2"/>
            <w:shd w:val="clear" w:color="auto" w:fill="auto"/>
            <w:noWrap/>
            <w:vAlign w:val="center"/>
          </w:tcPr>
          <w:p>
            <w:pPr>
              <w:widowControl/>
              <w:topLinePunct w:val="0"/>
              <w:adjustRightInd/>
              <w:snapToGrid/>
              <w:spacing w:line="240" w:lineRule="auto"/>
              <w:ind w:firstLine="0" w:firstLineChars="0"/>
              <w:jc w:val="center"/>
              <w:rPr>
                <w:rFonts w:eastAsia="仿宋_GB2312"/>
                <w:b/>
                <w:bCs/>
                <w:color w:val="000000"/>
                <w:sz w:val="21"/>
                <w:szCs w:val="21"/>
              </w:rPr>
            </w:pPr>
            <w:r>
              <w:rPr>
                <w:rFonts w:eastAsia="仿宋_GB2312"/>
                <w:b/>
                <w:bCs/>
                <w:color w:val="000000"/>
                <w:sz w:val="21"/>
                <w:szCs w:val="21"/>
              </w:rPr>
              <w:t>第四部分独立费用</w:t>
            </w:r>
          </w:p>
        </w:tc>
        <w:tc>
          <w:tcPr>
            <w:tcW w:w="1106"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13.08</w:t>
            </w:r>
          </w:p>
        </w:tc>
        <w:tc>
          <w:tcPr>
            <w:tcW w:w="1167"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13.08</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503"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1</w:t>
            </w:r>
          </w:p>
        </w:tc>
        <w:tc>
          <w:tcPr>
            <w:tcW w:w="2224"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建设单位管理费</w:t>
            </w:r>
          </w:p>
        </w:tc>
        <w:tc>
          <w:tcPr>
            <w:tcW w:w="1106"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0.08</w:t>
            </w:r>
          </w:p>
        </w:tc>
        <w:tc>
          <w:tcPr>
            <w:tcW w:w="1167"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0.08</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503"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2</w:t>
            </w:r>
          </w:p>
        </w:tc>
        <w:tc>
          <w:tcPr>
            <w:tcW w:w="2224"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科研勘测设计费</w:t>
            </w:r>
          </w:p>
        </w:tc>
        <w:tc>
          <w:tcPr>
            <w:tcW w:w="1106"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6.00</w:t>
            </w:r>
          </w:p>
        </w:tc>
        <w:tc>
          <w:tcPr>
            <w:tcW w:w="1167"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6.00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503"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3</w:t>
            </w:r>
          </w:p>
        </w:tc>
        <w:tc>
          <w:tcPr>
            <w:tcW w:w="2224"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水土保持监理费</w:t>
            </w:r>
          </w:p>
        </w:tc>
        <w:tc>
          <w:tcPr>
            <w:tcW w:w="1106"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2.00</w:t>
            </w:r>
          </w:p>
        </w:tc>
        <w:tc>
          <w:tcPr>
            <w:tcW w:w="1167"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2.00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503"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4</w:t>
            </w:r>
          </w:p>
        </w:tc>
        <w:tc>
          <w:tcPr>
            <w:tcW w:w="2224"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水土保持监测费</w:t>
            </w:r>
          </w:p>
        </w:tc>
        <w:tc>
          <w:tcPr>
            <w:tcW w:w="1106"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0.00</w:t>
            </w:r>
          </w:p>
        </w:tc>
        <w:tc>
          <w:tcPr>
            <w:tcW w:w="1167"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0.00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503"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5</w:t>
            </w:r>
          </w:p>
        </w:tc>
        <w:tc>
          <w:tcPr>
            <w:tcW w:w="2224"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水土保持设施验收报告编制费</w:t>
            </w:r>
          </w:p>
        </w:tc>
        <w:tc>
          <w:tcPr>
            <w:tcW w:w="1106"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5.00</w:t>
            </w:r>
          </w:p>
        </w:tc>
        <w:tc>
          <w:tcPr>
            <w:tcW w:w="1167"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5.00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2727" w:type="pct"/>
            <w:gridSpan w:val="2"/>
            <w:shd w:val="clear" w:color="auto" w:fill="auto"/>
            <w:noWrap/>
            <w:vAlign w:val="center"/>
          </w:tcPr>
          <w:p>
            <w:pPr>
              <w:widowControl/>
              <w:topLinePunct w:val="0"/>
              <w:adjustRightInd/>
              <w:snapToGrid/>
              <w:spacing w:line="240" w:lineRule="auto"/>
              <w:ind w:firstLine="0" w:firstLineChars="0"/>
              <w:jc w:val="center"/>
              <w:rPr>
                <w:rFonts w:eastAsia="仿宋_GB2312"/>
                <w:b/>
                <w:bCs/>
                <w:color w:val="000000"/>
                <w:sz w:val="21"/>
                <w:szCs w:val="21"/>
              </w:rPr>
            </w:pPr>
            <w:r>
              <w:rPr>
                <w:rFonts w:eastAsia="仿宋_GB2312"/>
                <w:b/>
                <w:bCs/>
                <w:color w:val="000000"/>
                <w:sz w:val="21"/>
                <w:szCs w:val="21"/>
              </w:rPr>
              <w:t>一至四部分合计</w:t>
            </w:r>
          </w:p>
        </w:tc>
        <w:tc>
          <w:tcPr>
            <w:tcW w:w="1106"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17.</w:t>
            </w:r>
            <w:r>
              <w:rPr>
                <w:rFonts w:hint="eastAsia" w:eastAsia="仿宋_GB2312"/>
                <w:color w:val="000000"/>
                <w:sz w:val="21"/>
                <w:szCs w:val="21"/>
              </w:rPr>
              <w:t>25</w:t>
            </w:r>
          </w:p>
        </w:tc>
        <w:tc>
          <w:tcPr>
            <w:tcW w:w="1167"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17.</w:t>
            </w:r>
            <w:r>
              <w:rPr>
                <w:rFonts w:hint="eastAsia" w:eastAsia="仿宋_GB2312"/>
                <w:color w:val="000000"/>
                <w:sz w:val="21"/>
                <w:szCs w:val="21"/>
              </w:rPr>
              <w:t>25</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2727" w:type="pct"/>
            <w:gridSpan w:val="2"/>
            <w:shd w:val="clear" w:color="auto" w:fill="auto"/>
            <w:noWrap/>
            <w:vAlign w:val="center"/>
          </w:tcPr>
          <w:p>
            <w:pPr>
              <w:widowControl/>
              <w:topLinePunct w:val="0"/>
              <w:adjustRightInd/>
              <w:snapToGrid/>
              <w:spacing w:line="240" w:lineRule="auto"/>
              <w:ind w:firstLine="0" w:firstLineChars="0"/>
              <w:jc w:val="center"/>
              <w:rPr>
                <w:rFonts w:eastAsia="仿宋_GB2312"/>
                <w:b/>
                <w:bCs/>
                <w:color w:val="000000"/>
                <w:sz w:val="21"/>
                <w:szCs w:val="21"/>
              </w:rPr>
            </w:pPr>
            <w:r>
              <w:rPr>
                <w:rFonts w:eastAsia="仿宋_GB2312"/>
                <w:b/>
                <w:bCs/>
                <w:color w:val="000000"/>
                <w:sz w:val="21"/>
                <w:szCs w:val="21"/>
              </w:rPr>
              <w:t>基本预备费</w:t>
            </w:r>
          </w:p>
        </w:tc>
        <w:tc>
          <w:tcPr>
            <w:tcW w:w="1106"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0.</w:t>
            </w:r>
            <w:r>
              <w:rPr>
                <w:rFonts w:hint="eastAsia" w:eastAsia="仿宋_GB2312"/>
                <w:color w:val="000000"/>
                <w:sz w:val="21"/>
                <w:szCs w:val="21"/>
              </w:rPr>
              <w:t>99</w:t>
            </w:r>
          </w:p>
        </w:tc>
        <w:tc>
          <w:tcPr>
            <w:tcW w:w="1167"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0.</w:t>
            </w:r>
            <w:r>
              <w:rPr>
                <w:rFonts w:hint="eastAsia" w:eastAsia="仿宋_GB2312"/>
                <w:color w:val="000000"/>
                <w:sz w:val="21"/>
                <w:szCs w:val="21"/>
              </w:rPr>
              <w:t>9</w:t>
            </w:r>
            <w:r>
              <w:rPr>
                <w:rFonts w:eastAsia="仿宋_GB2312"/>
                <w:color w:val="000000"/>
                <w:sz w:val="21"/>
                <w:szCs w:val="21"/>
              </w:rPr>
              <w:t>9</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2727" w:type="pct"/>
            <w:gridSpan w:val="2"/>
            <w:shd w:val="clear" w:color="auto" w:fill="auto"/>
            <w:noWrap/>
            <w:vAlign w:val="center"/>
          </w:tcPr>
          <w:p>
            <w:pPr>
              <w:widowControl/>
              <w:topLinePunct w:val="0"/>
              <w:adjustRightInd/>
              <w:snapToGrid/>
              <w:spacing w:line="240" w:lineRule="auto"/>
              <w:ind w:firstLine="0" w:firstLineChars="0"/>
              <w:jc w:val="center"/>
              <w:rPr>
                <w:rFonts w:eastAsia="仿宋_GB2312"/>
                <w:b/>
                <w:bCs/>
                <w:color w:val="000000"/>
                <w:sz w:val="21"/>
                <w:szCs w:val="21"/>
              </w:rPr>
            </w:pPr>
            <w:r>
              <w:rPr>
                <w:rFonts w:eastAsia="仿宋_GB2312"/>
                <w:b/>
                <w:bCs/>
                <w:color w:val="000000"/>
                <w:sz w:val="21"/>
                <w:szCs w:val="21"/>
              </w:rPr>
              <w:t>水土保持补偿费</w:t>
            </w:r>
          </w:p>
        </w:tc>
        <w:tc>
          <w:tcPr>
            <w:tcW w:w="1106"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0.55</w:t>
            </w:r>
          </w:p>
        </w:tc>
        <w:tc>
          <w:tcPr>
            <w:tcW w:w="1167"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0.55</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2727" w:type="pct"/>
            <w:gridSpan w:val="2"/>
            <w:shd w:val="clear" w:color="auto" w:fill="auto"/>
            <w:noWrap/>
            <w:vAlign w:val="center"/>
          </w:tcPr>
          <w:p>
            <w:pPr>
              <w:widowControl/>
              <w:topLinePunct w:val="0"/>
              <w:adjustRightInd/>
              <w:snapToGrid/>
              <w:spacing w:line="240" w:lineRule="auto"/>
              <w:ind w:firstLine="0" w:firstLineChars="0"/>
              <w:jc w:val="center"/>
              <w:rPr>
                <w:rFonts w:eastAsia="仿宋_GB2312"/>
                <w:b/>
                <w:bCs/>
                <w:color w:val="000000"/>
                <w:sz w:val="21"/>
                <w:szCs w:val="21"/>
              </w:rPr>
            </w:pPr>
            <w:r>
              <w:rPr>
                <w:rFonts w:eastAsia="仿宋_GB2312"/>
                <w:b/>
                <w:bCs/>
                <w:color w:val="000000"/>
                <w:sz w:val="21"/>
                <w:szCs w:val="21"/>
              </w:rPr>
              <w:t>水土保持投资合计</w:t>
            </w:r>
          </w:p>
        </w:tc>
        <w:tc>
          <w:tcPr>
            <w:tcW w:w="1106"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18.</w:t>
            </w:r>
            <w:r>
              <w:rPr>
                <w:rFonts w:hint="eastAsia" w:eastAsia="仿宋_GB2312"/>
                <w:color w:val="000000"/>
                <w:sz w:val="21"/>
                <w:szCs w:val="21"/>
              </w:rPr>
              <w:t>79</w:t>
            </w:r>
          </w:p>
        </w:tc>
        <w:tc>
          <w:tcPr>
            <w:tcW w:w="1167"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18.</w:t>
            </w:r>
            <w:r>
              <w:rPr>
                <w:rFonts w:hint="eastAsia" w:eastAsia="仿宋_GB2312"/>
                <w:color w:val="000000"/>
                <w:sz w:val="21"/>
                <w:szCs w:val="21"/>
              </w:rPr>
              <w:t>7</w:t>
            </w:r>
            <w:r>
              <w:rPr>
                <w:rFonts w:eastAsia="仿宋_GB2312"/>
                <w:color w:val="000000"/>
                <w:sz w:val="21"/>
                <w:szCs w:val="21"/>
              </w:rPr>
              <w:t>9</w:t>
            </w:r>
          </w:p>
        </w:tc>
      </w:tr>
    </w:tbl>
    <w:p>
      <w:pPr>
        <w:pStyle w:val="86"/>
        <w:spacing w:line="240" w:lineRule="auto"/>
        <w:rPr>
          <w:rFonts w:eastAsia="仿宋_GB2312"/>
        </w:rPr>
      </w:pPr>
    </w:p>
    <w:p>
      <w:pPr>
        <w:pStyle w:val="86"/>
        <w:spacing w:line="240" w:lineRule="auto"/>
        <w:rPr>
          <w:b w:val="0"/>
          <w:szCs w:val="24"/>
        </w:rPr>
      </w:pPr>
      <w:r>
        <w:rPr>
          <w:rFonts w:hint="eastAsia" w:eastAsia="仿宋_GB2312"/>
        </w:rPr>
        <w:t>表7.1-5   独立费用计算</w:t>
      </w:r>
      <w:r>
        <w:rPr>
          <w:rFonts w:eastAsia="仿宋_GB2312"/>
        </w:rPr>
        <w:t>表单位：万元</w:t>
      </w:r>
    </w:p>
    <w:tbl>
      <w:tblPr>
        <w:tblStyle w:val="40"/>
        <w:tblW w:w="5000" w:type="pct"/>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817"/>
        <w:gridCol w:w="1843"/>
        <w:gridCol w:w="4677"/>
        <w:gridCol w:w="1179"/>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710" w:hRule="atLeast"/>
        </w:trPr>
        <w:tc>
          <w:tcPr>
            <w:tcW w:w="480"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序号</w:t>
            </w:r>
          </w:p>
        </w:tc>
        <w:tc>
          <w:tcPr>
            <w:tcW w:w="1082"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费用名称</w:t>
            </w:r>
          </w:p>
        </w:tc>
        <w:tc>
          <w:tcPr>
            <w:tcW w:w="2746"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编制依据及计算公式</w:t>
            </w:r>
          </w:p>
        </w:tc>
        <w:tc>
          <w:tcPr>
            <w:tcW w:w="692"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金额</w:t>
            </w:r>
          </w:p>
          <w:p>
            <w:pPr>
              <w:spacing w:line="240" w:lineRule="auto"/>
              <w:ind w:firstLine="0" w:firstLineChars="0"/>
              <w:jc w:val="center"/>
              <w:rPr>
                <w:rFonts w:eastAsia="仿宋_GB2312"/>
                <w:color w:val="000000"/>
                <w:sz w:val="21"/>
                <w:szCs w:val="21"/>
              </w:rPr>
            </w:pPr>
            <w:r>
              <w:rPr>
                <w:rFonts w:eastAsia="仿宋_GB2312"/>
                <w:color w:val="000000"/>
                <w:sz w:val="21"/>
                <w:szCs w:val="21"/>
              </w:rPr>
              <w:t>(万元)</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4308" w:type="pct"/>
            <w:gridSpan w:val="3"/>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第四部分：独立费用</w:t>
            </w:r>
          </w:p>
        </w:tc>
        <w:tc>
          <w:tcPr>
            <w:tcW w:w="692"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480"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1</w:t>
            </w:r>
          </w:p>
        </w:tc>
        <w:tc>
          <w:tcPr>
            <w:tcW w:w="1082"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建设管理费</w:t>
            </w:r>
          </w:p>
        </w:tc>
        <w:tc>
          <w:tcPr>
            <w:tcW w:w="2746" w:type="pct"/>
            <w:shd w:val="clear" w:color="auto" w:fill="auto"/>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按水土保持投资中第一至第三部分之和的2%计取</w:t>
            </w:r>
          </w:p>
        </w:tc>
        <w:tc>
          <w:tcPr>
            <w:tcW w:w="692"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hint="eastAsia" w:eastAsia="仿宋_GB2312"/>
                <w:color w:val="000000"/>
                <w:sz w:val="21"/>
                <w:szCs w:val="21"/>
              </w:rPr>
              <w:t>0.08</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480"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2</w:t>
            </w:r>
          </w:p>
        </w:tc>
        <w:tc>
          <w:tcPr>
            <w:tcW w:w="1082"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科研勘测设计费</w:t>
            </w:r>
          </w:p>
        </w:tc>
        <w:tc>
          <w:tcPr>
            <w:tcW w:w="2746"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建设部〔2002〕10号文颁发的《工程勘察设计收费标准》计取的，按实际情况进行调整。</w:t>
            </w:r>
          </w:p>
        </w:tc>
        <w:tc>
          <w:tcPr>
            <w:tcW w:w="692"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6.00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480"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3</w:t>
            </w:r>
          </w:p>
        </w:tc>
        <w:tc>
          <w:tcPr>
            <w:tcW w:w="1082"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水土保持监理费</w:t>
            </w:r>
          </w:p>
        </w:tc>
        <w:tc>
          <w:tcPr>
            <w:tcW w:w="2746"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根据实际工作量，监理工程师1人。监理工程师按6万/（人</w:t>
            </w:r>
            <w:r>
              <w:rPr>
                <w:rFonts w:eastAsia="宋体"/>
                <w:color w:val="000000"/>
                <w:sz w:val="21"/>
                <w:szCs w:val="21"/>
              </w:rPr>
              <w:t>•</w:t>
            </w:r>
            <w:r>
              <w:rPr>
                <w:rFonts w:eastAsia="仿宋_GB2312"/>
                <w:color w:val="000000"/>
                <w:sz w:val="21"/>
                <w:szCs w:val="21"/>
              </w:rPr>
              <w:t>年），按4个月计算。</w:t>
            </w:r>
          </w:p>
        </w:tc>
        <w:tc>
          <w:tcPr>
            <w:tcW w:w="692"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hint="eastAsia" w:eastAsia="仿宋_GB2312"/>
                <w:color w:val="000000"/>
                <w:sz w:val="21"/>
                <w:szCs w:val="21"/>
              </w:rPr>
              <w:t>2</w:t>
            </w:r>
            <w:r>
              <w:rPr>
                <w:rFonts w:eastAsia="仿宋_GB2312"/>
                <w:color w:val="000000"/>
                <w:sz w:val="21"/>
                <w:szCs w:val="21"/>
              </w:rPr>
              <w:t>.00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480"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4</w:t>
            </w:r>
          </w:p>
        </w:tc>
        <w:tc>
          <w:tcPr>
            <w:tcW w:w="1082" w:type="pct"/>
            <w:shd w:val="clear" w:color="auto" w:fill="auto"/>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水土保持监测费</w:t>
            </w:r>
          </w:p>
        </w:tc>
        <w:tc>
          <w:tcPr>
            <w:tcW w:w="2746" w:type="pct"/>
            <w:shd w:val="clear" w:color="auto" w:fill="auto"/>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按监测土建设施费、消耗性材料费、仪器设备折旧费和监测人员费计取。</w:t>
            </w:r>
          </w:p>
        </w:tc>
        <w:tc>
          <w:tcPr>
            <w:tcW w:w="692"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hint="eastAsia" w:eastAsia="仿宋_GB2312"/>
                <w:color w:val="000000"/>
                <w:sz w:val="21"/>
                <w:szCs w:val="21"/>
              </w:rPr>
              <w:t>0.00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480"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5</w:t>
            </w:r>
          </w:p>
        </w:tc>
        <w:tc>
          <w:tcPr>
            <w:tcW w:w="1082"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水土保持设施验收报告编制费</w:t>
            </w:r>
          </w:p>
        </w:tc>
        <w:tc>
          <w:tcPr>
            <w:tcW w:w="2746"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参照有关规定计列，并根据实际工作量复核。</w:t>
            </w:r>
          </w:p>
        </w:tc>
        <w:tc>
          <w:tcPr>
            <w:tcW w:w="692"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5.00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480"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合计</w:t>
            </w:r>
          </w:p>
        </w:tc>
        <w:tc>
          <w:tcPr>
            <w:tcW w:w="1082"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2746"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692"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hint="eastAsia" w:eastAsia="仿宋_GB2312"/>
                <w:color w:val="000000"/>
                <w:sz w:val="21"/>
                <w:szCs w:val="21"/>
              </w:rPr>
              <w:t>13.08</w:t>
            </w:r>
          </w:p>
        </w:tc>
      </w:tr>
    </w:tbl>
    <w:p>
      <w:pPr>
        <w:pStyle w:val="86"/>
        <w:spacing w:line="240" w:lineRule="auto"/>
        <w:rPr>
          <w:rFonts w:eastAsia="仿宋_GB2312"/>
        </w:rPr>
        <w:sectPr>
          <w:pgSz w:w="11906" w:h="16838"/>
          <w:pgMar w:top="1440" w:right="1803" w:bottom="1440" w:left="1803" w:header="851" w:footer="992" w:gutter="0"/>
          <w:cols w:space="720" w:num="1"/>
          <w:docGrid w:linePitch="326" w:charSpace="0"/>
        </w:sectPr>
      </w:pPr>
    </w:p>
    <w:p>
      <w:pPr>
        <w:pStyle w:val="86"/>
        <w:spacing w:line="240" w:lineRule="auto"/>
        <w:ind w:right="480"/>
        <w:jc w:val="right"/>
        <w:rPr>
          <w:rFonts w:eastAsia="仿宋_GB2312"/>
        </w:rPr>
      </w:pPr>
      <w:r>
        <w:rPr>
          <w:rFonts w:hint="eastAsia" w:eastAsia="仿宋_GB2312"/>
        </w:rPr>
        <w:t xml:space="preserve">表7.1-6   </w:t>
      </w:r>
      <w:r>
        <w:rPr>
          <w:rFonts w:eastAsia="仿宋_GB2312"/>
        </w:rPr>
        <w:t>水土保持补偿费</w:t>
      </w:r>
      <w:r>
        <w:rPr>
          <w:rFonts w:eastAsia="仿宋_GB2312"/>
        </w:rPr>
        <w:tab/>
      </w:r>
      <w:r>
        <w:rPr>
          <w:rFonts w:eastAsia="仿宋_GB2312"/>
        </w:rPr>
        <w:tab/>
      </w:r>
      <w:r>
        <w:rPr>
          <w:rFonts w:eastAsia="仿宋_GB2312"/>
        </w:rPr>
        <w:t>单位:</w:t>
      </w:r>
      <w:r>
        <w:rPr>
          <w:rFonts w:hint="eastAsia" w:eastAsia="仿宋_GB2312"/>
        </w:rPr>
        <w:t>万</w:t>
      </w:r>
      <w:r>
        <w:rPr>
          <w:rFonts w:eastAsia="仿宋_GB2312"/>
        </w:rPr>
        <w:t>元</w:t>
      </w:r>
    </w:p>
    <w:tbl>
      <w:tblPr>
        <w:tblStyle w:val="40"/>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742"/>
        <w:gridCol w:w="1082"/>
        <w:gridCol w:w="1234"/>
        <w:gridCol w:w="1851"/>
        <w:gridCol w:w="161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1609" w:type="pct"/>
            <w:shd w:val="clear" w:color="auto" w:fill="auto"/>
            <w:vAlign w:val="center"/>
          </w:tcPr>
          <w:p>
            <w:pPr>
              <w:widowControl/>
              <w:topLinePunct w:val="0"/>
              <w:adjustRightInd/>
              <w:snapToGrid/>
              <w:spacing w:line="240" w:lineRule="auto"/>
              <w:ind w:firstLine="0" w:firstLineChars="0"/>
              <w:jc w:val="center"/>
              <w:rPr>
                <w:rFonts w:eastAsia="仿宋_GB2312"/>
                <w:sz w:val="21"/>
                <w:szCs w:val="21"/>
              </w:rPr>
            </w:pPr>
            <w:r>
              <w:rPr>
                <w:rFonts w:hint="eastAsia" w:eastAsia="仿宋_GB2312"/>
                <w:sz w:val="21"/>
                <w:szCs w:val="21"/>
              </w:rPr>
              <w:t>行政区域</w:t>
            </w:r>
          </w:p>
        </w:tc>
        <w:tc>
          <w:tcPr>
            <w:tcW w:w="635" w:type="pct"/>
            <w:shd w:val="clear" w:color="auto" w:fill="auto"/>
            <w:vAlign w:val="center"/>
          </w:tcPr>
          <w:p>
            <w:pPr>
              <w:widowControl/>
              <w:topLinePunct w:val="0"/>
              <w:adjustRightInd/>
              <w:snapToGrid/>
              <w:spacing w:line="240" w:lineRule="auto"/>
              <w:ind w:firstLine="0" w:firstLineChars="0"/>
              <w:jc w:val="center"/>
              <w:rPr>
                <w:rFonts w:eastAsia="仿宋_GB2312"/>
                <w:sz w:val="21"/>
                <w:szCs w:val="21"/>
              </w:rPr>
            </w:pPr>
            <w:r>
              <w:rPr>
                <w:rFonts w:eastAsia="仿宋_GB2312"/>
                <w:sz w:val="21"/>
                <w:szCs w:val="21"/>
              </w:rPr>
              <w:t>单位</w:t>
            </w:r>
          </w:p>
        </w:tc>
        <w:tc>
          <w:tcPr>
            <w:tcW w:w="724" w:type="pct"/>
            <w:shd w:val="clear" w:color="auto" w:fill="auto"/>
            <w:vAlign w:val="center"/>
          </w:tcPr>
          <w:p>
            <w:pPr>
              <w:widowControl/>
              <w:topLinePunct w:val="0"/>
              <w:adjustRightInd/>
              <w:snapToGrid/>
              <w:spacing w:line="240" w:lineRule="auto"/>
              <w:ind w:firstLine="0" w:firstLineChars="0"/>
              <w:jc w:val="center"/>
              <w:rPr>
                <w:rFonts w:eastAsia="仿宋_GB2312"/>
                <w:sz w:val="21"/>
                <w:szCs w:val="21"/>
              </w:rPr>
            </w:pPr>
            <w:r>
              <w:rPr>
                <w:rFonts w:eastAsia="仿宋_GB2312"/>
                <w:sz w:val="21"/>
                <w:szCs w:val="21"/>
              </w:rPr>
              <w:t>数量</w:t>
            </w:r>
          </w:p>
        </w:tc>
        <w:tc>
          <w:tcPr>
            <w:tcW w:w="1086" w:type="pct"/>
            <w:shd w:val="clear" w:color="auto" w:fill="auto"/>
            <w:vAlign w:val="center"/>
          </w:tcPr>
          <w:p>
            <w:pPr>
              <w:widowControl/>
              <w:topLinePunct w:val="0"/>
              <w:adjustRightInd/>
              <w:snapToGrid/>
              <w:spacing w:line="240" w:lineRule="auto"/>
              <w:ind w:firstLine="0" w:firstLineChars="0"/>
              <w:jc w:val="center"/>
              <w:rPr>
                <w:rFonts w:eastAsia="仿宋_GB2312"/>
                <w:sz w:val="21"/>
                <w:szCs w:val="21"/>
              </w:rPr>
            </w:pPr>
            <w:r>
              <w:rPr>
                <w:rFonts w:eastAsia="仿宋_GB2312"/>
                <w:sz w:val="21"/>
                <w:szCs w:val="21"/>
              </w:rPr>
              <w:t>单价(元/m</w:t>
            </w:r>
            <w:r>
              <w:rPr>
                <w:rFonts w:eastAsia="仿宋_GB2312"/>
                <w:sz w:val="21"/>
                <w:szCs w:val="21"/>
                <w:vertAlign w:val="superscript"/>
              </w:rPr>
              <w:t>2</w:t>
            </w:r>
            <w:r>
              <w:rPr>
                <w:rFonts w:eastAsia="仿宋_GB2312"/>
                <w:sz w:val="21"/>
                <w:szCs w:val="21"/>
              </w:rPr>
              <w:t>)</w:t>
            </w:r>
          </w:p>
        </w:tc>
        <w:tc>
          <w:tcPr>
            <w:tcW w:w="946" w:type="pct"/>
            <w:shd w:val="clear" w:color="auto" w:fill="auto"/>
            <w:vAlign w:val="center"/>
          </w:tcPr>
          <w:p>
            <w:pPr>
              <w:widowControl/>
              <w:topLinePunct w:val="0"/>
              <w:adjustRightInd/>
              <w:snapToGrid/>
              <w:spacing w:line="240" w:lineRule="auto"/>
              <w:ind w:firstLine="0" w:firstLineChars="0"/>
              <w:jc w:val="center"/>
              <w:rPr>
                <w:rFonts w:eastAsia="仿宋_GB2312"/>
                <w:sz w:val="21"/>
                <w:szCs w:val="21"/>
              </w:rPr>
            </w:pPr>
            <w:r>
              <w:rPr>
                <w:rFonts w:eastAsia="仿宋_GB2312"/>
                <w:sz w:val="21"/>
                <w:szCs w:val="21"/>
              </w:rPr>
              <w:t>合价(</w:t>
            </w:r>
            <w:r>
              <w:rPr>
                <w:rFonts w:hint="eastAsia" w:eastAsia="仿宋_GB2312"/>
                <w:sz w:val="21"/>
                <w:szCs w:val="21"/>
              </w:rPr>
              <w:t>万</w:t>
            </w:r>
            <w:r>
              <w:rPr>
                <w:rFonts w:eastAsia="仿宋_GB2312"/>
                <w:sz w:val="21"/>
                <w:szCs w:val="21"/>
              </w:rPr>
              <w:t>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1609" w:type="pct"/>
            <w:shd w:val="clear" w:color="auto" w:fill="auto"/>
            <w:vAlign w:val="center"/>
          </w:tcPr>
          <w:p>
            <w:pPr>
              <w:widowControl/>
              <w:topLinePunct w:val="0"/>
              <w:adjustRightInd/>
              <w:snapToGrid/>
              <w:spacing w:line="240" w:lineRule="auto"/>
              <w:ind w:firstLine="0" w:firstLineChars="0"/>
              <w:jc w:val="center"/>
              <w:rPr>
                <w:rFonts w:eastAsia="仿宋_GB2312"/>
                <w:sz w:val="21"/>
                <w:szCs w:val="21"/>
              </w:rPr>
            </w:pPr>
            <w:r>
              <w:rPr>
                <w:rFonts w:hint="eastAsia" w:eastAsia="仿宋_GB2312"/>
                <w:sz w:val="21"/>
                <w:szCs w:val="21"/>
              </w:rPr>
              <w:t>第十四师224团</w:t>
            </w:r>
          </w:p>
        </w:tc>
        <w:tc>
          <w:tcPr>
            <w:tcW w:w="635" w:type="pct"/>
            <w:shd w:val="clear" w:color="auto" w:fill="auto"/>
            <w:vAlign w:val="center"/>
          </w:tcPr>
          <w:p>
            <w:pPr>
              <w:widowControl/>
              <w:topLinePunct w:val="0"/>
              <w:adjustRightInd/>
              <w:snapToGrid/>
              <w:spacing w:line="240" w:lineRule="auto"/>
              <w:ind w:firstLine="0" w:firstLineChars="0"/>
              <w:jc w:val="center"/>
              <w:rPr>
                <w:rFonts w:eastAsia="仿宋_GB2312"/>
                <w:sz w:val="21"/>
                <w:szCs w:val="21"/>
              </w:rPr>
            </w:pPr>
            <w:r>
              <w:rPr>
                <w:rFonts w:hint="eastAsia" w:eastAsia="仿宋_GB2312"/>
                <w:sz w:val="21"/>
                <w:szCs w:val="21"/>
              </w:rPr>
              <w:t>h</w:t>
            </w:r>
            <w:r>
              <w:rPr>
                <w:rFonts w:eastAsia="仿宋_GB2312"/>
                <w:sz w:val="21"/>
                <w:szCs w:val="21"/>
              </w:rPr>
              <w:t>m</w:t>
            </w:r>
            <w:r>
              <w:rPr>
                <w:rFonts w:eastAsia="仿宋_GB2312"/>
                <w:sz w:val="21"/>
                <w:szCs w:val="21"/>
                <w:vertAlign w:val="superscript"/>
              </w:rPr>
              <w:t>2</w:t>
            </w:r>
          </w:p>
        </w:tc>
        <w:tc>
          <w:tcPr>
            <w:tcW w:w="724" w:type="pct"/>
            <w:shd w:val="clear" w:color="auto" w:fill="auto"/>
            <w:vAlign w:val="center"/>
          </w:tcPr>
          <w:p>
            <w:pPr>
              <w:adjustRightInd/>
              <w:snapToGrid/>
              <w:spacing w:line="240" w:lineRule="auto"/>
              <w:ind w:firstLine="0" w:firstLineChars="0"/>
              <w:jc w:val="center"/>
              <w:rPr>
                <w:rFonts w:eastAsia="仿宋_GB2312"/>
                <w:sz w:val="21"/>
                <w:szCs w:val="21"/>
              </w:rPr>
            </w:pPr>
            <w:r>
              <w:rPr>
                <w:rFonts w:hint="eastAsia" w:eastAsia="仿宋_GB2312"/>
                <w:sz w:val="21"/>
                <w:szCs w:val="21"/>
              </w:rPr>
              <w:t>1.84</w:t>
            </w:r>
          </w:p>
        </w:tc>
        <w:tc>
          <w:tcPr>
            <w:tcW w:w="1086" w:type="pct"/>
            <w:shd w:val="clear" w:color="auto" w:fill="auto"/>
            <w:vAlign w:val="center"/>
          </w:tcPr>
          <w:p>
            <w:pPr>
              <w:adjustRightInd/>
              <w:snapToGrid/>
              <w:spacing w:line="240" w:lineRule="auto"/>
              <w:ind w:firstLine="0" w:firstLineChars="0"/>
              <w:jc w:val="center"/>
              <w:rPr>
                <w:rFonts w:eastAsia="仿宋_GB2312"/>
                <w:sz w:val="21"/>
                <w:szCs w:val="21"/>
              </w:rPr>
            </w:pPr>
            <w:r>
              <w:rPr>
                <w:rFonts w:hint="eastAsia" w:eastAsia="仿宋_GB2312"/>
                <w:sz w:val="21"/>
                <w:szCs w:val="21"/>
              </w:rPr>
              <w:t>0.3</w:t>
            </w:r>
          </w:p>
        </w:tc>
        <w:tc>
          <w:tcPr>
            <w:tcW w:w="946" w:type="pct"/>
            <w:shd w:val="clear" w:color="auto" w:fill="auto"/>
            <w:vAlign w:val="center"/>
          </w:tcPr>
          <w:p>
            <w:pPr>
              <w:adjustRightInd/>
              <w:snapToGrid/>
              <w:spacing w:line="240" w:lineRule="auto"/>
              <w:ind w:firstLine="0" w:firstLineChars="0"/>
              <w:jc w:val="center"/>
              <w:rPr>
                <w:rFonts w:eastAsia="仿宋_GB2312"/>
                <w:sz w:val="21"/>
                <w:szCs w:val="21"/>
              </w:rPr>
            </w:pPr>
            <w:r>
              <w:rPr>
                <w:rFonts w:hint="eastAsia" w:eastAsia="仿宋_GB2312"/>
                <w:sz w:val="21"/>
                <w:szCs w:val="21"/>
              </w:rPr>
              <w:t>0.55</w:t>
            </w:r>
          </w:p>
        </w:tc>
      </w:tr>
    </w:tbl>
    <w:p>
      <w:pPr>
        <w:pStyle w:val="86"/>
        <w:spacing w:line="240" w:lineRule="auto"/>
        <w:rPr>
          <w:rFonts w:eastAsia="仿宋_GB2312"/>
        </w:rPr>
      </w:pPr>
    </w:p>
    <w:p>
      <w:pPr>
        <w:pStyle w:val="86"/>
        <w:spacing w:line="240" w:lineRule="auto"/>
        <w:rPr>
          <w:rFonts w:eastAsia="仿宋_GB2312"/>
        </w:rPr>
      </w:pPr>
      <w:r>
        <w:rPr>
          <w:rFonts w:hint="eastAsia" w:eastAsia="仿宋_GB2312"/>
        </w:rPr>
        <w:t>表7.1-7   工程单价汇总</w:t>
      </w:r>
      <w:r>
        <w:rPr>
          <w:rFonts w:eastAsia="仿宋_GB2312"/>
        </w:rPr>
        <w:t>表</w:t>
      </w:r>
    </w:p>
    <w:tbl>
      <w:tblPr>
        <w:tblStyle w:val="40"/>
        <w:tblW w:w="5000" w:type="pct"/>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817"/>
        <w:gridCol w:w="1279"/>
        <w:gridCol w:w="991"/>
        <w:gridCol w:w="990"/>
        <w:gridCol w:w="994"/>
        <w:gridCol w:w="849"/>
        <w:gridCol w:w="850"/>
        <w:gridCol w:w="842"/>
        <w:gridCol w:w="910"/>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0" w:hRule="atLeast"/>
        </w:trPr>
        <w:tc>
          <w:tcPr>
            <w:tcW w:w="479" w:type="pct"/>
            <w:vMerge w:val="restar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定额编号</w:t>
            </w:r>
          </w:p>
        </w:tc>
        <w:tc>
          <w:tcPr>
            <w:tcW w:w="750" w:type="pct"/>
            <w:vMerge w:val="restar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工程名称</w:t>
            </w:r>
          </w:p>
        </w:tc>
        <w:tc>
          <w:tcPr>
            <w:tcW w:w="581" w:type="pct"/>
            <w:vMerge w:val="restar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单位</w:t>
            </w:r>
          </w:p>
        </w:tc>
        <w:tc>
          <w:tcPr>
            <w:tcW w:w="581" w:type="pct"/>
            <w:vMerge w:val="restar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单价</w:t>
            </w:r>
          </w:p>
        </w:tc>
        <w:tc>
          <w:tcPr>
            <w:tcW w:w="2608" w:type="pct"/>
            <w:gridSpan w:val="5"/>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其中</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0" w:hRule="atLeast"/>
        </w:trPr>
        <w:tc>
          <w:tcPr>
            <w:tcW w:w="479" w:type="pct"/>
            <w:vMerge w:val="continue"/>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750" w:type="pct"/>
            <w:vMerge w:val="continue"/>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581" w:type="pct"/>
            <w:vMerge w:val="continue"/>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581" w:type="pct"/>
            <w:vMerge w:val="continue"/>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583"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直接工程费</w:t>
            </w:r>
          </w:p>
        </w:tc>
        <w:tc>
          <w:tcPr>
            <w:tcW w:w="498"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间接费</w:t>
            </w:r>
          </w:p>
        </w:tc>
        <w:tc>
          <w:tcPr>
            <w:tcW w:w="499"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企业利润</w:t>
            </w:r>
          </w:p>
        </w:tc>
        <w:tc>
          <w:tcPr>
            <w:tcW w:w="494"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税金</w:t>
            </w:r>
          </w:p>
        </w:tc>
        <w:tc>
          <w:tcPr>
            <w:tcW w:w="534"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扩大10%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0" w:hRule="atLeast"/>
        </w:trPr>
        <w:tc>
          <w:tcPr>
            <w:tcW w:w="479" w:type="pct"/>
            <w:shd w:val="clear" w:color="auto" w:fill="auto"/>
            <w:noWrap/>
            <w:vAlign w:val="center"/>
          </w:tcPr>
          <w:p>
            <w:pPr>
              <w:widowControl/>
              <w:topLinePunct w:val="0"/>
              <w:adjustRightInd/>
              <w:snapToGrid/>
              <w:spacing w:line="240" w:lineRule="auto"/>
              <w:ind w:firstLine="0" w:firstLineChars="0"/>
              <w:jc w:val="center"/>
              <w:rPr>
                <w:rFonts w:eastAsia="仿宋_GB2312"/>
                <w:color w:val="FF0000"/>
                <w:sz w:val="21"/>
                <w:szCs w:val="21"/>
              </w:rPr>
            </w:pPr>
            <w:r>
              <w:rPr>
                <w:rFonts w:eastAsia="仿宋_GB2312"/>
                <w:color w:val="FF0000"/>
                <w:sz w:val="21"/>
                <w:szCs w:val="21"/>
              </w:rPr>
              <w:t>参照定额</w:t>
            </w:r>
          </w:p>
        </w:tc>
        <w:tc>
          <w:tcPr>
            <w:tcW w:w="750"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洒水降尘</w:t>
            </w:r>
          </w:p>
        </w:tc>
        <w:tc>
          <w:tcPr>
            <w:tcW w:w="581"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100m</w:t>
            </w:r>
            <w:r>
              <w:rPr>
                <w:rFonts w:eastAsia="宋体"/>
                <w:color w:val="000000"/>
                <w:sz w:val="21"/>
                <w:szCs w:val="21"/>
              </w:rPr>
              <w:t>³</w:t>
            </w:r>
          </w:p>
        </w:tc>
        <w:tc>
          <w:tcPr>
            <w:tcW w:w="581"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2667.21</w:t>
            </w:r>
          </w:p>
        </w:tc>
        <w:tc>
          <w:tcPr>
            <w:tcW w:w="583"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1991.38</w:t>
            </w:r>
          </w:p>
        </w:tc>
        <w:tc>
          <w:tcPr>
            <w:tcW w:w="498"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87.62</w:t>
            </w:r>
          </w:p>
        </w:tc>
        <w:tc>
          <w:tcPr>
            <w:tcW w:w="499"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145.53</w:t>
            </w:r>
          </w:p>
        </w:tc>
        <w:tc>
          <w:tcPr>
            <w:tcW w:w="494"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200.21</w:t>
            </w:r>
          </w:p>
        </w:tc>
        <w:tc>
          <w:tcPr>
            <w:tcW w:w="534"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242.47</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0" w:hRule="atLeast"/>
        </w:trPr>
        <w:tc>
          <w:tcPr>
            <w:tcW w:w="479" w:type="pct"/>
            <w:shd w:val="clear" w:color="auto" w:fill="auto"/>
            <w:noWrap/>
            <w:vAlign w:val="center"/>
          </w:tcPr>
          <w:p>
            <w:pPr>
              <w:widowControl/>
              <w:topLinePunct w:val="0"/>
              <w:adjustRightInd/>
              <w:snapToGrid/>
              <w:spacing w:line="240" w:lineRule="auto"/>
              <w:ind w:firstLine="0" w:firstLineChars="0"/>
              <w:jc w:val="center"/>
              <w:rPr>
                <w:rFonts w:eastAsia="仿宋_GB2312"/>
                <w:color w:val="FF0000"/>
                <w:sz w:val="21"/>
                <w:szCs w:val="21"/>
              </w:rPr>
            </w:pPr>
            <w:r>
              <w:rPr>
                <w:rFonts w:eastAsia="仿宋_GB2312"/>
                <w:color w:val="FF0000"/>
                <w:sz w:val="21"/>
                <w:szCs w:val="21"/>
              </w:rPr>
              <w:t>03005</w:t>
            </w:r>
          </w:p>
        </w:tc>
        <w:tc>
          <w:tcPr>
            <w:tcW w:w="750"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防尘网苫盖</w:t>
            </w:r>
          </w:p>
        </w:tc>
        <w:tc>
          <w:tcPr>
            <w:tcW w:w="581"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100m</w:t>
            </w:r>
            <w:r>
              <w:rPr>
                <w:rFonts w:eastAsia="宋体"/>
                <w:color w:val="000000"/>
                <w:sz w:val="21"/>
                <w:szCs w:val="21"/>
              </w:rPr>
              <w:t>²</w:t>
            </w:r>
          </w:p>
        </w:tc>
        <w:tc>
          <w:tcPr>
            <w:tcW w:w="581"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471.69</w:t>
            </w:r>
          </w:p>
        </w:tc>
        <w:tc>
          <w:tcPr>
            <w:tcW w:w="583"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352.17</w:t>
            </w:r>
          </w:p>
        </w:tc>
        <w:tc>
          <w:tcPr>
            <w:tcW w:w="498"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15.50</w:t>
            </w:r>
          </w:p>
        </w:tc>
        <w:tc>
          <w:tcPr>
            <w:tcW w:w="499"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25.74</w:t>
            </w:r>
          </w:p>
        </w:tc>
        <w:tc>
          <w:tcPr>
            <w:tcW w:w="494"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35.41</w:t>
            </w:r>
          </w:p>
        </w:tc>
        <w:tc>
          <w:tcPr>
            <w:tcW w:w="534"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42.88</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0" w:hRule="atLeast"/>
        </w:trPr>
        <w:tc>
          <w:tcPr>
            <w:tcW w:w="479" w:type="pct"/>
            <w:shd w:val="clear" w:color="auto" w:fill="auto"/>
            <w:noWrap/>
            <w:vAlign w:val="center"/>
          </w:tcPr>
          <w:p>
            <w:pPr>
              <w:widowControl/>
              <w:topLinePunct w:val="0"/>
              <w:adjustRightInd/>
              <w:snapToGrid/>
              <w:spacing w:line="240" w:lineRule="auto"/>
              <w:ind w:firstLine="0" w:firstLineChars="0"/>
              <w:jc w:val="center"/>
              <w:rPr>
                <w:rFonts w:eastAsia="仿宋_GB2312"/>
                <w:color w:val="FF0000"/>
                <w:sz w:val="21"/>
                <w:szCs w:val="21"/>
              </w:rPr>
            </w:pPr>
            <w:r>
              <w:rPr>
                <w:rFonts w:eastAsia="仿宋_GB2312"/>
                <w:color w:val="FF0000"/>
                <w:sz w:val="21"/>
                <w:szCs w:val="21"/>
              </w:rPr>
              <w:t>参照定额</w:t>
            </w:r>
          </w:p>
        </w:tc>
        <w:tc>
          <w:tcPr>
            <w:tcW w:w="750"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彩条旗限界</w:t>
            </w:r>
          </w:p>
        </w:tc>
        <w:tc>
          <w:tcPr>
            <w:tcW w:w="581"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100m</w:t>
            </w:r>
          </w:p>
        </w:tc>
        <w:tc>
          <w:tcPr>
            <w:tcW w:w="581"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175.05</w:t>
            </w:r>
          </w:p>
        </w:tc>
        <w:tc>
          <w:tcPr>
            <w:tcW w:w="583"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130.70</w:t>
            </w:r>
          </w:p>
        </w:tc>
        <w:tc>
          <w:tcPr>
            <w:tcW w:w="498"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5.75</w:t>
            </w:r>
          </w:p>
        </w:tc>
        <w:tc>
          <w:tcPr>
            <w:tcW w:w="499"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9.55</w:t>
            </w:r>
          </w:p>
        </w:tc>
        <w:tc>
          <w:tcPr>
            <w:tcW w:w="494"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13.14</w:t>
            </w:r>
          </w:p>
        </w:tc>
        <w:tc>
          <w:tcPr>
            <w:tcW w:w="534"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15.91</w:t>
            </w:r>
          </w:p>
        </w:tc>
      </w:tr>
    </w:tbl>
    <w:p>
      <w:pPr>
        <w:spacing w:line="240" w:lineRule="auto"/>
        <w:ind w:firstLine="480"/>
      </w:pPr>
    </w:p>
    <w:p>
      <w:pPr>
        <w:pStyle w:val="86"/>
        <w:spacing w:line="240" w:lineRule="auto"/>
        <w:rPr>
          <w:rFonts w:eastAsia="仿宋_GB2312"/>
        </w:rPr>
      </w:pPr>
      <w:r>
        <w:rPr>
          <w:rFonts w:hint="eastAsia" w:eastAsia="仿宋_GB2312"/>
        </w:rPr>
        <w:t>表7.1-8   施工机械台时费汇总</w:t>
      </w:r>
      <w:r>
        <w:rPr>
          <w:rFonts w:eastAsia="仿宋_GB2312"/>
        </w:rPr>
        <w:t>表</w:t>
      </w:r>
    </w:p>
    <w:tbl>
      <w:tblPr>
        <w:tblStyle w:val="40"/>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38"/>
        <w:gridCol w:w="1457"/>
        <w:gridCol w:w="850"/>
        <w:gridCol w:w="983"/>
        <w:gridCol w:w="1282"/>
        <w:gridCol w:w="994"/>
        <w:gridCol w:w="1052"/>
        <w:gridCol w:w="126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74" w:type="pct"/>
            <w:vMerge w:val="restar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hint="eastAsia" w:eastAsia="仿宋_GB2312"/>
                <w:color w:val="000000"/>
                <w:sz w:val="21"/>
                <w:szCs w:val="21"/>
              </w:rPr>
              <w:t>序号</w:t>
            </w:r>
          </w:p>
        </w:tc>
        <w:tc>
          <w:tcPr>
            <w:tcW w:w="855" w:type="pct"/>
            <w:vMerge w:val="restar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hint="eastAsia" w:eastAsia="仿宋_GB2312"/>
                <w:color w:val="000000"/>
                <w:sz w:val="21"/>
                <w:szCs w:val="21"/>
              </w:rPr>
              <w:t>名称及规格</w:t>
            </w:r>
          </w:p>
        </w:tc>
        <w:tc>
          <w:tcPr>
            <w:tcW w:w="499" w:type="pct"/>
            <w:vMerge w:val="restar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hint="eastAsia" w:eastAsia="仿宋_GB2312"/>
                <w:color w:val="000000"/>
                <w:sz w:val="21"/>
                <w:szCs w:val="21"/>
              </w:rPr>
              <w:t>台时费</w:t>
            </w:r>
          </w:p>
        </w:tc>
        <w:tc>
          <w:tcPr>
            <w:tcW w:w="3272" w:type="pct"/>
            <w:gridSpan w:val="5"/>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hint="eastAsia" w:eastAsia="仿宋_GB2312"/>
                <w:color w:val="000000"/>
                <w:sz w:val="21"/>
                <w:szCs w:val="21"/>
              </w:rPr>
              <w:t>其中</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74" w:type="pct"/>
            <w:vMerge w:val="continue"/>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855" w:type="pct"/>
            <w:vMerge w:val="continue"/>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499" w:type="pct"/>
            <w:vMerge w:val="continue"/>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577"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hint="eastAsia" w:eastAsia="仿宋_GB2312"/>
                <w:color w:val="000000"/>
                <w:sz w:val="21"/>
                <w:szCs w:val="21"/>
              </w:rPr>
              <w:t>折旧费</w:t>
            </w:r>
          </w:p>
        </w:tc>
        <w:tc>
          <w:tcPr>
            <w:tcW w:w="752" w:type="pct"/>
            <w:shd w:val="clear" w:color="auto" w:fill="auto"/>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hint="eastAsia" w:eastAsia="仿宋_GB2312"/>
                <w:color w:val="000000"/>
                <w:sz w:val="21"/>
                <w:szCs w:val="21"/>
              </w:rPr>
              <w:t>修理及替换设备费</w:t>
            </w:r>
          </w:p>
        </w:tc>
        <w:tc>
          <w:tcPr>
            <w:tcW w:w="583"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hint="eastAsia" w:eastAsia="仿宋_GB2312"/>
                <w:color w:val="000000"/>
                <w:sz w:val="21"/>
                <w:szCs w:val="21"/>
              </w:rPr>
              <w:t>安拆费</w:t>
            </w:r>
          </w:p>
        </w:tc>
        <w:tc>
          <w:tcPr>
            <w:tcW w:w="617"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hint="eastAsia" w:eastAsia="仿宋_GB2312"/>
                <w:color w:val="000000"/>
                <w:sz w:val="21"/>
                <w:szCs w:val="21"/>
              </w:rPr>
              <w:t>人工费</w:t>
            </w:r>
          </w:p>
        </w:tc>
        <w:tc>
          <w:tcPr>
            <w:tcW w:w="743"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hint="eastAsia" w:eastAsia="仿宋_GB2312"/>
                <w:color w:val="000000"/>
                <w:sz w:val="21"/>
                <w:szCs w:val="21"/>
              </w:rPr>
              <w:t>动力燃料费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74"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hint="eastAsia" w:eastAsia="仿宋_GB2312"/>
                <w:color w:val="000000"/>
                <w:sz w:val="21"/>
                <w:szCs w:val="21"/>
              </w:rPr>
              <w:t>1</w:t>
            </w:r>
          </w:p>
        </w:tc>
        <w:tc>
          <w:tcPr>
            <w:tcW w:w="855"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hint="eastAsia" w:eastAsia="仿宋_GB2312"/>
                <w:color w:val="000000"/>
                <w:sz w:val="21"/>
                <w:szCs w:val="21"/>
              </w:rPr>
              <w:t>洒水车（8m</w:t>
            </w:r>
            <w:r>
              <w:rPr>
                <w:rFonts w:eastAsia="仿宋_GB2312"/>
                <w:color w:val="000000"/>
                <w:sz w:val="21"/>
                <w:szCs w:val="21"/>
              </w:rPr>
              <w:t>³</w:t>
            </w:r>
            <w:r>
              <w:rPr>
                <w:rFonts w:hint="eastAsia" w:eastAsia="仿宋_GB2312"/>
                <w:color w:val="000000"/>
                <w:sz w:val="21"/>
                <w:szCs w:val="21"/>
              </w:rPr>
              <w:t>）</w:t>
            </w:r>
          </w:p>
        </w:tc>
        <w:tc>
          <w:tcPr>
            <w:tcW w:w="499"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hint="eastAsia" w:eastAsia="仿宋_GB2312"/>
                <w:color w:val="000000"/>
                <w:sz w:val="21"/>
                <w:szCs w:val="21"/>
              </w:rPr>
              <w:t>106.18</w:t>
            </w:r>
          </w:p>
        </w:tc>
        <w:tc>
          <w:tcPr>
            <w:tcW w:w="577"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hint="eastAsia" w:eastAsia="仿宋_GB2312"/>
                <w:color w:val="000000"/>
                <w:sz w:val="21"/>
                <w:szCs w:val="21"/>
              </w:rPr>
              <w:t>14.06</w:t>
            </w:r>
          </w:p>
        </w:tc>
        <w:tc>
          <w:tcPr>
            <w:tcW w:w="752"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hint="eastAsia" w:eastAsia="仿宋_GB2312"/>
                <w:color w:val="000000"/>
                <w:sz w:val="21"/>
                <w:szCs w:val="21"/>
              </w:rPr>
              <w:t>20.12</w:t>
            </w:r>
          </w:p>
        </w:tc>
        <w:tc>
          <w:tcPr>
            <w:tcW w:w="583"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617"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hint="eastAsia" w:eastAsia="仿宋_GB2312"/>
                <w:color w:val="000000"/>
                <w:sz w:val="21"/>
                <w:szCs w:val="21"/>
              </w:rPr>
              <w:t>10.49</w:t>
            </w:r>
          </w:p>
        </w:tc>
        <w:tc>
          <w:tcPr>
            <w:tcW w:w="743"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hint="eastAsia" w:eastAsia="仿宋_GB2312"/>
                <w:color w:val="000000"/>
                <w:sz w:val="21"/>
                <w:szCs w:val="21"/>
              </w:rPr>
              <w:t>61.51</w:t>
            </w:r>
          </w:p>
        </w:tc>
      </w:tr>
    </w:tbl>
    <w:p>
      <w:pPr>
        <w:pStyle w:val="86"/>
        <w:spacing w:line="240" w:lineRule="auto"/>
        <w:rPr>
          <w:rFonts w:eastAsia="仿宋_GB2312"/>
        </w:rPr>
      </w:pPr>
    </w:p>
    <w:p>
      <w:pPr>
        <w:pStyle w:val="86"/>
        <w:spacing w:line="240" w:lineRule="auto"/>
        <w:rPr>
          <w:rFonts w:eastAsia="仿宋_GB2312"/>
        </w:rPr>
      </w:pPr>
      <w:r>
        <w:rPr>
          <w:rFonts w:hint="eastAsia" w:eastAsia="仿宋_GB2312"/>
        </w:rPr>
        <w:t>表7.1-9   主要材料单价汇总</w:t>
      </w:r>
      <w:r>
        <w:rPr>
          <w:rFonts w:eastAsia="仿宋_GB2312"/>
        </w:rPr>
        <w:t>表</w:t>
      </w:r>
    </w:p>
    <w:tbl>
      <w:tblPr>
        <w:tblStyle w:val="40"/>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983"/>
        <w:gridCol w:w="1266"/>
        <w:gridCol w:w="980"/>
        <w:gridCol w:w="656"/>
        <w:gridCol w:w="983"/>
        <w:gridCol w:w="1336"/>
        <w:gridCol w:w="1144"/>
        <w:gridCol w:w="117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77" w:type="pct"/>
            <w:vMerge w:val="restart"/>
            <w:shd w:val="clear" w:color="auto" w:fill="auto"/>
            <w:noWrap/>
            <w:vAlign w:val="center"/>
          </w:tcPr>
          <w:p>
            <w:pPr>
              <w:widowControl/>
              <w:topLinePunct w:val="0"/>
              <w:adjustRightInd/>
              <w:snapToGrid/>
              <w:spacing w:line="240" w:lineRule="auto"/>
              <w:ind w:firstLine="0" w:firstLineChars="0"/>
              <w:jc w:val="center"/>
              <w:rPr>
                <w:rFonts w:eastAsia="仿宋_GB2312"/>
                <w:sz w:val="21"/>
                <w:szCs w:val="21"/>
              </w:rPr>
            </w:pPr>
            <w:r>
              <w:rPr>
                <w:rFonts w:eastAsia="仿宋_GB2312"/>
                <w:sz w:val="21"/>
                <w:szCs w:val="21"/>
              </w:rPr>
              <w:t>编号</w:t>
            </w:r>
          </w:p>
        </w:tc>
        <w:tc>
          <w:tcPr>
            <w:tcW w:w="743" w:type="pct"/>
            <w:vMerge w:val="restart"/>
            <w:shd w:val="clear" w:color="auto" w:fill="auto"/>
            <w:noWrap/>
            <w:vAlign w:val="center"/>
          </w:tcPr>
          <w:p>
            <w:pPr>
              <w:widowControl/>
              <w:topLinePunct w:val="0"/>
              <w:adjustRightInd/>
              <w:snapToGrid/>
              <w:spacing w:line="240" w:lineRule="auto"/>
              <w:ind w:firstLine="0" w:firstLineChars="0"/>
              <w:jc w:val="center"/>
              <w:rPr>
                <w:rFonts w:eastAsia="仿宋_GB2312"/>
                <w:sz w:val="21"/>
                <w:szCs w:val="21"/>
              </w:rPr>
            </w:pPr>
            <w:r>
              <w:rPr>
                <w:rFonts w:eastAsia="仿宋_GB2312"/>
                <w:sz w:val="21"/>
                <w:szCs w:val="21"/>
              </w:rPr>
              <w:t>名称及规格</w:t>
            </w:r>
          </w:p>
        </w:tc>
        <w:tc>
          <w:tcPr>
            <w:tcW w:w="575" w:type="pct"/>
            <w:vMerge w:val="restart"/>
            <w:shd w:val="clear" w:color="auto" w:fill="auto"/>
            <w:noWrap/>
            <w:vAlign w:val="center"/>
          </w:tcPr>
          <w:p>
            <w:pPr>
              <w:widowControl/>
              <w:topLinePunct w:val="0"/>
              <w:adjustRightInd/>
              <w:snapToGrid/>
              <w:spacing w:line="240" w:lineRule="auto"/>
              <w:ind w:firstLine="0" w:firstLineChars="0"/>
              <w:jc w:val="center"/>
              <w:rPr>
                <w:rFonts w:eastAsia="仿宋_GB2312"/>
                <w:sz w:val="21"/>
                <w:szCs w:val="21"/>
              </w:rPr>
            </w:pPr>
            <w:r>
              <w:rPr>
                <w:rFonts w:eastAsia="仿宋_GB2312"/>
                <w:sz w:val="21"/>
                <w:szCs w:val="21"/>
              </w:rPr>
              <w:t>单位</w:t>
            </w:r>
          </w:p>
        </w:tc>
        <w:tc>
          <w:tcPr>
            <w:tcW w:w="2416" w:type="pct"/>
            <w:gridSpan w:val="4"/>
            <w:shd w:val="clear" w:color="auto" w:fill="auto"/>
            <w:noWrap/>
            <w:vAlign w:val="center"/>
          </w:tcPr>
          <w:p>
            <w:pPr>
              <w:widowControl/>
              <w:topLinePunct w:val="0"/>
              <w:adjustRightInd/>
              <w:snapToGrid/>
              <w:spacing w:line="240" w:lineRule="auto"/>
              <w:ind w:firstLine="0" w:firstLineChars="0"/>
              <w:jc w:val="center"/>
              <w:rPr>
                <w:rFonts w:eastAsia="仿宋_GB2312"/>
                <w:sz w:val="21"/>
                <w:szCs w:val="21"/>
              </w:rPr>
            </w:pPr>
            <w:r>
              <w:rPr>
                <w:rFonts w:eastAsia="仿宋_GB2312"/>
                <w:sz w:val="21"/>
                <w:szCs w:val="21"/>
              </w:rPr>
              <w:t>其中</w:t>
            </w:r>
          </w:p>
        </w:tc>
        <w:tc>
          <w:tcPr>
            <w:tcW w:w="689" w:type="pct"/>
            <w:vMerge w:val="restart"/>
            <w:shd w:val="clear" w:color="auto" w:fill="auto"/>
            <w:vAlign w:val="center"/>
          </w:tcPr>
          <w:p>
            <w:pPr>
              <w:widowControl/>
              <w:topLinePunct w:val="0"/>
              <w:adjustRightInd/>
              <w:snapToGrid/>
              <w:spacing w:line="240" w:lineRule="auto"/>
              <w:ind w:firstLine="0" w:firstLineChars="0"/>
              <w:jc w:val="center"/>
              <w:rPr>
                <w:rFonts w:eastAsia="仿宋_GB2312"/>
                <w:sz w:val="21"/>
                <w:szCs w:val="21"/>
              </w:rPr>
            </w:pPr>
            <w:r>
              <w:rPr>
                <w:rFonts w:eastAsia="仿宋_GB2312"/>
                <w:sz w:val="21"/>
                <w:szCs w:val="21"/>
              </w:rPr>
              <w:t>预算价格(元)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77" w:type="pct"/>
            <w:vMerge w:val="continue"/>
            <w:vAlign w:val="center"/>
          </w:tcPr>
          <w:p>
            <w:pPr>
              <w:widowControl/>
              <w:topLinePunct w:val="0"/>
              <w:adjustRightInd/>
              <w:snapToGrid/>
              <w:spacing w:line="240" w:lineRule="auto"/>
              <w:ind w:firstLine="0" w:firstLineChars="0"/>
              <w:jc w:val="center"/>
              <w:rPr>
                <w:rFonts w:eastAsia="仿宋_GB2312"/>
                <w:sz w:val="21"/>
                <w:szCs w:val="21"/>
              </w:rPr>
            </w:pPr>
          </w:p>
        </w:tc>
        <w:tc>
          <w:tcPr>
            <w:tcW w:w="743" w:type="pct"/>
            <w:vMerge w:val="continue"/>
            <w:vAlign w:val="center"/>
          </w:tcPr>
          <w:p>
            <w:pPr>
              <w:widowControl/>
              <w:topLinePunct w:val="0"/>
              <w:adjustRightInd/>
              <w:snapToGrid/>
              <w:spacing w:line="240" w:lineRule="auto"/>
              <w:ind w:firstLine="0" w:firstLineChars="0"/>
              <w:jc w:val="center"/>
              <w:rPr>
                <w:rFonts w:eastAsia="仿宋_GB2312"/>
                <w:sz w:val="21"/>
                <w:szCs w:val="21"/>
              </w:rPr>
            </w:pPr>
          </w:p>
        </w:tc>
        <w:tc>
          <w:tcPr>
            <w:tcW w:w="575" w:type="pct"/>
            <w:vMerge w:val="continue"/>
            <w:vAlign w:val="center"/>
          </w:tcPr>
          <w:p>
            <w:pPr>
              <w:widowControl/>
              <w:topLinePunct w:val="0"/>
              <w:adjustRightInd/>
              <w:snapToGrid/>
              <w:spacing w:line="240" w:lineRule="auto"/>
              <w:ind w:firstLine="0" w:firstLineChars="0"/>
              <w:jc w:val="center"/>
              <w:rPr>
                <w:rFonts w:eastAsia="仿宋_GB2312"/>
                <w:sz w:val="21"/>
                <w:szCs w:val="21"/>
              </w:rPr>
            </w:pPr>
          </w:p>
        </w:tc>
        <w:tc>
          <w:tcPr>
            <w:tcW w:w="385" w:type="pct"/>
            <w:shd w:val="clear" w:color="auto" w:fill="auto"/>
            <w:noWrap/>
            <w:vAlign w:val="center"/>
          </w:tcPr>
          <w:p>
            <w:pPr>
              <w:widowControl/>
              <w:topLinePunct w:val="0"/>
              <w:adjustRightInd/>
              <w:snapToGrid/>
              <w:spacing w:line="240" w:lineRule="auto"/>
              <w:ind w:firstLine="0" w:firstLineChars="0"/>
              <w:jc w:val="center"/>
              <w:rPr>
                <w:rFonts w:eastAsia="仿宋_GB2312"/>
                <w:sz w:val="21"/>
                <w:szCs w:val="21"/>
              </w:rPr>
            </w:pPr>
            <w:r>
              <w:rPr>
                <w:rFonts w:eastAsia="仿宋_GB2312"/>
                <w:sz w:val="21"/>
                <w:szCs w:val="21"/>
              </w:rPr>
              <w:t>原价</w:t>
            </w:r>
          </w:p>
        </w:tc>
        <w:tc>
          <w:tcPr>
            <w:tcW w:w="577" w:type="pct"/>
            <w:shd w:val="clear" w:color="auto" w:fill="auto"/>
            <w:noWrap/>
            <w:vAlign w:val="center"/>
          </w:tcPr>
          <w:p>
            <w:pPr>
              <w:widowControl/>
              <w:topLinePunct w:val="0"/>
              <w:adjustRightInd/>
              <w:snapToGrid/>
              <w:spacing w:line="240" w:lineRule="auto"/>
              <w:ind w:firstLine="0" w:firstLineChars="0"/>
              <w:jc w:val="center"/>
              <w:rPr>
                <w:rFonts w:eastAsia="仿宋_GB2312"/>
                <w:sz w:val="21"/>
                <w:szCs w:val="21"/>
              </w:rPr>
            </w:pPr>
            <w:r>
              <w:rPr>
                <w:rFonts w:eastAsia="仿宋_GB2312"/>
                <w:sz w:val="21"/>
                <w:szCs w:val="21"/>
              </w:rPr>
              <w:t>运杂费</w:t>
            </w:r>
          </w:p>
        </w:tc>
        <w:tc>
          <w:tcPr>
            <w:tcW w:w="784" w:type="pct"/>
            <w:shd w:val="clear" w:color="auto" w:fill="auto"/>
            <w:noWrap/>
            <w:vAlign w:val="center"/>
          </w:tcPr>
          <w:p>
            <w:pPr>
              <w:widowControl/>
              <w:topLinePunct w:val="0"/>
              <w:adjustRightInd/>
              <w:snapToGrid/>
              <w:spacing w:line="240" w:lineRule="auto"/>
              <w:ind w:firstLine="0" w:firstLineChars="0"/>
              <w:jc w:val="center"/>
              <w:rPr>
                <w:rFonts w:eastAsia="仿宋_GB2312"/>
                <w:sz w:val="21"/>
                <w:szCs w:val="21"/>
              </w:rPr>
            </w:pPr>
            <w:r>
              <w:rPr>
                <w:rFonts w:eastAsia="仿宋_GB2312"/>
                <w:sz w:val="21"/>
                <w:szCs w:val="21"/>
              </w:rPr>
              <w:t>到工地价格</w:t>
            </w:r>
          </w:p>
        </w:tc>
        <w:tc>
          <w:tcPr>
            <w:tcW w:w="671" w:type="pct"/>
            <w:shd w:val="clear" w:color="auto" w:fill="auto"/>
            <w:noWrap/>
            <w:vAlign w:val="center"/>
          </w:tcPr>
          <w:p>
            <w:pPr>
              <w:widowControl/>
              <w:topLinePunct w:val="0"/>
              <w:adjustRightInd/>
              <w:snapToGrid/>
              <w:spacing w:line="240" w:lineRule="auto"/>
              <w:ind w:firstLine="0" w:firstLineChars="0"/>
              <w:jc w:val="center"/>
              <w:rPr>
                <w:rFonts w:eastAsia="仿宋_GB2312"/>
                <w:sz w:val="21"/>
                <w:szCs w:val="21"/>
              </w:rPr>
            </w:pPr>
            <w:r>
              <w:rPr>
                <w:rFonts w:eastAsia="仿宋_GB2312"/>
                <w:sz w:val="21"/>
                <w:szCs w:val="21"/>
              </w:rPr>
              <w:t>采保费</w:t>
            </w:r>
          </w:p>
        </w:tc>
        <w:tc>
          <w:tcPr>
            <w:tcW w:w="689" w:type="pct"/>
            <w:vMerge w:val="continue"/>
            <w:vAlign w:val="center"/>
          </w:tcPr>
          <w:p>
            <w:pPr>
              <w:widowControl/>
              <w:topLinePunct w:val="0"/>
              <w:adjustRightInd/>
              <w:snapToGrid/>
              <w:spacing w:line="240" w:lineRule="auto"/>
              <w:ind w:firstLine="0" w:firstLineChars="0"/>
              <w:jc w:val="center"/>
              <w:rPr>
                <w:rFonts w:eastAsia="仿宋_GB2312"/>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77"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1</w:t>
            </w:r>
          </w:p>
        </w:tc>
        <w:tc>
          <w:tcPr>
            <w:tcW w:w="743"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汽油</w:t>
            </w:r>
          </w:p>
        </w:tc>
        <w:tc>
          <w:tcPr>
            <w:tcW w:w="575"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kg</w:t>
            </w:r>
          </w:p>
        </w:tc>
        <w:tc>
          <w:tcPr>
            <w:tcW w:w="2416" w:type="pct"/>
            <w:gridSpan w:val="4"/>
            <w:vMerge w:val="restar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采用工程主体单价</w:t>
            </w:r>
          </w:p>
        </w:tc>
        <w:tc>
          <w:tcPr>
            <w:tcW w:w="689"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hint="eastAsia" w:eastAsia="仿宋_GB2312"/>
                <w:color w:val="000000"/>
                <w:sz w:val="21"/>
                <w:szCs w:val="21"/>
              </w:rPr>
              <w:t>7.08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77"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2</w:t>
            </w:r>
          </w:p>
        </w:tc>
        <w:tc>
          <w:tcPr>
            <w:tcW w:w="743"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柴油</w:t>
            </w:r>
          </w:p>
        </w:tc>
        <w:tc>
          <w:tcPr>
            <w:tcW w:w="575"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kg</w:t>
            </w:r>
          </w:p>
        </w:tc>
        <w:tc>
          <w:tcPr>
            <w:tcW w:w="2416" w:type="pct"/>
            <w:gridSpan w:val="4"/>
            <w:vMerge w:val="continue"/>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689"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hint="eastAsia" w:eastAsia="仿宋_GB2312"/>
                <w:color w:val="000000"/>
                <w:sz w:val="21"/>
                <w:szCs w:val="21"/>
              </w:rPr>
              <w:t>6.99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77"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3</w:t>
            </w:r>
          </w:p>
        </w:tc>
        <w:tc>
          <w:tcPr>
            <w:tcW w:w="743"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电</w:t>
            </w:r>
          </w:p>
        </w:tc>
        <w:tc>
          <w:tcPr>
            <w:tcW w:w="575"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kw.h</w:t>
            </w:r>
          </w:p>
        </w:tc>
        <w:tc>
          <w:tcPr>
            <w:tcW w:w="2416" w:type="pct"/>
            <w:gridSpan w:val="4"/>
            <w:vMerge w:val="continue"/>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689"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hint="eastAsia" w:eastAsia="仿宋_GB2312"/>
                <w:color w:val="000000"/>
                <w:sz w:val="21"/>
                <w:szCs w:val="21"/>
              </w:rPr>
              <w:t>0.45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77"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4</w:t>
            </w:r>
          </w:p>
        </w:tc>
        <w:tc>
          <w:tcPr>
            <w:tcW w:w="743"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水</w:t>
            </w:r>
          </w:p>
        </w:tc>
        <w:tc>
          <w:tcPr>
            <w:tcW w:w="575"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m</w:t>
            </w:r>
            <w:r>
              <w:rPr>
                <w:rFonts w:eastAsia="宋体"/>
                <w:color w:val="000000"/>
                <w:sz w:val="21"/>
                <w:szCs w:val="21"/>
              </w:rPr>
              <w:t>³</w:t>
            </w:r>
          </w:p>
        </w:tc>
        <w:tc>
          <w:tcPr>
            <w:tcW w:w="2416" w:type="pct"/>
            <w:gridSpan w:val="4"/>
            <w:vMerge w:val="continue"/>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689"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hint="eastAsia" w:eastAsia="仿宋_GB2312"/>
                <w:color w:val="000000"/>
                <w:sz w:val="21"/>
                <w:szCs w:val="21"/>
              </w:rPr>
              <w:t>3.57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77"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hint="eastAsia" w:eastAsia="仿宋_GB2312"/>
                <w:color w:val="000000"/>
                <w:sz w:val="21"/>
                <w:szCs w:val="21"/>
              </w:rPr>
              <w:t>5</w:t>
            </w:r>
          </w:p>
        </w:tc>
        <w:tc>
          <w:tcPr>
            <w:tcW w:w="743"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防尘网</w:t>
            </w:r>
          </w:p>
        </w:tc>
        <w:tc>
          <w:tcPr>
            <w:tcW w:w="575"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m</w:t>
            </w:r>
            <w:r>
              <w:rPr>
                <w:rFonts w:eastAsia="宋体"/>
                <w:color w:val="000000"/>
                <w:sz w:val="21"/>
                <w:szCs w:val="21"/>
              </w:rPr>
              <w:t>²</w:t>
            </w:r>
          </w:p>
        </w:tc>
        <w:tc>
          <w:tcPr>
            <w:tcW w:w="385"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hint="eastAsia" w:eastAsia="仿宋_GB2312"/>
                <w:color w:val="000000"/>
                <w:sz w:val="21"/>
                <w:szCs w:val="21"/>
              </w:rPr>
              <w:t>2</w:t>
            </w:r>
          </w:p>
        </w:tc>
        <w:tc>
          <w:tcPr>
            <w:tcW w:w="577"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hint="eastAsia" w:eastAsia="仿宋_GB2312"/>
                <w:color w:val="000000"/>
                <w:sz w:val="21"/>
                <w:szCs w:val="21"/>
              </w:rPr>
              <w:t>0.02</w:t>
            </w:r>
          </w:p>
        </w:tc>
        <w:tc>
          <w:tcPr>
            <w:tcW w:w="784"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hint="eastAsia" w:eastAsia="仿宋_GB2312"/>
                <w:color w:val="000000"/>
                <w:sz w:val="21"/>
                <w:szCs w:val="21"/>
              </w:rPr>
              <w:t>2.02</w:t>
            </w:r>
          </w:p>
        </w:tc>
        <w:tc>
          <w:tcPr>
            <w:tcW w:w="671"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hint="eastAsia" w:eastAsia="仿宋_GB2312"/>
                <w:color w:val="000000"/>
                <w:sz w:val="21"/>
                <w:szCs w:val="21"/>
              </w:rPr>
              <w:t>0.02</w:t>
            </w:r>
          </w:p>
        </w:tc>
        <w:tc>
          <w:tcPr>
            <w:tcW w:w="689"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hint="eastAsia" w:eastAsia="仿宋_GB2312"/>
                <w:color w:val="000000"/>
                <w:sz w:val="21"/>
                <w:szCs w:val="21"/>
              </w:rPr>
              <w:t>2.04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77"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hint="eastAsia" w:eastAsia="仿宋_GB2312"/>
                <w:color w:val="000000"/>
                <w:sz w:val="21"/>
                <w:szCs w:val="21"/>
              </w:rPr>
              <w:t>6</w:t>
            </w:r>
          </w:p>
        </w:tc>
        <w:tc>
          <w:tcPr>
            <w:tcW w:w="743"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彩条旗</w:t>
            </w:r>
          </w:p>
        </w:tc>
        <w:tc>
          <w:tcPr>
            <w:tcW w:w="575"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m</w:t>
            </w:r>
          </w:p>
        </w:tc>
        <w:tc>
          <w:tcPr>
            <w:tcW w:w="385"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hint="eastAsia" w:eastAsia="仿宋_GB2312"/>
                <w:color w:val="000000"/>
                <w:sz w:val="21"/>
                <w:szCs w:val="21"/>
              </w:rPr>
              <w:t>0.5</w:t>
            </w:r>
          </w:p>
        </w:tc>
        <w:tc>
          <w:tcPr>
            <w:tcW w:w="577"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hint="eastAsia" w:eastAsia="仿宋_GB2312"/>
                <w:color w:val="000000"/>
                <w:sz w:val="21"/>
                <w:szCs w:val="21"/>
              </w:rPr>
              <w:t>0.02</w:t>
            </w:r>
          </w:p>
        </w:tc>
        <w:tc>
          <w:tcPr>
            <w:tcW w:w="784"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hint="eastAsia" w:eastAsia="仿宋_GB2312"/>
                <w:color w:val="000000"/>
                <w:sz w:val="21"/>
                <w:szCs w:val="21"/>
              </w:rPr>
              <w:t>0.52</w:t>
            </w:r>
          </w:p>
        </w:tc>
        <w:tc>
          <w:tcPr>
            <w:tcW w:w="671"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hint="eastAsia" w:eastAsia="仿宋_GB2312"/>
                <w:color w:val="000000"/>
                <w:sz w:val="21"/>
                <w:szCs w:val="21"/>
              </w:rPr>
              <w:t>0.01</w:t>
            </w:r>
          </w:p>
        </w:tc>
        <w:tc>
          <w:tcPr>
            <w:tcW w:w="689"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hint="eastAsia" w:eastAsia="仿宋_GB2312"/>
                <w:color w:val="000000"/>
                <w:sz w:val="21"/>
                <w:szCs w:val="21"/>
              </w:rPr>
              <w:t>0.52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77"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hint="eastAsia" w:eastAsia="仿宋_GB2312"/>
                <w:color w:val="000000"/>
                <w:sz w:val="21"/>
                <w:szCs w:val="21"/>
              </w:rPr>
              <w:t>7</w:t>
            </w:r>
          </w:p>
        </w:tc>
        <w:tc>
          <w:tcPr>
            <w:tcW w:w="743"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木条</w:t>
            </w:r>
          </w:p>
        </w:tc>
        <w:tc>
          <w:tcPr>
            <w:tcW w:w="575"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根</w:t>
            </w:r>
          </w:p>
        </w:tc>
        <w:tc>
          <w:tcPr>
            <w:tcW w:w="385"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hint="eastAsia" w:eastAsia="仿宋_GB2312"/>
                <w:color w:val="000000"/>
                <w:sz w:val="21"/>
                <w:szCs w:val="21"/>
              </w:rPr>
              <w:t>2</w:t>
            </w:r>
          </w:p>
        </w:tc>
        <w:tc>
          <w:tcPr>
            <w:tcW w:w="577"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hint="eastAsia" w:eastAsia="仿宋_GB2312"/>
                <w:color w:val="000000"/>
                <w:sz w:val="21"/>
                <w:szCs w:val="21"/>
              </w:rPr>
              <w:t>0.02</w:t>
            </w:r>
          </w:p>
        </w:tc>
        <w:tc>
          <w:tcPr>
            <w:tcW w:w="784"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hint="eastAsia" w:eastAsia="仿宋_GB2312"/>
                <w:color w:val="000000"/>
                <w:sz w:val="21"/>
                <w:szCs w:val="21"/>
              </w:rPr>
              <w:t>2.0152</w:t>
            </w:r>
          </w:p>
        </w:tc>
        <w:tc>
          <w:tcPr>
            <w:tcW w:w="671"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hint="eastAsia" w:eastAsia="仿宋_GB2312"/>
                <w:color w:val="000000"/>
                <w:sz w:val="21"/>
                <w:szCs w:val="21"/>
              </w:rPr>
              <w:t>0.02</w:t>
            </w:r>
          </w:p>
        </w:tc>
        <w:tc>
          <w:tcPr>
            <w:tcW w:w="689"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hint="eastAsia" w:eastAsia="仿宋_GB2312"/>
                <w:color w:val="000000"/>
                <w:sz w:val="21"/>
                <w:szCs w:val="21"/>
              </w:rPr>
              <w:t>2.04</w:t>
            </w:r>
          </w:p>
        </w:tc>
      </w:tr>
    </w:tbl>
    <w:p>
      <w:pPr>
        <w:pStyle w:val="3"/>
        <w:widowControl/>
        <w:numPr>
          <w:ilvl w:val="1"/>
          <w:numId w:val="1"/>
        </w:numPr>
        <w:tabs>
          <w:tab w:val="clear" w:pos="1002"/>
        </w:tabs>
        <w:topLinePunct w:val="0"/>
        <w:adjustRightInd/>
        <w:snapToGrid/>
        <w:spacing w:beforeLines="50"/>
        <w:ind w:left="0" w:firstLine="0"/>
        <w:jc w:val="both"/>
        <w:rPr>
          <w:rFonts w:eastAsia="仿宋_GB2312"/>
        </w:rPr>
      </w:pPr>
      <w:bookmarkStart w:id="318" w:name="_Toc47381552"/>
      <w:bookmarkStart w:id="319" w:name="_Toc7801484"/>
      <w:bookmarkStart w:id="320" w:name="_Toc7801577"/>
      <w:bookmarkStart w:id="321" w:name="_Toc255304639"/>
      <w:bookmarkStart w:id="322" w:name="_Toc211401611"/>
      <w:bookmarkStart w:id="323" w:name="_Toc7801417"/>
      <w:r>
        <w:rPr>
          <w:rFonts w:eastAsia="仿宋_GB2312"/>
        </w:rPr>
        <w:t>效益分析</w:t>
      </w:r>
      <w:bookmarkEnd w:id="318"/>
      <w:bookmarkEnd w:id="319"/>
      <w:bookmarkEnd w:id="320"/>
      <w:bookmarkEnd w:id="321"/>
      <w:bookmarkEnd w:id="322"/>
      <w:bookmarkEnd w:id="323"/>
    </w:p>
    <w:p>
      <w:pPr>
        <w:pStyle w:val="4"/>
        <w:keepLines/>
        <w:widowControl/>
        <w:numPr>
          <w:ilvl w:val="2"/>
          <w:numId w:val="1"/>
        </w:numPr>
        <w:tabs>
          <w:tab w:val="clear" w:pos="432"/>
          <w:tab w:val="clear" w:pos="960"/>
        </w:tabs>
        <w:kinsoku/>
        <w:overflowPunct/>
        <w:topLinePunct w:val="0"/>
        <w:autoSpaceDE/>
        <w:autoSpaceDN/>
        <w:adjustRightInd/>
        <w:snapToGrid/>
        <w:ind w:left="0" w:firstLine="0"/>
        <w:jc w:val="both"/>
        <w:rPr>
          <w:rFonts w:eastAsia="仿宋_GB2312"/>
        </w:rPr>
      </w:pPr>
      <w:r>
        <w:rPr>
          <w:rFonts w:eastAsia="仿宋_GB2312"/>
        </w:rPr>
        <w:t>效益分析原则</w:t>
      </w:r>
    </w:p>
    <w:p>
      <w:pPr>
        <w:pStyle w:val="15"/>
        <w:ind w:firstLine="480"/>
        <w:rPr>
          <w:rFonts w:eastAsia="仿宋_GB2312"/>
        </w:rPr>
      </w:pPr>
      <w:r>
        <w:rPr>
          <w:rFonts w:eastAsia="仿宋_GB2312"/>
        </w:rPr>
        <w:t>（1）首先考虑水土保持措施的基础效益、生态效益和社会效益，在此基础上考虑经济效益。</w:t>
      </w:r>
    </w:p>
    <w:p>
      <w:pPr>
        <w:pStyle w:val="15"/>
        <w:ind w:firstLine="480"/>
        <w:rPr>
          <w:rFonts w:eastAsia="仿宋_GB2312"/>
        </w:rPr>
      </w:pPr>
      <w:r>
        <w:rPr>
          <w:rFonts w:eastAsia="仿宋_GB2312"/>
        </w:rPr>
        <w:t>（2）水土保持的效益既是多方面的，也是有限度的，要实事求是、客观地、恰如其分地进行水土保持效益分析。</w:t>
      </w:r>
    </w:p>
    <w:p>
      <w:pPr>
        <w:pStyle w:val="15"/>
        <w:ind w:firstLine="480"/>
        <w:rPr>
          <w:rFonts w:eastAsia="仿宋_GB2312"/>
        </w:rPr>
      </w:pPr>
      <w:r>
        <w:rPr>
          <w:rFonts w:eastAsia="仿宋_GB2312"/>
        </w:rPr>
        <w:t>（3）基础效益采用定量和定性相结合分析，生态效益、社会效益作定性描述分析。</w:t>
      </w:r>
    </w:p>
    <w:p>
      <w:pPr>
        <w:pStyle w:val="4"/>
        <w:keepLines/>
        <w:widowControl/>
        <w:numPr>
          <w:ilvl w:val="2"/>
          <w:numId w:val="1"/>
        </w:numPr>
        <w:tabs>
          <w:tab w:val="clear" w:pos="432"/>
          <w:tab w:val="clear" w:pos="960"/>
        </w:tabs>
        <w:kinsoku/>
        <w:overflowPunct/>
        <w:topLinePunct w:val="0"/>
        <w:autoSpaceDE/>
        <w:autoSpaceDN/>
        <w:adjustRightInd/>
        <w:snapToGrid/>
        <w:ind w:left="0" w:firstLine="0"/>
        <w:jc w:val="both"/>
        <w:rPr>
          <w:rFonts w:eastAsia="仿宋_GB2312"/>
        </w:rPr>
      </w:pPr>
      <w:r>
        <w:rPr>
          <w:rFonts w:eastAsia="仿宋_GB2312"/>
        </w:rPr>
        <w:t>防治效果预测</w:t>
      </w:r>
    </w:p>
    <w:p>
      <w:pPr>
        <w:pStyle w:val="15"/>
        <w:ind w:firstLine="480"/>
        <w:rPr>
          <w:rFonts w:eastAsia="仿宋_GB2312"/>
        </w:rPr>
      </w:pPr>
      <w:r>
        <w:rPr>
          <w:rFonts w:eastAsia="仿宋_GB2312"/>
        </w:rPr>
        <w:t>水土流失的防治效果预测，主要是指对照方案采取的水土流失防治措施，预测可能达到的防治效果。具体的量化指标为水土流失治理度、土壤流失控制比、渣土防护率、表土保护率、林草植被恢复率和林草覆盖率等六大指标。</w:t>
      </w:r>
    </w:p>
    <w:p>
      <w:pPr>
        <w:pStyle w:val="15"/>
        <w:ind w:firstLine="480"/>
        <w:rPr>
          <w:rFonts w:eastAsia="仿宋_GB2312"/>
        </w:rPr>
      </w:pPr>
      <w:r>
        <w:rPr>
          <w:rFonts w:eastAsia="仿宋_GB2312"/>
        </w:rPr>
        <w:t>根据以上分析，结合方案设计的各项水保措施的防治效果，本工程水土保持措施实施后，防治目标预计的达标情况见表7.2-1、7.2-2。</w:t>
      </w:r>
    </w:p>
    <w:p>
      <w:pPr>
        <w:pStyle w:val="15"/>
        <w:spacing w:line="240" w:lineRule="auto"/>
        <w:ind w:firstLine="480"/>
        <w:jc w:val="center"/>
        <w:rPr>
          <w:rFonts w:eastAsia="仿宋_GB2312"/>
          <w:b/>
        </w:rPr>
      </w:pPr>
      <w:r>
        <w:rPr>
          <w:rFonts w:eastAsia="仿宋_GB2312"/>
          <w:b/>
        </w:rPr>
        <w:t>7.2</w:t>
      </w:r>
      <w:r>
        <w:rPr>
          <w:rFonts w:hint="eastAsia" w:eastAsia="仿宋_GB2312"/>
          <w:b/>
        </w:rPr>
        <w:t>-</w:t>
      </w:r>
      <w:r>
        <w:rPr>
          <w:rFonts w:eastAsia="仿宋_GB2312"/>
          <w:b/>
        </w:rPr>
        <w:t>1 相关面积统计表</w:t>
      </w:r>
    </w:p>
    <w:tbl>
      <w:tblPr>
        <w:tblStyle w:val="40"/>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799"/>
        <w:gridCol w:w="1437"/>
        <w:gridCol w:w="1352"/>
        <w:gridCol w:w="1352"/>
        <w:gridCol w:w="1353"/>
        <w:gridCol w:w="122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056" w:type="pct"/>
            <w:vMerge w:val="restart"/>
            <w:shd w:val="clear" w:color="auto" w:fill="auto"/>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防治分区</w:t>
            </w:r>
          </w:p>
        </w:tc>
        <w:tc>
          <w:tcPr>
            <w:tcW w:w="843" w:type="pct"/>
            <w:vMerge w:val="restart"/>
            <w:shd w:val="clear" w:color="auto" w:fill="auto"/>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扰动面积</w:t>
            </w:r>
            <w:r>
              <w:rPr>
                <w:rFonts w:hint="eastAsia" w:eastAsia="仿宋_GB2312"/>
                <w:sz w:val="21"/>
                <w:szCs w:val="21"/>
              </w:rPr>
              <w:t>（hm</w:t>
            </w:r>
            <w:r>
              <w:rPr>
                <w:rFonts w:hint="eastAsia" w:eastAsia="仿宋_GB2312"/>
                <w:sz w:val="21"/>
                <w:szCs w:val="21"/>
                <w:vertAlign w:val="superscript"/>
              </w:rPr>
              <w:t>2</w:t>
            </w:r>
            <w:r>
              <w:rPr>
                <w:rFonts w:hint="eastAsia" w:eastAsia="仿宋_GB2312"/>
                <w:sz w:val="21"/>
                <w:szCs w:val="21"/>
              </w:rPr>
              <w:t>）</w:t>
            </w:r>
          </w:p>
        </w:tc>
        <w:tc>
          <w:tcPr>
            <w:tcW w:w="2380" w:type="pct"/>
            <w:gridSpan w:val="3"/>
            <w:shd w:val="clear" w:color="auto" w:fill="auto"/>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水土保持措施面积</w:t>
            </w:r>
            <w:r>
              <w:rPr>
                <w:rFonts w:hint="eastAsia" w:eastAsia="仿宋_GB2312"/>
                <w:sz w:val="21"/>
                <w:szCs w:val="21"/>
              </w:rPr>
              <w:t>（hm</w:t>
            </w:r>
            <w:r>
              <w:rPr>
                <w:rFonts w:hint="eastAsia" w:eastAsia="仿宋_GB2312"/>
                <w:sz w:val="21"/>
                <w:szCs w:val="21"/>
                <w:vertAlign w:val="superscript"/>
              </w:rPr>
              <w:t>2</w:t>
            </w:r>
            <w:r>
              <w:rPr>
                <w:rFonts w:hint="eastAsia" w:eastAsia="仿宋_GB2312"/>
                <w:sz w:val="21"/>
                <w:szCs w:val="21"/>
              </w:rPr>
              <w:t>）</w:t>
            </w:r>
          </w:p>
        </w:tc>
        <w:tc>
          <w:tcPr>
            <w:tcW w:w="721" w:type="pct"/>
            <w:vMerge w:val="restart"/>
            <w:shd w:val="clear" w:color="auto" w:fill="auto"/>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建构筑物及硬化面积</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056" w:type="pct"/>
            <w:vMerge w:val="continue"/>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843" w:type="pct"/>
            <w:vMerge w:val="continue"/>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793" w:type="pct"/>
            <w:shd w:val="clear" w:color="auto" w:fill="auto"/>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工程措施</w:t>
            </w:r>
          </w:p>
        </w:tc>
        <w:tc>
          <w:tcPr>
            <w:tcW w:w="793" w:type="pct"/>
            <w:shd w:val="clear" w:color="auto" w:fill="auto"/>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植物措施</w:t>
            </w:r>
          </w:p>
        </w:tc>
        <w:tc>
          <w:tcPr>
            <w:tcW w:w="794" w:type="pct"/>
            <w:shd w:val="clear" w:color="auto" w:fill="auto"/>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小计</w:t>
            </w:r>
          </w:p>
        </w:tc>
        <w:tc>
          <w:tcPr>
            <w:tcW w:w="721" w:type="pct"/>
            <w:vMerge w:val="continue"/>
            <w:vAlign w:val="center"/>
          </w:tcPr>
          <w:p>
            <w:pPr>
              <w:widowControl/>
              <w:topLinePunct w:val="0"/>
              <w:adjustRightInd/>
              <w:snapToGrid/>
              <w:spacing w:line="240" w:lineRule="auto"/>
              <w:ind w:firstLine="0" w:firstLineChars="0"/>
              <w:jc w:val="center"/>
              <w:rPr>
                <w:rFonts w:eastAsia="仿宋_GB2312"/>
                <w:color w:val="000000"/>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056" w:type="pct"/>
            <w:shd w:val="clear" w:color="auto" w:fill="auto"/>
            <w:vAlign w:val="center"/>
          </w:tcPr>
          <w:p>
            <w:pPr>
              <w:widowControl/>
              <w:topLinePunct w:val="0"/>
              <w:adjustRightInd/>
              <w:snapToGrid/>
              <w:spacing w:line="240" w:lineRule="auto"/>
              <w:ind w:firstLine="0" w:firstLineChars="0"/>
              <w:jc w:val="center"/>
              <w:rPr>
                <w:rFonts w:eastAsia="仿宋_GB2312"/>
                <w:sz w:val="21"/>
                <w:szCs w:val="21"/>
              </w:rPr>
            </w:pPr>
            <w:r>
              <w:rPr>
                <w:rFonts w:hint="eastAsia" w:eastAsia="仿宋_GB2312"/>
                <w:sz w:val="21"/>
                <w:szCs w:val="21"/>
              </w:rPr>
              <w:t>管道工程区</w:t>
            </w:r>
          </w:p>
        </w:tc>
        <w:tc>
          <w:tcPr>
            <w:tcW w:w="843" w:type="pct"/>
            <w:shd w:val="clear" w:color="auto" w:fill="auto"/>
            <w:vAlign w:val="center"/>
          </w:tcPr>
          <w:p>
            <w:pPr>
              <w:widowControl/>
              <w:topLinePunct w:val="0"/>
              <w:adjustRightInd/>
              <w:snapToGrid/>
              <w:spacing w:line="240" w:lineRule="auto"/>
              <w:ind w:firstLine="0" w:firstLineChars="0"/>
              <w:jc w:val="center"/>
              <w:rPr>
                <w:rFonts w:eastAsia="仿宋_GB2312"/>
                <w:sz w:val="21"/>
                <w:szCs w:val="21"/>
              </w:rPr>
            </w:pPr>
            <w:r>
              <w:rPr>
                <w:rFonts w:hint="eastAsia" w:eastAsia="仿宋_GB2312"/>
                <w:sz w:val="21"/>
                <w:szCs w:val="21"/>
              </w:rPr>
              <w:t>1.73</w:t>
            </w:r>
          </w:p>
        </w:tc>
        <w:tc>
          <w:tcPr>
            <w:tcW w:w="793" w:type="pct"/>
            <w:shd w:val="clear" w:color="auto" w:fill="auto"/>
            <w:noWrap/>
            <w:vAlign w:val="center"/>
          </w:tcPr>
          <w:p>
            <w:pPr>
              <w:widowControl/>
              <w:topLinePunct w:val="0"/>
              <w:adjustRightInd/>
              <w:snapToGrid/>
              <w:spacing w:line="240" w:lineRule="auto"/>
              <w:ind w:firstLine="0" w:firstLineChars="0"/>
              <w:jc w:val="center"/>
              <w:rPr>
                <w:rFonts w:eastAsia="仿宋_GB2312"/>
                <w:sz w:val="21"/>
                <w:szCs w:val="21"/>
              </w:rPr>
            </w:pPr>
            <w:r>
              <w:rPr>
                <w:rFonts w:eastAsia="仿宋_GB2312"/>
                <w:sz w:val="21"/>
                <w:szCs w:val="21"/>
              </w:rPr>
              <w:t>0.53</w:t>
            </w:r>
          </w:p>
        </w:tc>
        <w:tc>
          <w:tcPr>
            <w:tcW w:w="793" w:type="pct"/>
            <w:shd w:val="clear" w:color="auto" w:fill="auto"/>
            <w:noWrap/>
            <w:vAlign w:val="center"/>
          </w:tcPr>
          <w:p>
            <w:pPr>
              <w:widowControl/>
              <w:topLinePunct w:val="0"/>
              <w:adjustRightInd/>
              <w:snapToGrid/>
              <w:spacing w:line="240" w:lineRule="auto"/>
              <w:ind w:firstLine="0" w:firstLineChars="0"/>
              <w:jc w:val="center"/>
              <w:rPr>
                <w:rFonts w:eastAsia="仿宋_GB2312"/>
                <w:sz w:val="21"/>
                <w:szCs w:val="21"/>
              </w:rPr>
            </w:pPr>
          </w:p>
        </w:tc>
        <w:tc>
          <w:tcPr>
            <w:tcW w:w="794" w:type="pct"/>
            <w:shd w:val="clear" w:color="auto" w:fill="auto"/>
            <w:noWrap/>
            <w:vAlign w:val="center"/>
          </w:tcPr>
          <w:p>
            <w:pPr>
              <w:widowControl/>
              <w:topLinePunct w:val="0"/>
              <w:adjustRightInd/>
              <w:snapToGrid/>
              <w:spacing w:line="240" w:lineRule="auto"/>
              <w:ind w:firstLine="0" w:firstLineChars="0"/>
              <w:jc w:val="center"/>
              <w:rPr>
                <w:rFonts w:eastAsia="仿宋_GB2312"/>
                <w:sz w:val="21"/>
                <w:szCs w:val="21"/>
              </w:rPr>
            </w:pPr>
            <w:r>
              <w:rPr>
                <w:rFonts w:eastAsia="仿宋_GB2312"/>
                <w:sz w:val="21"/>
                <w:szCs w:val="21"/>
              </w:rPr>
              <w:t>0.53</w:t>
            </w:r>
          </w:p>
        </w:tc>
        <w:tc>
          <w:tcPr>
            <w:tcW w:w="721" w:type="pct"/>
            <w:shd w:val="clear" w:color="auto" w:fill="auto"/>
            <w:noWrap/>
            <w:vAlign w:val="center"/>
          </w:tcPr>
          <w:p>
            <w:pPr>
              <w:widowControl/>
              <w:topLinePunct w:val="0"/>
              <w:adjustRightInd/>
              <w:snapToGrid/>
              <w:spacing w:line="240" w:lineRule="auto"/>
              <w:ind w:firstLine="0" w:firstLineChars="0"/>
              <w:jc w:val="center"/>
              <w:rPr>
                <w:rFonts w:eastAsia="仿宋_GB2312"/>
                <w:sz w:val="21"/>
                <w:szCs w:val="21"/>
              </w:rPr>
            </w:pPr>
            <w:r>
              <w:rPr>
                <w:rFonts w:eastAsia="仿宋_GB2312"/>
                <w:sz w:val="21"/>
                <w:szCs w:val="21"/>
              </w:rPr>
              <w:t>1.18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056" w:type="pct"/>
            <w:shd w:val="clear" w:color="auto" w:fill="auto"/>
            <w:vAlign w:val="center"/>
          </w:tcPr>
          <w:p>
            <w:pPr>
              <w:widowControl/>
              <w:topLinePunct w:val="0"/>
              <w:adjustRightInd/>
              <w:snapToGrid/>
              <w:spacing w:line="240" w:lineRule="auto"/>
              <w:ind w:firstLine="0" w:firstLineChars="0"/>
              <w:jc w:val="center"/>
              <w:rPr>
                <w:rFonts w:eastAsia="仿宋_GB2312"/>
                <w:sz w:val="21"/>
                <w:szCs w:val="21"/>
              </w:rPr>
            </w:pPr>
            <w:r>
              <w:rPr>
                <w:rFonts w:hint="eastAsia" w:eastAsia="仿宋_GB2312"/>
                <w:sz w:val="21"/>
                <w:szCs w:val="21"/>
              </w:rPr>
              <w:t>附属构筑物区</w:t>
            </w:r>
          </w:p>
        </w:tc>
        <w:tc>
          <w:tcPr>
            <w:tcW w:w="843" w:type="pct"/>
            <w:shd w:val="clear" w:color="auto" w:fill="auto"/>
            <w:vAlign w:val="center"/>
          </w:tcPr>
          <w:p>
            <w:pPr>
              <w:widowControl/>
              <w:topLinePunct w:val="0"/>
              <w:adjustRightInd/>
              <w:snapToGrid/>
              <w:spacing w:line="240" w:lineRule="auto"/>
              <w:ind w:firstLine="0" w:firstLineChars="0"/>
              <w:jc w:val="center"/>
              <w:rPr>
                <w:rFonts w:eastAsia="仿宋_GB2312"/>
                <w:sz w:val="21"/>
                <w:szCs w:val="21"/>
              </w:rPr>
            </w:pPr>
            <w:r>
              <w:rPr>
                <w:rFonts w:hint="eastAsia" w:eastAsia="仿宋_GB2312"/>
                <w:sz w:val="21"/>
                <w:szCs w:val="21"/>
              </w:rPr>
              <w:t>0.11</w:t>
            </w:r>
          </w:p>
        </w:tc>
        <w:tc>
          <w:tcPr>
            <w:tcW w:w="793" w:type="pct"/>
            <w:shd w:val="clear" w:color="auto" w:fill="auto"/>
            <w:noWrap/>
            <w:vAlign w:val="center"/>
          </w:tcPr>
          <w:p>
            <w:pPr>
              <w:widowControl/>
              <w:topLinePunct w:val="0"/>
              <w:adjustRightInd/>
              <w:snapToGrid/>
              <w:spacing w:line="240" w:lineRule="auto"/>
              <w:ind w:firstLine="0" w:firstLineChars="0"/>
              <w:jc w:val="center"/>
              <w:rPr>
                <w:rFonts w:eastAsia="仿宋_GB2312"/>
                <w:sz w:val="21"/>
                <w:szCs w:val="21"/>
              </w:rPr>
            </w:pPr>
            <w:r>
              <w:rPr>
                <w:rFonts w:eastAsia="仿宋_GB2312"/>
                <w:sz w:val="21"/>
                <w:szCs w:val="21"/>
              </w:rPr>
              <w:t>0.09</w:t>
            </w:r>
          </w:p>
        </w:tc>
        <w:tc>
          <w:tcPr>
            <w:tcW w:w="793" w:type="pct"/>
            <w:shd w:val="clear" w:color="auto" w:fill="auto"/>
            <w:noWrap/>
            <w:vAlign w:val="center"/>
          </w:tcPr>
          <w:p>
            <w:pPr>
              <w:widowControl/>
              <w:topLinePunct w:val="0"/>
              <w:adjustRightInd/>
              <w:snapToGrid/>
              <w:spacing w:line="240" w:lineRule="auto"/>
              <w:ind w:firstLine="0" w:firstLineChars="0"/>
              <w:jc w:val="center"/>
              <w:rPr>
                <w:rFonts w:eastAsia="仿宋_GB2312"/>
                <w:sz w:val="21"/>
                <w:szCs w:val="21"/>
              </w:rPr>
            </w:pPr>
          </w:p>
        </w:tc>
        <w:tc>
          <w:tcPr>
            <w:tcW w:w="794" w:type="pct"/>
            <w:shd w:val="clear" w:color="auto" w:fill="auto"/>
            <w:noWrap/>
            <w:vAlign w:val="center"/>
          </w:tcPr>
          <w:p>
            <w:pPr>
              <w:widowControl/>
              <w:topLinePunct w:val="0"/>
              <w:adjustRightInd/>
              <w:snapToGrid/>
              <w:spacing w:line="240" w:lineRule="auto"/>
              <w:ind w:firstLine="0" w:firstLineChars="0"/>
              <w:jc w:val="center"/>
              <w:rPr>
                <w:rFonts w:eastAsia="仿宋_GB2312"/>
                <w:sz w:val="21"/>
                <w:szCs w:val="21"/>
              </w:rPr>
            </w:pPr>
            <w:r>
              <w:rPr>
                <w:rFonts w:eastAsia="仿宋_GB2312"/>
                <w:sz w:val="21"/>
                <w:szCs w:val="21"/>
              </w:rPr>
              <w:t>0.09</w:t>
            </w:r>
          </w:p>
        </w:tc>
        <w:tc>
          <w:tcPr>
            <w:tcW w:w="721" w:type="pct"/>
            <w:shd w:val="clear" w:color="auto" w:fill="auto"/>
            <w:noWrap/>
            <w:vAlign w:val="center"/>
          </w:tcPr>
          <w:p>
            <w:pPr>
              <w:widowControl/>
              <w:topLinePunct w:val="0"/>
              <w:adjustRightInd/>
              <w:snapToGrid/>
              <w:spacing w:line="240" w:lineRule="auto"/>
              <w:ind w:firstLine="0" w:firstLineChars="0"/>
              <w:jc w:val="center"/>
              <w:rPr>
                <w:rFonts w:eastAsia="仿宋_GB2312"/>
                <w:sz w:val="21"/>
                <w:szCs w:val="21"/>
              </w:rPr>
            </w:pPr>
            <w:r>
              <w:rPr>
                <w:rFonts w:eastAsia="仿宋_GB2312"/>
                <w:sz w:val="21"/>
                <w:szCs w:val="21"/>
              </w:rPr>
              <w:t>0.02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056" w:type="pct"/>
            <w:shd w:val="clear" w:color="auto" w:fill="auto"/>
            <w:vAlign w:val="center"/>
          </w:tcPr>
          <w:p>
            <w:pPr>
              <w:widowControl/>
              <w:topLinePunct w:val="0"/>
              <w:adjustRightInd/>
              <w:snapToGrid/>
              <w:spacing w:line="240" w:lineRule="auto"/>
              <w:ind w:firstLine="0" w:firstLineChars="0"/>
              <w:jc w:val="center"/>
              <w:rPr>
                <w:rFonts w:eastAsia="仿宋_GB2312"/>
                <w:sz w:val="21"/>
                <w:szCs w:val="21"/>
              </w:rPr>
            </w:pPr>
            <w:r>
              <w:rPr>
                <w:rFonts w:eastAsia="仿宋_GB2312"/>
                <w:sz w:val="21"/>
                <w:szCs w:val="21"/>
              </w:rPr>
              <w:t>合计</w:t>
            </w:r>
          </w:p>
        </w:tc>
        <w:tc>
          <w:tcPr>
            <w:tcW w:w="843" w:type="pct"/>
            <w:shd w:val="clear" w:color="auto" w:fill="auto"/>
            <w:noWrap/>
            <w:vAlign w:val="center"/>
          </w:tcPr>
          <w:p>
            <w:pPr>
              <w:widowControl/>
              <w:topLinePunct w:val="0"/>
              <w:adjustRightInd/>
              <w:snapToGrid/>
              <w:spacing w:line="240" w:lineRule="auto"/>
              <w:ind w:firstLine="0" w:firstLineChars="0"/>
              <w:jc w:val="center"/>
              <w:rPr>
                <w:rFonts w:eastAsia="仿宋_GB2312"/>
                <w:sz w:val="21"/>
                <w:szCs w:val="21"/>
              </w:rPr>
            </w:pPr>
            <w:r>
              <w:rPr>
                <w:rFonts w:eastAsia="仿宋_GB2312"/>
                <w:sz w:val="21"/>
                <w:szCs w:val="21"/>
              </w:rPr>
              <w:t>1.84</w:t>
            </w:r>
          </w:p>
        </w:tc>
        <w:tc>
          <w:tcPr>
            <w:tcW w:w="793" w:type="pct"/>
            <w:shd w:val="clear" w:color="auto" w:fill="auto"/>
            <w:noWrap/>
            <w:vAlign w:val="center"/>
          </w:tcPr>
          <w:p>
            <w:pPr>
              <w:widowControl/>
              <w:topLinePunct w:val="0"/>
              <w:adjustRightInd/>
              <w:snapToGrid/>
              <w:spacing w:line="240" w:lineRule="auto"/>
              <w:ind w:firstLine="0" w:firstLineChars="0"/>
              <w:jc w:val="center"/>
              <w:rPr>
                <w:rFonts w:eastAsia="仿宋_GB2312"/>
                <w:sz w:val="21"/>
                <w:szCs w:val="21"/>
              </w:rPr>
            </w:pPr>
            <w:r>
              <w:rPr>
                <w:rFonts w:eastAsia="仿宋_GB2312"/>
                <w:sz w:val="21"/>
                <w:szCs w:val="21"/>
              </w:rPr>
              <w:t>0.62</w:t>
            </w:r>
          </w:p>
        </w:tc>
        <w:tc>
          <w:tcPr>
            <w:tcW w:w="793" w:type="pct"/>
            <w:shd w:val="clear" w:color="auto" w:fill="auto"/>
            <w:noWrap/>
            <w:vAlign w:val="center"/>
          </w:tcPr>
          <w:p>
            <w:pPr>
              <w:widowControl/>
              <w:topLinePunct w:val="0"/>
              <w:adjustRightInd/>
              <w:snapToGrid/>
              <w:spacing w:line="240" w:lineRule="auto"/>
              <w:ind w:firstLine="0" w:firstLineChars="0"/>
              <w:jc w:val="center"/>
              <w:rPr>
                <w:rFonts w:eastAsia="仿宋_GB2312"/>
                <w:sz w:val="21"/>
                <w:szCs w:val="21"/>
              </w:rPr>
            </w:pPr>
            <w:r>
              <w:rPr>
                <w:rFonts w:eastAsia="仿宋_GB2312"/>
                <w:sz w:val="21"/>
                <w:szCs w:val="21"/>
              </w:rPr>
              <w:t>0</w:t>
            </w:r>
          </w:p>
        </w:tc>
        <w:tc>
          <w:tcPr>
            <w:tcW w:w="794" w:type="pct"/>
            <w:shd w:val="clear" w:color="auto" w:fill="auto"/>
            <w:noWrap/>
            <w:vAlign w:val="center"/>
          </w:tcPr>
          <w:p>
            <w:pPr>
              <w:widowControl/>
              <w:topLinePunct w:val="0"/>
              <w:adjustRightInd/>
              <w:snapToGrid/>
              <w:spacing w:line="240" w:lineRule="auto"/>
              <w:ind w:firstLine="0" w:firstLineChars="0"/>
              <w:jc w:val="center"/>
              <w:rPr>
                <w:rFonts w:eastAsia="仿宋_GB2312"/>
                <w:sz w:val="21"/>
                <w:szCs w:val="21"/>
              </w:rPr>
            </w:pPr>
            <w:r>
              <w:rPr>
                <w:rFonts w:eastAsia="仿宋_GB2312"/>
                <w:sz w:val="21"/>
                <w:szCs w:val="21"/>
              </w:rPr>
              <w:t>0.62</w:t>
            </w:r>
          </w:p>
        </w:tc>
        <w:tc>
          <w:tcPr>
            <w:tcW w:w="721" w:type="pct"/>
            <w:shd w:val="clear" w:color="auto" w:fill="auto"/>
            <w:noWrap/>
            <w:vAlign w:val="center"/>
          </w:tcPr>
          <w:p>
            <w:pPr>
              <w:widowControl/>
              <w:topLinePunct w:val="0"/>
              <w:adjustRightInd/>
              <w:snapToGrid/>
              <w:spacing w:line="240" w:lineRule="auto"/>
              <w:ind w:firstLine="0" w:firstLineChars="0"/>
              <w:jc w:val="center"/>
              <w:rPr>
                <w:rFonts w:eastAsia="仿宋_GB2312"/>
                <w:sz w:val="21"/>
                <w:szCs w:val="21"/>
              </w:rPr>
            </w:pPr>
            <w:r>
              <w:rPr>
                <w:rFonts w:eastAsia="仿宋_GB2312"/>
                <w:sz w:val="21"/>
                <w:szCs w:val="21"/>
              </w:rPr>
              <w:t>1.2</w:t>
            </w:r>
          </w:p>
        </w:tc>
      </w:tr>
    </w:tbl>
    <w:p>
      <w:pPr>
        <w:pStyle w:val="15"/>
        <w:spacing w:line="240" w:lineRule="auto"/>
        <w:ind w:firstLine="480"/>
        <w:rPr>
          <w:rFonts w:eastAsia="仿宋_GB2312"/>
        </w:rPr>
      </w:pPr>
    </w:p>
    <w:p>
      <w:pPr>
        <w:pStyle w:val="15"/>
        <w:spacing w:line="240" w:lineRule="auto"/>
        <w:ind w:firstLine="480"/>
        <w:jc w:val="center"/>
        <w:rPr>
          <w:rFonts w:eastAsia="仿宋_GB2312"/>
          <w:b/>
        </w:rPr>
      </w:pPr>
      <w:r>
        <w:rPr>
          <w:rFonts w:eastAsia="仿宋_GB2312"/>
          <w:b/>
        </w:rPr>
        <w:t>7.2-2设计水平年本方案水土流失防治效果分析结果表</w:t>
      </w:r>
    </w:p>
    <w:tbl>
      <w:tblPr>
        <w:tblStyle w:val="40"/>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155"/>
        <w:gridCol w:w="791"/>
        <w:gridCol w:w="3400"/>
        <w:gridCol w:w="707"/>
        <w:gridCol w:w="711"/>
        <w:gridCol w:w="75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264" w:type="pct"/>
            <w:shd w:val="clear" w:color="auto" w:fill="auto"/>
            <w:noWrap/>
            <w:vAlign w:val="center"/>
          </w:tcPr>
          <w:p>
            <w:pPr>
              <w:widowControl/>
              <w:topLinePunct w:val="0"/>
              <w:adjustRightInd/>
              <w:snapToGrid/>
              <w:spacing w:line="240" w:lineRule="auto"/>
              <w:ind w:firstLine="480" w:firstLineChars="0"/>
              <w:jc w:val="center"/>
              <w:rPr>
                <w:rFonts w:eastAsia="仿宋_GB2312"/>
                <w:sz w:val="21"/>
                <w:szCs w:val="21"/>
              </w:rPr>
            </w:pPr>
            <w:r>
              <w:rPr>
                <w:rFonts w:eastAsia="仿宋_GB2312"/>
                <w:sz w:val="21"/>
                <w:szCs w:val="21"/>
              </w:rPr>
              <w:t>防治目标</w:t>
            </w:r>
          </w:p>
        </w:tc>
        <w:tc>
          <w:tcPr>
            <w:tcW w:w="464" w:type="pct"/>
            <w:shd w:val="clear" w:color="auto" w:fill="auto"/>
            <w:noWrap/>
            <w:vAlign w:val="center"/>
          </w:tcPr>
          <w:p>
            <w:pPr>
              <w:widowControl/>
              <w:topLinePunct w:val="0"/>
              <w:adjustRightInd/>
              <w:snapToGrid/>
              <w:spacing w:line="240" w:lineRule="auto"/>
              <w:ind w:firstLine="0" w:firstLineChars="0"/>
              <w:jc w:val="center"/>
              <w:rPr>
                <w:rFonts w:eastAsia="仿宋_GB2312"/>
                <w:sz w:val="21"/>
                <w:szCs w:val="21"/>
              </w:rPr>
            </w:pPr>
            <w:r>
              <w:rPr>
                <w:rFonts w:eastAsia="仿宋_GB2312"/>
                <w:sz w:val="21"/>
                <w:szCs w:val="21"/>
              </w:rPr>
              <w:t>目标值</w:t>
            </w:r>
          </w:p>
        </w:tc>
        <w:tc>
          <w:tcPr>
            <w:tcW w:w="1995" w:type="pct"/>
            <w:shd w:val="clear" w:color="auto" w:fill="auto"/>
            <w:noWrap/>
            <w:vAlign w:val="center"/>
          </w:tcPr>
          <w:p>
            <w:pPr>
              <w:widowControl/>
              <w:topLinePunct w:val="0"/>
              <w:adjustRightInd/>
              <w:snapToGrid/>
              <w:spacing w:line="240" w:lineRule="auto"/>
              <w:ind w:firstLine="0" w:firstLineChars="0"/>
              <w:jc w:val="center"/>
              <w:rPr>
                <w:rFonts w:eastAsia="仿宋_GB2312"/>
                <w:sz w:val="21"/>
                <w:szCs w:val="21"/>
              </w:rPr>
            </w:pPr>
            <w:r>
              <w:rPr>
                <w:rFonts w:eastAsia="仿宋_GB2312"/>
                <w:sz w:val="21"/>
                <w:szCs w:val="21"/>
              </w:rPr>
              <w:t>评估依据</w:t>
            </w:r>
          </w:p>
        </w:tc>
        <w:tc>
          <w:tcPr>
            <w:tcW w:w="415" w:type="pct"/>
            <w:shd w:val="clear" w:color="auto" w:fill="auto"/>
            <w:noWrap/>
            <w:vAlign w:val="center"/>
          </w:tcPr>
          <w:p>
            <w:pPr>
              <w:widowControl/>
              <w:topLinePunct w:val="0"/>
              <w:adjustRightInd/>
              <w:snapToGrid/>
              <w:spacing w:line="240" w:lineRule="auto"/>
              <w:ind w:firstLine="0" w:firstLineChars="0"/>
              <w:jc w:val="center"/>
              <w:rPr>
                <w:rFonts w:eastAsia="仿宋_GB2312"/>
                <w:sz w:val="21"/>
                <w:szCs w:val="21"/>
              </w:rPr>
            </w:pPr>
            <w:r>
              <w:rPr>
                <w:rFonts w:eastAsia="仿宋_GB2312"/>
                <w:sz w:val="21"/>
                <w:szCs w:val="21"/>
              </w:rPr>
              <w:t>数量</w:t>
            </w:r>
          </w:p>
        </w:tc>
        <w:tc>
          <w:tcPr>
            <w:tcW w:w="417" w:type="pct"/>
            <w:shd w:val="clear" w:color="auto" w:fill="auto"/>
            <w:noWrap/>
            <w:vAlign w:val="center"/>
          </w:tcPr>
          <w:p>
            <w:pPr>
              <w:widowControl/>
              <w:topLinePunct w:val="0"/>
              <w:adjustRightInd/>
              <w:snapToGrid/>
              <w:spacing w:line="240" w:lineRule="auto"/>
              <w:ind w:firstLine="0" w:firstLineChars="0"/>
              <w:jc w:val="center"/>
              <w:rPr>
                <w:rFonts w:eastAsia="仿宋_GB2312"/>
                <w:sz w:val="21"/>
                <w:szCs w:val="21"/>
              </w:rPr>
            </w:pPr>
            <w:r>
              <w:rPr>
                <w:rFonts w:eastAsia="仿宋_GB2312"/>
                <w:sz w:val="21"/>
                <w:szCs w:val="21"/>
              </w:rPr>
              <w:t>达到值</w:t>
            </w:r>
          </w:p>
        </w:tc>
        <w:tc>
          <w:tcPr>
            <w:tcW w:w="445" w:type="pct"/>
            <w:shd w:val="clear" w:color="auto" w:fill="auto"/>
            <w:noWrap/>
            <w:vAlign w:val="center"/>
          </w:tcPr>
          <w:p>
            <w:pPr>
              <w:widowControl/>
              <w:topLinePunct w:val="0"/>
              <w:adjustRightInd/>
              <w:snapToGrid/>
              <w:spacing w:line="240" w:lineRule="auto"/>
              <w:ind w:firstLine="0" w:firstLineChars="0"/>
              <w:jc w:val="center"/>
              <w:rPr>
                <w:rFonts w:eastAsia="仿宋_GB2312"/>
                <w:sz w:val="21"/>
                <w:szCs w:val="21"/>
              </w:rPr>
            </w:pPr>
            <w:r>
              <w:rPr>
                <w:rFonts w:eastAsia="仿宋_GB2312"/>
                <w:sz w:val="21"/>
                <w:szCs w:val="21"/>
              </w:rPr>
              <w:t>评估</w:t>
            </w:r>
          </w:p>
          <w:p>
            <w:pPr>
              <w:widowControl/>
              <w:topLinePunct w:val="0"/>
              <w:adjustRightInd/>
              <w:snapToGrid/>
              <w:spacing w:line="240" w:lineRule="auto"/>
              <w:ind w:firstLine="0" w:firstLineChars="0"/>
              <w:jc w:val="center"/>
              <w:rPr>
                <w:rFonts w:eastAsia="仿宋_GB2312"/>
                <w:sz w:val="21"/>
                <w:szCs w:val="21"/>
              </w:rPr>
            </w:pPr>
            <w:r>
              <w:rPr>
                <w:rFonts w:eastAsia="仿宋_GB2312"/>
                <w:sz w:val="21"/>
                <w:szCs w:val="21"/>
              </w:rPr>
              <w:t>结果</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264" w:type="pct"/>
            <w:vMerge w:val="restart"/>
            <w:shd w:val="clear" w:color="auto" w:fill="auto"/>
            <w:noWrap/>
            <w:vAlign w:val="center"/>
          </w:tcPr>
          <w:p>
            <w:pPr>
              <w:widowControl/>
              <w:topLinePunct w:val="0"/>
              <w:adjustRightInd/>
              <w:snapToGrid/>
              <w:spacing w:line="240" w:lineRule="auto"/>
              <w:ind w:firstLine="0" w:firstLineChars="0"/>
              <w:jc w:val="center"/>
              <w:rPr>
                <w:rFonts w:eastAsia="仿宋_GB2312"/>
                <w:sz w:val="21"/>
                <w:szCs w:val="21"/>
              </w:rPr>
            </w:pPr>
            <w:r>
              <w:rPr>
                <w:rFonts w:eastAsia="仿宋_GB2312"/>
                <w:sz w:val="21"/>
                <w:szCs w:val="21"/>
              </w:rPr>
              <w:t>水土流失治理度（%）</w:t>
            </w:r>
          </w:p>
        </w:tc>
        <w:tc>
          <w:tcPr>
            <w:tcW w:w="464" w:type="pct"/>
            <w:vMerge w:val="restar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85</w:t>
            </w:r>
          </w:p>
        </w:tc>
        <w:tc>
          <w:tcPr>
            <w:tcW w:w="1995" w:type="pct"/>
            <w:shd w:val="clear" w:color="auto" w:fill="auto"/>
            <w:noWrap/>
            <w:vAlign w:val="center"/>
          </w:tcPr>
          <w:p>
            <w:pPr>
              <w:widowControl/>
              <w:topLinePunct w:val="0"/>
              <w:adjustRightInd/>
              <w:snapToGrid/>
              <w:spacing w:line="240" w:lineRule="auto"/>
              <w:ind w:firstLine="0" w:firstLineChars="0"/>
              <w:jc w:val="center"/>
              <w:rPr>
                <w:rFonts w:eastAsia="仿宋_GB2312"/>
                <w:sz w:val="21"/>
                <w:szCs w:val="21"/>
              </w:rPr>
            </w:pPr>
            <w:r>
              <w:rPr>
                <w:rFonts w:eastAsia="仿宋_GB2312"/>
                <w:sz w:val="21"/>
                <w:szCs w:val="21"/>
              </w:rPr>
              <w:t>水土流失治理</w:t>
            </w:r>
            <w:r>
              <w:rPr>
                <w:rFonts w:hint="eastAsia" w:eastAsia="仿宋_GB2312"/>
                <w:sz w:val="21"/>
                <w:szCs w:val="21"/>
              </w:rPr>
              <w:t>达标</w:t>
            </w:r>
            <w:r>
              <w:rPr>
                <w:rFonts w:eastAsia="仿宋_GB2312"/>
                <w:sz w:val="21"/>
                <w:szCs w:val="21"/>
              </w:rPr>
              <w:t>面积(</w:t>
            </w:r>
            <w:r>
              <w:rPr>
                <w:rFonts w:hint="eastAsia" w:eastAsia="仿宋_GB2312"/>
                <w:sz w:val="21"/>
                <w:szCs w:val="21"/>
              </w:rPr>
              <w:t>h</w:t>
            </w:r>
            <w:r>
              <w:rPr>
                <w:rFonts w:eastAsia="仿宋_GB2312"/>
                <w:sz w:val="21"/>
                <w:szCs w:val="21"/>
              </w:rPr>
              <w:t>m</w:t>
            </w:r>
            <w:r>
              <w:rPr>
                <w:rFonts w:eastAsia="宋体"/>
                <w:sz w:val="21"/>
                <w:szCs w:val="21"/>
              </w:rPr>
              <w:t>²</w:t>
            </w:r>
            <w:r>
              <w:rPr>
                <w:rFonts w:eastAsia="仿宋_GB2312"/>
                <w:sz w:val="21"/>
                <w:szCs w:val="21"/>
              </w:rPr>
              <w:t>)</w:t>
            </w:r>
          </w:p>
        </w:tc>
        <w:tc>
          <w:tcPr>
            <w:tcW w:w="415" w:type="pct"/>
            <w:shd w:val="clear" w:color="auto" w:fill="auto"/>
            <w:noWrap/>
            <w:vAlign w:val="center"/>
          </w:tcPr>
          <w:p>
            <w:pPr>
              <w:widowControl/>
              <w:topLinePunct w:val="0"/>
              <w:adjustRightInd/>
              <w:snapToGrid/>
              <w:spacing w:line="240" w:lineRule="auto"/>
              <w:ind w:firstLine="0" w:firstLineChars="0"/>
              <w:jc w:val="center"/>
              <w:rPr>
                <w:rFonts w:eastAsia="仿宋_GB2312"/>
                <w:sz w:val="21"/>
                <w:szCs w:val="21"/>
              </w:rPr>
            </w:pPr>
            <w:r>
              <w:rPr>
                <w:rFonts w:eastAsia="仿宋_GB2312"/>
                <w:sz w:val="21"/>
                <w:szCs w:val="21"/>
              </w:rPr>
              <w:t>1.82</w:t>
            </w:r>
          </w:p>
        </w:tc>
        <w:tc>
          <w:tcPr>
            <w:tcW w:w="417" w:type="pct"/>
            <w:vMerge w:val="restart"/>
            <w:shd w:val="clear" w:color="auto" w:fill="auto"/>
            <w:noWrap/>
            <w:vAlign w:val="center"/>
          </w:tcPr>
          <w:p>
            <w:pPr>
              <w:widowControl/>
              <w:topLinePunct w:val="0"/>
              <w:adjustRightInd/>
              <w:snapToGrid/>
              <w:spacing w:line="240" w:lineRule="auto"/>
              <w:ind w:firstLine="0" w:firstLineChars="0"/>
              <w:jc w:val="center"/>
              <w:rPr>
                <w:rFonts w:eastAsia="仿宋_GB2312"/>
                <w:sz w:val="21"/>
                <w:szCs w:val="21"/>
              </w:rPr>
            </w:pPr>
            <w:r>
              <w:rPr>
                <w:rFonts w:eastAsia="仿宋_GB2312"/>
                <w:sz w:val="21"/>
                <w:szCs w:val="21"/>
              </w:rPr>
              <w:t>9</w:t>
            </w:r>
            <w:r>
              <w:rPr>
                <w:rFonts w:hint="eastAsia" w:eastAsia="仿宋_GB2312"/>
                <w:sz w:val="21"/>
                <w:szCs w:val="21"/>
              </w:rPr>
              <w:t>8.91</w:t>
            </w:r>
          </w:p>
        </w:tc>
        <w:tc>
          <w:tcPr>
            <w:tcW w:w="445" w:type="pct"/>
            <w:vMerge w:val="restart"/>
            <w:shd w:val="clear" w:color="auto" w:fill="auto"/>
            <w:noWrap/>
            <w:vAlign w:val="center"/>
          </w:tcPr>
          <w:p>
            <w:pPr>
              <w:widowControl/>
              <w:topLinePunct w:val="0"/>
              <w:adjustRightInd/>
              <w:snapToGrid/>
              <w:spacing w:line="240" w:lineRule="auto"/>
              <w:ind w:firstLine="0" w:firstLineChars="0"/>
              <w:jc w:val="center"/>
              <w:rPr>
                <w:rFonts w:eastAsia="仿宋_GB2312"/>
                <w:sz w:val="21"/>
                <w:szCs w:val="21"/>
              </w:rPr>
            </w:pPr>
            <w:r>
              <w:rPr>
                <w:rFonts w:eastAsia="仿宋_GB2312"/>
                <w:sz w:val="21"/>
                <w:szCs w:val="21"/>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264" w:type="pct"/>
            <w:vMerge w:val="continue"/>
            <w:vAlign w:val="center"/>
          </w:tcPr>
          <w:p>
            <w:pPr>
              <w:widowControl/>
              <w:topLinePunct w:val="0"/>
              <w:adjustRightInd/>
              <w:snapToGrid/>
              <w:spacing w:line="240" w:lineRule="auto"/>
              <w:ind w:firstLine="0" w:firstLineChars="0"/>
              <w:jc w:val="center"/>
              <w:rPr>
                <w:rFonts w:eastAsia="仿宋_GB2312"/>
                <w:sz w:val="21"/>
                <w:szCs w:val="21"/>
              </w:rPr>
            </w:pPr>
          </w:p>
        </w:tc>
        <w:tc>
          <w:tcPr>
            <w:tcW w:w="464" w:type="pct"/>
            <w:vMerge w:val="continue"/>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1995" w:type="pct"/>
            <w:shd w:val="clear" w:color="auto" w:fill="auto"/>
            <w:noWrap/>
            <w:vAlign w:val="center"/>
          </w:tcPr>
          <w:p>
            <w:pPr>
              <w:widowControl/>
              <w:topLinePunct w:val="0"/>
              <w:adjustRightInd/>
              <w:snapToGrid/>
              <w:spacing w:line="240" w:lineRule="auto"/>
              <w:ind w:firstLine="0" w:firstLineChars="0"/>
              <w:jc w:val="center"/>
              <w:rPr>
                <w:rFonts w:eastAsia="仿宋_GB2312"/>
                <w:sz w:val="21"/>
                <w:szCs w:val="21"/>
              </w:rPr>
            </w:pPr>
            <w:r>
              <w:rPr>
                <w:rFonts w:eastAsia="仿宋_GB2312"/>
                <w:sz w:val="21"/>
                <w:szCs w:val="21"/>
              </w:rPr>
              <w:t>水土流失总面积(</w:t>
            </w:r>
            <w:r>
              <w:rPr>
                <w:rFonts w:hint="eastAsia" w:eastAsia="仿宋_GB2312"/>
                <w:sz w:val="21"/>
                <w:szCs w:val="21"/>
              </w:rPr>
              <w:t>h</w:t>
            </w:r>
            <w:r>
              <w:rPr>
                <w:rFonts w:eastAsia="仿宋_GB2312"/>
                <w:sz w:val="21"/>
                <w:szCs w:val="21"/>
              </w:rPr>
              <w:t>m</w:t>
            </w:r>
            <w:r>
              <w:rPr>
                <w:rFonts w:eastAsia="宋体"/>
                <w:sz w:val="21"/>
                <w:szCs w:val="21"/>
              </w:rPr>
              <w:t>²</w:t>
            </w:r>
            <w:r>
              <w:rPr>
                <w:rFonts w:eastAsia="仿宋_GB2312"/>
                <w:sz w:val="21"/>
                <w:szCs w:val="21"/>
              </w:rPr>
              <w:t>)</w:t>
            </w:r>
          </w:p>
        </w:tc>
        <w:tc>
          <w:tcPr>
            <w:tcW w:w="415" w:type="pct"/>
            <w:shd w:val="clear" w:color="auto" w:fill="auto"/>
            <w:noWrap/>
            <w:vAlign w:val="center"/>
          </w:tcPr>
          <w:p>
            <w:pPr>
              <w:widowControl/>
              <w:topLinePunct w:val="0"/>
              <w:adjustRightInd/>
              <w:snapToGrid/>
              <w:spacing w:line="240" w:lineRule="auto"/>
              <w:ind w:firstLine="0" w:firstLineChars="0"/>
              <w:jc w:val="center"/>
              <w:rPr>
                <w:rFonts w:eastAsia="仿宋_GB2312"/>
                <w:sz w:val="21"/>
                <w:szCs w:val="21"/>
              </w:rPr>
            </w:pPr>
            <w:r>
              <w:rPr>
                <w:rFonts w:eastAsia="仿宋_GB2312"/>
                <w:sz w:val="21"/>
                <w:szCs w:val="21"/>
              </w:rPr>
              <w:t>1.84</w:t>
            </w:r>
          </w:p>
        </w:tc>
        <w:tc>
          <w:tcPr>
            <w:tcW w:w="417" w:type="pct"/>
            <w:vMerge w:val="continue"/>
            <w:vAlign w:val="center"/>
          </w:tcPr>
          <w:p>
            <w:pPr>
              <w:widowControl/>
              <w:topLinePunct w:val="0"/>
              <w:adjustRightInd/>
              <w:snapToGrid/>
              <w:spacing w:line="240" w:lineRule="auto"/>
              <w:ind w:firstLine="0" w:firstLineChars="0"/>
              <w:jc w:val="center"/>
              <w:rPr>
                <w:rFonts w:eastAsia="仿宋_GB2312"/>
                <w:sz w:val="21"/>
                <w:szCs w:val="21"/>
              </w:rPr>
            </w:pPr>
          </w:p>
        </w:tc>
        <w:tc>
          <w:tcPr>
            <w:tcW w:w="445" w:type="pct"/>
            <w:vMerge w:val="continue"/>
            <w:vAlign w:val="center"/>
          </w:tcPr>
          <w:p>
            <w:pPr>
              <w:widowControl/>
              <w:topLinePunct w:val="0"/>
              <w:adjustRightInd/>
              <w:snapToGrid/>
              <w:spacing w:line="240" w:lineRule="auto"/>
              <w:ind w:firstLine="0" w:firstLineChars="0"/>
              <w:jc w:val="center"/>
              <w:rPr>
                <w:rFonts w:eastAsia="仿宋_GB2312"/>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264" w:type="pct"/>
            <w:vMerge w:val="restart"/>
            <w:shd w:val="clear" w:color="auto" w:fill="auto"/>
            <w:noWrap/>
            <w:vAlign w:val="center"/>
          </w:tcPr>
          <w:p>
            <w:pPr>
              <w:widowControl/>
              <w:topLinePunct w:val="0"/>
              <w:adjustRightInd/>
              <w:snapToGrid/>
              <w:spacing w:line="240" w:lineRule="auto"/>
              <w:ind w:firstLine="0" w:firstLineChars="0"/>
              <w:jc w:val="center"/>
              <w:rPr>
                <w:rFonts w:eastAsia="仿宋_GB2312"/>
                <w:sz w:val="21"/>
                <w:szCs w:val="21"/>
              </w:rPr>
            </w:pPr>
            <w:r>
              <w:rPr>
                <w:rFonts w:hint="eastAsia" w:eastAsia="仿宋_GB2312"/>
                <w:sz w:val="21"/>
                <w:szCs w:val="21"/>
              </w:rPr>
              <w:t>土壤</w:t>
            </w:r>
            <w:r>
              <w:rPr>
                <w:rFonts w:eastAsia="仿宋_GB2312"/>
                <w:sz w:val="21"/>
                <w:szCs w:val="21"/>
              </w:rPr>
              <w:t>流失控制比（%）</w:t>
            </w:r>
          </w:p>
        </w:tc>
        <w:tc>
          <w:tcPr>
            <w:tcW w:w="464" w:type="pct"/>
            <w:vMerge w:val="restar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hint="eastAsia" w:eastAsia="仿宋_GB2312"/>
                <w:color w:val="000000"/>
                <w:sz w:val="21"/>
                <w:szCs w:val="21"/>
              </w:rPr>
              <w:t>1.0</w:t>
            </w:r>
          </w:p>
        </w:tc>
        <w:tc>
          <w:tcPr>
            <w:tcW w:w="1995" w:type="pct"/>
            <w:shd w:val="clear" w:color="auto" w:fill="auto"/>
            <w:noWrap/>
            <w:vAlign w:val="center"/>
          </w:tcPr>
          <w:p>
            <w:pPr>
              <w:widowControl/>
              <w:topLinePunct w:val="0"/>
              <w:adjustRightInd/>
              <w:snapToGrid/>
              <w:spacing w:line="240" w:lineRule="auto"/>
              <w:ind w:firstLine="0" w:firstLineChars="0"/>
              <w:jc w:val="center"/>
              <w:rPr>
                <w:rFonts w:eastAsia="仿宋_GB2312"/>
                <w:sz w:val="21"/>
                <w:szCs w:val="21"/>
              </w:rPr>
            </w:pPr>
            <w:r>
              <w:rPr>
                <w:rFonts w:hint="eastAsia" w:eastAsia="仿宋_GB2312"/>
                <w:sz w:val="21"/>
                <w:szCs w:val="21"/>
              </w:rPr>
              <w:t>容许</w:t>
            </w:r>
            <w:r>
              <w:rPr>
                <w:rFonts w:eastAsia="仿宋_GB2312"/>
                <w:sz w:val="21"/>
                <w:szCs w:val="21"/>
              </w:rPr>
              <w:t>土壤</w:t>
            </w:r>
            <w:r>
              <w:rPr>
                <w:rFonts w:hint="eastAsia" w:eastAsia="仿宋_GB2312"/>
                <w:sz w:val="21"/>
                <w:szCs w:val="21"/>
              </w:rPr>
              <w:t>流失量</w:t>
            </w:r>
            <w:r>
              <w:rPr>
                <w:rFonts w:eastAsia="仿宋_GB2312"/>
                <w:sz w:val="21"/>
                <w:szCs w:val="21"/>
              </w:rPr>
              <w:t>(t/km²·a)</w:t>
            </w:r>
          </w:p>
        </w:tc>
        <w:tc>
          <w:tcPr>
            <w:tcW w:w="415" w:type="pct"/>
            <w:shd w:val="clear" w:color="auto" w:fill="auto"/>
            <w:noWrap/>
            <w:vAlign w:val="center"/>
          </w:tcPr>
          <w:p>
            <w:pPr>
              <w:widowControl/>
              <w:topLinePunct w:val="0"/>
              <w:adjustRightInd/>
              <w:snapToGrid/>
              <w:spacing w:line="240" w:lineRule="auto"/>
              <w:ind w:firstLine="0" w:firstLineChars="0"/>
              <w:jc w:val="center"/>
              <w:rPr>
                <w:rFonts w:eastAsia="仿宋_GB2312"/>
                <w:sz w:val="21"/>
                <w:szCs w:val="21"/>
              </w:rPr>
            </w:pPr>
            <w:r>
              <w:rPr>
                <w:rFonts w:eastAsia="仿宋_GB2312"/>
                <w:sz w:val="21"/>
                <w:szCs w:val="21"/>
              </w:rPr>
              <w:t>1500</w:t>
            </w:r>
          </w:p>
        </w:tc>
        <w:tc>
          <w:tcPr>
            <w:tcW w:w="417" w:type="pct"/>
            <w:vMerge w:val="restart"/>
            <w:shd w:val="clear" w:color="auto" w:fill="auto"/>
            <w:noWrap/>
            <w:vAlign w:val="center"/>
          </w:tcPr>
          <w:p>
            <w:pPr>
              <w:widowControl/>
              <w:topLinePunct w:val="0"/>
              <w:adjustRightInd/>
              <w:snapToGrid/>
              <w:spacing w:line="240" w:lineRule="auto"/>
              <w:ind w:firstLine="0" w:firstLineChars="0"/>
              <w:jc w:val="center"/>
              <w:rPr>
                <w:rFonts w:eastAsia="仿宋_GB2312"/>
                <w:sz w:val="21"/>
                <w:szCs w:val="21"/>
              </w:rPr>
            </w:pPr>
            <w:r>
              <w:rPr>
                <w:rFonts w:eastAsia="仿宋_GB2312"/>
                <w:sz w:val="21"/>
                <w:szCs w:val="21"/>
              </w:rPr>
              <w:t>1</w:t>
            </w:r>
          </w:p>
        </w:tc>
        <w:tc>
          <w:tcPr>
            <w:tcW w:w="445" w:type="pct"/>
            <w:vMerge w:val="restart"/>
            <w:shd w:val="clear" w:color="auto" w:fill="auto"/>
            <w:noWrap/>
            <w:vAlign w:val="center"/>
          </w:tcPr>
          <w:p>
            <w:pPr>
              <w:widowControl/>
              <w:topLinePunct w:val="0"/>
              <w:adjustRightInd/>
              <w:snapToGrid/>
              <w:spacing w:line="240" w:lineRule="auto"/>
              <w:ind w:firstLine="0" w:firstLineChars="0"/>
              <w:jc w:val="center"/>
              <w:rPr>
                <w:rFonts w:eastAsia="仿宋_GB2312"/>
                <w:sz w:val="21"/>
                <w:szCs w:val="21"/>
              </w:rPr>
            </w:pPr>
            <w:r>
              <w:rPr>
                <w:rFonts w:eastAsia="仿宋_GB2312"/>
                <w:sz w:val="21"/>
                <w:szCs w:val="21"/>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264" w:type="pct"/>
            <w:vMerge w:val="continue"/>
            <w:vAlign w:val="center"/>
          </w:tcPr>
          <w:p>
            <w:pPr>
              <w:widowControl/>
              <w:topLinePunct w:val="0"/>
              <w:adjustRightInd/>
              <w:snapToGrid/>
              <w:spacing w:line="240" w:lineRule="auto"/>
              <w:ind w:firstLine="0" w:firstLineChars="0"/>
              <w:jc w:val="center"/>
              <w:rPr>
                <w:rFonts w:eastAsia="仿宋_GB2312"/>
                <w:sz w:val="21"/>
                <w:szCs w:val="21"/>
              </w:rPr>
            </w:pPr>
          </w:p>
        </w:tc>
        <w:tc>
          <w:tcPr>
            <w:tcW w:w="464" w:type="pct"/>
            <w:vMerge w:val="continue"/>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1995" w:type="pct"/>
            <w:shd w:val="clear" w:color="auto" w:fill="auto"/>
            <w:noWrap/>
            <w:vAlign w:val="center"/>
          </w:tcPr>
          <w:p>
            <w:pPr>
              <w:widowControl/>
              <w:topLinePunct w:val="0"/>
              <w:adjustRightInd/>
              <w:snapToGrid/>
              <w:spacing w:line="240" w:lineRule="auto"/>
              <w:ind w:firstLine="0" w:firstLineChars="0"/>
              <w:jc w:val="center"/>
              <w:rPr>
                <w:rFonts w:eastAsia="仿宋_GB2312"/>
                <w:sz w:val="21"/>
                <w:szCs w:val="21"/>
              </w:rPr>
            </w:pPr>
            <w:r>
              <w:rPr>
                <w:rFonts w:eastAsia="仿宋_GB2312"/>
                <w:sz w:val="21"/>
                <w:szCs w:val="21"/>
              </w:rPr>
              <w:t>治理后平均土壤侵蚀模数(t/km²·a)</w:t>
            </w:r>
          </w:p>
        </w:tc>
        <w:tc>
          <w:tcPr>
            <w:tcW w:w="415" w:type="pct"/>
            <w:shd w:val="clear" w:color="auto" w:fill="auto"/>
            <w:noWrap/>
            <w:vAlign w:val="center"/>
          </w:tcPr>
          <w:p>
            <w:pPr>
              <w:widowControl/>
              <w:topLinePunct w:val="0"/>
              <w:adjustRightInd/>
              <w:snapToGrid/>
              <w:spacing w:line="240" w:lineRule="auto"/>
              <w:ind w:firstLine="0" w:firstLineChars="0"/>
              <w:jc w:val="center"/>
              <w:rPr>
                <w:rFonts w:eastAsia="仿宋_GB2312"/>
                <w:sz w:val="21"/>
                <w:szCs w:val="21"/>
              </w:rPr>
            </w:pPr>
            <w:r>
              <w:rPr>
                <w:rFonts w:eastAsia="仿宋_GB2312"/>
                <w:sz w:val="21"/>
                <w:szCs w:val="21"/>
              </w:rPr>
              <w:t>1500</w:t>
            </w:r>
          </w:p>
        </w:tc>
        <w:tc>
          <w:tcPr>
            <w:tcW w:w="417" w:type="pct"/>
            <w:vMerge w:val="continue"/>
            <w:vAlign w:val="center"/>
          </w:tcPr>
          <w:p>
            <w:pPr>
              <w:widowControl/>
              <w:topLinePunct w:val="0"/>
              <w:adjustRightInd/>
              <w:snapToGrid/>
              <w:spacing w:line="240" w:lineRule="auto"/>
              <w:ind w:firstLine="0" w:firstLineChars="0"/>
              <w:jc w:val="center"/>
              <w:rPr>
                <w:rFonts w:eastAsia="仿宋_GB2312"/>
                <w:sz w:val="21"/>
                <w:szCs w:val="21"/>
              </w:rPr>
            </w:pPr>
          </w:p>
        </w:tc>
        <w:tc>
          <w:tcPr>
            <w:tcW w:w="445" w:type="pct"/>
            <w:vMerge w:val="continue"/>
            <w:vAlign w:val="center"/>
          </w:tcPr>
          <w:p>
            <w:pPr>
              <w:widowControl/>
              <w:topLinePunct w:val="0"/>
              <w:adjustRightInd/>
              <w:snapToGrid/>
              <w:spacing w:line="240" w:lineRule="auto"/>
              <w:ind w:firstLine="0" w:firstLineChars="0"/>
              <w:jc w:val="center"/>
              <w:rPr>
                <w:rFonts w:eastAsia="仿宋_GB2312"/>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264" w:type="pct"/>
            <w:vMerge w:val="restart"/>
            <w:shd w:val="clear" w:color="auto" w:fill="auto"/>
            <w:noWrap/>
            <w:vAlign w:val="center"/>
          </w:tcPr>
          <w:p>
            <w:pPr>
              <w:widowControl/>
              <w:topLinePunct w:val="0"/>
              <w:adjustRightInd/>
              <w:snapToGrid/>
              <w:spacing w:line="240" w:lineRule="auto"/>
              <w:ind w:firstLine="0" w:firstLineChars="0"/>
              <w:jc w:val="center"/>
              <w:rPr>
                <w:rFonts w:eastAsia="仿宋_GB2312"/>
                <w:sz w:val="21"/>
                <w:szCs w:val="21"/>
              </w:rPr>
            </w:pPr>
            <w:r>
              <w:rPr>
                <w:rFonts w:eastAsia="仿宋_GB2312"/>
                <w:sz w:val="21"/>
                <w:szCs w:val="21"/>
              </w:rPr>
              <w:t>渣土防护率（%）</w:t>
            </w:r>
          </w:p>
        </w:tc>
        <w:tc>
          <w:tcPr>
            <w:tcW w:w="464" w:type="pct"/>
            <w:vMerge w:val="restar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87</w:t>
            </w:r>
          </w:p>
        </w:tc>
        <w:tc>
          <w:tcPr>
            <w:tcW w:w="1995" w:type="pct"/>
            <w:shd w:val="clear" w:color="auto" w:fill="auto"/>
            <w:noWrap/>
            <w:vAlign w:val="center"/>
          </w:tcPr>
          <w:p>
            <w:pPr>
              <w:widowControl/>
              <w:topLinePunct w:val="0"/>
              <w:adjustRightInd/>
              <w:snapToGrid/>
              <w:spacing w:line="240" w:lineRule="auto"/>
              <w:ind w:firstLine="0" w:firstLineChars="0"/>
              <w:jc w:val="center"/>
              <w:rPr>
                <w:rFonts w:eastAsia="仿宋_GB2312"/>
                <w:sz w:val="21"/>
                <w:szCs w:val="21"/>
              </w:rPr>
            </w:pPr>
            <w:r>
              <w:rPr>
                <w:rFonts w:eastAsia="仿宋_GB2312"/>
                <w:sz w:val="21"/>
                <w:szCs w:val="21"/>
              </w:rPr>
              <w:t>采取拦挡的堆土量（</w:t>
            </w:r>
            <w:r>
              <w:rPr>
                <w:rFonts w:hint="eastAsia" w:eastAsia="仿宋_GB2312"/>
                <w:sz w:val="21"/>
                <w:szCs w:val="21"/>
              </w:rPr>
              <w:t>万</w:t>
            </w:r>
            <w:r>
              <w:rPr>
                <w:rFonts w:eastAsia="仿宋_GB2312"/>
                <w:sz w:val="21"/>
                <w:szCs w:val="21"/>
              </w:rPr>
              <w:t>m</w:t>
            </w:r>
            <w:r>
              <w:rPr>
                <w:rFonts w:eastAsia="宋体"/>
                <w:sz w:val="21"/>
                <w:szCs w:val="21"/>
              </w:rPr>
              <w:t>³</w:t>
            </w:r>
            <w:r>
              <w:rPr>
                <w:rFonts w:eastAsia="仿宋_GB2312"/>
                <w:sz w:val="21"/>
                <w:szCs w:val="21"/>
              </w:rPr>
              <w:t>）</w:t>
            </w:r>
          </w:p>
        </w:tc>
        <w:tc>
          <w:tcPr>
            <w:tcW w:w="415" w:type="pct"/>
            <w:shd w:val="clear" w:color="000000" w:fill="FFFFFF"/>
            <w:noWrap/>
            <w:vAlign w:val="center"/>
          </w:tcPr>
          <w:p>
            <w:pPr>
              <w:widowControl/>
              <w:topLinePunct w:val="0"/>
              <w:adjustRightInd/>
              <w:snapToGrid/>
              <w:spacing w:line="240" w:lineRule="auto"/>
              <w:ind w:firstLine="0" w:firstLineChars="0"/>
              <w:jc w:val="center"/>
              <w:rPr>
                <w:rFonts w:eastAsia="仿宋_GB2312"/>
                <w:sz w:val="21"/>
                <w:szCs w:val="21"/>
              </w:rPr>
            </w:pPr>
            <w:r>
              <w:rPr>
                <w:rFonts w:eastAsia="仿宋_GB2312"/>
                <w:sz w:val="21"/>
                <w:szCs w:val="21"/>
              </w:rPr>
              <w:t>0.66</w:t>
            </w:r>
          </w:p>
        </w:tc>
        <w:tc>
          <w:tcPr>
            <w:tcW w:w="417" w:type="pct"/>
            <w:vMerge w:val="restart"/>
            <w:shd w:val="clear" w:color="auto" w:fill="auto"/>
            <w:noWrap/>
            <w:vAlign w:val="center"/>
          </w:tcPr>
          <w:p>
            <w:pPr>
              <w:widowControl/>
              <w:topLinePunct w:val="0"/>
              <w:adjustRightInd/>
              <w:snapToGrid/>
              <w:spacing w:line="240" w:lineRule="auto"/>
              <w:ind w:firstLine="0" w:firstLineChars="0"/>
              <w:jc w:val="center"/>
              <w:rPr>
                <w:rFonts w:eastAsia="仿宋_GB2312"/>
                <w:sz w:val="21"/>
                <w:szCs w:val="21"/>
              </w:rPr>
            </w:pPr>
            <w:r>
              <w:rPr>
                <w:rFonts w:hint="eastAsia" w:eastAsia="仿宋_GB2312"/>
                <w:sz w:val="21"/>
                <w:szCs w:val="21"/>
              </w:rPr>
              <w:t>97.06</w:t>
            </w:r>
          </w:p>
        </w:tc>
        <w:tc>
          <w:tcPr>
            <w:tcW w:w="445" w:type="pct"/>
            <w:vMerge w:val="restart"/>
            <w:shd w:val="clear" w:color="auto" w:fill="auto"/>
            <w:noWrap/>
            <w:vAlign w:val="center"/>
          </w:tcPr>
          <w:p>
            <w:pPr>
              <w:widowControl/>
              <w:topLinePunct w:val="0"/>
              <w:adjustRightInd/>
              <w:snapToGrid/>
              <w:spacing w:line="240" w:lineRule="auto"/>
              <w:ind w:firstLine="0" w:firstLineChars="0"/>
              <w:jc w:val="center"/>
              <w:rPr>
                <w:rFonts w:eastAsia="仿宋_GB2312"/>
                <w:sz w:val="21"/>
                <w:szCs w:val="21"/>
              </w:rPr>
            </w:pPr>
            <w:r>
              <w:rPr>
                <w:rFonts w:eastAsia="仿宋_GB2312"/>
                <w:sz w:val="21"/>
                <w:szCs w:val="21"/>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264" w:type="pct"/>
            <w:vMerge w:val="continue"/>
            <w:vAlign w:val="center"/>
          </w:tcPr>
          <w:p>
            <w:pPr>
              <w:widowControl/>
              <w:topLinePunct w:val="0"/>
              <w:adjustRightInd/>
              <w:snapToGrid/>
              <w:spacing w:line="240" w:lineRule="auto"/>
              <w:ind w:firstLine="0" w:firstLineChars="0"/>
              <w:jc w:val="center"/>
              <w:rPr>
                <w:rFonts w:eastAsia="仿宋_GB2312"/>
                <w:sz w:val="21"/>
                <w:szCs w:val="21"/>
              </w:rPr>
            </w:pPr>
          </w:p>
        </w:tc>
        <w:tc>
          <w:tcPr>
            <w:tcW w:w="464" w:type="pct"/>
            <w:vMerge w:val="continue"/>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1995" w:type="pct"/>
            <w:shd w:val="clear" w:color="auto" w:fill="auto"/>
            <w:noWrap/>
            <w:vAlign w:val="center"/>
          </w:tcPr>
          <w:p>
            <w:pPr>
              <w:widowControl/>
              <w:topLinePunct w:val="0"/>
              <w:adjustRightInd/>
              <w:snapToGrid/>
              <w:spacing w:line="240" w:lineRule="auto"/>
              <w:ind w:firstLine="0" w:firstLineChars="0"/>
              <w:jc w:val="center"/>
              <w:rPr>
                <w:rFonts w:eastAsia="仿宋_GB2312"/>
                <w:sz w:val="21"/>
                <w:szCs w:val="21"/>
              </w:rPr>
            </w:pPr>
            <w:r>
              <w:rPr>
                <w:rFonts w:eastAsia="仿宋_GB2312"/>
                <w:sz w:val="21"/>
                <w:szCs w:val="21"/>
              </w:rPr>
              <w:t>临时堆土总量（</w:t>
            </w:r>
            <w:r>
              <w:rPr>
                <w:rFonts w:hint="eastAsia" w:eastAsia="仿宋_GB2312"/>
                <w:sz w:val="21"/>
                <w:szCs w:val="21"/>
              </w:rPr>
              <w:t>万</w:t>
            </w:r>
            <w:r>
              <w:rPr>
                <w:rFonts w:eastAsia="仿宋_GB2312"/>
                <w:sz w:val="21"/>
                <w:szCs w:val="21"/>
              </w:rPr>
              <w:t>m</w:t>
            </w:r>
            <w:r>
              <w:rPr>
                <w:rFonts w:eastAsia="宋体"/>
                <w:sz w:val="21"/>
                <w:szCs w:val="21"/>
              </w:rPr>
              <w:t>³</w:t>
            </w:r>
            <w:r>
              <w:rPr>
                <w:rFonts w:eastAsia="仿宋_GB2312"/>
                <w:sz w:val="21"/>
                <w:szCs w:val="21"/>
              </w:rPr>
              <w:t>）</w:t>
            </w:r>
          </w:p>
        </w:tc>
        <w:tc>
          <w:tcPr>
            <w:tcW w:w="415" w:type="pct"/>
            <w:shd w:val="clear" w:color="000000" w:fill="FFFFFF"/>
            <w:noWrap/>
            <w:vAlign w:val="center"/>
          </w:tcPr>
          <w:p>
            <w:pPr>
              <w:widowControl/>
              <w:topLinePunct w:val="0"/>
              <w:adjustRightInd/>
              <w:snapToGrid/>
              <w:spacing w:line="240" w:lineRule="auto"/>
              <w:ind w:firstLine="0" w:firstLineChars="0"/>
              <w:jc w:val="center"/>
              <w:rPr>
                <w:rFonts w:eastAsia="仿宋_GB2312"/>
                <w:sz w:val="21"/>
                <w:szCs w:val="21"/>
              </w:rPr>
            </w:pPr>
            <w:r>
              <w:rPr>
                <w:rFonts w:eastAsia="仿宋_GB2312"/>
                <w:sz w:val="21"/>
                <w:szCs w:val="21"/>
              </w:rPr>
              <w:t>0.68</w:t>
            </w:r>
          </w:p>
        </w:tc>
        <w:tc>
          <w:tcPr>
            <w:tcW w:w="417" w:type="pct"/>
            <w:vMerge w:val="continue"/>
            <w:vAlign w:val="center"/>
          </w:tcPr>
          <w:p>
            <w:pPr>
              <w:widowControl/>
              <w:topLinePunct w:val="0"/>
              <w:adjustRightInd/>
              <w:snapToGrid/>
              <w:spacing w:line="240" w:lineRule="auto"/>
              <w:ind w:firstLine="0" w:firstLineChars="0"/>
              <w:jc w:val="center"/>
              <w:rPr>
                <w:rFonts w:eastAsia="仿宋_GB2312"/>
                <w:sz w:val="21"/>
                <w:szCs w:val="21"/>
              </w:rPr>
            </w:pPr>
          </w:p>
        </w:tc>
        <w:tc>
          <w:tcPr>
            <w:tcW w:w="445" w:type="pct"/>
            <w:vMerge w:val="continue"/>
            <w:vAlign w:val="center"/>
          </w:tcPr>
          <w:p>
            <w:pPr>
              <w:widowControl/>
              <w:topLinePunct w:val="0"/>
              <w:adjustRightInd/>
              <w:snapToGrid/>
              <w:spacing w:line="240" w:lineRule="auto"/>
              <w:ind w:firstLine="0" w:firstLineChars="0"/>
              <w:jc w:val="center"/>
              <w:rPr>
                <w:rFonts w:eastAsia="仿宋_GB2312"/>
                <w:sz w:val="21"/>
                <w:szCs w:val="21"/>
              </w:rPr>
            </w:pPr>
          </w:p>
        </w:tc>
      </w:tr>
    </w:tbl>
    <w:p>
      <w:pPr>
        <w:pStyle w:val="15"/>
        <w:spacing w:beforeLines="100"/>
        <w:ind w:firstLine="480"/>
        <w:rPr>
          <w:rFonts w:eastAsia="仿宋_GB2312"/>
        </w:rPr>
      </w:pPr>
      <w:r>
        <w:rPr>
          <w:rFonts w:eastAsia="仿宋_GB2312"/>
        </w:rPr>
        <w:t>经初步计算，水土保持措施实施后，工程区内水土流失治理度达到</w:t>
      </w:r>
      <w:r>
        <w:rPr>
          <w:rFonts w:hint="eastAsia" w:eastAsia="仿宋_GB2312"/>
        </w:rPr>
        <w:t>98.91</w:t>
      </w:r>
      <w:r>
        <w:rPr>
          <w:rFonts w:eastAsia="仿宋_GB2312"/>
        </w:rPr>
        <w:t>%，土壤流失控制比达到1.0，渣土防护</w:t>
      </w:r>
      <w:r>
        <w:rPr>
          <w:rFonts w:hint="eastAsia" w:eastAsia="仿宋_GB2312"/>
        </w:rPr>
        <w:t>率</w:t>
      </w:r>
      <w:r>
        <w:rPr>
          <w:rFonts w:eastAsia="仿宋_GB2312"/>
        </w:rPr>
        <w:t>达到</w:t>
      </w:r>
      <w:r>
        <w:rPr>
          <w:rFonts w:hint="eastAsia" w:eastAsia="仿宋_GB2312"/>
        </w:rPr>
        <w:t>97.06</w:t>
      </w:r>
      <w:r>
        <w:rPr>
          <w:rFonts w:eastAsia="仿宋_GB2312"/>
        </w:rPr>
        <w:t>%，</w:t>
      </w:r>
      <w:r>
        <w:rPr>
          <w:rFonts w:hint="eastAsia" w:eastAsia="仿宋_GB2312"/>
        </w:rPr>
        <w:t>林草植被恢复率、林草覆盖率、</w:t>
      </w:r>
      <w:r>
        <w:rPr>
          <w:rFonts w:eastAsia="仿宋_GB2312"/>
        </w:rPr>
        <w:t>表土保护率不作要求</w:t>
      </w:r>
      <w:r>
        <w:rPr>
          <w:rFonts w:hint="eastAsia" w:eastAsia="仿宋_GB2312"/>
        </w:rPr>
        <w:t>。</w:t>
      </w:r>
    </w:p>
    <w:p>
      <w:pPr>
        <w:pStyle w:val="4"/>
        <w:keepLines/>
        <w:widowControl/>
        <w:numPr>
          <w:ilvl w:val="2"/>
          <w:numId w:val="1"/>
        </w:numPr>
        <w:tabs>
          <w:tab w:val="clear" w:pos="432"/>
          <w:tab w:val="clear" w:pos="960"/>
        </w:tabs>
        <w:kinsoku/>
        <w:overflowPunct/>
        <w:topLinePunct w:val="0"/>
        <w:autoSpaceDE/>
        <w:autoSpaceDN/>
        <w:adjustRightInd/>
        <w:snapToGrid/>
        <w:ind w:left="0" w:firstLine="0"/>
        <w:jc w:val="both"/>
        <w:rPr>
          <w:rFonts w:eastAsia="仿宋_GB2312"/>
        </w:rPr>
      </w:pPr>
      <w:r>
        <w:rPr>
          <w:rFonts w:hint="eastAsia" w:eastAsia="仿宋_GB2312"/>
        </w:rPr>
        <w:t>综合效益分析</w:t>
      </w:r>
    </w:p>
    <w:p>
      <w:pPr>
        <w:pStyle w:val="15"/>
        <w:ind w:firstLine="480"/>
        <w:rPr>
          <w:rFonts w:eastAsia="仿宋_GB2312"/>
        </w:rPr>
      </w:pPr>
      <w:r>
        <w:rPr>
          <w:rFonts w:eastAsia="仿宋_GB2312"/>
        </w:rPr>
        <w:t>（1）水土保持效益</w:t>
      </w:r>
    </w:p>
    <w:p>
      <w:pPr>
        <w:pStyle w:val="15"/>
        <w:ind w:firstLine="480"/>
        <w:rPr>
          <w:rFonts w:eastAsia="仿宋_GB2312"/>
        </w:rPr>
      </w:pPr>
      <w:r>
        <w:rPr>
          <w:rFonts w:hint="eastAsia" w:ascii="宋体" w:hAnsi="宋体" w:eastAsia="宋体" w:cs="宋体"/>
        </w:rPr>
        <w:t>①</w:t>
      </w:r>
      <w:r>
        <w:rPr>
          <w:rFonts w:eastAsia="仿宋_GB2312"/>
        </w:rPr>
        <w:t>治理后及新增水土流失有效控制率</w:t>
      </w:r>
    </w:p>
    <w:p>
      <w:pPr>
        <w:pStyle w:val="15"/>
        <w:ind w:firstLine="480"/>
        <w:rPr>
          <w:rFonts w:eastAsia="仿宋_GB2312"/>
        </w:rPr>
      </w:pPr>
      <w:r>
        <w:rPr>
          <w:rFonts w:eastAsia="仿宋_GB2312"/>
        </w:rPr>
        <w:t>通过本水保方案实施后，项目建设区内水土流失得到基本治理，可治理水土流失面积为</w:t>
      </w:r>
      <w:r>
        <w:rPr>
          <w:rFonts w:hint="eastAsia" w:eastAsia="仿宋_GB2312"/>
        </w:rPr>
        <w:t>1.82h</w:t>
      </w:r>
      <w:r>
        <w:rPr>
          <w:rFonts w:eastAsia="仿宋_GB2312"/>
        </w:rPr>
        <w:t>m</w:t>
      </w:r>
      <w:r>
        <w:rPr>
          <w:rFonts w:eastAsia="仿宋_GB2312"/>
          <w:vertAlign w:val="superscript"/>
        </w:rPr>
        <w:t>2</w:t>
      </w:r>
      <w:r>
        <w:rPr>
          <w:rFonts w:eastAsia="仿宋_GB2312"/>
        </w:rPr>
        <w:t>，使工程区内水土流失治理度达到了</w:t>
      </w:r>
      <w:r>
        <w:rPr>
          <w:rFonts w:hint="eastAsia" w:eastAsia="仿宋_GB2312"/>
        </w:rPr>
        <w:t>98.91</w:t>
      </w:r>
      <w:r>
        <w:rPr>
          <w:rFonts w:eastAsia="仿宋_GB2312"/>
        </w:rPr>
        <w:t>%。</w:t>
      </w:r>
    </w:p>
    <w:p>
      <w:pPr>
        <w:pStyle w:val="15"/>
        <w:ind w:firstLine="480"/>
        <w:rPr>
          <w:rFonts w:eastAsia="仿宋_GB2312"/>
        </w:rPr>
      </w:pPr>
      <w:r>
        <w:rPr>
          <w:rFonts w:hint="eastAsia" w:ascii="宋体" w:hAnsi="宋体" w:eastAsia="宋体" w:cs="宋体"/>
        </w:rPr>
        <w:t>②</w:t>
      </w:r>
      <w:r>
        <w:rPr>
          <w:rFonts w:eastAsia="仿宋_GB2312"/>
        </w:rPr>
        <w:t>保土效益</w:t>
      </w:r>
    </w:p>
    <w:p>
      <w:pPr>
        <w:pStyle w:val="15"/>
        <w:ind w:firstLine="480"/>
        <w:rPr>
          <w:rFonts w:eastAsia="仿宋_GB2312"/>
        </w:rPr>
      </w:pPr>
      <w:r>
        <w:rPr>
          <w:rFonts w:eastAsia="仿宋_GB2312"/>
        </w:rPr>
        <w:t>根据水土流失预测可知，本工程建设区损坏水保设施面积</w:t>
      </w:r>
      <w:r>
        <w:rPr>
          <w:rFonts w:hint="eastAsia" w:eastAsia="仿宋_GB2312"/>
        </w:rPr>
        <w:t>1.84h</w:t>
      </w:r>
      <w:r>
        <w:rPr>
          <w:rFonts w:eastAsia="仿宋_GB2312"/>
        </w:rPr>
        <w:t>m</w:t>
      </w:r>
      <w:r>
        <w:rPr>
          <w:rFonts w:eastAsia="仿宋_GB2312"/>
          <w:vertAlign w:val="superscript"/>
        </w:rPr>
        <w:t>2</w:t>
      </w:r>
      <w:r>
        <w:rPr>
          <w:rFonts w:eastAsia="仿宋_GB2312"/>
        </w:rPr>
        <w:t>，在没有任何水土保持措施的情况下，工程建设水土流失总量</w:t>
      </w:r>
      <w:r>
        <w:rPr>
          <w:rFonts w:hint="eastAsia" w:eastAsia="仿宋_GB2312"/>
        </w:rPr>
        <w:t>96</w:t>
      </w:r>
      <w:r>
        <w:rPr>
          <w:rFonts w:eastAsia="仿宋_GB2312"/>
        </w:rPr>
        <w:t>t，工程施工中破坏的原地貌通过采取水土保持措施后，大部分区域得以恢复。</w:t>
      </w:r>
    </w:p>
    <w:p>
      <w:pPr>
        <w:pStyle w:val="15"/>
        <w:ind w:firstLine="480"/>
        <w:rPr>
          <w:rFonts w:eastAsia="仿宋_GB2312"/>
        </w:rPr>
      </w:pPr>
      <w:r>
        <w:rPr>
          <w:rFonts w:eastAsia="仿宋_GB2312"/>
        </w:rPr>
        <w:t>（2）生态效益</w:t>
      </w:r>
    </w:p>
    <w:p>
      <w:pPr>
        <w:pStyle w:val="15"/>
        <w:ind w:firstLine="480"/>
        <w:rPr>
          <w:rFonts w:eastAsia="仿宋_GB2312"/>
        </w:rPr>
      </w:pPr>
      <w:r>
        <w:rPr>
          <w:rFonts w:eastAsia="仿宋_GB2312"/>
        </w:rPr>
        <w:t>经预测分析表明，水土保持措施实施后，防治责任范围内易发生水土流失的区域得到治理，原有水土流失程度得到有效控制，因工程建设而产生的弃渣也将得到有效防护，减轻因工程建设等人为活动对自然环境的破坏，为恢复和改善区域生态环境创造有利条件。</w:t>
      </w:r>
    </w:p>
    <w:p>
      <w:pPr>
        <w:pStyle w:val="15"/>
        <w:ind w:firstLine="480"/>
        <w:rPr>
          <w:rFonts w:eastAsia="仿宋_GB2312"/>
        </w:rPr>
      </w:pPr>
      <w:r>
        <w:rPr>
          <w:rFonts w:eastAsia="仿宋_GB2312"/>
        </w:rPr>
        <w:t>（3）社会效益</w:t>
      </w:r>
    </w:p>
    <w:p>
      <w:pPr>
        <w:pStyle w:val="15"/>
        <w:ind w:firstLine="480"/>
        <w:sectPr>
          <w:pgSz w:w="11906" w:h="16838"/>
          <w:pgMar w:top="1440" w:right="1800" w:bottom="1440" w:left="1800" w:header="851" w:footer="992" w:gutter="0"/>
          <w:cols w:space="720" w:num="1"/>
          <w:docGrid w:linePitch="326" w:charSpace="0"/>
        </w:sectPr>
      </w:pPr>
      <w:r>
        <w:rPr>
          <w:rFonts w:eastAsia="仿宋_GB2312"/>
        </w:rPr>
        <w:t>随着本项目水土保持措施的全方位实施，不仅使项目区内的水土流失得到有效控制，项目区生态环境得到改善，而且有利于促进土地利用结构调整，适应社会经济发展的需要。提高环境容量，促进实施区经济的可持续发展。随着生态环境的改善、经济的持续增长，本项目可促进社会进步、稳定生产，对于建立安定团结的社会局面具有重要的意义。</w:t>
      </w:r>
      <w:bookmarkStart w:id="324" w:name="_Toc211401615"/>
      <w:bookmarkStart w:id="325" w:name="_Toc255304643"/>
    </w:p>
    <w:bookmarkEnd w:id="324"/>
    <w:bookmarkEnd w:id="325"/>
    <w:p>
      <w:pPr>
        <w:pStyle w:val="50"/>
        <w:widowControl/>
        <w:numPr>
          <w:ilvl w:val="0"/>
          <w:numId w:val="1"/>
        </w:numPr>
        <w:tabs>
          <w:tab w:val="clear" w:pos="432"/>
        </w:tabs>
        <w:spacing w:beforeLines="100" w:afterLines="100"/>
        <w:rPr>
          <w:rFonts w:eastAsia="仿宋_GB2312"/>
          <w:sz w:val="32"/>
          <w:szCs w:val="32"/>
        </w:rPr>
      </w:pPr>
      <w:bookmarkStart w:id="326" w:name="_Toc7801578"/>
      <w:bookmarkStart w:id="327" w:name="_Toc47381553"/>
      <w:bookmarkStart w:id="328" w:name="_Toc7801485"/>
      <w:bookmarkStart w:id="329" w:name="_Toc7801418"/>
      <w:r>
        <w:rPr>
          <w:rFonts w:eastAsia="仿宋_GB2312"/>
          <w:sz w:val="32"/>
          <w:szCs w:val="32"/>
        </w:rPr>
        <w:t>水土保持管理</w:t>
      </w:r>
      <w:bookmarkEnd w:id="326"/>
      <w:bookmarkEnd w:id="327"/>
      <w:bookmarkEnd w:id="328"/>
      <w:bookmarkEnd w:id="329"/>
    </w:p>
    <w:p>
      <w:pPr>
        <w:pStyle w:val="15"/>
        <w:ind w:firstLine="480"/>
        <w:rPr>
          <w:rFonts w:eastAsia="仿宋_GB2312"/>
        </w:rPr>
      </w:pPr>
      <w:r>
        <w:rPr>
          <w:rFonts w:hint="eastAsia" w:eastAsia="仿宋_GB2312"/>
        </w:rPr>
        <w:t>为贯彻落实《中华人民共和国水土保持法》、《中华人民共和国水土保持法实施条例》和国家计委、水利部、国家环保局发布的《开发建设项目水土保持方案管理办法》，确保水土保持方案落到实处，在本方案实施过程中，项目建设单位应切实做好水土保持工程的招投标工作，落实工程的设计、施工、监理、监测工作，要求项目施工单位具有相应的专业资质，尤其要注意在承包合同中明确水土流失防治责任，并依法成立水土保持方案实施领导小组，配合水行政主管部门做好水土保持工程的竣工验收工作。</w:t>
      </w:r>
    </w:p>
    <w:p>
      <w:pPr>
        <w:pStyle w:val="3"/>
        <w:widowControl/>
        <w:numPr>
          <w:ilvl w:val="1"/>
          <w:numId w:val="1"/>
        </w:numPr>
        <w:tabs>
          <w:tab w:val="clear" w:pos="1002"/>
        </w:tabs>
        <w:topLinePunct w:val="0"/>
        <w:adjustRightInd/>
        <w:snapToGrid/>
        <w:ind w:left="0" w:firstLine="0"/>
        <w:jc w:val="both"/>
        <w:rPr>
          <w:rFonts w:eastAsia="仿宋_GB2312"/>
        </w:rPr>
      </w:pPr>
      <w:bookmarkStart w:id="330" w:name="_Toc47381554"/>
      <w:bookmarkStart w:id="331" w:name="_Toc7801419"/>
      <w:bookmarkStart w:id="332" w:name="_Toc7801579"/>
      <w:bookmarkStart w:id="333" w:name="_Toc7801486"/>
      <w:bookmarkStart w:id="334" w:name="_Toc255304645"/>
      <w:bookmarkStart w:id="335" w:name="_Toc178850616"/>
      <w:bookmarkStart w:id="336" w:name="_Toc211401617"/>
      <w:r>
        <w:rPr>
          <w:rFonts w:eastAsia="仿宋_GB2312"/>
        </w:rPr>
        <w:t>组织管理</w:t>
      </w:r>
      <w:bookmarkEnd w:id="330"/>
      <w:bookmarkEnd w:id="331"/>
      <w:bookmarkEnd w:id="332"/>
      <w:bookmarkEnd w:id="333"/>
    </w:p>
    <w:p>
      <w:pPr>
        <w:pStyle w:val="15"/>
        <w:ind w:firstLine="480"/>
        <w:rPr>
          <w:rFonts w:eastAsia="仿宋_GB2312"/>
          <w:b/>
        </w:rPr>
      </w:pPr>
      <w:r>
        <w:rPr>
          <w:rFonts w:eastAsia="仿宋_GB2312"/>
          <w:b/>
        </w:rPr>
        <w:t>1、</w:t>
      </w:r>
      <w:r>
        <w:rPr>
          <w:rFonts w:hint="eastAsia" w:eastAsia="仿宋_GB2312"/>
          <w:b/>
        </w:rPr>
        <w:t>组织机构与人员</w:t>
      </w:r>
    </w:p>
    <w:p>
      <w:pPr>
        <w:pStyle w:val="15"/>
        <w:ind w:firstLine="480"/>
        <w:rPr>
          <w:rFonts w:eastAsia="仿宋_GB2312"/>
        </w:rPr>
      </w:pPr>
      <w:r>
        <w:rPr>
          <w:rFonts w:hint="eastAsia" w:eastAsia="仿宋_GB2312"/>
        </w:rPr>
        <w:t>本项目应成立</w:t>
      </w:r>
      <w:r>
        <w:rPr>
          <w:rFonts w:eastAsia="仿宋_GB2312"/>
        </w:rPr>
        <w:t>“</w:t>
      </w:r>
      <w:r>
        <w:rPr>
          <w:rFonts w:hint="eastAsia" w:eastAsia="仿宋_GB2312"/>
        </w:rPr>
        <w:t>第十四师224团小区给水管网改造项目水土保持方案</w:t>
      </w:r>
      <w:r>
        <w:rPr>
          <w:rFonts w:eastAsia="仿宋_GB2312"/>
        </w:rPr>
        <w:t>”</w:t>
      </w:r>
      <w:r>
        <w:rPr>
          <w:rFonts w:hint="eastAsia" w:eastAsia="仿宋_GB2312"/>
        </w:rPr>
        <w:t>实施机构，由专人负责水土保持工作的组织、管理和落实。方案实施机构负责协调水土保持方案与主体工程的关系，统一领导，规范施工，制定方案实施的目标责任制，提出方案的实施、检查、验收方法和要求，严格按照设计要求与标准组织施工。</w:t>
      </w:r>
    </w:p>
    <w:p>
      <w:pPr>
        <w:pStyle w:val="15"/>
        <w:ind w:firstLine="480"/>
        <w:rPr>
          <w:rFonts w:eastAsia="仿宋_GB2312"/>
          <w:b/>
        </w:rPr>
      </w:pPr>
      <w:r>
        <w:rPr>
          <w:rFonts w:eastAsia="仿宋_GB2312"/>
          <w:b/>
        </w:rPr>
        <w:t>2、</w:t>
      </w:r>
      <w:r>
        <w:rPr>
          <w:rFonts w:hint="eastAsia" w:eastAsia="仿宋_GB2312"/>
          <w:b/>
        </w:rPr>
        <w:t>组织管理</w:t>
      </w:r>
    </w:p>
    <w:p>
      <w:pPr>
        <w:pStyle w:val="15"/>
        <w:ind w:firstLine="480"/>
        <w:rPr>
          <w:rFonts w:eastAsia="仿宋_GB2312"/>
          <w:color w:val="000000"/>
        </w:rPr>
      </w:pPr>
      <w:r>
        <w:rPr>
          <w:rFonts w:hint="eastAsia" w:eastAsia="仿宋_GB2312"/>
          <w:color w:val="000000"/>
        </w:rPr>
        <w:t>建设单位在工程设计施工管理和质量保障体系中充分考虑水土保持设计、施工和质量保障的要求。在工程设计与施工的招标投标书、承发包书中每一标段的水土保持工程应至少作为一个完整的分部工程，有关合同条款中应明确设计单位、施工单位、监理单位水土流失防治责任、义务，并制定相应奖惩制度。同时，加强对施工技术人员水土保持法律、法规的宣传工作，提高其水土保持法律意识。</w:t>
      </w:r>
    </w:p>
    <w:p>
      <w:pPr>
        <w:pStyle w:val="15"/>
        <w:ind w:firstLine="480"/>
        <w:rPr>
          <w:rFonts w:eastAsia="仿宋_GB2312"/>
          <w:color w:val="000000"/>
        </w:rPr>
      </w:pPr>
      <w:r>
        <w:rPr>
          <w:rFonts w:hint="eastAsia" w:eastAsia="仿宋_GB2312"/>
          <w:color w:val="000000"/>
        </w:rPr>
        <w:t>自觉接受水行政主管部门的监督检查，与当地水行政主管部门保持密切联系，工程开工前向当地水行政主管部门或者有关流域管理机构书面报告开工信息。开工信息主要包括：项目名称、开工时间、施工期、建设单位及联系人、联系方式、水土保持后续设计单位、水土保持施工单位、水土保持监测单位、水土保持监理单位、水土保持补偿费缴纳情况等。</w:t>
      </w:r>
    </w:p>
    <w:p>
      <w:pPr>
        <w:pStyle w:val="15"/>
        <w:ind w:firstLine="480"/>
        <w:rPr>
          <w:rFonts w:eastAsia="仿宋_GB2312"/>
          <w:color w:val="000000"/>
        </w:rPr>
      </w:pPr>
      <w:r>
        <w:rPr>
          <w:rFonts w:hint="eastAsia" w:eastAsia="仿宋_GB2312"/>
          <w:color w:val="000000"/>
        </w:rPr>
        <w:t>建立健全水土保持规章制度，做好水土保持施工记录和其它资料</w:t>
      </w:r>
      <w:r>
        <w:rPr>
          <w:rFonts w:eastAsia="仿宋_GB2312"/>
          <w:color w:val="000000"/>
        </w:rPr>
        <w:t>(</w:t>
      </w:r>
      <w:r>
        <w:rPr>
          <w:rFonts w:hint="eastAsia" w:eastAsia="仿宋_GB2312"/>
          <w:color w:val="000000"/>
        </w:rPr>
        <w:t>如临时措施的影像资料、照片等</w:t>
      </w:r>
      <w:r>
        <w:rPr>
          <w:rFonts w:eastAsia="仿宋_GB2312"/>
          <w:color w:val="000000"/>
        </w:rPr>
        <w:t>)</w:t>
      </w:r>
      <w:r>
        <w:rPr>
          <w:rFonts w:hint="eastAsia" w:eastAsia="仿宋_GB2312"/>
          <w:color w:val="000000"/>
        </w:rPr>
        <w:t>的管理、存档，以备监督检查和验收时查阅。</w:t>
      </w:r>
    </w:p>
    <w:p>
      <w:pPr>
        <w:pStyle w:val="3"/>
        <w:widowControl/>
        <w:numPr>
          <w:ilvl w:val="1"/>
          <w:numId w:val="1"/>
        </w:numPr>
        <w:tabs>
          <w:tab w:val="clear" w:pos="1002"/>
        </w:tabs>
        <w:topLinePunct w:val="0"/>
        <w:adjustRightInd/>
        <w:snapToGrid/>
        <w:ind w:left="0" w:firstLine="0"/>
        <w:jc w:val="both"/>
        <w:rPr>
          <w:rFonts w:eastAsia="仿宋_GB2312"/>
        </w:rPr>
      </w:pPr>
      <w:bookmarkStart w:id="337" w:name="_Toc7801487"/>
      <w:bookmarkStart w:id="338" w:name="_Toc7801580"/>
      <w:bookmarkStart w:id="339" w:name="_Toc7801420"/>
      <w:bookmarkStart w:id="340" w:name="_Toc455747798"/>
      <w:bookmarkStart w:id="341" w:name="_Toc47381555"/>
      <w:r>
        <w:rPr>
          <w:rFonts w:eastAsia="仿宋_GB2312"/>
        </w:rPr>
        <w:t>后续设计</w:t>
      </w:r>
      <w:bookmarkEnd w:id="337"/>
      <w:bookmarkEnd w:id="338"/>
      <w:bookmarkEnd w:id="339"/>
      <w:bookmarkEnd w:id="340"/>
      <w:bookmarkEnd w:id="341"/>
    </w:p>
    <w:p>
      <w:pPr>
        <w:pStyle w:val="15"/>
        <w:ind w:firstLine="480"/>
        <w:rPr>
          <w:rFonts w:ascii="仿宋_GB2312" w:eastAsia="仿宋_GB2312"/>
          <w:color w:val="000000"/>
        </w:rPr>
      </w:pPr>
      <w:r>
        <w:rPr>
          <w:rFonts w:hint="eastAsia" w:ascii="仿宋_GB2312" w:eastAsia="仿宋_GB2312"/>
          <w:color w:val="000000"/>
        </w:rPr>
        <w:t>水土保持方案批复后，将方案制订的防治措施纳入主体工程施工图中，以便水土保持措施能按详细的设计要求顺利实施。</w:t>
      </w:r>
    </w:p>
    <w:p>
      <w:pPr>
        <w:pStyle w:val="15"/>
        <w:ind w:firstLine="480"/>
        <w:rPr>
          <w:rFonts w:eastAsia="仿宋_GB2312"/>
        </w:rPr>
      </w:pPr>
      <w:r>
        <w:rPr>
          <w:rFonts w:hint="eastAsia" w:eastAsia="仿宋_GB2312"/>
        </w:rPr>
        <w:t>第十四师224团小区给水管网改造项目</w:t>
      </w:r>
      <w:r>
        <w:rPr>
          <w:rFonts w:hint="eastAsia" w:ascii="仿宋_GB2312" w:eastAsia="仿宋_GB2312"/>
          <w:color w:val="000000"/>
        </w:rPr>
        <w:t>实施过程中，若出现因主体工程施工布置、施工工艺以及施工占地面积变化而导致水土保持防治措施的数量、类型等发生重大变化的情况，建设单位需委托相关设计单位编制该工程的水土保持设计变更报告书，并上报原水土保持方案报告书审批机关进行审查</w:t>
      </w:r>
      <w:r>
        <w:rPr>
          <w:rFonts w:hint="eastAsia" w:eastAsia="仿宋_GB2312"/>
        </w:rPr>
        <w:t>。</w:t>
      </w:r>
    </w:p>
    <w:p>
      <w:pPr>
        <w:pStyle w:val="3"/>
        <w:widowControl/>
        <w:numPr>
          <w:ilvl w:val="1"/>
          <w:numId w:val="1"/>
        </w:numPr>
        <w:tabs>
          <w:tab w:val="clear" w:pos="1002"/>
        </w:tabs>
        <w:topLinePunct w:val="0"/>
        <w:adjustRightInd/>
        <w:snapToGrid/>
        <w:ind w:left="0" w:firstLine="0"/>
        <w:jc w:val="both"/>
        <w:rPr>
          <w:rFonts w:eastAsia="仿宋_GB2312"/>
        </w:rPr>
      </w:pPr>
      <w:bookmarkStart w:id="342" w:name="_Toc7801421"/>
      <w:bookmarkStart w:id="343" w:name="_Toc7801488"/>
      <w:bookmarkStart w:id="344" w:name="_Toc47381556"/>
      <w:bookmarkStart w:id="345" w:name="_Toc7801581"/>
      <w:bookmarkStart w:id="346" w:name="_Toc452729622"/>
      <w:r>
        <w:rPr>
          <w:rFonts w:eastAsia="仿宋_GB2312"/>
        </w:rPr>
        <w:t>水土保持监测</w:t>
      </w:r>
      <w:bookmarkEnd w:id="342"/>
      <w:bookmarkEnd w:id="343"/>
      <w:bookmarkEnd w:id="344"/>
      <w:bookmarkEnd w:id="345"/>
    </w:p>
    <w:p>
      <w:pPr>
        <w:pStyle w:val="15"/>
        <w:ind w:firstLine="480"/>
        <w:rPr>
          <w:rFonts w:eastAsia="仿宋_GB2312"/>
        </w:rPr>
      </w:pPr>
      <w:r>
        <w:rPr>
          <w:rFonts w:ascii="仿宋_GB2312" w:eastAsia="仿宋_GB2312"/>
          <w:kern w:val="10"/>
        </w:rPr>
        <w:t>根据《新疆生产建设兵团实施</w:t>
      </w:r>
      <w:r>
        <w:rPr>
          <w:rFonts w:eastAsia="仿宋_GB2312"/>
          <w:kern w:val="10"/>
        </w:rPr>
        <w:t>&lt;</w:t>
      </w:r>
      <w:r>
        <w:rPr>
          <w:rFonts w:ascii="仿宋_GB2312" w:eastAsia="仿宋_GB2312"/>
          <w:kern w:val="10"/>
        </w:rPr>
        <w:t>中华人民共和国水土保持法</w:t>
      </w:r>
      <w:r>
        <w:rPr>
          <w:rFonts w:eastAsia="仿宋_GB2312"/>
          <w:kern w:val="10"/>
        </w:rPr>
        <w:t>&gt;</w:t>
      </w:r>
      <w:r>
        <w:rPr>
          <w:rFonts w:ascii="仿宋_GB2312" w:eastAsia="仿宋_GB2312"/>
          <w:kern w:val="10"/>
        </w:rPr>
        <w:t>办法》和《</w:t>
      </w:r>
      <w:r>
        <w:rPr>
          <w:rFonts w:ascii="仿宋_GB2312" w:eastAsia="仿宋_GB2312"/>
          <w:color w:val="000000"/>
        </w:rPr>
        <w:t>新疆生产建设兵团生产建设项目水土保持方案管理办法</w:t>
      </w:r>
      <w:r>
        <w:rPr>
          <w:rFonts w:ascii="仿宋_GB2312" w:eastAsia="仿宋_GB2312"/>
          <w:kern w:val="10"/>
        </w:rPr>
        <w:t>》，</w:t>
      </w:r>
      <w:r>
        <w:rPr>
          <w:rFonts w:ascii="仿宋_GB2312" w:eastAsia="仿宋_GB2312"/>
        </w:rPr>
        <w:t>本项目</w:t>
      </w:r>
      <w:r>
        <w:rPr>
          <w:rFonts w:ascii="仿宋_GB2312" w:eastAsia="仿宋_GB2312"/>
          <w:kern w:val="10"/>
        </w:rPr>
        <w:t>水土保持方案报告表对水土保持监测不做具体要求</w:t>
      </w:r>
      <w:r>
        <w:rPr>
          <w:rFonts w:ascii="仿宋_GB2312" w:eastAsia="仿宋_GB2312"/>
        </w:rPr>
        <w:t>。</w:t>
      </w:r>
    </w:p>
    <w:p>
      <w:pPr>
        <w:pStyle w:val="3"/>
        <w:widowControl/>
        <w:numPr>
          <w:ilvl w:val="1"/>
          <w:numId w:val="1"/>
        </w:numPr>
        <w:tabs>
          <w:tab w:val="clear" w:pos="1002"/>
        </w:tabs>
        <w:topLinePunct w:val="0"/>
        <w:adjustRightInd/>
        <w:snapToGrid/>
        <w:ind w:left="0" w:firstLine="0"/>
        <w:jc w:val="both"/>
        <w:rPr>
          <w:rFonts w:eastAsia="仿宋_GB2312"/>
        </w:rPr>
      </w:pPr>
      <w:bookmarkStart w:id="347" w:name="_Toc7801582"/>
      <w:bookmarkStart w:id="348" w:name="_Toc7801422"/>
      <w:bookmarkStart w:id="349" w:name="_Toc7801489"/>
      <w:bookmarkStart w:id="350" w:name="_Toc47381557"/>
      <w:r>
        <w:rPr>
          <w:rFonts w:eastAsia="仿宋_GB2312"/>
        </w:rPr>
        <w:t>水土保持监理</w:t>
      </w:r>
      <w:bookmarkEnd w:id="346"/>
      <w:bookmarkEnd w:id="347"/>
      <w:bookmarkEnd w:id="348"/>
      <w:bookmarkEnd w:id="349"/>
      <w:bookmarkEnd w:id="350"/>
    </w:p>
    <w:p>
      <w:pPr>
        <w:pStyle w:val="15"/>
        <w:ind w:firstLine="480"/>
        <w:rPr>
          <w:rFonts w:eastAsia="仿宋_GB2312"/>
        </w:rPr>
      </w:pPr>
      <w:bookmarkStart w:id="351" w:name="_Toc452729623"/>
      <w:r>
        <w:rPr>
          <w:rFonts w:eastAsia="仿宋_GB2312"/>
        </w:rPr>
        <w:t>建设单位应落实并做好水土保持监理工作，对水土保持工程从质量、进度和投资等方面实行全方位、全过程控制，切实把水土保持方案落到实处。</w:t>
      </w:r>
    </w:p>
    <w:p>
      <w:pPr>
        <w:pStyle w:val="15"/>
        <w:ind w:firstLine="480"/>
        <w:rPr>
          <w:rFonts w:eastAsia="仿宋_GB2312"/>
        </w:rPr>
      </w:pPr>
      <w:r>
        <w:rPr>
          <w:rFonts w:eastAsia="仿宋_GB2312"/>
        </w:rPr>
        <w:t>根据水保〔20</w:t>
      </w:r>
      <w:r>
        <w:rPr>
          <w:rFonts w:hint="eastAsia" w:eastAsia="仿宋_GB2312"/>
        </w:rPr>
        <w:t>19</w:t>
      </w:r>
      <w:r>
        <w:rPr>
          <w:rFonts w:eastAsia="仿宋_GB2312"/>
        </w:rPr>
        <w:t>〕</w:t>
      </w:r>
      <w:r>
        <w:rPr>
          <w:rFonts w:hint="eastAsia" w:eastAsia="仿宋_GB2312"/>
        </w:rPr>
        <w:t>160</w:t>
      </w:r>
      <w:r>
        <w:rPr>
          <w:rFonts w:eastAsia="仿宋_GB2312"/>
        </w:rPr>
        <w:t>号《</w:t>
      </w:r>
      <w:r>
        <w:rPr>
          <w:rFonts w:hint="eastAsia" w:eastAsia="仿宋_GB2312"/>
        </w:rPr>
        <w:t>水利部关于进一步深化“放管服”改革全面加强水土保持监管的意见</w:t>
      </w:r>
      <w:r>
        <w:rPr>
          <w:rFonts w:eastAsia="仿宋_GB2312"/>
        </w:rPr>
        <w:t>》的要求，</w:t>
      </w:r>
      <w:r>
        <w:rPr>
          <w:rFonts w:hint="eastAsia" w:eastAsia="仿宋_GB2312"/>
        </w:rPr>
        <w:t>凡主体工程开展监理工作的项目，应当按照水土保持监理标准和规范开展水土保持工程施工监理。其中，征占地面积在20公顷以上或挖填方在20万立方米以上的项目，应当配备具有水土保持专业监理资格的工程师；征占地面积在200公顷以上或者挖填土石方总量在200万立方米以上的项目，应当由具有水土保持工程施工监理专业资质的单位承担监理任务。</w:t>
      </w:r>
    </w:p>
    <w:p>
      <w:pPr>
        <w:pStyle w:val="15"/>
        <w:ind w:firstLine="480"/>
        <w:rPr>
          <w:rFonts w:eastAsia="仿宋_GB2312"/>
        </w:rPr>
      </w:pPr>
      <w:r>
        <w:rPr>
          <w:rFonts w:eastAsia="仿宋_GB2312"/>
        </w:rPr>
        <w:t>本项目水土保持方案经批准后，为确保方案如期实施和方案实施质量，将实行工程监理制，并接受各级水行政主管部门的监督和检查。水土保持监理单位要对水土保持方案的落实情况进行验收，确保水土保持各项措施的数量和质量，监理单位定期向建设单位提交水土保持工程监理报告。水土保持监理单位应收集施工过程的影像资料，作为备查和自验报告的依据。</w:t>
      </w:r>
    </w:p>
    <w:p>
      <w:pPr>
        <w:ind w:firstLine="480"/>
        <w:rPr>
          <w:rFonts w:eastAsia="仿宋_GB2312"/>
        </w:rPr>
      </w:pPr>
      <w:r>
        <w:rPr>
          <w:rFonts w:eastAsia="仿宋_GB2312"/>
        </w:rPr>
        <w:t>应在开工前及时委托水土保持监理单位开展本工程的水土保持监理工作。</w:t>
      </w:r>
    </w:p>
    <w:p>
      <w:pPr>
        <w:pStyle w:val="15"/>
        <w:ind w:firstLine="480"/>
        <w:rPr>
          <w:rFonts w:eastAsia="仿宋_GB2312"/>
        </w:rPr>
      </w:pPr>
      <w:r>
        <w:rPr>
          <w:rFonts w:eastAsia="仿宋_GB2312"/>
        </w:rPr>
        <w:t>水土保持监理单位在监理过程中，应对水土保持建设进行质量、进度和投资控制，建立施工过程中临时措施影像、照片等档案资料和质量评定的原始资料。承担水土保持工程监理工作的单位根据监理合同开展工作，并及时编制工程项目水土保持工程监理规划及实施细则，在施工建设各阶段随时进行质量监督。在监理过程中，将出现的问题及时向建设单位汇报，对水土保持设施的单元工程、分部工程、单位工程提出质量评定意见，并指导施工，接受当地水行政主管部门的监督检查，定期将监理成果向建设单位报告。</w:t>
      </w:r>
    </w:p>
    <w:p>
      <w:pPr>
        <w:pStyle w:val="3"/>
        <w:widowControl/>
        <w:numPr>
          <w:ilvl w:val="1"/>
          <w:numId w:val="1"/>
        </w:numPr>
        <w:tabs>
          <w:tab w:val="clear" w:pos="1002"/>
        </w:tabs>
        <w:topLinePunct w:val="0"/>
        <w:adjustRightInd/>
        <w:snapToGrid/>
        <w:ind w:left="0" w:firstLine="0"/>
        <w:jc w:val="both"/>
        <w:rPr>
          <w:rFonts w:eastAsia="仿宋_GB2312"/>
        </w:rPr>
      </w:pPr>
      <w:bookmarkStart w:id="352" w:name="_Toc452729621"/>
      <w:bookmarkStart w:id="353" w:name="_Toc7801423"/>
      <w:bookmarkStart w:id="354" w:name="_Toc7801490"/>
      <w:bookmarkStart w:id="355" w:name="_Toc47381558"/>
      <w:bookmarkStart w:id="356" w:name="_Toc7801583"/>
      <w:r>
        <w:rPr>
          <w:rFonts w:eastAsia="仿宋_GB2312"/>
        </w:rPr>
        <w:t>水土保持施工</w:t>
      </w:r>
      <w:bookmarkEnd w:id="352"/>
      <w:bookmarkEnd w:id="353"/>
      <w:bookmarkEnd w:id="354"/>
      <w:bookmarkEnd w:id="355"/>
      <w:bookmarkEnd w:id="356"/>
    </w:p>
    <w:bookmarkEnd w:id="351"/>
    <w:p>
      <w:pPr>
        <w:pStyle w:val="15"/>
        <w:ind w:firstLine="480"/>
        <w:rPr>
          <w:rFonts w:eastAsia="仿宋_GB2312"/>
        </w:rPr>
      </w:pPr>
      <w:bookmarkStart w:id="357" w:name="_Toc452729624"/>
      <w:r>
        <w:rPr>
          <w:rFonts w:eastAsia="仿宋_GB2312"/>
        </w:rPr>
        <w:t>严格控制施工扰动范围，禁止随意占压破坏地表植被。生产建设单位应当加强对施工单位的管理，在招投标文件和施工合同中明确施工单位的水土保持责任，强化奖惩制度，规范施工行为。</w:t>
      </w:r>
    </w:p>
    <w:p>
      <w:pPr>
        <w:pStyle w:val="15"/>
        <w:ind w:firstLine="480"/>
        <w:rPr>
          <w:rFonts w:eastAsia="仿宋_GB2312"/>
        </w:rPr>
      </w:pPr>
      <w:r>
        <w:rPr>
          <w:rFonts w:eastAsia="仿宋_GB2312"/>
        </w:rPr>
        <w:t>水土保持方案实施领导小组要配备具有水土保持专业素质的人员至少1名。在工程施工招标说明书中，应对施工单位的技术力量作出规定，施工单位除了具有一般工程技术人员负责水土保持工程措施的施工外，还应具有水土保持专业的工程技术人员，解决技术难题及现场指导施工。对施工单位组织《中华人民共和国水土保持法》学习、宣传工作，提高工程建设者的水土保持自觉行动意识，并接受当地水行政主管部门的监督检查。施工管理应满足下列要求：</w:t>
      </w:r>
    </w:p>
    <w:p>
      <w:pPr>
        <w:pStyle w:val="15"/>
        <w:ind w:firstLine="480"/>
        <w:rPr>
          <w:rFonts w:eastAsia="仿宋_GB2312"/>
        </w:rPr>
      </w:pPr>
      <w:r>
        <w:rPr>
          <w:rFonts w:eastAsia="仿宋_GB2312"/>
        </w:rPr>
        <w:t>(1) 施工期应首先制定严格的施工管理运行条例，运用管理措施减少地表的扰动面积；合理安排施工，缩短临时弃土、弃渣的堆置时间，尽量缩短松散土的暴露时间，降低产生水土流失的时段；</w:t>
      </w:r>
    </w:p>
    <w:p>
      <w:pPr>
        <w:pStyle w:val="15"/>
        <w:ind w:firstLine="480"/>
        <w:rPr>
          <w:rFonts w:eastAsia="仿宋_GB2312"/>
        </w:rPr>
      </w:pPr>
      <w:r>
        <w:rPr>
          <w:rFonts w:eastAsia="仿宋_GB2312"/>
        </w:rPr>
        <w:t>(2) 做好临时弃土、弃渣以及永久弃渣施工期间的临时防护，减少水土流失的发生；</w:t>
      </w:r>
    </w:p>
    <w:p>
      <w:pPr>
        <w:pStyle w:val="15"/>
        <w:ind w:firstLine="480"/>
        <w:rPr>
          <w:rFonts w:eastAsia="仿宋_GB2312"/>
        </w:rPr>
      </w:pPr>
      <w:r>
        <w:rPr>
          <w:rFonts w:eastAsia="仿宋_GB2312"/>
        </w:rPr>
        <w:t>(3) 施工期间车辆运输土石方，运输车辆的车厢应采取蓬布遮盖，减少风蚀；</w:t>
      </w:r>
    </w:p>
    <w:p>
      <w:pPr>
        <w:pStyle w:val="15"/>
        <w:ind w:firstLine="480"/>
        <w:rPr>
          <w:rFonts w:eastAsia="仿宋_GB2312"/>
        </w:rPr>
      </w:pPr>
      <w:r>
        <w:rPr>
          <w:rFonts w:eastAsia="仿宋_GB2312"/>
        </w:rPr>
        <w:t>(4) 大风或暴雨时应禁止在可能引发新的水土流失的区域或工作面施工。</w:t>
      </w:r>
    </w:p>
    <w:p>
      <w:pPr>
        <w:pStyle w:val="15"/>
        <w:ind w:firstLine="480"/>
        <w:rPr>
          <w:rFonts w:eastAsia="仿宋_GB2312"/>
        </w:rPr>
      </w:pPr>
      <w:r>
        <w:rPr>
          <w:rFonts w:eastAsia="仿宋_GB2312"/>
        </w:rPr>
        <w:t>对水土保持监测设施予以保护的要求，以保证监测数据的完整性。</w:t>
      </w:r>
    </w:p>
    <w:p>
      <w:pPr>
        <w:pStyle w:val="3"/>
        <w:widowControl/>
        <w:numPr>
          <w:ilvl w:val="1"/>
          <w:numId w:val="1"/>
        </w:numPr>
        <w:tabs>
          <w:tab w:val="clear" w:pos="1002"/>
        </w:tabs>
        <w:topLinePunct w:val="0"/>
        <w:adjustRightInd/>
        <w:snapToGrid/>
        <w:ind w:left="0" w:firstLine="0"/>
        <w:jc w:val="both"/>
        <w:rPr>
          <w:rFonts w:eastAsia="仿宋_GB2312"/>
        </w:rPr>
      </w:pPr>
      <w:bookmarkStart w:id="358" w:name="_Toc7801424"/>
      <w:bookmarkStart w:id="359" w:name="_Toc7801584"/>
      <w:bookmarkStart w:id="360" w:name="_Toc7801491"/>
      <w:bookmarkStart w:id="361" w:name="_Toc47381559"/>
      <w:r>
        <w:rPr>
          <w:rFonts w:eastAsia="仿宋_GB2312"/>
        </w:rPr>
        <w:t>水土保持设施验收</w:t>
      </w:r>
      <w:bookmarkEnd w:id="357"/>
      <w:bookmarkEnd w:id="358"/>
      <w:bookmarkEnd w:id="359"/>
      <w:bookmarkEnd w:id="360"/>
      <w:bookmarkEnd w:id="361"/>
    </w:p>
    <w:p>
      <w:pPr>
        <w:pStyle w:val="4"/>
        <w:keepLines/>
        <w:widowControl/>
        <w:numPr>
          <w:ilvl w:val="2"/>
          <w:numId w:val="1"/>
        </w:numPr>
        <w:tabs>
          <w:tab w:val="clear" w:pos="432"/>
          <w:tab w:val="clear" w:pos="960"/>
        </w:tabs>
        <w:kinsoku/>
        <w:overflowPunct/>
        <w:topLinePunct w:val="0"/>
        <w:autoSpaceDE/>
        <w:autoSpaceDN/>
        <w:adjustRightInd/>
        <w:snapToGrid/>
        <w:ind w:left="0" w:firstLine="0"/>
        <w:jc w:val="both"/>
        <w:rPr>
          <w:rFonts w:eastAsia="仿宋_GB2312"/>
        </w:rPr>
      </w:pPr>
      <w:bookmarkStart w:id="362" w:name="_Toc391024592"/>
      <w:bookmarkStart w:id="363" w:name="_Toc303184138"/>
      <w:r>
        <w:rPr>
          <w:rFonts w:eastAsia="仿宋_GB2312"/>
        </w:rPr>
        <w:t>检查监督</w:t>
      </w:r>
      <w:bookmarkEnd w:id="362"/>
      <w:bookmarkEnd w:id="363"/>
    </w:p>
    <w:p>
      <w:pPr>
        <w:pStyle w:val="15"/>
        <w:ind w:firstLine="480"/>
        <w:rPr>
          <w:rFonts w:eastAsia="仿宋_GB2312"/>
        </w:rPr>
      </w:pPr>
      <w:r>
        <w:rPr>
          <w:rFonts w:eastAsia="仿宋_GB2312"/>
        </w:rPr>
        <w:t>为防止水土保持方案流于形式，在工程实施过程中，建设单位应与水行政主管部门积极配合，成立专门管理机构，负责对工程水土保持方案的实施进度、质量、资金落实等情况进行监督，保证水土保持方案高标准、高质量、按进度完成。强化责任，加强检查力度，杜绝施工过程中各种不规范、不文明的行为发生，严防对当地生态环境造成严重破坏。</w:t>
      </w:r>
      <w:bookmarkEnd w:id="334"/>
      <w:bookmarkEnd w:id="335"/>
      <w:bookmarkEnd w:id="336"/>
    </w:p>
    <w:p>
      <w:pPr>
        <w:pStyle w:val="4"/>
        <w:keepLines/>
        <w:widowControl/>
        <w:numPr>
          <w:ilvl w:val="2"/>
          <w:numId w:val="1"/>
        </w:numPr>
        <w:tabs>
          <w:tab w:val="clear" w:pos="432"/>
          <w:tab w:val="clear" w:pos="960"/>
        </w:tabs>
        <w:kinsoku/>
        <w:overflowPunct/>
        <w:topLinePunct w:val="0"/>
        <w:autoSpaceDE/>
        <w:autoSpaceDN/>
        <w:adjustRightInd/>
        <w:snapToGrid/>
        <w:ind w:left="0" w:firstLine="0"/>
        <w:jc w:val="both"/>
        <w:rPr>
          <w:rFonts w:eastAsia="仿宋_GB2312"/>
        </w:rPr>
      </w:pPr>
      <w:r>
        <w:rPr>
          <w:rFonts w:eastAsia="仿宋_GB2312"/>
        </w:rPr>
        <w:t>竣工验收</w:t>
      </w:r>
    </w:p>
    <w:p>
      <w:pPr>
        <w:pStyle w:val="15"/>
        <w:ind w:firstLine="480"/>
        <w:rPr>
          <w:rFonts w:eastAsia="仿宋_GB2312"/>
        </w:rPr>
      </w:pPr>
      <w:r>
        <w:rPr>
          <w:rFonts w:eastAsia="仿宋_GB2312"/>
        </w:rPr>
        <w:t>根据水利部关于加强事中事后监管规范生产建设项目水土保持设施自主验收的通知(水利部[2017]365号)文和水利部关于进一步深化“放管服”改革全面加强水土保持监管的意见(水保[2019]160号)的要求，生产建设项目水土保持设施由业主自主验收。</w:t>
      </w:r>
    </w:p>
    <w:p>
      <w:pPr>
        <w:pStyle w:val="15"/>
        <w:ind w:firstLine="480"/>
        <w:rPr>
          <w:rFonts w:eastAsia="仿宋_GB2312"/>
        </w:rPr>
      </w:pPr>
      <w:r>
        <w:rPr>
          <w:rFonts w:eastAsia="仿宋_GB2312"/>
        </w:rPr>
        <w:t>(一)组织第三方机构编制水土保持设施验收报告。依法编制水土保持方案报告书的生产建设项目投产使用前，生产建设单位应当根据水土保持方案及其审批决定等，组织第三方机构编制水土保持设施验收报告。第三方机构是指具有独立承担民事责任能力且具有相应水土保持技术条件的企业法人、事业单位法人或其他组织。各级水行政主管部门和流域管理机构不得以任何形式推荐、建议和要求生产建设单位委托特定第三方机构提供水土保持设施验收报告编制服务。</w:t>
      </w:r>
    </w:p>
    <w:p>
      <w:pPr>
        <w:pStyle w:val="15"/>
        <w:ind w:firstLine="480"/>
        <w:rPr>
          <w:rFonts w:eastAsia="仿宋_GB2312"/>
        </w:rPr>
      </w:pPr>
      <w:r>
        <w:rPr>
          <w:rFonts w:eastAsia="仿宋_GB2312"/>
        </w:rPr>
        <w:t>（二）明确验收结论。水土保持设施验收报告编制完成后，生产建设单位应当按照水土保持法律法规、标准规范、水土保持方案及其审批决定、水土保持后续设计等，组织水土保持设施验收工作，形成水土保持设施验收鉴定书，明确水土保持设施验收合格的结论。水土保持设施验收合格后，生产建设项目方可通过竣工验收和投产使用。</w:t>
      </w:r>
    </w:p>
    <w:p>
      <w:pPr>
        <w:pStyle w:val="15"/>
        <w:ind w:firstLine="480"/>
        <w:rPr>
          <w:rFonts w:eastAsia="仿宋_GB2312"/>
        </w:rPr>
      </w:pPr>
      <w:r>
        <w:rPr>
          <w:rFonts w:eastAsia="仿宋_GB2312"/>
        </w:rPr>
        <w:t>（三）公开验收情况。除按照国家规定需要保密的情形外，生产建设单位应当在水土保持设施验收合格后，通过其官方网站或者其他便于公众知悉的方式向社会公开水土保持设施验收鉴定书、水土保持设施验收报告和水土保持监测总结报告。对于公众反映的主要问题和意见，生产建设单位应当及时给予处理或者回应。</w:t>
      </w:r>
    </w:p>
    <w:p>
      <w:pPr>
        <w:pStyle w:val="15"/>
        <w:ind w:firstLine="480"/>
        <w:rPr>
          <w:rFonts w:eastAsia="仿宋_GB2312"/>
          <w:color w:val="FF0000"/>
        </w:rPr>
      </w:pPr>
      <w:r>
        <w:rPr>
          <w:rFonts w:eastAsia="仿宋_GB2312"/>
        </w:rPr>
        <w:t>（四）报备验收材料。生产建设单位应在向社会公开水土保持设施验收材料后、生产建设项目投产使用前，向水土保持方案审批机关报备水土保持设施验收材料。报备材料包括水土保持设施验收鉴定书、水土保持设施验收报告和水土保持监测总结报告。其中，实行承诺制或者备案制管理的项目，只需要提交水土保持设施验收鉴定书，其水土保持设施验收组中应当至少一名省级水行政主管部门水土保持专家库专家。生产建设单位、第三方机构和水土保持监测机构分别对水土保持设施验收鉴定书、水土保持设施验收报告和水土保持监测总结报告等材料的真实性负责。</w:t>
      </w:r>
    </w:p>
    <w:p>
      <w:pPr>
        <w:pStyle w:val="4"/>
        <w:keepLines/>
        <w:widowControl/>
        <w:numPr>
          <w:ilvl w:val="2"/>
          <w:numId w:val="1"/>
        </w:numPr>
        <w:tabs>
          <w:tab w:val="clear" w:pos="432"/>
          <w:tab w:val="clear" w:pos="960"/>
        </w:tabs>
        <w:kinsoku/>
        <w:overflowPunct/>
        <w:topLinePunct w:val="0"/>
        <w:autoSpaceDE/>
        <w:autoSpaceDN/>
        <w:adjustRightInd/>
        <w:snapToGrid/>
        <w:ind w:left="0" w:firstLine="0"/>
        <w:jc w:val="both"/>
        <w:rPr>
          <w:rFonts w:eastAsia="仿宋_GB2312"/>
        </w:rPr>
      </w:pPr>
      <w:bookmarkStart w:id="364" w:name="_Toc470096601"/>
      <w:bookmarkStart w:id="365" w:name="_Toc517947255"/>
      <w:bookmarkStart w:id="366" w:name="_Toc482366487"/>
      <w:bookmarkStart w:id="367" w:name="_Toc517946693"/>
      <w:bookmarkStart w:id="368" w:name="_Toc515445997"/>
      <w:bookmarkStart w:id="369" w:name="_Toc391024594"/>
      <w:bookmarkStart w:id="370" w:name="_Toc435625183"/>
      <w:r>
        <w:rPr>
          <w:rFonts w:eastAsia="仿宋_GB2312"/>
        </w:rPr>
        <w:t>资金来源及使用管理</w:t>
      </w:r>
      <w:bookmarkEnd w:id="364"/>
      <w:bookmarkEnd w:id="365"/>
      <w:bookmarkEnd w:id="366"/>
      <w:bookmarkEnd w:id="367"/>
      <w:bookmarkEnd w:id="368"/>
      <w:bookmarkEnd w:id="369"/>
      <w:bookmarkEnd w:id="370"/>
    </w:p>
    <w:p>
      <w:pPr>
        <w:pStyle w:val="15"/>
        <w:ind w:firstLine="480"/>
        <w:rPr>
          <w:rFonts w:eastAsia="仿宋_GB2312"/>
        </w:rPr>
      </w:pPr>
      <w:r>
        <w:rPr>
          <w:rFonts w:eastAsia="仿宋_GB2312"/>
        </w:rPr>
        <w:t>根据《中华人民共和国水土保持法》规定“建设项目的水土流失防治费从基本建设投资中列出，生产运行中的项目其水土流失防治费从生产费中列出”和“谁开发谁保护，谁造成水土流失谁负责治理”的原则，并根据项目协议中的有关规定，本方案水土保持措施实施所需费用，建设期水土保持投资建议从主体工程总投资中列支，并与主体工程资金同时调拨，建立水土保持财务档案。生产期的水土保持投资从生产费中列支，计入生产成本。工程建设单位应做到专款专用，保证投入，严格资金管理和使用。充分保证资金的供应与到位条件，参照本方案水土保持措施安排的进度逐年落实，确保水土保持措施保质保量按期完成。并且检查方案的实施过程，确保方案的充分执行以及处罚违反规定的相关人员。通过安排定期、不定期的抽查进行监督，对违反规定的给予批评、警告、甚至惩罚，保证所需资金及时、足额到位，专款专用，以达到本水土保持方案的目标。</w:t>
      </w:r>
    </w:p>
    <w:p>
      <w:pPr>
        <w:pStyle w:val="4"/>
        <w:keepLines/>
        <w:widowControl/>
        <w:numPr>
          <w:ilvl w:val="2"/>
          <w:numId w:val="1"/>
        </w:numPr>
        <w:tabs>
          <w:tab w:val="clear" w:pos="432"/>
          <w:tab w:val="clear" w:pos="960"/>
        </w:tabs>
        <w:kinsoku/>
        <w:overflowPunct/>
        <w:topLinePunct w:val="0"/>
        <w:autoSpaceDE/>
        <w:autoSpaceDN/>
        <w:adjustRightInd/>
        <w:snapToGrid/>
        <w:ind w:left="0" w:firstLine="0"/>
        <w:jc w:val="both"/>
        <w:rPr>
          <w:rFonts w:eastAsia="仿宋_GB2312"/>
        </w:rPr>
      </w:pPr>
      <w:r>
        <w:rPr>
          <w:rFonts w:hint="eastAsia" w:eastAsia="仿宋_GB2312"/>
        </w:rPr>
        <w:t>水土保持设施后续管理</w:t>
      </w:r>
    </w:p>
    <w:p>
      <w:pPr>
        <w:pStyle w:val="15"/>
        <w:ind w:firstLine="480"/>
        <w:rPr>
          <w:rFonts w:eastAsia="仿宋_GB2312"/>
        </w:rPr>
        <w:sectPr>
          <w:headerReference r:id="rId23" w:type="default"/>
          <w:pgSz w:w="11906" w:h="16838"/>
          <w:pgMar w:top="1440" w:right="1803" w:bottom="1440" w:left="1803" w:header="851" w:footer="992" w:gutter="0"/>
          <w:cols w:space="720" w:num="1"/>
          <w:docGrid w:linePitch="326" w:charSpace="0"/>
        </w:sectPr>
      </w:pPr>
      <w:r>
        <w:rPr>
          <w:rFonts w:hint="eastAsia" w:eastAsia="仿宋_GB2312"/>
        </w:rPr>
        <w:t>水土保持工程验收后，应由项目法人负责对永久占地范围内水土保持设施进行后续管护与维修，运行管护维修费用从生产运行费中列支。临时占地内的水土保持设施由项目法人移交给土地权属单位继续管理维护。</w:t>
      </w:r>
    </w:p>
    <w:p>
      <w:pPr>
        <w:ind w:firstLine="0" w:firstLineChars="0"/>
        <w:rPr>
          <w:rFonts w:eastAsia="仿宋_GB2312"/>
          <w:b/>
          <w:sz w:val="28"/>
          <w:szCs w:val="28"/>
        </w:rPr>
      </w:pPr>
      <w:r>
        <w:rPr>
          <w:rFonts w:eastAsia="仿宋_GB2312"/>
          <w:b/>
          <w:sz w:val="28"/>
          <w:szCs w:val="28"/>
        </w:rPr>
        <w:t>附表：</w:t>
      </w:r>
    </w:p>
    <w:p>
      <w:pPr>
        <w:spacing w:line="240" w:lineRule="auto"/>
        <w:ind w:firstLine="0" w:firstLineChars="0"/>
        <w:jc w:val="center"/>
        <w:rPr>
          <w:rFonts w:eastAsia="仿宋_GB2312"/>
          <w:b/>
        </w:rPr>
      </w:pPr>
      <w:r>
        <w:rPr>
          <w:rFonts w:hint="eastAsia" w:eastAsia="仿宋_GB2312"/>
          <w:b/>
        </w:rPr>
        <w:t>表1   防尘网苫盖</w:t>
      </w:r>
      <w:r>
        <w:rPr>
          <w:rFonts w:eastAsia="仿宋_GB2312"/>
          <w:b/>
        </w:rPr>
        <w:t>单价分析</w:t>
      </w:r>
      <w:r>
        <w:rPr>
          <w:rFonts w:hint="eastAsia" w:eastAsia="仿宋_GB2312"/>
          <w:b/>
        </w:rPr>
        <w:t>表</w:t>
      </w:r>
    </w:p>
    <w:tbl>
      <w:tblPr>
        <w:tblStyle w:val="40"/>
        <w:tblW w:w="5000" w:type="pct"/>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108" w:type="dxa"/>
          <w:bottom w:w="0" w:type="dxa"/>
          <w:right w:w="108" w:type="dxa"/>
        </w:tblCellMar>
      </w:tblPr>
      <w:tblGrid>
        <w:gridCol w:w="957"/>
        <w:gridCol w:w="2303"/>
        <w:gridCol w:w="957"/>
        <w:gridCol w:w="957"/>
        <w:gridCol w:w="1671"/>
        <w:gridCol w:w="1671"/>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12" w:hRule="atLeast"/>
        </w:trPr>
        <w:tc>
          <w:tcPr>
            <w:tcW w:w="5000" w:type="pct"/>
            <w:gridSpan w:val="6"/>
            <w:shd w:val="clear" w:color="auto" w:fill="auto"/>
            <w:noWrap/>
            <w:vAlign w:val="center"/>
          </w:tcPr>
          <w:p>
            <w:pPr>
              <w:widowControl/>
              <w:topLinePunct w:val="0"/>
              <w:adjustRightInd/>
              <w:snapToGrid/>
              <w:spacing w:line="240" w:lineRule="auto"/>
              <w:ind w:firstLine="0" w:firstLineChars="0"/>
              <w:rPr>
                <w:rFonts w:eastAsia="仿宋_GB2312"/>
                <w:color w:val="000000"/>
                <w:sz w:val="21"/>
                <w:szCs w:val="21"/>
              </w:rPr>
            </w:pPr>
            <w:r>
              <w:rPr>
                <w:rFonts w:eastAsia="仿宋_GB2312"/>
                <w:color w:val="000000"/>
                <w:sz w:val="21"/>
                <w:szCs w:val="21"/>
              </w:rPr>
              <w:t>定额编号：03005       定额单位：100m</w:t>
            </w:r>
            <w:r>
              <w:rPr>
                <w:rFonts w:eastAsia="仿宋_GB2312"/>
                <w:color w:val="000000"/>
                <w:sz w:val="21"/>
                <w:szCs w:val="21"/>
                <w:vertAlign w:val="superscript"/>
              </w:rPr>
              <w:t>2</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12" w:hRule="atLeast"/>
        </w:trPr>
        <w:tc>
          <w:tcPr>
            <w:tcW w:w="5000" w:type="pct"/>
            <w:gridSpan w:val="6"/>
            <w:shd w:val="clear" w:color="auto" w:fill="auto"/>
            <w:noWrap/>
            <w:vAlign w:val="center"/>
          </w:tcPr>
          <w:p>
            <w:pPr>
              <w:widowControl/>
              <w:topLinePunct w:val="0"/>
              <w:adjustRightInd/>
              <w:snapToGrid/>
              <w:spacing w:line="240" w:lineRule="auto"/>
              <w:ind w:firstLine="0" w:firstLineChars="0"/>
              <w:rPr>
                <w:rFonts w:eastAsia="仿宋_GB2312"/>
                <w:color w:val="000000"/>
                <w:sz w:val="21"/>
                <w:szCs w:val="21"/>
              </w:rPr>
            </w:pPr>
            <w:r>
              <w:rPr>
                <w:rFonts w:eastAsia="仿宋_GB2312"/>
                <w:color w:val="000000"/>
                <w:sz w:val="21"/>
                <w:szCs w:val="21"/>
              </w:rPr>
              <w:t>工作内容：场内运输、铺设、搭接</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12" w:hRule="atLeast"/>
        </w:trPr>
        <w:tc>
          <w:tcPr>
            <w:tcW w:w="562"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序号</w:t>
            </w:r>
          </w:p>
        </w:tc>
        <w:tc>
          <w:tcPr>
            <w:tcW w:w="1351"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名称及规格</w:t>
            </w:r>
          </w:p>
        </w:tc>
        <w:tc>
          <w:tcPr>
            <w:tcW w:w="562"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单位</w:t>
            </w:r>
          </w:p>
        </w:tc>
        <w:tc>
          <w:tcPr>
            <w:tcW w:w="562"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数量</w:t>
            </w:r>
          </w:p>
        </w:tc>
        <w:tc>
          <w:tcPr>
            <w:tcW w:w="981"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单价(元)</w:t>
            </w:r>
          </w:p>
        </w:tc>
        <w:tc>
          <w:tcPr>
            <w:tcW w:w="981"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合价(元)</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12" w:hRule="atLeast"/>
        </w:trPr>
        <w:tc>
          <w:tcPr>
            <w:tcW w:w="562"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一</w:t>
            </w:r>
          </w:p>
        </w:tc>
        <w:tc>
          <w:tcPr>
            <w:tcW w:w="1351"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直接工程费</w:t>
            </w:r>
          </w:p>
        </w:tc>
        <w:tc>
          <w:tcPr>
            <w:tcW w:w="562"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562"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981"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981"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352.17</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12" w:hRule="atLeast"/>
        </w:trPr>
        <w:tc>
          <w:tcPr>
            <w:tcW w:w="562"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(一)</w:t>
            </w:r>
          </w:p>
        </w:tc>
        <w:tc>
          <w:tcPr>
            <w:tcW w:w="1351"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直接费</w:t>
            </w:r>
          </w:p>
        </w:tc>
        <w:tc>
          <w:tcPr>
            <w:tcW w:w="562"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562"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981"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981"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323.09</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12" w:hRule="atLeast"/>
        </w:trPr>
        <w:tc>
          <w:tcPr>
            <w:tcW w:w="562"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1</w:t>
            </w:r>
          </w:p>
        </w:tc>
        <w:tc>
          <w:tcPr>
            <w:tcW w:w="1351"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人工费</w:t>
            </w:r>
          </w:p>
        </w:tc>
        <w:tc>
          <w:tcPr>
            <w:tcW w:w="562"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562"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981"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981"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80.70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12" w:hRule="atLeast"/>
        </w:trPr>
        <w:tc>
          <w:tcPr>
            <w:tcW w:w="562"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1351"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人工</w:t>
            </w:r>
          </w:p>
        </w:tc>
        <w:tc>
          <w:tcPr>
            <w:tcW w:w="562"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工时</w:t>
            </w:r>
          </w:p>
        </w:tc>
        <w:tc>
          <w:tcPr>
            <w:tcW w:w="562"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10</w:t>
            </w:r>
          </w:p>
        </w:tc>
        <w:tc>
          <w:tcPr>
            <w:tcW w:w="981"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8.07</w:t>
            </w:r>
          </w:p>
        </w:tc>
        <w:tc>
          <w:tcPr>
            <w:tcW w:w="981"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80.70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12" w:hRule="atLeast"/>
        </w:trPr>
        <w:tc>
          <w:tcPr>
            <w:tcW w:w="562"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2</w:t>
            </w:r>
          </w:p>
        </w:tc>
        <w:tc>
          <w:tcPr>
            <w:tcW w:w="1351"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材料费</w:t>
            </w:r>
          </w:p>
        </w:tc>
        <w:tc>
          <w:tcPr>
            <w:tcW w:w="562"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562"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981"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981"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242.39</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12" w:hRule="atLeast"/>
        </w:trPr>
        <w:tc>
          <w:tcPr>
            <w:tcW w:w="562"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1351"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防尘网</w:t>
            </w:r>
          </w:p>
        </w:tc>
        <w:tc>
          <w:tcPr>
            <w:tcW w:w="562"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m</w:t>
            </w:r>
            <w:r>
              <w:rPr>
                <w:rFonts w:eastAsia="仿宋_GB2312"/>
                <w:color w:val="000000"/>
                <w:sz w:val="21"/>
                <w:szCs w:val="21"/>
                <w:vertAlign w:val="superscript"/>
              </w:rPr>
              <w:t>2</w:t>
            </w:r>
          </w:p>
        </w:tc>
        <w:tc>
          <w:tcPr>
            <w:tcW w:w="562"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113</w:t>
            </w:r>
          </w:p>
        </w:tc>
        <w:tc>
          <w:tcPr>
            <w:tcW w:w="981"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2.04</w:t>
            </w:r>
          </w:p>
        </w:tc>
        <w:tc>
          <w:tcPr>
            <w:tcW w:w="981"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229.99</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12" w:hRule="atLeast"/>
        </w:trPr>
        <w:tc>
          <w:tcPr>
            <w:tcW w:w="562"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1351"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小网袋</w:t>
            </w:r>
          </w:p>
        </w:tc>
        <w:tc>
          <w:tcPr>
            <w:tcW w:w="562"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个</w:t>
            </w:r>
          </w:p>
        </w:tc>
        <w:tc>
          <w:tcPr>
            <w:tcW w:w="562"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10</w:t>
            </w:r>
          </w:p>
        </w:tc>
        <w:tc>
          <w:tcPr>
            <w:tcW w:w="981"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1.00</w:t>
            </w:r>
          </w:p>
        </w:tc>
        <w:tc>
          <w:tcPr>
            <w:tcW w:w="981"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10.00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12" w:hRule="atLeast"/>
        </w:trPr>
        <w:tc>
          <w:tcPr>
            <w:tcW w:w="562"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1351"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其它材料费</w:t>
            </w:r>
          </w:p>
        </w:tc>
        <w:tc>
          <w:tcPr>
            <w:tcW w:w="562"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w:t>
            </w:r>
          </w:p>
        </w:tc>
        <w:tc>
          <w:tcPr>
            <w:tcW w:w="562"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1</w:t>
            </w:r>
          </w:p>
        </w:tc>
        <w:tc>
          <w:tcPr>
            <w:tcW w:w="981"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239.99</w:t>
            </w:r>
          </w:p>
        </w:tc>
        <w:tc>
          <w:tcPr>
            <w:tcW w:w="981"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2.40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12" w:hRule="atLeast"/>
        </w:trPr>
        <w:tc>
          <w:tcPr>
            <w:tcW w:w="562"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(二)</w:t>
            </w:r>
          </w:p>
        </w:tc>
        <w:tc>
          <w:tcPr>
            <w:tcW w:w="1351"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其他直接费</w:t>
            </w:r>
          </w:p>
        </w:tc>
        <w:tc>
          <w:tcPr>
            <w:tcW w:w="562"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w:t>
            </w:r>
          </w:p>
        </w:tc>
        <w:tc>
          <w:tcPr>
            <w:tcW w:w="562"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4</w:t>
            </w:r>
          </w:p>
        </w:tc>
        <w:tc>
          <w:tcPr>
            <w:tcW w:w="981"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323.09</w:t>
            </w:r>
          </w:p>
        </w:tc>
        <w:tc>
          <w:tcPr>
            <w:tcW w:w="981"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12.92</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12" w:hRule="atLeast"/>
        </w:trPr>
        <w:tc>
          <w:tcPr>
            <w:tcW w:w="562"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(三)</w:t>
            </w:r>
          </w:p>
        </w:tc>
        <w:tc>
          <w:tcPr>
            <w:tcW w:w="1351"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现场经费</w:t>
            </w:r>
          </w:p>
        </w:tc>
        <w:tc>
          <w:tcPr>
            <w:tcW w:w="562"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w:t>
            </w:r>
          </w:p>
        </w:tc>
        <w:tc>
          <w:tcPr>
            <w:tcW w:w="562"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5</w:t>
            </w:r>
          </w:p>
        </w:tc>
        <w:tc>
          <w:tcPr>
            <w:tcW w:w="981"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323.09</w:t>
            </w:r>
          </w:p>
        </w:tc>
        <w:tc>
          <w:tcPr>
            <w:tcW w:w="981"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16.15</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12" w:hRule="atLeast"/>
        </w:trPr>
        <w:tc>
          <w:tcPr>
            <w:tcW w:w="562"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二</w:t>
            </w:r>
          </w:p>
        </w:tc>
        <w:tc>
          <w:tcPr>
            <w:tcW w:w="1351"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间接费</w:t>
            </w:r>
          </w:p>
        </w:tc>
        <w:tc>
          <w:tcPr>
            <w:tcW w:w="562"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w:t>
            </w:r>
          </w:p>
        </w:tc>
        <w:tc>
          <w:tcPr>
            <w:tcW w:w="562"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4.4</w:t>
            </w:r>
          </w:p>
        </w:tc>
        <w:tc>
          <w:tcPr>
            <w:tcW w:w="981"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352.17</w:t>
            </w:r>
          </w:p>
        </w:tc>
        <w:tc>
          <w:tcPr>
            <w:tcW w:w="981"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15.50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12" w:hRule="atLeast"/>
        </w:trPr>
        <w:tc>
          <w:tcPr>
            <w:tcW w:w="562"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三</w:t>
            </w:r>
          </w:p>
        </w:tc>
        <w:tc>
          <w:tcPr>
            <w:tcW w:w="1351"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企业利润</w:t>
            </w:r>
          </w:p>
        </w:tc>
        <w:tc>
          <w:tcPr>
            <w:tcW w:w="562"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w:t>
            </w:r>
          </w:p>
        </w:tc>
        <w:tc>
          <w:tcPr>
            <w:tcW w:w="562"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7</w:t>
            </w:r>
          </w:p>
        </w:tc>
        <w:tc>
          <w:tcPr>
            <w:tcW w:w="981"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367.67</w:t>
            </w:r>
          </w:p>
        </w:tc>
        <w:tc>
          <w:tcPr>
            <w:tcW w:w="981"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25.74</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12" w:hRule="atLeast"/>
        </w:trPr>
        <w:tc>
          <w:tcPr>
            <w:tcW w:w="562"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四</w:t>
            </w:r>
          </w:p>
        </w:tc>
        <w:tc>
          <w:tcPr>
            <w:tcW w:w="1351"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税金</w:t>
            </w:r>
          </w:p>
        </w:tc>
        <w:tc>
          <w:tcPr>
            <w:tcW w:w="562"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w:t>
            </w:r>
          </w:p>
        </w:tc>
        <w:tc>
          <w:tcPr>
            <w:tcW w:w="562"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9</w:t>
            </w:r>
          </w:p>
        </w:tc>
        <w:tc>
          <w:tcPr>
            <w:tcW w:w="981"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393.41</w:t>
            </w:r>
          </w:p>
        </w:tc>
        <w:tc>
          <w:tcPr>
            <w:tcW w:w="981"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35.41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12" w:hRule="atLeast"/>
        </w:trPr>
        <w:tc>
          <w:tcPr>
            <w:tcW w:w="562"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1351"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扩大</w:t>
            </w:r>
          </w:p>
        </w:tc>
        <w:tc>
          <w:tcPr>
            <w:tcW w:w="562"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w:t>
            </w:r>
          </w:p>
        </w:tc>
        <w:tc>
          <w:tcPr>
            <w:tcW w:w="562"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10</w:t>
            </w:r>
          </w:p>
        </w:tc>
        <w:tc>
          <w:tcPr>
            <w:tcW w:w="981"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428.81</w:t>
            </w:r>
          </w:p>
        </w:tc>
        <w:tc>
          <w:tcPr>
            <w:tcW w:w="981"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42.88</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12" w:hRule="atLeast"/>
        </w:trPr>
        <w:tc>
          <w:tcPr>
            <w:tcW w:w="1914" w:type="pct"/>
            <w:gridSpan w:val="2"/>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合计</w:t>
            </w:r>
          </w:p>
        </w:tc>
        <w:tc>
          <w:tcPr>
            <w:tcW w:w="562"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元</w:t>
            </w:r>
          </w:p>
        </w:tc>
        <w:tc>
          <w:tcPr>
            <w:tcW w:w="562"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981"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981"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471.69</w:t>
            </w:r>
          </w:p>
        </w:tc>
      </w:tr>
    </w:tbl>
    <w:p>
      <w:pPr>
        <w:spacing w:line="240" w:lineRule="auto"/>
        <w:ind w:firstLine="0" w:firstLineChars="0"/>
        <w:jc w:val="center"/>
        <w:rPr>
          <w:rFonts w:eastAsia="仿宋_GB2312"/>
          <w:b/>
        </w:rPr>
      </w:pPr>
    </w:p>
    <w:p>
      <w:pPr>
        <w:spacing w:line="240" w:lineRule="auto"/>
        <w:ind w:firstLine="0" w:firstLineChars="0"/>
        <w:jc w:val="center"/>
        <w:rPr>
          <w:rFonts w:eastAsia="仿宋_GB2312"/>
          <w:b/>
        </w:rPr>
      </w:pPr>
      <w:r>
        <w:rPr>
          <w:rFonts w:hint="eastAsia" w:eastAsia="仿宋_GB2312"/>
          <w:b/>
        </w:rPr>
        <w:t>表2   洒水</w:t>
      </w:r>
      <w:r>
        <w:rPr>
          <w:rFonts w:eastAsia="仿宋_GB2312"/>
          <w:b/>
        </w:rPr>
        <w:t>单价分析</w:t>
      </w:r>
      <w:r>
        <w:rPr>
          <w:rFonts w:hint="eastAsia" w:eastAsia="仿宋_GB2312"/>
          <w:b/>
        </w:rPr>
        <w:t>表</w:t>
      </w:r>
    </w:p>
    <w:tbl>
      <w:tblPr>
        <w:tblStyle w:val="40"/>
        <w:tblW w:w="5000" w:type="pct"/>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108" w:type="dxa"/>
          <w:bottom w:w="0" w:type="dxa"/>
          <w:right w:w="108" w:type="dxa"/>
        </w:tblCellMar>
      </w:tblPr>
      <w:tblGrid>
        <w:gridCol w:w="921"/>
        <w:gridCol w:w="2316"/>
        <w:gridCol w:w="921"/>
        <w:gridCol w:w="1138"/>
        <w:gridCol w:w="1610"/>
        <w:gridCol w:w="1610"/>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12" w:hRule="atLeast"/>
        </w:trPr>
        <w:tc>
          <w:tcPr>
            <w:tcW w:w="5000" w:type="pct"/>
            <w:gridSpan w:val="6"/>
            <w:shd w:val="clear" w:color="auto" w:fill="auto"/>
            <w:noWrap/>
            <w:vAlign w:val="center"/>
          </w:tcPr>
          <w:p>
            <w:pPr>
              <w:widowControl/>
              <w:topLinePunct w:val="0"/>
              <w:adjustRightInd/>
              <w:snapToGrid/>
              <w:spacing w:line="240" w:lineRule="auto"/>
              <w:ind w:firstLine="0" w:firstLineChars="0"/>
              <w:rPr>
                <w:rFonts w:eastAsia="仿宋_GB2312"/>
                <w:color w:val="000000"/>
                <w:sz w:val="21"/>
                <w:szCs w:val="21"/>
              </w:rPr>
            </w:pPr>
            <w:r>
              <w:rPr>
                <w:rFonts w:eastAsia="仿宋_GB2312"/>
                <w:color w:val="000000"/>
                <w:sz w:val="21"/>
                <w:szCs w:val="21"/>
              </w:rPr>
              <w:t>定额编号:参照定额定额单位：100m</w:t>
            </w:r>
            <w:r>
              <w:rPr>
                <w:rFonts w:eastAsia="仿宋_GB2312"/>
                <w:color w:val="000000"/>
                <w:sz w:val="21"/>
                <w:szCs w:val="21"/>
                <w:vertAlign w:val="superscript"/>
              </w:rPr>
              <w:t>3</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12" w:hRule="atLeast"/>
        </w:trPr>
        <w:tc>
          <w:tcPr>
            <w:tcW w:w="5000" w:type="pct"/>
            <w:gridSpan w:val="6"/>
            <w:shd w:val="clear" w:color="auto" w:fill="auto"/>
            <w:noWrap/>
            <w:vAlign w:val="center"/>
          </w:tcPr>
          <w:p>
            <w:pPr>
              <w:widowControl/>
              <w:topLinePunct w:val="0"/>
              <w:adjustRightInd/>
              <w:snapToGrid/>
              <w:spacing w:line="240" w:lineRule="auto"/>
              <w:ind w:firstLine="0" w:firstLineChars="0"/>
              <w:rPr>
                <w:rFonts w:eastAsia="仿宋_GB2312"/>
                <w:color w:val="000000"/>
                <w:sz w:val="21"/>
                <w:szCs w:val="21"/>
              </w:rPr>
            </w:pPr>
            <w:r>
              <w:rPr>
                <w:rFonts w:eastAsia="仿宋_GB2312"/>
                <w:color w:val="000000"/>
                <w:sz w:val="21"/>
                <w:szCs w:val="21"/>
              </w:rPr>
              <w:t>工作内容：装水、洒水、返回</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12" w:hRule="atLeast"/>
        </w:trPr>
        <w:tc>
          <w:tcPr>
            <w:tcW w:w="541"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编号</w:t>
            </w:r>
          </w:p>
        </w:tc>
        <w:tc>
          <w:tcPr>
            <w:tcW w:w="1360"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名称及规格</w:t>
            </w:r>
          </w:p>
        </w:tc>
        <w:tc>
          <w:tcPr>
            <w:tcW w:w="541"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单位</w:t>
            </w:r>
          </w:p>
        </w:tc>
        <w:tc>
          <w:tcPr>
            <w:tcW w:w="668"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数量</w:t>
            </w:r>
          </w:p>
        </w:tc>
        <w:tc>
          <w:tcPr>
            <w:tcW w:w="945"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单价(元)</w:t>
            </w:r>
          </w:p>
        </w:tc>
        <w:tc>
          <w:tcPr>
            <w:tcW w:w="945"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合价(元)</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12" w:hRule="atLeast"/>
        </w:trPr>
        <w:tc>
          <w:tcPr>
            <w:tcW w:w="541"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一</w:t>
            </w:r>
          </w:p>
        </w:tc>
        <w:tc>
          <w:tcPr>
            <w:tcW w:w="1360"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直接工程费</w:t>
            </w:r>
          </w:p>
        </w:tc>
        <w:tc>
          <w:tcPr>
            <w:tcW w:w="541"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元</w:t>
            </w:r>
          </w:p>
        </w:tc>
        <w:tc>
          <w:tcPr>
            <w:tcW w:w="668"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945"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945"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1991.38</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12" w:hRule="atLeast"/>
        </w:trPr>
        <w:tc>
          <w:tcPr>
            <w:tcW w:w="541"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(一)</w:t>
            </w:r>
          </w:p>
        </w:tc>
        <w:tc>
          <w:tcPr>
            <w:tcW w:w="1360"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直接费</w:t>
            </w:r>
          </w:p>
        </w:tc>
        <w:tc>
          <w:tcPr>
            <w:tcW w:w="541"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元</w:t>
            </w:r>
          </w:p>
        </w:tc>
        <w:tc>
          <w:tcPr>
            <w:tcW w:w="668"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945"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945"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1826.95</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12" w:hRule="atLeast"/>
        </w:trPr>
        <w:tc>
          <w:tcPr>
            <w:tcW w:w="541"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1</w:t>
            </w:r>
          </w:p>
        </w:tc>
        <w:tc>
          <w:tcPr>
            <w:tcW w:w="1360"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人工费</w:t>
            </w:r>
          </w:p>
        </w:tc>
        <w:tc>
          <w:tcPr>
            <w:tcW w:w="541"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元</w:t>
            </w:r>
          </w:p>
        </w:tc>
        <w:tc>
          <w:tcPr>
            <w:tcW w:w="668"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945"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945"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131.14</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12" w:hRule="atLeast"/>
        </w:trPr>
        <w:tc>
          <w:tcPr>
            <w:tcW w:w="541"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1360"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人工</w:t>
            </w:r>
          </w:p>
        </w:tc>
        <w:tc>
          <w:tcPr>
            <w:tcW w:w="541"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工时</w:t>
            </w:r>
          </w:p>
        </w:tc>
        <w:tc>
          <w:tcPr>
            <w:tcW w:w="668"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16.25</w:t>
            </w:r>
          </w:p>
        </w:tc>
        <w:tc>
          <w:tcPr>
            <w:tcW w:w="945"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8.07</w:t>
            </w:r>
          </w:p>
        </w:tc>
        <w:tc>
          <w:tcPr>
            <w:tcW w:w="945"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131.14</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12" w:hRule="atLeast"/>
        </w:trPr>
        <w:tc>
          <w:tcPr>
            <w:tcW w:w="541"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2</w:t>
            </w:r>
          </w:p>
        </w:tc>
        <w:tc>
          <w:tcPr>
            <w:tcW w:w="1360"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材料费</w:t>
            </w:r>
          </w:p>
        </w:tc>
        <w:tc>
          <w:tcPr>
            <w:tcW w:w="541"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元</w:t>
            </w:r>
          </w:p>
        </w:tc>
        <w:tc>
          <w:tcPr>
            <w:tcW w:w="668"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945"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945"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368.51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12" w:hRule="atLeast"/>
        </w:trPr>
        <w:tc>
          <w:tcPr>
            <w:tcW w:w="541"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1360"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水</w:t>
            </w:r>
          </w:p>
        </w:tc>
        <w:tc>
          <w:tcPr>
            <w:tcW w:w="541"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m</w:t>
            </w:r>
            <w:r>
              <w:rPr>
                <w:rFonts w:eastAsia="仿宋_GB2312"/>
                <w:color w:val="000000"/>
                <w:sz w:val="21"/>
                <w:szCs w:val="21"/>
                <w:vertAlign w:val="superscript"/>
              </w:rPr>
              <w:t>2</w:t>
            </w:r>
          </w:p>
        </w:tc>
        <w:tc>
          <w:tcPr>
            <w:tcW w:w="668"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102</w:t>
            </w:r>
          </w:p>
        </w:tc>
        <w:tc>
          <w:tcPr>
            <w:tcW w:w="945"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3.57</w:t>
            </w:r>
          </w:p>
        </w:tc>
        <w:tc>
          <w:tcPr>
            <w:tcW w:w="945"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364.14</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12" w:hRule="atLeast"/>
        </w:trPr>
        <w:tc>
          <w:tcPr>
            <w:tcW w:w="541"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1360"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其他材料费</w:t>
            </w:r>
          </w:p>
        </w:tc>
        <w:tc>
          <w:tcPr>
            <w:tcW w:w="541"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w:t>
            </w:r>
          </w:p>
        </w:tc>
        <w:tc>
          <w:tcPr>
            <w:tcW w:w="668"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1.2</w:t>
            </w:r>
          </w:p>
        </w:tc>
        <w:tc>
          <w:tcPr>
            <w:tcW w:w="945"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364.14</w:t>
            </w:r>
          </w:p>
        </w:tc>
        <w:tc>
          <w:tcPr>
            <w:tcW w:w="945"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4.37</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12" w:hRule="atLeast"/>
        </w:trPr>
        <w:tc>
          <w:tcPr>
            <w:tcW w:w="541"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3</w:t>
            </w:r>
          </w:p>
        </w:tc>
        <w:tc>
          <w:tcPr>
            <w:tcW w:w="1360"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机械使用费</w:t>
            </w:r>
          </w:p>
        </w:tc>
        <w:tc>
          <w:tcPr>
            <w:tcW w:w="541"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668"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945"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945"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1327.30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12" w:hRule="atLeast"/>
        </w:trPr>
        <w:tc>
          <w:tcPr>
            <w:tcW w:w="541"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1360"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洒水车(8m</w:t>
            </w:r>
            <w:r>
              <w:rPr>
                <w:rFonts w:eastAsia="仿宋_GB2312"/>
                <w:color w:val="000000"/>
                <w:sz w:val="21"/>
                <w:szCs w:val="21"/>
                <w:vertAlign w:val="superscript"/>
              </w:rPr>
              <w:t>3</w:t>
            </w:r>
            <w:r>
              <w:rPr>
                <w:rFonts w:eastAsia="仿宋_GB2312"/>
                <w:color w:val="000000"/>
                <w:sz w:val="21"/>
                <w:szCs w:val="21"/>
              </w:rPr>
              <w:t>)</w:t>
            </w:r>
          </w:p>
        </w:tc>
        <w:tc>
          <w:tcPr>
            <w:tcW w:w="541"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台时</w:t>
            </w:r>
          </w:p>
        </w:tc>
        <w:tc>
          <w:tcPr>
            <w:tcW w:w="668"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12.5</w:t>
            </w:r>
          </w:p>
        </w:tc>
        <w:tc>
          <w:tcPr>
            <w:tcW w:w="945"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106.18</w:t>
            </w:r>
          </w:p>
        </w:tc>
        <w:tc>
          <w:tcPr>
            <w:tcW w:w="945"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1327.30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12" w:hRule="atLeast"/>
        </w:trPr>
        <w:tc>
          <w:tcPr>
            <w:tcW w:w="541"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(二)</w:t>
            </w:r>
          </w:p>
        </w:tc>
        <w:tc>
          <w:tcPr>
            <w:tcW w:w="1360"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其他直接费</w:t>
            </w:r>
          </w:p>
        </w:tc>
        <w:tc>
          <w:tcPr>
            <w:tcW w:w="541"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w:t>
            </w:r>
          </w:p>
        </w:tc>
        <w:tc>
          <w:tcPr>
            <w:tcW w:w="668"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4</w:t>
            </w:r>
          </w:p>
        </w:tc>
        <w:tc>
          <w:tcPr>
            <w:tcW w:w="945"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1826.95</w:t>
            </w:r>
          </w:p>
        </w:tc>
        <w:tc>
          <w:tcPr>
            <w:tcW w:w="945"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73.08</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12" w:hRule="atLeast"/>
        </w:trPr>
        <w:tc>
          <w:tcPr>
            <w:tcW w:w="541"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(三)</w:t>
            </w:r>
          </w:p>
        </w:tc>
        <w:tc>
          <w:tcPr>
            <w:tcW w:w="1360"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现场经费</w:t>
            </w:r>
          </w:p>
        </w:tc>
        <w:tc>
          <w:tcPr>
            <w:tcW w:w="541"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w:t>
            </w:r>
          </w:p>
        </w:tc>
        <w:tc>
          <w:tcPr>
            <w:tcW w:w="668"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5</w:t>
            </w:r>
          </w:p>
        </w:tc>
        <w:tc>
          <w:tcPr>
            <w:tcW w:w="945"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1826.95</w:t>
            </w:r>
          </w:p>
        </w:tc>
        <w:tc>
          <w:tcPr>
            <w:tcW w:w="945"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91.35</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12" w:hRule="atLeast"/>
        </w:trPr>
        <w:tc>
          <w:tcPr>
            <w:tcW w:w="541"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二</w:t>
            </w:r>
          </w:p>
        </w:tc>
        <w:tc>
          <w:tcPr>
            <w:tcW w:w="1360"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间接费</w:t>
            </w:r>
          </w:p>
        </w:tc>
        <w:tc>
          <w:tcPr>
            <w:tcW w:w="541"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w:t>
            </w:r>
          </w:p>
        </w:tc>
        <w:tc>
          <w:tcPr>
            <w:tcW w:w="668"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4.4</w:t>
            </w:r>
          </w:p>
        </w:tc>
        <w:tc>
          <w:tcPr>
            <w:tcW w:w="945"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1991.38</w:t>
            </w:r>
          </w:p>
        </w:tc>
        <w:tc>
          <w:tcPr>
            <w:tcW w:w="945"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87.62</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12" w:hRule="atLeast"/>
        </w:trPr>
        <w:tc>
          <w:tcPr>
            <w:tcW w:w="541"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三</w:t>
            </w:r>
          </w:p>
        </w:tc>
        <w:tc>
          <w:tcPr>
            <w:tcW w:w="1360"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企业利润</w:t>
            </w:r>
          </w:p>
        </w:tc>
        <w:tc>
          <w:tcPr>
            <w:tcW w:w="541"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w:t>
            </w:r>
          </w:p>
        </w:tc>
        <w:tc>
          <w:tcPr>
            <w:tcW w:w="668"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7</w:t>
            </w:r>
          </w:p>
        </w:tc>
        <w:tc>
          <w:tcPr>
            <w:tcW w:w="945"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2079.00</w:t>
            </w:r>
          </w:p>
        </w:tc>
        <w:tc>
          <w:tcPr>
            <w:tcW w:w="945"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145.53</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12" w:hRule="atLeast"/>
        </w:trPr>
        <w:tc>
          <w:tcPr>
            <w:tcW w:w="541"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四</w:t>
            </w:r>
          </w:p>
        </w:tc>
        <w:tc>
          <w:tcPr>
            <w:tcW w:w="1360"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税金</w:t>
            </w:r>
          </w:p>
        </w:tc>
        <w:tc>
          <w:tcPr>
            <w:tcW w:w="541"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w:t>
            </w:r>
          </w:p>
        </w:tc>
        <w:tc>
          <w:tcPr>
            <w:tcW w:w="668"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9</w:t>
            </w:r>
          </w:p>
        </w:tc>
        <w:tc>
          <w:tcPr>
            <w:tcW w:w="945"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2224.53</w:t>
            </w:r>
          </w:p>
        </w:tc>
        <w:tc>
          <w:tcPr>
            <w:tcW w:w="945"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200.21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12" w:hRule="atLeast"/>
        </w:trPr>
        <w:tc>
          <w:tcPr>
            <w:tcW w:w="541"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1360"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扩大</w:t>
            </w:r>
          </w:p>
        </w:tc>
        <w:tc>
          <w:tcPr>
            <w:tcW w:w="541"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w:t>
            </w:r>
          </w:p>
        </w:tc>
        <w:tc>
          <w:tcPr>
            <w:tcW w:w="668"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10</w:t>
            </w:r>
          </w:p>
        </w:tc>
        <w:tc>
          <w:tcPr>
            <w:tcW w:w="945"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2424.73</w:t>
            </w:r>
          </w:p>
        </w:tc>
        <w:tc>
          <w:tcPr>
            <w:tcW w:w="945"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242.47</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12" w:hRule="atLeast"/>
        </w:trPr>
        <w:tc>
          <w:tcPr>
            <w:tcW w:w="541"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1360"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合计</w:t>
            </w:r>
          </w:p>
        </w:tc>
        <w:tc>
          <w:tcPr>
            <w:tcW w:w="541"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668"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945"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945" w:type="pct"/>
            <w:shd w:val="clear" w:color="auto" w:fill="auto"/>
            <w:noWrap/>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2667.21</w:t>
            </w:r>
          </w:p>
        </w:tc>
      </w:tr>
    </w:tbl>
    <w:p>
      <w:pPr>
        <w:spacing w:line="240" w:lineRule="auto"/>
        <w:ind w:firstLine="0" w:firstLineChars="0"/>
        <w:jc w:val="center"/>
        <w:rPr>
          <w:rFonts w:eastAsia="仿宋_GB2312"/>
          <w:b/>
        </w:rPr>
      </w:pPr>
    </w:p>
    <w:p>
      <w:pPr>
        <w:spacing w:line="240" w:lineRule="auto"/>
        <w:ind w:firstLine="0" w:firstLineChars="0"/>
        <w:jc w:val="center"/>
        <w:rPr>
          <w:rFonts w:eastAsia="仿宋_GB2312"/>
          <w:b/>
        </w:rPr>
      </w:pPr>
      <w:r>
        <w:rPr>
          <w:rFonts w:hint="eastAsia" w:eastAsia="仿宋_GB2312"/>
          <w:b/>
        </w:rPr>
        <w:t>表3   彩条旗限界</w:t>
      </w:r>
      <w:r>
        <w:rPr>
          <w:rFonts w:eastAsia="仿宋_GB2312"/>
          <w:b/>
        </w:rPr>
        <w:t>单价分析</w:t>
      </w:r>
      <w:r>
        <w:rPr>
          <w:rFonts w:hint="eastAsia" w:eastAsia="仿宋_GB2312"/>
          <w:b/>
        </w:rPr>
        <w:t>表</w:t>
      </w:r>
    </w:p>
    <w:tbl>
      <w:tblPr>
        <w:tblStyle w:val="40"/>
        <w:tblW w:w="5000" w:type="pct"/>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108" w:type="dxa"/>
          <w:bottom w:w="0" w:type="dxa"/>
          <w:right w:w="108" w:type="dxa"/>
        </w:tblCellMar>
      </w:tblPr>
      <w:tblGrid>
        <w:gridCol w:w="1196"/>
        <w:gridCol w:w="1322"/>
        <w:gridCol w:w="1228"/>
        <w:gridCol w:w="1392"/>
        <w:gridCol w:w="1690"/>
        <w:gridCol w:w="1688"/>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5000" w:type="pct"/>
            <w:gridSpan w:val="6"/>
            <w:shd w:val="clear" w:color="auto" w:fill="auto"/>
            <w:vAlign w:val="center"/>
          </w:tcPr>
          <w:p>
            <w:pPr>
              <w:widowControl/>
              <w:topLinePunct w:val="0"/>
              <w:adjustRightInd/>
              <w:snapToGrid/>
              <w:spacing w:line="240" w:lineRule="auto"/>
              <w:ind w:firstLine="0" w:firstLineChars="0"/>
              <w:rPr>
                <w:rFonts w:eastAsia="仿宋_GB2312"/>
                <w:color w:val="000000"/>
                <w:sz w:val="21"/>
                <w:szCs w:val="21"/>
              </w:rPr>
            </w:pPr>
            <w:r>
              <w:rPr>
                <w:rFonts w:eastAsia="仿宋_GB2312"/>
                <w:color w:val="000000"/>
                <w:sz w:val="21"/>
                <w:szCs w:val="21"/>
              </w:rPr>
              <w:t>定额编号：[2-13]b　　　　　定额单位：100m</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703" w:type="pct"/>
            <w:shd w:val="clear" w:color="auto" w:fill="auto"/>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序号</w:t>
            </w:r>
          </w:p>
        </w:tc>
        <w:tc>
          <w:tcPr>
            <w:tcW w:w="776" w:type="pct"/>
            <w:shd w:val="clear" w:color="auto" w:fill="auto"/>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名称及规格</w:t>
            </w:r>
          </w:p>
        </w:tc>
        <w:tc>
          <w:tcPr>
            <w:tcW w:w="721" w:type="pct"/>
            <w:shd w:val="clear" w:color="auto" w:fill="auto"/>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单位</w:t>
            </w:r>
          </w:p>
        </w:tc>
        <w:tc>
          <w:tcPr>
            <w:tcW w:w="817" w:type="pct"/>
            <w:shd w:val="clear" w:color="auto" w:fill="auto"/>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数量</w:t>
            </w:r>
          </w:p>
        </w:tc>
        <w:tc>
          <w:tcPr>
            <w:tcW w:w="992" w:type="pct"/>
            <w:shd w:val="clear" w:color="auto" w:fill="auto"/>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单价（元）</w:t>
            </w:r>
          </w:p>
        </w:tc>
        <w:tc>
          <w:tcPr>
            <w:tcW w:w="991" w:type="pct"/>
            <w:shd w:val="clear" w:color="auto" w:fill="auto"/>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合价（元）</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rPr>
          <w:trHeight w:val="340" w:hRule="atLeast"/>
        </w:trPr>
        <w:tc>
          <w:tcPr>
            <w:tcW w:w="703" w:type="pct"/>
            <w:shd w:val="clear" w:color="auto" w:fill="auto"/>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一</w:t>
            </w:r>
          </w:p>
        </w:tc>
        <w:tc>
          <w:tcPr>
            <w:tcW w:w="776" w:type="pct"/>
            <w:shd w:val="clear" w:color="auto" w:fill="auto"/>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直接工程费</w:t>
            </w:r>
          </w:p>
        </w:tc>
        <w:tc>
          <w:tcPr>
            <w:tcW w:w="721" w:type="pct"/>
            <w:shd w:val="clear" w:color="auto" w:fill="auto"/>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817" w:type="pct"/>
            <w:shd w:val="clear" w:color="auto" w:fill="auto"/>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992" w:type="pct"/>
            <w:shd w:val="clear" w:color="auto" w:fill="auto"/>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991" w:type="pct"/>
            <w:shd w:val="clear" w:color="auto" w:fill="auto"/>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130.70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703" w:type="pct"/>
            <w:shd w:val="clear" w:color="auto" w:fill="auto"/>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（一）</w:t>
            </w:r>
          </w:p>
        </w:tc>
        <w:tc>
          <w:tcPr>
            <w:tcW w:w="776" w:type="pct"/>
            <w:shd w:val="clear" w:color="auto" w:fill="auto"/>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直接费</w:t>
            </w:r>
          </w:p>
        </w:tc>
        <w:tc>
          <w:tcPr>
            <w:tcW w:w="721" w:type="pct"/>
            <w:shd w:val="clear" w:color="auto" w:fill="auto"/>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817" w:type="pct"/>
            <w:shd w:val="clear" w:color="auto" w:fill="auto"/>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992" w:type="pct"/>
            <w:shd w:val="clear" w:color="auto" w:fill="auto"/>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991" w:type="pct"/>
            <w:shd w:val="clear" w:color="auto" w:fill="auto"/>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119.69</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703" w:type="pct"/>
            <w:shd w:val="clear" w:color="auto" w:fill="auto"/>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1</w:t>
            </w:r>
          </w:p>
        </w:tc>
        <w:tc>
          <w:tcPr>
            <w:tcW w:w="776" w:type="pct"/>
            <w:shd w:val="clear" w:color="auto" w:fill="auto"/>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人工费</w:t>
            </w:r>
          </w:p>
        </w:tc>
        <w:tc>
          <w:tcPr>
            <w:tcW w:w="721" w:type="pct"/>
            <w:shd w:val="clear" w:color="auto" w:fill="auto"/>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817" w:type="pct"/>
            <w:shd w:val="clear" w:color="auto" w:fill="auto"/>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992" w:type="pct"/>
            <w:shd w:val="clear" w:color="auto" w:fill="auto"/>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991" w:type="pct"/>
            <w:shd w:val="clear" w:color="auto" w:fill="auto"/>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40.35</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703" w:type="pct"/>
            <w:shd w:val="clear" w:color="auto" w:fill="auto"/>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776" w:type="pct"/>
            <w:shd w:val="clear" w:color="auto" w:fill="auto"/>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人工</w:t>
            </w:r>
          </w:p>
        </w:tc>
        <w:tc>
          <w:tcPr>
            <w:tcW w:w="721" w:type="pct"/>
            <w:shd w:val="clear" w:color="auto" w:fill="auto"/>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工时</w:t>
            </w:r>
          </w:p>
        </w:tc>
        <w:tc>
          <w:tcPr>
            <w:tcW w:w="817" w:type="pct"/>
            <w:shd w:val="clear" w:color="auto" w:fill="auto"/>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5</w:t>
            </w:r>
          </w:p>
        </w:tc>
        <w:tc>
          <w:tcPr>
            <w:tcW w:w="992" w:type="pct"/>
            <w:shd w:val="clear" w:color="auto" w:fill="auto"/>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8.07</w:t>
            </w:r>
          </w:p>
        </w:tc>
        <w:tc>
          <w:tcPr>
            <w:tcW w:w="991" w:type="pct"/>
            <w:shd w:val="clear" w:color="auto" w:fill="auto"/>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40.35</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703" w:type="pct"/>
            <w:shd w:val="clear" w:color="auto" w:fill="auto"/>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2</w:t>
            </w:r>
          </w:p>
        </w:tc>
        <w:tc>
          <w:tcPr>
            <w:tcW w:w="776" w:type="pct"/>
            <w:shd w:val="clear" w:color="auto" w:fill="auto"/>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材料费</w:t>
            </w:r>
          </w:p>
        </w:tc>
        <w:tc>
          <w:tcPr>
            <w:tcW w:w="721" w:type="pct"/>
            <w:shd w:val="clear" w:color="auto" w:fill="auto"/>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817" w:type="pct"/>
            <w:shd w:val="clear" w:color="auto" w:fill="auto"/>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992" w:type="pct"/>
            <w:shd w:val="clear" w:color="auto" w:fill="auto"/>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991" w:type="pct"/>
            <w:shd w:val="clear" w:color="auto" w:fill="auto"/>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79.34</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703" w:type="pct"/>
            <w:shd w:val="clear" w:color="auto" w:fill="auto"/>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776" w:type="pct"/>
            <w:shd w:val="clear" w:color="auto" w:fill="auto"/>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彩条旗</w:t>
            </w:r>
          </w:p>
        </w:tc>
        <w:tc>
          <w:tcPr>
            <w:tcW w:w="721" w:type="pct"/>
            <w:shd w:val="clear" w:color="auto" w:fill="auto"/>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m</w:t>
            </w:r>
          </w:p>
        </w:tc>
        <w:tc>
          <w:tcPr>
            <w:tcW w:w="817" w:type="pct"/>
            <w:shd w:val="clear" w:color="auto" w:fill="auto"/>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105</w:t>
            </w:r>
          </w:p>
        </w:tc>
        <w:tc>
          <w:tcPr>
            <w:tcW w:w="992" w:type="pct"/>
            <w:shd w:val="clear" w:color="auto" w:fill="auto"/>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0.52</w:t>
            </w:r>
          </w:p>
        </w:tc>
        <w:tc>
          <w:tcPr>
            <w:tcW w:w="991" w:type="pct"/>
            <w:shd w:val="clear" w:color="auto" w:fill="auto"/>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54.64</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703" w:type="pct"/>
            <w:shd w:val="clear" w:color="auto" w:fill="auto"/>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776" w:type="pct"/>
            <w:shd w:val="clear" w:color="auto" w:fill="auto"/>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木条</w:t>
            </w:r>
          </w:p>
        </w:tc>
        <w:tc>
          <w:tcPr>
            <w:tcW w:w="721" w:type="pct"/>
            <w:shd w:val="clear" w:color="auto" w:fill="auto"/>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根</w:t>
            </w:r>
          </w:p>
        </w:tc>
        <w:tc>
          <w:tcPr>
            <w:tcW w:w="817" w:type="pct"/>
            <w:shd w:val="clear" w:color="auto" w:fill="auto"/>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11</w:t>
            </w:r>
          </w:p>
        </w:tc>
        <w:tc>
          <w:tcPr>
            <w:tcW w:w="992" w:type="pct"/>
            <w:shd w:val="clear" w:color="auto" w:fill="auto"/>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2.04</w:t>
            </w:r>
          </w:p>
        </w:tc>
        <w:tc>
          <w:tcPr>
            <w:tcW w:w="991" w:type="pct"/>
            <w:shd w:val="clear" w:color="auto" w:fill="auto"/>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22.39</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703" w:type="pct"/>
            <w:shd w:val="clear" w:color="auto" w:fill="auto"/>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776" w:type="pct"/>
            <w:shd w:val="clear" w:color="auto" w:fill="auto"/>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其他材料费</w:t>
            </w:r>
          </w:p>
        </w:tc>
        <w:tc>
          <w:tcPr>
            <w:tcW w:w="721" w:type="pct"/>
            <w:shd w:val="clear" w:color="auto" w:fill="auto"/>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w:t>
            </w:r>
          </w:p>
        </w:tc>
        <w:tc>
          <w:tcPr>
            <w:tcW w:w="817" w:type="pct"/>
            <w:shd w:val="clear" w:color="auto" w:fill="auto"/>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3</w:t>
            </w:r>
          </w:p>
        </w:tc>
        <w:tc>
          <w:tcPr>
            <w:tcW w:w="992" w:type="pct"/>
            <w:shd w:val="clear" w:color="auto" w:fill="auto"/>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77.03</w:t>
            </w:r>
          </w:p>
        </w:tc>
        <w:tc>
          <w:tcPr>
            <w:tcW w:w="991" w:type="pct"/>
            <w:shd w:val="clear" w:color="auto" w:fill="auto"/>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2.31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703" w:type="pct"/>
            <w:shd w:val="clear" w:color="auto" w:fill="auto"/>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（二）</w:t>
            </w:r>
          </w:p>
        </w:tc>
        <w:tc>
          <w:tcPr>
            <w:tcW w:w="776" w:type="pct"/>
            <w:shd w:val="clear" w:color="auto" w:fill="auto"/>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其他直接费</w:t>
            </w:r>
          </w:p>
        </w:tc>
        <w:tc>
          <w:tcPr>
            <w:tcW w:w="721" w:type="pct"/>
            <w:shd w:val="clear" w:color="auto" w:fill="auto"/>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w:t>
            </w:r>
          </w:p>
        </w:tc>
        <w:tc>
          <w:tcPr>
            <w:tcW w:w="817" w:type="pct"/>
            <w:shd w:val="clear" w:color="auto" w:fill="auto"/>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4</w:t>
            </w:r>
          </w:p>
        </w:tc>
        <w:tc>
          <w:tcPr>
            <w:tcW w:w="992" w:type="pct"/>
            <w:shd w:val="clear" w:color="auto" w:fill="auto"/>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119.69</w:t>
            </w:r>
          </w:p>
        </w:tc>
        <w:tc>
          <w:tcPr>
            <w:tcW w:w="991" w:type="pct"/>
            <w:shd w:val="clear" w:color="auto" w:fill="auto"/>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4.79</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703" w:type="pct"/>
            <w:shd w:val="clear" w:color="auto" w:fill="auto"/>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（三）</w:t>
            </w:r>
          </w:p>
        </w:tc>
        <w:tc>
          <w:tcPr>
            <w:tcW w:w="776" w:type="pct"/>
            <w:shd w:val="clear" w:color="auto" w:fill="auto"/>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现场经费</w:t>
            </w:r>
          </w:p>
        </w:tc>
        <w:tc>
          <w:tcPr>
            <w:tcW w:w="721" w:type="pct"/>
            <w:shd w:val="clear" w:color="auto" w:fill="auto"/>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w:t>
            </w:r>
          </w:p>
        </w:tc>
        <w:tc>
          <w:tcPr>
            <w:tcW w:w="817" w:type="pct"/>
            <w:shd w:val="clear" w:color="auto" w:fill="auto"/>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5</w:t>
            </w:r>
          </w:p>
        </w:tc>
        <w:tc>
          <w:tcPr>
            <w:tcW w:w="992" w:type="pct"/>
            <w:shd w:val="clear" w:color="auto" w:fill="auto"/>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124.47</w:t>
            </w:r>
          </w:p>
        </w:tc>
        <w:tc>
          <w:tcPr>
            <w:tcW w:w="991" w:type="pct"/>
            <w:shd w:val="clear" w:color="auto" w:fill="auto"/>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6.22</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703" w:type="pct"/>
            <w:shd w:val="clear" w:color="auto" w:fill="auto"/>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二</w:t>
            </w:r>
          </w:p>
        </w:tc>
        <w:tc>
          <w:tcPr>
            <w:tcW w:w="776" w:type="pct"/>
            <w:shd w:val="clear" w:color="auto" w:fill="auto"/>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间接费</w:t>
            </w:r>
          </w:p>
        </w:tc>
        <w:tc>
          <w:tcPr>
            <w:tcW w:w="721" w:type="pct"/>
            <w:shd w:val="clear" w:color="auto" w:fill="auto"/>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w:t>
            </w:r>
          </w:p>
        </w:tc>
        <w:tc>
          <w:tcPr>
            <w:tcW w:w="817" w:type="pct"/>
            <w:shd w:val="clear" w:color="auto" w:fill="auto"/>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4.4</w:t>
            </w:r>
          </w:p>
        </w:tc>
        <w:tc>
          <w:tcPr>
            <w:tcW w:w="992" w:type="pct"/>
            <w:shd w:val="clear" w:color="auto" w:fill="auto"/>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130.70</w:t>
            </w:r>
          </w:p>
        </w:tc>
        <w:tc>
          <w:tcPr>
            <w:tcW w:w="991" w:type="pct"/>
            <w:shd w:val="clear" w:color="auto" w:fill="auto"/>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5.75</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703" w:type="pct"/>
            <w:shd w:val="clear" w:color="auto" w:fill="auto"/>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三</w:t>
            </w:r>
          </w:p>
        </w:tc>
        <w:tc>
          <w:tcPr>
            <w:tcW w:w="776" w:type="pct"/>
            <w:shd w:val="clear" w:color="auto" w:fill="auto"/>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企业利润</w:t>
            </w:r>
          </w:p>
        </w:tc>
        <w:tc>
          <w:tcPr>
            <w:tcW w:w="721" w:type="pct"/>
            <w:shd w:val="clear" w:color="auto" w:fill="auto"/>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w:t>
            </w:r>
          </w:p>
        </w:tc>
        <w:tc>
          <w:tcPr>
            <w:tcW w:w="817" w:type="pct"/>
            <w:shd w:val="clear" w:color="auto" w:fill="auto"/>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7</w:t>
            </w:r>
          </w:p>
        </w:tc>
        <w:tc>
          <w:tcPr>
            <w:tcW w:w="992" w:type="pct"/>
            <w:shd w:val="clear" w:color="auto" w:fill="auto"/>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136.45</w:t>
            </w:r>
          </w:p>
        </w:tc>
        <w:tc>
          <w:tcPr>
            <w:tcW w:w="991" w:type="pct"/>
            <w:shd w:val="clear" w:color="auto" w:fill="auto"/>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9.55</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703" w:type="pct"/>
            <w:shd w:val="clear" w:color="auto" w:fill="auto"/>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四</w:t>
            </w:r>
          </w:p>
        </w:tc>
        <w:tc>
          <w:tcPr>
            <w:tcW w:w="776" w:type="pct"/>
            <w:shd w:val="clear" w:color="auto" w:fill="auto"/>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税金</w:t>
            </w:r>
          </w:p>
        </w:tc>
        <w:tc>
          <w:tcPr>
            <w:tcW w:w="721" w:type="pct"/>
            <w:shd w:val="clear" w:color="auto" w:fill="auto"/>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w:t>
            </w:r>
          </w:p>
        </w:tc>
        <w:tc>
          <w:tcPr>
            <w:tcW w:w="817" w:type="pct"/>
            <w:shd w:val="clear" w:color="auto" w:fill="auto"/>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9</w:t>
            </w:r>
          </w:p>
        </w:tc>
        <w:tc>
          <w:tcPr>
            <w:tcW w:w="992" w:type="pct"/>
            <w:shd w:val="clear" w:color="auto" w:fill="auto"/>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146.00</w:t>
            </w:r>
          </w:p>
        </w:tc>
        <w:tc>
          <w:tcPr>
            <w:tcW w:w="991" w:type="pct"/>
            <w:shd w:val="clear" w:color="auto" w:fill="auto"/>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13.14</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1478" w:type="pct"/>
            <w:gridSpan w:val="2"/>
            <w:shd w:val="clear" w:color="auto" w:fill="auto"/>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扩大</w:t>
            </w:r>
          </w:p>
        </w:tc>
        <w:tc>
          <w:tcPr>
            <w:tcW w:w="721" w:type="pct"/>
            <w:shd w:val="clear" w:color="auto" w:fill="auto"/>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w:t>
            </w:r>
          </w:p>
        </w:tc>
        <w:tc>
          <w:tcPr>
            <w:tcW w:w="817" w:type="pct"/>
            <w:shd w:val="clear" w:color="auto" w:fill="auto"/>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10</w:t>
            </w:r>
          </w:p>
        </w:tc>
        <w:tc>
          <w:tcPr>
            <w:tcW w:w="992" w:type="pct"/>
            <w:shd w:val="clear" w:color="auto" w:fill="auto"/>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159.14</w:t>
            </w:r>
          </w:p>
        </w:tc>
        <w:tc>
          <w:tcPr>
            <w:tcW w:w="991" w:type="pct"/>
            <w:shd w:val="clear" w:color="auto" w:fill="auto"/>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15.91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1478" w:type="pct"/>
            <w:gridSpan w:val="2"/>
            <w:shd w:val="clear" w:color="auto" w:fill="auto"/>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合计</w:t>
            </w:r>
          </w:p>
        </w:tc>
        <w:tc>
          <w:tcPr>
            <w:tcW w:w="721" w:type="pct"/>
            <w:shd w:val="clear" w:color="auto" w:fill="auto"/>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元</w:t>
            </w:r>
          </w:p>
        </w:tc>
        <w:tc>
          <w:tcPr>
            <w:tcW w:w="817" w:type="pct"/>
            <w:shd w:val="clear" w:color="auto" w:fill="auto"/>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992" w:type="pct"/>
            <w:shd w:val="clear" w:color="auto" w:fill="auto"/>
            <w:vAlign w:val="center"/>
          </w:tcPr>
          <w:p>
            <w:pPr>
              <w:widowControl/>
              <w:topLinePunct w:val="0"/>
              <w:adjustRightInd/>
              <w:snapToGrid/>
              <w:spacing w:line="240" w:lineRule="auto"/>
              <w:ind w:firstLine="0" w:firstLineChars="0"/>
              <w:jc w:val="center"/>
              <w:rPr>
                <w:rFonts w:eastAsia="仿宋_GB2312"/>
                <w:color w:val="000000"/>
                <w:sz w:val="21"/>
                <w:szCs w:val="21"/>
              </w:rPr>
            </w:pPr>
          </w:p>
        </w:tc>
        <w:tc>
          <w:tcPr>
            <w:tcW w:w="991" w:type="pct"/>
            <w:shd w:val="clear" w:color="auto" w:fill="auto"/>
            <w:vAlign w:val="center"/>
          </w:tcPr>
          <w:p>
            <w:pPr>
              <w:widowControl/>
              <w:topLinePunct w:val="0"/>
              <w:adjustRightInd/>
              <w:snapToGrid/>
              <w:spacing w:line="240" w:lineRule="auto"/>
              <w:ind w:firstLine="0" w:firstLineChars="0"/>
              <w:jc w:val="center"/>
              <w:rPr>
                <w:rFonts w:eastAsia="仿宋_GB2312"/>
                <w:color w:val="000000"/>
                <w:sz w:val="21"/>
                <w:szCs w:val="21"/>
              </w:rPr>
            </w:pPr>
            <w:r>
              <w:rPr>
                <w:rFonts w:eastAsia="仿宋_GB2312"/>
                <w:color w:val="000000"/>
                <w:sz w:val="21"/>
                <w:szCs w:val="21"/>
              </w:rPr>
              <w:t>175.05</w:t>
            </w:r>
          </w:p>
        </w:tc>
      </w:tr>
    </w:tbl>
    <w:p>
      <w:pPr>
        <w:spacing w:line="240" w:lineRule="auto"/>
        <w:ind w:firstLine="0" w:firstLineChars="0"/>
        <w:jc w:val="center"/>
        <w:rPr>
          <w:rFonts w:eastAsia="仿宋_GB2312"/>
          <w:b/>
        </w:rPr>
      </w:pPr>
    </w:p>
    <w:sectPr>
      <w:pgSz w:w="11906" w:h="16838"/>
      <w:pgMar w:top="1440" w:right="1803" w:bottom="1440" w:left="1803" w:header="851" w:footer="992" w:gutter="0"/>
      <w:pgNumType w:start="1"/>
      <w:cols w:space="720" w:num="1"/>
      <w:docGrid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10" w:usb3="00000000" w:csb0="00040000" w:csb1="00000000"/>
  </w:font>
  <w:font w:name="Cambria">
    <w:panose1 w:val="02040503050406030204"/>
    <w:charset w:val="00"/>
    <w:family w:val="roman"/>
    <w:pitch w:val="default"/>
    <w:sig w:usb0="E00002FF" w:usb1="400004FF" w:usb2="00000000" w:usb3="00000000" w:csb0="2000019F" w:csb1="00000000"/>
  </w:font>
  <w:font w:name="Arial Unicode MS">
    <w:altName w:val="宋体"/>
    <w:panose1 w:val="020B0604020202020204"/>
    <w:charset w:val="86"/>
    <w:family w:val="swiss"/>
    <w:pitch w:val="default"/>
    <w:sig w:usb0="00000000" w:usb1="00000000" w:usb2="0000003F" w:usb3="00000000" w:csb0="003F01FF" w:csb1="00000000"/>
  </w:font>
  <w:font w:name="Courier New">
    <w:panose1 w:val="02070309020205020404"/>
    <w:charset w:val="00"/>
    <w:family w:val="modern"/>
    <w:pitch w:val="default"/>
    <w:sig w:usb0="E0002AFF" w:usb1="C0007843" w:usb2="00000009" w:usb3="00000000" w:csb0="400001FF" w:csb1="FFFF0000"/>
  </w:font>
  <w:font w:name="Arial">
    <w:panose1 w:val="020B0604020202020204"/>
    <w:charset w:val="00"/>
    <w:family w:val="swiss"/>
    <w:pitch w:val="default"/>
    <w:sig w:usb0="E0002AFF" w:usb1="C0007843" w:usb2="00000009" w:usb3="00000000" w:csb0="400001FF" w:csb1="FFFF0000"/>
  </w:font>
  <w:font w:name="楷体_GB2312">
    <w:altName w:val="楷体"/>
    <w:panose1 w:val="00000000000000000000"/>
    <w:charset w:val="86"/>
    <w:family w:val="modern"/>
    <w:pitch w:val="default"/>
    <w:sig w:usb0="00000000" w:usb1="00000000" w:usb2="00000010" w:usb3="00000000" w:csb0="00040000" w:csb1="00000000"/>
  </w:font>
  <w:font w:name="ˎ̥">
    <w:altName w:val="Times New Roman"/>
    <w:panose1 w:val="00000000000000000000"/>
    <w:charset w:val="00"/>
    <w:family w:val="roman"/>
    <w:pitch w:val="default"/>
    <w:sig w:usb0="00000000" w:usb1="00000000" w:usb2="00000000" w:usb3="00000000" w:csb0="00040001" w:csb1="00000000"/>
  </w:font>
  <w:font w:name="ISOCT">
    <w:altName w:val="Segoe Print"/>
    <w:panose1 w:val="00000400000000000000"/>
    <w:charset w:val="00"/>
    <w:family w:val="auto"/>
    <w:pitch w:val="default"/>
    <w:sig w:usb0="00000000" w:usb1="00000000" w:usb2="00000000" w:usb3="00000000" w:csb0="000001FF" w:csb1="00000000"/>
  </w:font>
  <w:font w:name="Microsoft JhengHei">
    <w:panose1 w:val="020B0604030504040204"/>
    <w:charset w:val="88"/>
    <w:family w:val="swiss"/>
    <w:pitch w:val="default"/>
    <w:sig w:usb0="00000087" w:usb1="28AF4000" w:usb2="00000016" w:usb3="00000000" w:csb0="00100009"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right" w:pos="8647"/>
      </w:tabs>
      <w:ind w:firstLine="420"/>
      <w:jc w:val="center"/>
      <w:rPr>
        <w:sz w:val="21"/>
        <w:szCs w:val="21"/>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right" w:pos="8647"/>
      </w:tabs>
      <w:ind w:firstLine="420"/>
      <w:jc w:val="center"/>
      <w:rPr>
        <w:sz w:val="21"/>
        <w:szCs w:val="21"/>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framePr w:wrap="around" w:vAnchor="text" w:hAnchor="margin" w:xAlign="center" w:y="1"/>
      <w:rPr>
        <w:rStyle w:val="43"/>
      </w:rPr>
    </w:pPr>
    <w:r>
      <w:rPr>
        <w:rStyle w:val="43"/>
      </w:rPr>
      <w:fldChar w:fldCharType="begin"/>
    </w:r>
    <w:r>
      <w:rPr>
        <w:rStyle w:val="43"/>
      </w:rPr>
      <w:instrText xml:space="preserve">PAGE  </w:instrText>
    </w:r>
    <w:r>
      <w:rPr>
        <w:rStyle w:val="43"/>
      </w:rPr>
      <w:fldChar w:fldCharType="separate"/>
    </w:r>
    <w:r>
      <w:rPr>
        <w:rStyle w:val="43"/>
      </w:rPr>
      <w:t>ii</w:t>
    </w:r>
    <w:r>
      <w:rPr>
        <w:rStyle w:val="43"/>
      </w:rPr>
      <w:fldChar w:fldCharType="end"/>
    </w:r>
  </w:p>
  <w:p>
    <w:pPr>
      <w:pBdr>
        <w:top w:val="single" w:color="auto" w:sz="4" w:space="1"/>
      </w:pBdr>
      <w:ind w:firstLine="0" w:firstLineChars="0"/>
      <w:jc w:val="left"/>
      <w:rPr>
        <w:rFonts w:eastAsia="仿宋_GB2312"/>
        <w:sz w:val="18"/>
        <w:szCs w:val="18"/>
      </w:rPr>
    </w:pPr>
    <w:r>
      <w:rPr>
        <w:rFonts w:hint="eastAsia" w:eastAsia="仿宋_GB2312"/>
        <w:sz w:val="18"/>
        <w:szCs w:val="18"/>
      </w:rPr>
      <w:t>新疆新农丽景环境工程咨询有限公司</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framePr w:wrap="around" w:vAnchor="text" w:hAnchor="margin" w:xAlign="center" w:y="1"/>
      <w:rPr>
        <w:rStyle w:val="43"/>
      </w:rPr>
    </w:pPr>
    <w:r>
      <w:rPr>
        <w:rStyle w:val="43"/>
      </w:rPr>
      <w:fldChar w:fldCharType="begin"/>
    </w:r>
    <w:r>
      <w:rPr>
        <w:rStyle w:val="43"/>
      </w:rPr>
      <w:instrText xml:space="preserve">PAGE  </w:instrText>
    </w:r>
    <w:r>
      <w:rPr>
        <w:rStyle w:val="43"/>
      </w:rPr>
      <w:fldChar w:fldCharType="separate"/>
    </w:r>
    <w:r>
      <w:rPr>
        <w:rStyle w:val="43"/>
      </w:rPr>
      <w:t>xiv</w:t>
    </w:r>
    <w:r>
      <w:rPr>
        <w:rStyle w:val="43"/>
      </w:rPr>
      <w:fldChar w:fldCharType="end"/>
    </w:r>
  </w:p>
  <w:p>
    <w:pPr>
      <w:ind w:firstLine="480"/>
      <w:rPr>
        <w:szCs w:val="21"/>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framePr w:wrap="around" w:vAnchor="text" w:hAnchor="margin" w:xAlign="center" w:y="1"/>
      <w:rPr>
        <w:rStyle w:val="43"/>
      </w:rPr>
    </w:pPr>
    <w:r>
      <w:rPr>
        <w:rStyle w:val="43"/>
      </w:rPr>
      <w:fldChar w:fldCharType="begin"/>
    </w:r>
    <w:r>
      <w:rPr>
        <w:rStyle w:val="43"/>
      </w:rPr>
      <w:instrText xml:space="preserve">PAGE  </w:instrText>
    </w:r>
    <w:r>
      <w:rPr>
        <w:rStyle w:val="43"/>
      </w:rPr>
      <w:fldChar w:fldCharType="separate"/>
    </w:r>
    <w:r>
      <w:rPr>
        <w:rStyle w:val="43"/>
      </w:rPr>
      <w:t>2</w:t>
    </w:r>
    <w:r>
      <w:rPr>
        <w:rStyle w:val="43"/>
      </w:rPr>
      <w:fldChar w:fldCharType="end"/>
    </w:r>
  </w:p>
  <w:p>
    <w:pPr>
      <w:pBdr>
        <w:top w:val="single" w:color="auto" w:sz="4" w:space="1"/>
      </w:pBdr>
      <w:ind w:firstLine="0" w:firstLineChars="0"/>
      <w:jc w:val="left"/>
      <w:rPr>
        <w:rFonts w:eastAsia="仿宋_GB2312"/>
        <w:sz w:val="18"/>
        <w:szCs w:val="18"/>
      </w:rPr>
    </w:pPr>
    <w:r>
      <w:rPr>
        <w:rFonts w:hint="eastAsia" w:eastAsia="仿宋_GB2312"/>
        <w:sz w:val="18"/>
        <w:szCs w:val="18"/>
      </w:rPr>
      <w:t>新疆新农丽景环境工程咨询有限公司</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48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48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left="480" w:firstLine="0" w:firstLineChars="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Pr>
    <w:r>
      <w:rPr>
        <w:rFonts w:hint="eastAsia" w:hAnsi="宋体"/>
      </w:rPr>
      <w:t>6水土保持监测</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480"/>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480"/>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Pr>
    <w:r>
      <w:rPr>
        <w:rFonts w:hint="eastAsia" w:hAnsi="宋体"/>
      </w:rPr>
      <w:t>7水土保持投资估算与效益分析</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Pr>
    <w:r>
      <w:rPr>
        <w:rFonts w:hint="eastAsia" w:hAnsi="宋体"/>
      </w:rPr>
      <w:t>8水土保持管理</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left="480" w:firstLine="0" w:firstLineChars="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1"/>
      </w:pBdr>
      <w:spacing w:line="240" w:lineRule="auto"/>
      <w:ind w:firstLine="0" w:firstLineChars="0"/>
      <w:jc w:val="center"/>
      <w:rPr>
        <w:sz w:val="18"/>
        <w:szCs w:val="18"/>
      </w:rPr>
    </w:pPr>
    <w:r>
      <w:rPr>
        <w:rFonts w:hint="eastAsia" w:hAnsi="宋体"/>
        <w:sz w:val="18"/>
        <w:szCs w:val="18"/>
      </w:rPr>
      <w:t>目录</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rPr>
        <w:rFonts w:eastAsia="仿宋_GB2312"/>
      </w:rPr>
    </w:pPr>
    <w:r>
      <w:rPr>
        <w:rFonts w:eastAsia="仿宋_GB2312"/>
      </w:rPr>
      <w:t>1综合说明</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Pr>
    <w:r>
      <w:rPr>
        <w:rFonts w:hint="eastAsia" w:hAnsi="宋体"/>
      </w:rPr>
      <w:t>2项目概况</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Pr>
    <w:r>
      <w:rPr>
        <w:rFonts w:hint="eastAsia" w:hAnsi="宋体"/>
      </w:rPr>
      <w:t>2项目概况</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Pr>
    <w:r>
      <w:rPr>
        <w:rFonts w:hint="eastAsia" w:hAnsi="宋体"/>
      </w:rPr>
      <w:t>3项目水土保持评价</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Pr>
    <w:r>
      <w:rPr>
        <w:rFonts w:hint="eastAsia" w:hAnsi="宋体"/>
      </w:rPr>
      <w:t>4水土流失分析与预测</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rPr>
        <w:sz w:val="21"/>
        <w:szCs w:val="21"/>
      </w:rPr>
    </w:pPr>
    <w:r>
      <w:rPr>
        <w:rFonts w:hint="eastAsia" w:hAnsi="宋体"/>
        <w:sz w:val="21"/>
        <w:szCs w:val="21"/>
      </w:rPr>
      <w:t>5水土保持措施</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9274A2B"/>
    <w:multiLevelType w:val="multilevel"/>
    <w:tmpl w:val="39274A2B"/>
    <w:lvl w:ilvl="0" w:tentative="0">
      <w:start w:val="1"/>
      <w:numFmt w:val="decimal"/>
      <w:pStyle w:val="140"/>
      <w:lvlText w:val="%1"/>
      <w:lvlJc w:val="left"/>
      <w:pPr>
        <w:tabs>
          <w:tab w:val="left" w:pos="432"/>
        </w:tabs>
        <w:ind w:left="0" w:firstLine="0"/>
      </w:pPr>
      <w:rPr>
        <w:rFonts w:hint="eastAsia" w:eastAsia="仿宋_GB2312" w:cs="Times New Roman"/>
        <w:sz w:val="32"/>
        <w:szCs w:val="32"/>
      </w:rPr>
    </w:lvl>
    <w:lvl w:ilvl="1" w:tentative="0">
      <w:start w:val="1"/>
      <w:numFmt w:val="decimal"/>
      <w:lvlText w:val="%1.%2"/>
      <w:lvlJc w:val="left"/>
      <w:pPr>
        <w:tabs>
          <w:tab w:val="left" w:pos="1002"/>
        </w:tabs>
        <w:ind w:left="1002" w:hanging="576"/>
      </w:pPr>
      <w:rPr>
        <w:rFonts w:hint="eastAsia" w:cs="Times New Roman"/>
      </w:rPr>
    </w:lvl>
    <w:lvl w:ilvl="2" w:tentative="0">
      <w:start w:val="1"/>
      <w:numFmt w:val="decimal"/>
      <w:lvlText w:val="%1.%2.%3"/>
      <w:lvlJc w:val="left"/>
      <w:pPr>
        <w:tabs>
          <w:tab w:val="left" w:pos="720"/>
        </w:tabs>
        <w:ind w:left="720" w:hanging="720"/>
      </w:pPr>
      <w:rPr>
        <w:rFonts w:hint="eastAsia" w:ascii="Times New Roman" w:hAnsi="Times New Roman" w:cs="Times New Roman"/>
        <w:b/>
        <w:bCs w:val="0"/>
        <w:i w:val="0"/>
        <w:iCs w:val="0"/>
        <w:caps w:val="0"/>
        <w:smallCaps w:val="0"/>
        <w:strike w:val="0"/>
        <w:dstrike w:val="0"/>
        <w:vanish w:val="0"/>
        <w:color w:val="000000"/>
        <w:spacing w:val="0"/>
        <w:kern w:val="0"/>
        <w:position w:val="0"/>
        <w:u w:val="none"/>
        <w:vertAlign w:val="baseline"/>
      </w:rPr>
    </w:lvl>
    <w:lvl w:ilvl="3" w:tentative="0">
      <w:start w:val="1"/>
      <w:numFmt w:val="decimal"/>
      <w:pStyle w:val="5"/>
      <w:lvlText w:val="%1.%2.%3.%4"/>
      <w:lvlJc w:val="left"/>
      <w:pPr>
        <w:tabs>
          <w:tab w:val="left" w:pos="864"/>
        </w:tabs>
        <w:ind w:left="0" w:firstLine="0"/>
      </w:pPr>
      <w:rPr>
        <w:rFonts w:hint="eastAsia" w:ascii="Times New Roman" w:hAnsi="Times New Roman" w:cs="Times New Roman"/>
        <w:b/>
        <w:bCs w:val="0"/>
        <w:i w:val="0"/>
        <w:iCs w:val="0"/>
        <w:caps w:val="0"/>
        <w:smallCaps w:val="0"/>
        <w:strike w:val="0"/>
        <w:dstrike w:val="0"/>
        <w:snapToGrid w:val="0"/>
        <w:color w:val="000000"/>
        <w:spacing w:val="0"/>
        <w:w w:val="0"/>
        <w:kern w:val="0"/>
        <w:position w:val="0"/>
        <w:szCs w:val="16"/>
        <w:u w:val="none"/>
        <w:lang w:val="de-DE"/>
      </w:rPr>
    </w:lvl>
    <w:lvl w:ilvl="4" w:tentative="0">
      <w:start w:val="1"/>
      <w:numFmt w:val="decimal"/>
      <w:lvlText w:val="(%5)"/>
      <w:lvlJc w:val="left"/>
      <w:pPr>
        <w:ind w:left="750" w:hanging="750"/>
      </w:pPr>
      <w:rPr>
        <w:rFonts w:hint="default"/>
      </w:rPr>
    </w:lvl>
    <w:lvl w:ilvl="5" w:tentative="0">
      <w:start w:val="1"/>
      <w:numFmt w:val="decimal"/>
      <w:lvlText w:val="%1.%2.%3.%4.%5.%6"/>
      <w:lvlJc w:val="left"/>
      <w:pPr>
        <w:tabs>
          <w:tab w:val="left" w:pos="1152"/>
        </w:tabs>
        <w:ind w:left="1152" w:hanging="1152"/>
      </w:pPr>
      <w:rPr>
        <w:rFonts w:hint="eastAsia" w:cs="Times New Roman"/>
      </w:rPr>
    </w:lvl>
    <w:lvl w:ilvl="6" w:tentative="0">
      <w:start w:val="1"/>
      <w:numFmt w:val="decimal"/>
      <w:lvlText w:val="%1.%2.%3.%4.%5.%6.%7"/>
      <w:lvlJc w:val="left"/>
      <w:pPr>
        <w:tabs>
          <w:tab w:val="left" w:pos="1296"/>
        </w:tabs>
        <w:ind w:left="1296" w:hanging="1296"/>
      </w:pPr>
      <w:rPr>
        <w:rFonts w:hint="eastAsia" w:cs="Times New Roman"/>
      </w:rPr>
    </w:lvl>
    <w:lvl w:ilvl="7" w:tentative="0">
      <w:start w:val="1"/>
      <w:numFmt w:val="decimal"/>
      <w:lvlText w:val="%1.%2.%3.%4.%5.%6.%7.%8"/>
      <w:lvlJc w:val="left"/>
      <w:pPr>
        <w:tabs>
          <w:tab w:val="left" w:pos="1440"/>
        </w:tabs>
        <w:ind w:left="1440" w:hanging="1440"/>
      </w:pPr>
      <w:rPr>
        <w:rFonts w:hint="eastAsia" w:cs="Times New Roman"/>
      </w:rPr>
    </w:lvl>
    <w:lvl w:ilvl="8" w:tentative="0">
      <w:start w:val="1"/>
      <w:numFmt w:val="decimal"/>
      <w:lvlText w:val="%1.%2.%3.%4.%5.%6.%7.%8.%9"/>
      <w:lvlJc w:val="left"/>
      <w:pPr>
        <w:tabs>
          <w:tab w:val="left" w:pos="1584"/>
        </w:tabs>
        <w:ind w:left="1584" w:hanging="1584"/>
      </w:pPr>
      <w:rPr>
        <w:rFonts w:hint="eastAsia" w:cs="Times New Roman"/>
      </w:rPr>
    </w:lvl>
  </w:abstractNum>
  <w:abstractNum w:abstractNumId="1">
    <w:nsid w:val="7C5B0F61"/>
    <w:multiLevelType w:val="multilevel"/>
    <w:tmpl w:val="7C5B0F61"/>
    <w:lvl w:ilvl="0" w:tentative="0">
      <w:start w:val="1"/>
      <w:numFmt w:val="decimal"/>
      <w:suff w:val="space"/>
      <w:lvlText w:val="%1"/>
      <w:lvlJc w:val="left"/>
      <w:pPr>
        <w:ind w:left="432" w:hanging="432"/>
      </w:pPr>
      <w:rPr>
        <w:rFonts w:hint="default" w:ascii="Times New Roman" w:hAnsi="Times New Roman" w:cs="Times New Roman"/>
      </w:rPr>
    </w:lvl>
    <w:lvl w:ilvl="1" w:tentative="0">
      <w:start w:val="1"/>
      <w:numFmt w:val="decimal"/>
      <w:suff w:val="space"/>
      <w:lvlText w:val="%1.%2"/>
      <w:lvlJc w:val="left"/>
      <w:pPr>
        <w:ind w:left="576" w:hanging="576"/>
      </w:pPr>
      <w:rPr>
        <w:rFonts w:hint="default" w:ascii="Times New Roman" w:hAnsi="Times New Roman" w:cs="Times New Roman"/>
      </w:rPr>
    </w:lvl>
    <w:lvl w:ilvl="2" w:tentative="0">
      <w:start w:val="1"/>
      <w:numFmt w:val="decimal"/>
      <w:suff w:val="space"/>
      <w:lvlText w:val="%1.%2.%3"/>
      <w:lvlJc w:val="left"/>
      <w:pPr>
        <w:ind w:left="720" w:hanging="720"/>
      </w:pPr>
      <w:rPr>
        <w:rFonts w:hint="default" w:ascii="Times New Roman" w:hAnsi="Times New Roman" w:eastAsia="宋体" w:cs="Times New Roman"/>
      </w:rPr>
    </w:lvl>
    <w:lvl w:ilvl="3" w:tentative="0">
      <w:start w:val="1"/>
      <w:numFmt w:val="decimal"/>
      <w:lvlText w:val="%1.%2.%3.%4"/>
      <w:lvlJc w:val="left"/>
      <w:pPr>
        <w:ind w:left="864" w:hanging="864"/>
      </w:pPr>
      <w:rPr>
        <w:rFonts w:hint="default" w:ascii="Times New Roman" w:hAnsi="Times New Roman" w:cs="Times New Roman"/>
      </w:rPr>
    </w:lvl>
    <w:lvl w:ilvl="4" w:tentative="0">
      <w:start w:val="1"/>
      <w:numFmt w:val="decimal"/>
      <w:pStyle w:val="6"/>
      <w:lvlText w:val="%1.%2.%3.%4.%5"/>
      <w:lvlJc w:val="left"/>
      <w:pPr>
        <w:ind w:left="1008" w:hanging="1008"/>
      </w:pPr>
      <w:rPr>
        <w:rFonts w:hint="eastAsia" w:cs="Times New Roman"/>
      </w:rPr>
    </w:lvl>
    <w:lvl w:ilvl="5" w:tentative="0">
      <w:start w:val="1"/>
      <w:numFmt w:val="decimal"/>
      <w:pStyle w:val="7"/>
      <w:lvlText w:val="%1.%2.%3.%4.%5.%6"/>
      <w:lvlJc w:val="left"/>
      <w:pPr>
        <w:ind w:left="1152" w:hanging="1152"/>
      </w:pPr>
      <w:rPr>
        <w:rFonts w:hint="eastAsia" w:cs="Times New Roman"/>
      </w:rPr>
    </w:lvl>
    <w:lvl w:ilvl="6" w:tentative="0">
      <w:start w:val="1"/>
      <w:numFmt w:val="decimal"/>
      <w:pStyle w:val="8"/>
      <w:lvlText w:val="%1.%2.%3.%4.%5.%6.%7"/>
      <w:lvlJc w:val="left"/>
      <w:pPr>
        <w:ind w:left="1296" w:hanging="1296"/>
      </w:pPr>
      <w:rPr>
        <w:rFonts w:hint="eastAsia" w:cs="Times New Roman"/>
      </w:rPr>
    </w:lvl>
    <w:lvl w:ilvl="7" w:tentative="0">
      <w:start w:val="1"/>
      <w:numFmt w:val="decimal"/>
      <w:pStyle w:val="9"/>
      <w:lvlText w:val="%1.%2.%3.%4.%5.%6.%7.%8"/>
      <w:lvlJc w:val="left"/>
      <w:pPr>
        <w:ind w:left="1440" w:hanging="1440"/>
      </w:pPr>
      <w:rPr>
        <w:rFonts w:hint="eastAsia" w:cs="Times New Roman"/>
      </w:rPr>
    </w:lvl>
    <w:lvl w:ilvl="8" w:tentative="0">
      <w:start w:val="1"/>
      <w:numFmt w:val="decimal"/>
      <w:pStyle w:val="10"/>
      <w:lvlText w:val="%1.%2.%3.%4.%5.%6.%7.%8.%9"/>
      <w:lvlJc w:val="left"/>
      <w:pPr>
        <w:ind w:left="1584" w:hanging="1584"/>
      </w:pPr>
      <w:rPr>
        <w:rFonts w:hint="eastAsia" w:cs="Times New Roman"/>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3"/>
  <w:bordersDoNotSurroundHeader w:val="1"/>
  <w:bordersDoNotSurroundFooter w:val="1"/>
  <w:hideSpellingErrors/>
  <w:hideGrammaticalErrors/>
  <w:documentProtection w:enforcement="0"/>
  <w:defaultTabStop w:val="0"/>
  <w:autoHyphenation/>
  <w:hyphenationZone w:val="142"/>
  <w:drawingGridHorizontalSpacing w:val="120"/>
  <w:drawingGridVerticalSpacing w:val="163"/>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264F73"/>
    <w:rsid w:val="0000050D"/>
    <w:rsid w:val="000005D5"/>
    <w:rsid w:val="000008FE"/>
    <w:rsid w:val="00000D9B"/>
    <w:rsid w:val="00000DD0"/>
    <w:rsid w:val="00001D0A"/>
    <w:rsid w:val="0000229E"/>
    <w:rsid w:val="000025FF"/>
    <w:rsid w:val="00003394"/>
    <w:rsid w:val="00003C0E"/>
    <w:rsid w:val="00003F98"/>
    <w:rsid w:val="00004BA3"/>
    <w:rsid w:val="00005A94"/>
    <w:rsid w:val="00005B62"/>
    <w:rsid w:val="00005B6B"/>
    <w:rsid w:val="000062C7"/>
    <w:rsid w:val="000067D8"/>
    <w:rsid w:val="00006D71"/>
    <w:rsid w:val="00006E64"/>
    <w:rsid w:val="00006FB0"/>
    <w:rsid w:val="0001049A"/>
    <w:rsid w:val="000104AB"/>
    <w:rsid w:val="0001070B"/>
    <w:rsid w:val="00010931"/>
    <w:rsid w:val="00010BBB"/>
    <w:rsid w:val="00010F54"/>
    <w:rsid w:val="000111E5"/>
    <w:rsid w:val="00011434"/>
    <w:rsid w:val="00011CF3"/>
    <w:rsid w:val="00011D2C"/>
    <w:rsid w:val="00011FEA"/>
    <w:rsid w:val="0001212F"/>
    <w:rsid w:val="000123E1"/>
    <w:rsid w:val="00012682"/>
    <w:rsid w:val="0001271E"/>
    <w:rsid w:val="0001273A"/>
    <w:rsid w:val="00012B80"/>
    <w:rsid w:val="00012CB6"/>
    <w:rsid w:val="00012D53"/>
    <w:rsid w:val="00013010"/>
    <w:rsid w:val="000130BA"/>
    <w:rsid w:val="0001312C"/>
    <w:rsid w:val="00013900"/>
    <w:rsid w:val="0001486E"/>
    <w:rsid w:val="0001549F"/>
    <w:rsid w:val="00015892"/>
    <w:rsid w:val="00015AA1"/>
    <w:rsid w:val="00015AED"/>
    <w:rsid w:val="00015F73"/>
    <w:rsid w:val="00016943"/>
    <w:rsid w:val="00016F79"/>
    <w:rsid w:val="00016FB7"/>
    <w:rsid w:val="000176DF"/>
    <w:rsid w:val="00017E8C"/>
    <w:rsid w:val="0002008A"/>
    <w:rsid w:val="0002029F"/>
    <w:rsid w:val="00020998"/>
    <w:rsid w:val="00021B6F"/>
    <w:rsid w:val="00021C23"/>
    <w:rsid w:val="00022072"/>
    <w:rsid w:val="000223BF"/>
    <w:rsid w:val="000231E1"/>
    <w:rsid w:val="0002323A"/>
    <w:rsid w:val="00023DAA"/>
    <w:rsid w:val="00023EEE"/>
    <w:rsid w:val="00024177"/>
    <w:rsid w:val="00024826"/>
    <w:rsid w:val="000250CF"/>
    <w:rsid w:val="00025A9C"/>
    <w:rsid w:val="00025ABA"/>
    <w:rsid w:val="00025B26"/>
    <w:rsid w:val="00025C5C"/>
    <w:rsid w:val="00025E60"/>
    <w:rsid w:val="00026428"/>
    <w:rsid w:val="000269A9"/>
    <w:rsid w:val="00026C49"/>
    <w:rsid w:val="00026DD8"/>
    <w:rsid w:val="00026F25"/>
    <w:rsid w:val="00027832"/>
    <w:rsid w:val="00027C9D"/>
    <w:rsid w:val="000302A8"/>
    <w:rsid w:val="0003058C"/>
    <w:rsid w:val="00030A52"/>
    <w:rsid w:val="00030FC7"/>
    <w:rsid w:val="00031111"/>
    <w:rsid w:val="000316BE"/>
    <w:rsid w:val="00031C56"/>
    <w:rsid w:val="00031DE7"/>
    <w:rsid w:val="0003285F"/>
    <w:rsid w:val="00033662"/>
    <w:rsid w:val="00033D05"/>
    <w:rsid w:val="00034A6A"/>
    <w:rsid w:val="00034D57"/>
    <w:rsid w:val="000352BA"/>
    <w:rsid w:val="000359F8"/>
    <w:rsid w:val="00035EF7"/>
    <w:rsid w:val="00036794"/>
    <w:rsid w:val="000367A4"/>
    <w:rsid w:val="00036AFC"/>
    <w:rsid w:val="00036B60"/>
    <w:rsid w:val="00036CB3"/>
    <w:rsid w:val="00036E7F"/>
    <w:rsid w:val="0003749F"/>
    <w:rsid w:val="0004044C"/>
    <w:rsid w:val="000404D0"/>
    <w:rsid w:val="00040B9B"/>
    <w:rsid w:val="00041585"/>
    <w:rsid w:val="00041697"/>
    <w:rsid w:val="0004184A"/>
    <w:rsid w:val="00041A48"/>
    <w:rsid w:val="00041F15"/>
    <w:rsid w:val="0004285A"/>
    <w:rsid w:val="000434F0"/>
    <w:rsid w:val="00043715"/>
    <w:rsid w:val="00043E3A"/>
    <w:rsid w:val="000442E4"/>
    <w:rsid w:val="0004450C"/>
    <w:rsid w:val="0004497A"/>
    <w:rsid w:val="00044A6D"/>
    <w:rsid w:val="00044AA9"/>
    <w:rsid w:val="00044B0E"/>
    <w:rsid w:val="00044B97"/>
    <w:rsid w:val="0004543F"/>
    <w:rsid w:val="000465B8"/>
    <w:rsid w:val="00046844"/>
    <w:rsid w:val="000468E7"/>
    <w:rsid w:val="0004723E"/>
    <w:rsid w:val="000506F0"/>
    <w:rsid w:val="00050915"/>
    <w:rsid w:val="000512CD"/>
    <w:rsid w:val="00051AEC"/>
    <w:rsid w:val="00052503"/>
    <w:rsid w:val="00052BC0"/>
    <w:rsid w:val="00053757"/>
    <w:rsid w:val="0005395B"/>
    <w:rsid w:val="00054490"/>
    <w:rsid w:val="00054879"/>
    <w:rsid w:val="00054A96"/>
    <w:rsid w:val="00054F8C"/>
    <w:rsid w:val="0005547E"/>
    <w:rsid w:val="00055E4F"/>
    <w:rsid w:val="00055FBA"/>
    <w:rsid w:val="00056AAD"/>
    <w:rsid w:val="00056BDA"/>
    <w:rsid w:val="00056E7C"/>
    <w:rsid w:val="0005735F"/>
    <w:rsid w:val="000576A8"/>
    <w:rsid w:val="0006007A"/>
    <w:rsid w:val="00060E6A"/>
    <w:rsid w:val="00062409"/>
    <w:rsid w:val="00062425"/>
    <w:rsid w:val="00062654"/>
    <w:rsid w:val="00062811"/>
    <w:rsid w:val="000632D5"/>
    <w:rsid w:val="000634C6"/>
    <w:rsid w:val="00063E32"/>
    <w:rsid w:val="00063E7D"/>
    <w:rsid w:val="0006423A"/>
    <w:rsid w:val="00064887"/>
    <w:rsid w:val="0006503F"/>
    <w:rsid w:val="00065B59"/>
    <w:rsid w:val="00065C24"/>
    <w:rsid w:val="00066006"/>
    <w:rsid w:val="000662F9"/>
    <w:rsid w:val="000662FD"/>
    <w:rsid w:val="0006712C"/>
    <w:rsid w:val="00067269"/>
    <w:rsid w:val="00067DE0"/>
    <w:rsid w:val="000700A5"/>
    <w:rsid w:val="000704B3"/>
    <w:rsid w:val="00070FB5"/>
    <w:rsid w:val="00071627"/>
    <w:rsid w:val="00071657"/>
    <w:rsid w:val="00072418"/>
    <w:rsid w:val="00072870"/>
    <w:rsid w:val="00073286"/>
    <w:rsid w:val="000732D1"/>
    <w:rsid w:val="00073B5B"/>
    <w:rsid w:val="00073D5C"/>
    <w:rsid w:val="00074051"/>
    <w:rsid w:val="00074A29"/>
    <w:rsid w:val="00074CF3"/>
    <w:rsid w:val="00075288"/>
    <w:rsid w:val="000756FC"/>
    <w:rsid w:val="000764A5"/>
    <w:rsid w:val="0007675C"/>
    <w:rsid w:val="00076AC9"/>
    <w:rsid w:val="00077445"/>
    <w:rsid w:val="000805E4"/>
    <w:rsid w:val="00081944"/>
    <w:rsid w:val="00081C65"/>
    <w:rsid w:val="00081DE6"/>
    <w:rsid w:val="000824EA"/>
    <w:rsid w:val="0008251B"/>
    <w:rsid w:val="000827EA"/>
    <w:rsid w:val="00082CB6"/>
    <w:rsid w:val="00083049"/>
    <w:rsid w:val="0008325D"/>
    <w:rsid w:val="000834EC"/>
    <w:rsid w:val="0008387F"/>
    <w:rsid w:val="00084437"/>
    <w:rsid w:val="00085212"/>
    <w:rsid w:val="0008548E"/>
    <w:rsid w:val="00085D28"/>
    <w:rsid w:val="00085FB5"/>
    <w:rsid w:val="00086003"/>
    <w:rsid w:val="00086B2C"/>
    <w:rsid w:val="00087359"/>
    <w:rsid w:val="000877C4"/>
    <w:rsid w:val="00087D75"/>
    <w:rsid w:val="000908DB"/>
    <w:rsid w:val="00090A3E"/>
    <w:rsid w:val="00090AD1"/>
    <w:rsid w:val="00090F2B"/>
    <w:rsid w:val="00090FD3"/>
    <w:rsid w:val="00091249"/>
    <w:rsid w:val="000916E3"/>
    <w:rsid w:val="00091941"/>
    <w:rsid w:val="00091D29"/>
    <w:rsid w:val="00091E11"/>
    <w:rsid w:val="00091FD2"/>
    <w:rsid w:val="000929AA"/>
    <w:rsid w:val="000931E6"/>
    <w:rsid w:val="00093D54"/>
    <w:rsid w:val="00093E8A"/>
    <w:rsid w:val="0009403D"/>
    <w:rsid w:val="00094500"/>
    <w:rsid w:val="00094CDD"/>
    <w:rsid w:val="00094D9F"/>
    <w:rsid w:val="0009549A"/>
    <w:rsid w:val="000954E6"/>
    <w:rsid w:val="00095545"/>
    <w:rsid w:val="000957DC"/>
    <w:rsid w:val="00095806"/>
    <w:rsid w:val="00096552"/>
    <w:rsid w:val="00096C89"/>
    <w:rsid w:val="00096DBB"/>
    <w:rsid w:val="00096E36"/>
    <w:rsid w:val="00097198"/>
    <w:rsid w:val="00097298"/>
    <w:rsid w:val="0009795F"/>
    <w:rsid w:val="00097A61"/>
    <w:rsid w:val="000A01F8"/>
    <w:rsid w:val="000A0A7B"/>
    <w:rsid w:val="000A13BD"/>
    <w:rsid w:val="000A171F"/>
    <w:rsid w:val="000A172C"/>
    <w:rsid w:val="000A1957"/>
    <w:rsid w:val="000A195C"/>
    <w:rsid w:val="000A19B3"/>
    <w:rsid w:val="000A1AB1"/>
    <w:rsid w:val="000A259B"/>
    <w:rsid w:val="000A2995"/>
    <w:rsid w:val="000A2F4B"/>
    <w:rsid w:val="000A3157"/>
    <w:rsid w:val="000A329F"/>
    <w:rsid w:val="000A3662"/>
    <w:rsid w:val="000A3B61"/>
    <w:rsid w:val="000A3E04"/>
    <w:rsid w:val="000A3E5C"/>
    <w:rsid w:val="000A40DA"/>
    <w:rsid w:val="000A41EB"/>
    <w:rsid w:val="000A56D5"/>
    <w:rsid w:val="000A5D2D"/>
    <w:rsid w:val="000A5E23"/>
    <w:rsid w:val="000A6321"/>
    <w:rsid w:val="000A648A"/>
    <w:rsid w:val="000A68B5"/>
    <w:rsid w:val="000A6AF7"/>
    <w:rsid w:val="000A6DEE"/>
    <w:rsid w:val="000A6E8B"/>
    <w:rsid w:val="000A7286"/>
    <w:rsid w:val="000A75FC"/>
    <w:rsid w:val="000A7715"/>
    <w:rsid w:val="000A7A65"/>
    <w:rsid w:val="000B0AE1"/>
    <w:rsid w:val="000B0AEE"/>
    <w:rsid w:val="000B0B64"/>
    <w:rsid w:val="000B0EDD"/>
    <w:rsid w:val="000B1F16"/>
    <w:rsid w:val="000B1F3E"/>
    <w:rsid w:val="000B2F57"/>
    <w:rsid w:val="000B2FCF"/>
    <w:rsid w:val="000B3694"/>
    <w:rsid w:val="000B3BC1"/>
    <w:rsid w:val="000B40FB"/>
    <w:rsid w:val="000B4347"/>
    <w:rsid w:val="000B4B4A"/>
    <w:rsid w:val="000B53C0"/>
    <w:rsid w:val="000B56DB"/>
    <w:rsid w:val="000B61D2"/>
    <w:rsid w:val="000B664B"/>
    <w:rsid w:val="000B6727"/>
    <w:rsid w:val="000B6C92"/>
    <w:rsid w:val="000B6EA0"/>
    <w:rsid w:val="000B7307"/>
    <w:rsid w:val="000B7734"/>
    <w:rsid w:val="000B7753"/>
    <w:rsid w:val="000B7E16"/>
    <w:rsid w:val="000B7EC3"/>
    <w:rsid w:val="000C04DA"/>
    <w:rsid w:val="000C05FA"/>
    <w:rsid w:val="000C124E"/>
    <w:rsid w:val="000C18A7"/>
    <w:rsid w:val="000C203C"/>
    <w:rsid w:val="000C2084"/>
    <w:rsid w:val="000C27A1"/>
    <w:rsid w:val="000C3152"/>
    <w:rsid w:val="000C3166"/>
    <w:rsid w:val="000C3249"/>
    <w:rsid w:val="000C337D"/>
    <w:rsid w:val="000C33C8"/>
    <w:rsid w:val="000C4571"/>
    <w:rsid w:val="000C4BC3"/>
    <w:rsid w:val="000C4C38"/>
    <w:rsid w:val="000C4D07"/>
    <w:rsid w:val="000C4DBC"/>
    <w:rsid w:val="000C4F5B"/>
    <w:rsid w:val="000C5394"/>
    <w:rsid w:val="000C573E"/>
    <w:rsid w:val="000C574A"/>
    <w:rsid w:val="000C7018"/>
    <w:rsid w:val="000D026B"/>
    <w:rsid w:val="000D0CA7"/>
    <w:rsid w:val="000D1038"/>
    <w:rsid w:val="000D151A"/>
    <w:rsid w:val="000D1D72"/>
    <w:rsid w:val="000D25ED"/>
    <w:rsid w:val="000D2864"/>
    <w:rsid w:val="000D3022"/>
    <w:rsid w:val="000D30A3"/>
    <w:rsid w:val="000D329A"/>
    <w:rsid w:val="000D3C60"/>
    <w:rsid w:val="000D44E7"/>
    <w:rsid w:val="000D45D3"/>
    <w:rsid w:val="000D473B"/>
    <w:rsid w:val="000D479C"/>
    <w:rsid w:val="000D483A"/>
    <w:rsid w:val="000D4846"/>
    <w:rsid w:val="000D4B1B"/>
    <w:rsid w:val="000D57A2"/>
    <w:rsid w:val="000D5A31"/>
    <w:rsid w:val="000D5BD6"/>
    <w:rsid w:val="000D5BD8"/>
    <w:rsid w:val="000D5C71"/>
    <w:rsid w:val="000D6247"/>
    <w:rsid w:val="000D6452"/>
    <w:rsid w:val="000D65CE"/>
    <w:rsid w:val="000D6641"/>
    <w:rsid w:val="000D69FD"/>
    <w:rsid w:val="000D6A1E"/>
    <w:rsid w:val="000D6C49"/>
    <w:rsid w:val="000D6E57"/>
    <w:rsid w:val="000E0237"/>
    <w:rsid w:val="000E0494"/>
    <w:rsid w:val="000E09C0"/>
    <w:rsid w:val="000E1098"/>
    <w:rsid w:val="000E174D"/>
    <w:rsid w:val="000E1F2E"/>
    <w:rsid w:val="000E25D7"/>
    <w:rsid w:val="000E26B8"/>
    <w:rsid w:val="000E2FAD"/>
    <w:rsid w:val="000E35E8"/>
    <w:rsid w:val="000E3713"/>
    <w:rsid w:val="000E3794"/>
    <w:rsid w:val="000E3991"/>
    <w:rsid w:val="000E3E9E"/>
    <w:rsid w:val="000E5A9B"/>
    <w:rsid w:val="000E6141"/>
    <w:rsid w:val="000E6688"/>
    <w:rsid w:val="000E6A36"/>
    <w:rsid w:val="000E6E10"/>
    <w:rsid w:val="000E7894"/>
    <w:rsid w:val="000E7F5F"/>
    <w:rsid w:val="000E7F6D"/>
    <w:rsid w:val="000F036C"/>
    <w:rsid w:val="000F1106"/>
    <w:rsid w:val="000F189D"/>
    <w:rsid w:val="000F212D"/>
    <w:rsid w:val="000F2784"/>
    <w:rsid w:val="000F2CE5"/>
    <w:rsid w:val="000F2F69"/>
    <w:rsid w:val="000F31F4"/>
    <w:rsid w:val="000F4034"/>
    <w:rsid w:val="000F4121"/>
    <w:rsid w:val="000F4CD8"/>
    <w:rsid w:val="000F564D"/>
    <w:rsid w:val="000F576B"/>
    <w:rsid w:val="000F5AA0"/>
    <w:rsid w:val="000F5AEA"/>
    <w:rsid w:val="000F636B"/>
    <w:rsid w:val="000F63A7"/>
    <w:rsid w:val="000F7E98"/>
    <w:rsid w:val="00100107"/>
    <w:rsid w:val="00100136"/>
    <w:rsid w:val="00100643"/>
    <w:rsid w:val="0010150A"/>
    <w:rsid w:val="001015FB"/>
    <w:rsid w:val="00101A9E"/>
    <w:rsid w:val="00101F00"/>
    <w:rsid w:val="001022ED"/>
    <w:rsid w:val="001029E4"/>
    <w:rsid w:val="00102A5C"/>
    <w:rsid w:val="00102A77"/>
    <w:rsid w:val="00102BB0"/>
    <w:rsid w:val="001039D7"/>
    <w:rsid w:val="00103B0F"/>
    <w:rsid w:val="00103B7E"/>
    <w:rsid w:val="00103E1E"/>
    <w:rsid w:val="00104424"/>
    <w:rsid w:val="00104939"/>
    <w:rsid w:val="00105396"/>
    <w:rsid w:val="00105D47"/>
    <w:rsid w:val="00105E8D"/>
    <w:rsid w:val="00105EB2"/>
    <w:rsid w:val="00106380"/>
    <w:rsid w:val="00106E1C"/>
    <w:rsid w:val="00107621"/>
    <w:rsid w:val="001078B4"/>
    <w:rsid w:val="00107984"/>
    <w:rsid w:val="00110607"/>
    <w:rsid w:val="0011082C"/>
    <w:rsid w:val="00110B12"/>
    <w:rsid w:val="00110CD3"/>
    <w:rsid w:val="001112F1"/>
    <w:rsid w:val="001114C8"/>
    <w:rsid w:val="0011175F"/>
    <w:rsid w:val="00111AC9"/>
    <w:rsid w:val="00111B96"/>
    <w:rsid w:val="00112ACF"/>
    <w:rsid w:val="00112F94"/>
    <w:rsid w:val="00113259"/>
    <w:rsid w:val="00113347"/>
    <w:rsid w:val="00113694"/>
    <w:rsid w:val="0011395B"/>
    <w:rsid w:val="0011496B"/>
    <w:rsid w:val="001158FD"/>
    <w:rsid w:val="0011603C"/>
    <w:rsid w:val="00116334"/>
    <w:rsid w:val="001163C9"/>
    <w:rsid w:val="00116FEA"/>
    <w:rsid w:val="00117153"/>
    <w:rsid w:val="00117B7A"/>
    <w:rsid w:val="00117BF2"/>
    <w:rsid w:val="00117F1E"/>
    <w:rsid w:val="0012025E"/>
    <w:rsid w:val="001202C7"/>
    <w:rsid w:val="001209E2"/>
    <w:rsid w:val="0012156E"/>
    <w:rsid w:val="0012181A"/>
    <w:rsid w:val="00121D44"/>
    <w:rsid w:val="00122224"/>
    <w:rsid w:val="00122799"/>
    <w:rsid w:val="0012313D"/>
    <w:rsid w:val="001231C2"/>
    <w:rsid w:val="00123383"/>
    <w:rsid w:val="0012393B"/>
    <w:rsid w:val="00123F85"/>
    <w:rsid w:val="0012413A"/>
    <w:rsid w:val="0012459F"/>
    <w:rsid w:val="00124799"/>
    <w:rsid w:val="0012632E"/>
    <w:rsid w:val="0012654B"/>
    <w:rsid w:val="0012670F"/>
    <w:rsid w:val="00126FF9"/>
    <w:rsid w:val="0012729D"/>
    <w:rsid w:val="00127797"/>
    <w:rsid w:val="00127852"/>
    <w:rsid w:val="0012793E"/>
    <w:rsid w:val="00127970"/>
    <w:rsid w:val="00127CB9"/>
    <w:rsid w:val="0013125C"/>
    <w:rsid w:val="00131417"/>
    <w:rsid w:val="001319B3"/>
    <w:rsid w:val="00131CDC"/>
    <w:rsid w:val="00132B92"/>
    <w:rsid w:val="00133574"/>
    <w:rsid w:val="0013374A"/>
    <w:rsid w:val="001346BE"/>
    <w:rsid w:val="00134752"/>
    <w:rsid w:val="00135584"/>
    <w:rsid w:val="00135B7D"/>
    <w:rsid w:val="0013608A"/>
    <w:rsid w:val="00136376"/>
    <w:rsid w:val="0013695B"/>
    <w:rsid w:val="001405A2"/>
    <w:rsid w:val="0014089A"/>
    <w:rsid w:val="00140925"/>
    <w:rsid w:val="001411F1"/>
    <w:rsid w:val="00141894"/>
    <w:rsid w:val="001418AD"/>
    <w:rsid w:val="001420CA"/>
    <w:rsid w:val="001428C5"/>
    <w:rsid w:val="00142CA2"/>
    <w:rsid w:val="001430D9"/>
    <w:rsid w:val="00143D4D"/>
    <w:rsid w:val="00143E12"/>
    <w:rsid w:val="00143E70"/>
    <w:rsid w:val="00144414"/>
    <w:rsid w:val="00144992"/>
    <w:rsid w:val="00144A0D"/>
    <w:rsid w:val="00144A3C"/>
    <w:rsid w:val="00144EC9"/>
    <w:rsid w:val="00145406"/>
    <w:rsid w:val="0014559C"/>
    <w:rsid w:val="00145805"/>
    <w:rsid w:val="001458EA"/>
    <w:rsid w:val="001463C2"/>
    <w:rsid w:val="001466FF"/>
    <w:rsid w:val="00146875"/>
    <w:rsid w:val="00147429"/>
    <w:rsid w:val="00147EEE"/>
    <w:rsid w:val="00150763"/>
    <w:rsid w:val="001509D7"/>
    <w:rsid w:val="00150EEE"/>
    <w:rsid w:val="001512A5"/>
    <w:rsid w:val="00151F6A"/>
    <w:rsid w:val="001522F4"/>
    <w:rsid w:val="0015236C"/>
    <w:rsid w:val="001527D3"/>
    <w:rsid w:val="00152A27"/>
    <w:rsid w:val="00152B85"/>
    <w:rsid w:val="00153191"/>
    <w:rsid w:val="0015392A"/>
    <w:rsid w:val="00153B73"/>
    <w:rsid w:val="00153F5C"/>
    <w:rsid w:val="00154075"/>
    <w:rsid w:val="001542A8"/>
    <w:rsid w:val="00154BEF"/>
    <w:rsid w:val="00154C68"/>
    <w:rsid w:val="001550A0"/>
    <w:rsid w:val="001555DA"/>
    <w:rsid w:val="00155820"/>
    <w:rsid w:val="00155973"/>
    <w:rsid w:val="00155A7C"/>
    <w:rsid w:val="00155BBE"/>
    <w:rsid w:val="00155D9B"/>
    <w:rsid w:val="00156B07"/>
    <w:rsid w:val="001575AA"/>
    <w:rsid w:val="001577C5"/>
    <w:rsid w:val="00157DD8"/>
    <w:rsid w:val="0016002D"/>
    <w:rsid w:val="0016010F"/>
    <w:rsid w:val="001601FB"/>
    <w:rsid w:val="0016045F"/>
    <w:rsid w:val="00160CA6"/>
    <w:rsid w:val="00160ECB"/>
    <w:rsid w:val="00161611"/>
    <w:rsid w:val="0016211C"/>
    <w:rsid w:val="001622F0"/>
    <w:rsid w:val="00162EE1"/>
    <w:rsid w:val="001631A3"/>
    <w:rsid w:val="0016332F"/>
    <w:rsid w:val="00163538"/>
    <w:rsid w:val="001638BC"/>
    <w:rsid w:val="00163AFE"/>
    <w:rsid w:val="00163E86"/>
    <w:rsid w:val="001642EE"/>
    <w:rsid w:val="00164A0A"/>
    <w:rsid w:val="00165681"/>
    <w:rsid w:val="00165697"/>
    <w:rsid w:val="001659A1"/>
    <w:rsid w:val="00165B15"/>
    <w:rsid w:val="00165E84"/>
    <w:rsid w:val="00166AE7"/>
    <w:rsid w:val="00167FB7"/>
    <w:rsid w:val="001700D6"/>
    <w:rsid w:val="001705F3"/>
    <w:rsid w:val="00170C54"/>
    <w:rsid w:val="00170E13"/>
    <w:rsid w:val="00170FD4"/>
    <w:rsid w:val="00172AEF"/>
    <w:rsid w:val="00172D14"/>
    <w:rsid w:val="00173B59"/>
    <w:rsid w:val="00173D02"/>
    <w:rsid w:val="00173D9E"/>
    <w:rsid w:val="00174010"/>
    <w:rsid w:val="00174F04"/>
    <w:rsid w:val="0017653E"/>
    <w:rsid w:val="00176772"/>
    <w:rsid w:val="00176853"/>
    <w:rsid w:val="001768BA"/>
    <w:rsid w:val="00176E23"/>
    <w:rsid w:val="0017768D"/>
    <w:rsid w:val="00177806"/>
    <w:rsid w:val="00177C55"/>
    <w:rsid w:val="00180A87"/>
    <w:rsid w:val="00180FD5"/>
    <w:rsid w:val="001811AD"/>
    <w:rsid w:val="0018151D"/>
    <w:rsid w:val="00181AD9"/>
    <w:rsid w:val="00181B10"/>
    <w:rsid w:val="00181BBD"/>
    <w:rsid w:val="00181DF6"/>
    <w:rsid w:val="00181E9F"/>
    <w:rsid w:val="001820F1"/>
    <w:rsid w:val="00182EF0"/>
    <w:rsid w:val="001837BA"/>
    <w:rsid w:val="00183834"/>
    <w:rsid w:val="00183922"/>
    <w:rsid w:val="001841F2"/>
    <w:rsid w:val="001841F3"/>
    <w:rsid w:val="001842BF"/>
    <w:rsid w:val="001842D1"/>
    <w:rsid w:val="00184566"/>
    <w:rsid w:val="00184DDB"/>
    <w:rsid w:val="001850ED"/>
    <w:rsid w:val="001851BA"/>
    <w:rsid w:val="0018582D"/>
    <w:rsid w:val="00186251"/>
    <w:rsid w:val="001867F8"/>
    <w:rsid w:val="001869DB"/>
    <w:rsid w:val="0018712F"/>
    <w:rsid w:val="001879BA"/>
    <w:rsid w:val="00190779"/>
    <w:rsid w:val="00190DC8"/>
    <w:rsid w:val="0019122C"/>
    <w:rsid w:val="00191377"/>
    <w:rsid w:val="00191398"/>
    <w:rsid w:val="0019144D"/>
    <w:rsid w:val="00191F9C"/>
    <w:rsid w:val="001921B4"/>
    <w:rsid w:val="001929DF"/>
    <w:rsid w:val="00192F81"/>
    <w:rsid w:val="0019300D"/>
    <w:rsid w:val="00193283"/>
    <w:rsid w:val="00193C24"/>
    <w:rsid w:val="00193C3C"/>
    <w:rsid w:val="00194611"/>
    <w:rsid w:val="00194664"/>
    <w:rsid w:val="001948F6"/>
    <w:rsid w:val="001968BB"/>
    <w:rsid w:val="00196951"/>
    <w:rsid w:val="00196ABC"/>
    <w:rsid w:val="001A0074"/>
    <w:rsid w:val="001A024B"/>
    <w:rsid w:val="001A03BB"/>
    <w:rsid w:val="001A0439"/>
    <w:rsid w:val="001A0AF7"/>
    <w:rsid w:val="001A0CE7"/>
    <w:rsid w:val="001A0E6D"/>
    <w:rsid w:val="001A0FF9"/>
    <w:rsid w:val="001A10D0"/>
    <w:rsid w:val="001A128E"/>
    <w:rsid w:val="001A12C6"/>
    <w:rsid w:val="001A1882"/>
    <w:rsid w:val="001A1E3A"/>
    <w:rsid w:val="001A1F69"/>
    <w:rsid w:val="001A22E5"/>
    <w:rsid w:val="001A2346"/>
    <w:rsid w:val="001A2797"/>
    <w:rsid w:val="001A298F"/>
    <w:rsid w:val="001A3AF0"/>
    <w:rsid w:val="001A4284"/>
    <w:rsid w:val="001A4EC7"/>
    <w:rsid w:val="001A50B7"/>
    <w:rsid w:val="001A52EE"/>
    <w:rsid w:val="001A5658"/>
    <w:rsid w:val="001A58CF"/>
    <w:rsid w:val="001A5AA9"/>
    <w:rsid w:val="001A5EDB"/>
    <w:rsid w:val="001A5EF7"/>
    <w:rsid w:val="001A63E7"/>
    <w:rsid w:val="001A653D"/>
    <w:rsid w:val="001A78A9"/>
    <w:rsid w:val="001A7A3F"/>
    <w:rsid w:val="001A7AB9"/>
    <w:rsid w:val="001A7CF7"/>
    <w:rsid w:val="001A7EBF"/>
    <w:rsid w:val="001A7EFA"/>
    <w:rsid w:val="001B053E"/>
    <w:rsid w:val="001B094B"/>
    <w:rsid w:val="001B0C32"/>
    <w:rsid w:val="001B140F"/>
    <w:rsid w:val="001B154C"/>
    <w:rsid w:val="001B1592"/>
    <w:rsid w:val="001B1C95"/>
    <w:rsid w:val="001B1DC9"/>
    <w:rsid w:val="001B254D"/>
    <w:rsid w:val="001B2EC5"/>
    <w:rsid w:val="001B3413"/>
    <w:rsid w:val="001B3A12"/>
    <w:rsid w:val="001B3A1C"/>
    <w:rsid w:val="001B3BB8"/>
    <w:rsid w:val="001B3FDF"/>
    <w:rsid w:val="001B4185"/>
    <w:rsid w:val="001B48C7"/>
    <w:rsid w:val="001B525F"/>
    <w:rsid w:val="001B6047"/>
    <w:rsid w:val="001B65AE"/>
    <w:rsid w:val="001B694C"/>
    <w:rsid w:val="001B6F5F"/>
    <w:rsid w:val="001B70F2"/>
    <w:rsid w:val="001B7CB5"/>
    <w:rsid w:val="001B7D08"/>
    <w:rsid w:val="001C0356"/>
    <w:rsid w:val="001C05B2"/>
    <w:rsid w:val="001C217C"/>
    <w:rsid w:val="001C24CE"/>
    <w:rsid w:val="001C2CE7"/>
    <w:rsid w:val="001C3686"/>
    <w:rsid w:val="001C3D1E"/>
    <w:rsid w:val="001C3EF1"/>
    <w:rsid w:val="001C47C9"/>
    <w:rsid w:val="001C4851"/>
    <w:rsid w:val="001C4CAD"/>
    <w:rsid w:val="001C5BB8"/>
    <w:rsid w:val="001C5CB8"/>
    <w:rsid w:val="001C6348"/>
    <w:rsid w:val="001C654F"/>
    <w:rsid w:val="001C690F"/>
    <w:rsid w:val="001C6D68"/>
    <w:rsid w:val="001C76D6"/>
    <w:rsid w:val="001C7806"/>
    <w:rsid w:val="001D1761"/>
    <w:rsid w:val="001D2276"/>
    <w:rsid w:val="001D249E"/>
    <w:rsid w:val="001D2696"/>
    <w:rsid w:val="001D29EC"/>
    <w:rsid w:val="001D2BF3"/>
    <w:rsid w:val="001D317D"/>
    <w:rsid w:val="001D37F8"/>
    <w:rsid w:val="001D3A05"/>
    <w:rsid w:val="001D44C0"/>
    <w:rsid w:val="001D4545"/>
    <w:rsid w:val="001D475F"/>
    <w:rsid w:val="001D4844"/>
    <w:rsid w:val="001D4A4F"/>
    <w:rsid w:val="001D4C1C"/>
    <w:rsid w:val="001D50BE"/>
    <w:rsid w:val="001D584B"/>
    <w:rsid w:val="001D5895"/>
    <w:rsid w:val="001D5FA6"/>
    <w:rsid w:val="001D61E1"/>
    <w:rsid w:val="001D6E94"/>
    <w:rsid w:val="001D74A9"/>
    <w:rsid w:val="001D7FCC"/>
    <w:rsid w:val="001E0092"/>
    <w:rsid w:val="001E06BF"/>
    <w:rsid w:val="001E0A4D"/>
    <w:rsid w:val="001E0B74"/>
    <w:rsid w:val="001E0CDE"/>
    <w:rsid w:val="001E0E3D"/>
    <w:rsid w:val="001E0F48"/>
    <w:rsid w:val="001E150D"/>
    <w:rsid w:val="001E196C"/>
    <w:rsid w:val="001E1CC2"/>
    <w:rsid w:val="001E1E5D"/>
    <w:rsid w:val="001E1EE5"/>
    <w:rsid w:val="001E2115"/>
    <w:rsid w:val="001E2B54"/>
    <w:rsid w:val="001E2F86"/>
    <w:rsid w:val="001E30D2"/>
    <w:rsid w:val="001E3169"/>
    <w:rsid w:val="001E32FF"/>
    <w:rsid w:val="001E3814"/>
    <w:rsid w:val="001E3D79"/>
    <w:rsid w:val="001E48BB"/>
    <w:rsid w:val="001E50D3"/>
    <w:rsid w:val="001E52DF"/>
    <w:rsid w:val="001E54E3"/>
    <w:rsid w:val="001E5690"/>
    <w:rsid w:val="001E59B3"/>
    <w:rsid w:val="001E59C5"/>
    <w:rsid w:val="001E6A2D"/>
    <w:rsid w:val="001E6F32"/>
    <w:rsid w:val="001E6F9E"/>
    <w:rsid w:val="001E7430"/>
    <w:rsid w:val="001E7462"/>
    <w:rsid w:val="001E7718"/>
    <w:rsid w:val="001E7B03"/>
    <w:rsid w:val="001E7D94"/>
    <w:rsid w:val="001E7E20"/>
    <w:rsid w:val="001E7E42"/>
    <w:rsid w:val="001F0485"/>
    <w:rsid w:val="001F0D7A"/>
    <w:rsid w:val="001F21ED"/>
    <w:rsid w:val="001F3391"/>
    <w:rsid w:val="001F37D0"/>
    <w:rsid w:val="001F3FE3"/>
    <w:rsid w:val="001F4106"/>
    <w:rsid w:val="001F4306"/>
    <w:rsid w:val="001F4380"/>
    <w:rsid w:val="001F4EAD"/>
    <w:rsid w:val="001F5439"/>
    <w:rsid w:val="001F57B3"/>
    <w:rsid w:val="001F58DE"/>
    <w:rsid w:val="001F76E2"/>
    <w:rsid w:val="001F7869"/>
    <w:rsid w:val="001F79A3"/>
    <w:rsid w:val="001F7F10"/>
    <w:rsid w:val="0020007A"/>
    <w:rsid w:val="002005F7"/>
    <w:rsid w:val="002006A2"/>
    <w:rsid w:val="002007A5"/>
    <w:rsid w:val="00200AAD"/>
    <w:rsid w:val="00200D91"/>
    <w:rsid w:val="00201760"/>
    <w:rsid w:val="00201D20"/>
    <w:rsid w:val="00201E54"/>
    <w:rsid w:val="00201F9D"/>
    <w:rsid w:val="00201FDA"/>
    <w:rsid w:val="002020A7"/>
    <w:rsid w:val="00202C50"/>
    <w:rsid w:val="00202F8F"/>
    <w:rsid w:val="002046EC"/>
    <w:rsid w:val="002048E6"/>
    <w:rsid w:val="0020512D"/>
    <w:rsid w:val="0020513A"/>
    <w:rsid w:val="00205418"/>
    <w:rsid w:val="00205455"/>
    <w:rsid w:val="0020622D"/>
    <w:rsid w:val="00206265"/>
    <w:rsid w:val="0020660A"/>
    <w:rsid w:val="00206829"/>
    <w:rsid w:val="00206BF6"/>
    <w:rsid w:val="00206CE9"/>
    <w:rsid w:val="00206D05"/>
    <w:rsid w:val="0020710C"/>
    <w:rsid w:val="0020753D"/>
    <w:rsid w:val="00207AC4"/>
    <w:rsid w:val="00207B5D"/>
    <w:rsid w:val="00207F2F"/>
    <w:rsid w:val="002104E3"/>
    <w:rsid w:val="00210B9F"/>
    <w:rsid w:val="00210CC1"/>
    <w:rsid w:val="00211A15"/>
    <w:rsid w:val="00211F1B"/>
    <w:rsid w:val="002124AE"/>
    <w:rsid w:val="00213118"/>
    <w:rsid w:val="00213F6C"/>
    <w:rsid w:val="00214E33"/>
    <w:rsid w:val="00215388"/>
    <w:rsid w:val="002154D6"/>
    <w:rsid w:val="00215B14"/>
    <w:rsid w:val="00215E66"/>
    <w:rsid w:val="00217714"/>
    <w:rsid w:val="002178C8"/>
    <w:rsid w:val="00217F57"/>
    <w:rsid w:val="00220340"/>
    <w:rsid w:val="002204A1"/>
    <w:rsid w:val="00220C31"/>
    <w:rsid w:val="00220CB0"/>
    <w:rsid w:val="00220FBB"/>
    <w:rsid w:val="00221211"/>
    <w:rsid w:val="0022124A"/>
    <w:rsid w:val="002217FA"/>
    <w:rsid w:val="00222169"/>
    <w:rsid w:val="00222382"/>
    <w:rsid w:val="002228A2"/>
    <w:rsid w:val="00222FE1"/>
    <w:rsid w:val="00223265"/>
    <w:rsid w:val="00223537"/>
    <w:rsid w:val="00223A47"/>
    <w:rsid w:val="00223A8D"/>
    <w:rsid w:val="00223D66"/>
    <w:rsid w:val="00223DAF"/>
    <w:rsid w:val="00223FE2"/>
    <w:rsid w:val="002244D9"/>
    <w:rsid w:val="0022461B"/>
    <w:rsid w:val="002246B1"/>
    <w:rsid w:val="00224908"/>
    <w:rsid w:val="00224A15"/>
    <w:rsid w:val="00224EC1"/>
    <w:rsid w:val="002257D5"/>
    <w:rsid w:val="00225864"/>
    <w:rsid w:val="00225E85"/>
    <w:rsid w:val="00225ED2"/>
    <w:rsid w:val="0022621A"/>
    <w:rsid w:val="0022663E"/>
    <w:rsid w:val="0022699A"/>
    <w:rsid w:val="0022783A"/>
    <w:rsid w:val="00230520"/>
    <w:rsid w:val="00230F84"/>
    <w:rsid w:val="00231165"/>
    <w:rsid w:val="002316F6"/>
    <w:rsid w:val="00231866"/>
    <w:rsid w:val="00231C70"/>
    <w:rsid w:val="00231CAB"/>
    <w:rsid w:val="00231DA0"/>
    <w:rsid w:val="0023212F"/>
    <w:rsid w:val="002321BA"/>
    <w:rsid w:val="002321DE"/>
    <w:rsid w:val="00232480"/>
    <w:rsid w:val="002325BA"/>
    <w:rsid w:val="00232B55"/>
    <w:rsid w:val="00232BC6"/>
    <w:rsid w:val="002330B9"/>
    <w:rsid w:val="002338D5"/>
    <w:rsid w:val="00233D3B"/>
    <w:rsid w:val="0023446C"/>
    <w:rsid w:val="00234552"/>
    <w:rsid w:val="002345B0"/>
    <w:rsid w:val="00234869"/>
    <w:rsid w:val="00234876"/>
    <w:rsid w:val="00234A31"/>
    <w:rsid w:val="002353CB"/>
    <w:rsid w:val="00235644"/>
    <w:rsid w:val="00235B77"/>
    <w:rsid w:val="00236160"/>
    <w:rsid w:val="0023622C"/>
    <w:rsid w:val="002365A5"/>
    <w:rsid w:val="00236B75"/>
    <w:rsid w:val="00236DCF"/>
    <w:rsid w:val="00236EF7"/>
    <w:rsid w:val="002379BA"/>
    <w:rsid w:val="00237A87"/>
    <w:rsid w:val="002403BB"/>
    <w:rsid w:val="00240DD3"/>
    <w:rsid w:val="0024180E"/>
    <w:rsid w:val="00241C6E"/>
    <w:rsid w:val="00241CE5"/>
    <w:rsid w:val="00242184"/>
    <w:rsid w:val="002422EB"/>
    <w:rsid w:val="00242EF1"/>
    <w:rsid w:val="00243382"/>
    <w:rsid w:val="0024380C"/>
    <w:rsid w:val="00243A01"/>
    <w:rsid w:val="00243C09"/>
    <w:rsid w:val="00243FD4"/>
    <w:rsid w:val="0024405F"/>
    <w:rsid w:val="0024480E"/>
    <w:rsid w:val="0024593B"/>
    <w:rsid w:val="00245DEC"/>
    <w:rsid w:val="00245E89"/>
    <w:rsid w:val="00246036"/>
    <w:rsid w:val="002460DE"/>
    <w:rsid w:val="002464DE"/>
    <w:rsid w:val="002475D2"/>
    <w:rsid w:val="002479E1"/>
    <w:rsid w:val="00247E9E"/>
    <w:rsid w:val="00250BBE"/>
    <w:rsid w:val="00250BFF"/>
    <w:rsid w:val="00250CFE"/>
    <w:rsid w:val="00250DA8"/>
    <w:rsid w:val="00250EB5"/>
    <w:rsid w:val="00251158"/>
    <w:rsid w:val="00251B44"/>
    <w:rsid w:val="00252C33"/>
    <w:rsid w:val="00253125"/>
    <w:rsid w:val="002533B1"/>
    <w:rsid w:val="002536E6"/>
    <w:rsid w:val="00253E28"/>
    <w:rsid w:val="0025501B"/>
    <w:rsid w:val="0025521A"/>
    <w:rsid w:val="00255C7E"/>
    <w:rsid w:val="00256027"/>
    <w:rsid w:val="002565A4"/>
    <w:rsid w:val="00256D1B"/>
    <w:rsid w:val="00256F19"/>
    <w:rsid w:val="00256FDA"/>
    <w:rsid w:val="002570F7"/>
    <w:rsid w:val="0026192C"/>
    <w:rsid w:val="00261A4C"/>
    <w:rsid w:val="00261F80"/>
    <w:rsid w:val="00262239"/>
    <w:rsid w:val="00262270"/>
    <w:rsid w:val="00262EBF"/>
    <w:rsid w:val="00262ED0"/>
    <w:rsid w:val="002631C3"/>
    <w:rsid w:val="002632B1"/>
    <w:rsid w:val="002637EE"/>
    <w:rsid w:val="00263AEF"/>
    <w:rsid w:val="00264008"/>
    <w:rsid w:val="002645D0"/>
    <w:rsid w:val="002645D9"/>
    <w:rsid w:val="002648BC"/>
    <w:rsid w:val="00264F73"/>
    <w:rsid w:val="00264FB0"/>
    <w:rsid w:val="00265163"/>
    <w:rsid w:val="0026516A"/>
    <w:rsid w:val="002652D7"/>
    <w:rsid w:val="00265E85"/>
    <w:rsid w:val="002662A2"/>
    <w:rsid w:val="00266468"/>
    <w:rsid w:val="00266EAD"/>
    <w:rsid w:val="002670CC"/>
    <w:rsid w:val="002673ED"/>
    <w:rsid w:val="00267E3A"/>
    <w:rsid w:val="00270F65"/>
    <w:rsid w:val="0027150C"/>
    <w:rsid w:val="00271649"/>
    <w:rsid w:val="00271871"/>
    <w:rsid w:val="00271962"/>
    <w:rsid w:val="002719DE"/>
    <w:rsid w:val="00271C2C"/>
    <w:rsid w:val="00271F37"/>
    <w:rsid w:val="00271F57"/>
    <w:rsid w:val="00271FA3"/>
    <w:rsid w:val="002720DB"/>
    <w:rsid w:val="00272103"/>
    <w:rsid w:val="00272441"/>
    <w:rsid w:val="00272545"/>
    <w:rsid w:val="00272F0A"/>
    <w:rsid w:val="002730AC"/>
    <w:rsid w:val="00273E5E"/>
    <w:rsid w:val="00273EA7"/>
    <w:rsid w:val="002743BF"/>
    <w:rsid w:val="00274B35"/>
    <w:rsid w:val="002757F3"/>
    <w:rsid w:val="002759B6"/>
    <w:rsid w:val="0027688A"/>
    <w:rsid w:val="00276B73"/>
    <w:rsid w:val="00277A52"/>
    <w:rsid w:val="00277F12"/>
    <w:rsid w:val="002801DB"/>
    <w:rsid w:val="002807A6"/>
    <w:rsid w:val="00280C47"/>
    <w:rsid w:val="00280DF7"/>
    <w:rsid w:val="0028184C"/>
    <w:rsid w:val="00281906"/>
    <w:rsid w:val="00281A55"/>
    <w:rsid w:val="00281E0A"/>
    <w:rsid w:val="0028206A"/>
    <w:rsid w:val="002823E1"/>
    <w:rsid w:val="00282775"/>
    <w:rsid w:val="00282BA6"/>
    <w:rsid w:val="00282EA5"/>
    <w:rsid w:val="0028320A"/>
    <w:rsid w:val="002838AB"/>
    <w:rsid w:val="002841C0"/>
    <w:rsid w:val="00284325"/>
    <w:rsid w:val="00284467"/>
    <w:rsid w:val="00284805"/>
    <w:rsid w:val="00285099"/>
    <w:rsid w:val="00285102"/>
    <w:rsid w:val="002852D7"/>
    <w:rsid w:val="0028557A"/>
    <w:rsid w:val="00285662"/>
    <w:rsid w:val="00285826"/>
    <w:rsid w:val="00285845"/>
    <w:rsid w:val="00285A15"/>
    <w:rsid w:val="00285AEB"/>
    <w:rsid w:val="00285B96"/>
    <w:rsid w:val="00286EAE"/>
    <w:rsid w:val="00287602"/>
    <w:rsid w:val="00287668"/>
    <w:rsid w:val="002900C7"/>
    <w:rsid w:val="002901D1"/>
    <w:rsid w:val="0029067B"/>
    <w:rsid w:val="00291001"/>
    <w:rsid w:val="002912ED"/>
    <w:rsid w:val="00291806"/>
    <w:rsid w:val="00291893"/>
    <w:rsid w:val="00291DF5"/>
    <w:rsid w:val="002925D2"/>
    <w:rsid w:val="00292BA6"/>
    <w:rsid w:val="00292E1B"/>
    <w:rsid w:val="00293384"/>
    <w:rsid w:val="002939ED"/>
    <w:rsid w:val="00293DF8"/>
    <w:rsid w:val="0029413F"/>
    <w:rsid w:val="00294384"/>
    <w:rsid w:val="00294541"/>
    <w:rsid w:val="0029508A"/>
    <w:rsid w:val="002952CF"/>
    <w:rsid w:val="0029535B"/>
    <w:rsid w:val="00295F3A"/>
    <w:rsid w:val="002964B2"/>
    <w:rsid w:val="00296653"/>
    <w:rsid w:val="00296A48"/>
    <w:rsid w:val="00296BC8"/>
    <w:rsid w:val="0029713C"/>
    <w:rsid w:val="0029723D"/>
    <w:rsid w:val="002976CA"/>
    <w:rsid w:val="00297BBD"/>
    <w:rsid w:val="00297D88"/>
    <w:rsid w:val="002A00FD"/>
    <w:rsid w:val="002A03B9"/>
    <w:rsid w:val="002A08BF"/>
    <w:rsid w:val="002A0A6F"/>
    <w:rsid w:val="002A0CD2"/>
    <w:rsid w:val="002A0F70"/>
    <w:rsid w:val="002A1966"/>
    <w:rsid w:val="002A1BA2"/>
    <w:rsid w:val="002A1BB4"/>
    <w:rsid w:val="002A239B"/>
    <w:rsid w:val="002A23E8"/>
    <w:rsid w:val="002A2862"/>
    <w:rsid w:val="002A28D1"/>
    <w:rsid w:val="002A2B7E"/>
    <w:rsid w:val="002A2EAD"/>
    <w:rsid w:val="002A2FC5"/>
    <w:rsid w:val="002A430C"/>
    <w:rsid w:val="002A4E05"/>
    <w:rsid w:val="002A5079"/>
    <w:rsid w:val="002A530A"/>
    <w:rsid w:val="002A5473"/>
    <w:rsid w:val="002A5876"/>
    <w:rsid w:val="002A5FEA"/>
    <w:rsid w:val="002A68B8"/>
    <w:rsid w:val="002A6F03"/>
    <w:rsid w:val="002A755D"/>
    <w:rsid w:val="002A75D9"/>
    <w:rsid w:val="002A770B"/>
    <w:rsid w:val="002A7F31"/>
    <w:rsid w:val="002B032B"/>
    <w:rsid w:val="002B04BA"/>
    <w:rsid w:val="002B0B1B"/>
    <w:rsid w:val="002B0E03"/>
    <w:rsid w:val="002B13C5"/>
    <w:rsid w:val="002B171D"/>
    <w:rsid w:val="002B1E42"/>
    <w:rsid w:val="002B2745"/>
    <w:rsid w:val="002B276E"/>
    <w:rsid w:val="002B2B12"/>
    <w:rsid w:val="002B2D62"/>
    <w:rsid w:val="002B316A"/>
    <w:rsid w:val="002B32B3"/>
    <w:rsid w:val="002B3EAF"/>
    <w:rsid w:val="002B43D5"/>
    <w:rsid w:val="002B47F9"/>
    <w:rsid w:val="002B4D08"/>
    <w:rsid w:val="002B55BB"/>
    <w:rsid w:val="002B5CB8"/>
    <w:rsid w:val="002B607A"/>
    <w:rsid w:val="002B612C"/>
    <w:rsid w:val="002B65BE"/>
    <w:rsid w:val="002B67C4"/>
    <w:rsid w:val="002B7711"/>
    <w:rsid w:val="002B77DA"/>
    <w:rsid w:val="002B7E31"/>
    <w:rsid w:val="002C002F"/>
    <w:rsid w:val="002C0722"/>
    <w:rsid w:val="002C0B85"/>
    <w:rsid w:val="002C0F6E"/>
    <w:rsid w:val="002C10BF"/>
    <w:rsid w:val="002C1571"/>
    <w:rsid w:val="002C1CAF"/>
    <w:rsid w:val="002C2539"/>
    <w:rsid w:val="002C2948"/>
    <w:rsid w:val="002C29BD"/>
    <w:rsid w:val="002C2C3D"/>
    <w:rsid w:val="002C2EC3"/>
    <w:rsid w:val="002C3511"/>
    <w:rsid w:val="002C40D5"/>
    <w:rsid w:val="002C42C4"/>
    <w:rsid w:val="002C4379"/>
    <w:rsid w:val="002C46CF"/>
    <w:rsid w:val="002C49AA"/>
    <w:rsid w:val="002C4C40"/>
    <w:rsid w:val="002C4D50"/>
    <w:rsid w:val="002C53BA"/>
    <w:rsid w:val="002C5C8B"/>
    <w:rsid w:val="002C5D80"/>
    <w:rsid w:val="002C6595"/>
    <w:rsid w:val="002C659B"/>
    <w:rsid w:val="002C67CC"/>
    <w:rsid w:val="002C6875"/>
    <w:rsid w:val="002C6DD5"/>
    <w:rsid w:val="002C7D0A"/>
    <w:rsid w:val="002D0207"/>
    <w:rsid w:val="002D0255"/>
    <w:rsid w:val="002D032D"/>
    <w:rsid w:val="002D067E"/>
    <w:rsid w:val="002D0731"/>
    <w:rsid w:val="002D09B5"/>
    <w:rsid w:val="002D114F"/>
    <w:rsid w:val="002D1BCF"/>
    <w:rsid w:val="002D1F64"/>
    <w:rsid w:val="002D2479"/>
    <w:rsid w:val="002D24D0"/>
    <w:rsid w:val="002D37A8"/>
    <w:rsid w:val="002D390A"/>
    <w:rsid w:val="002D3DF6"/>
    <w:rsid w:val="002D3E76"/>
    <w:rsid w:val="002D42E3"/>
    <w:rsid w:val="002D4FF1"/>
    <w:rsid w:val="002D5518"/>
    <w:rsid w:val="002D617B"/>
    <w:rsid w:val="002D777B"/>
    <w:rsid w:val="002D7A06"/>
    <w:rsid w:val="002E020D"/>
    <w:rsid w:val="002E05DD"/>
    <w:rsid w:val="002E0767"/>
    <w:rsid w:val="002E0900"/>
    <w:rsid w:val="002E0A5D"/>
    <w:rsid w:val="002E0CC3"/>
    <w:rsid w:val="002E0DF5"/>
    <w:rsid w:val="002E10B9"/>
    <w:rsid w:val="002E1160"/>
    <w:rsid w:val="002E1398"/>
    <w:rsid w:val="002E1765"/>
    <w:rsid w:val="002E1C5E"/>
    <w:rsid w:val="002E322B"/>
    <w:rsid w:val="002E38EE"/>
    <w:rsid w:val="002E3FAC"/>
    <w:rsid w:val="002E4041"/>
    <w:rsid w:val="002E40AB"/>
    <w:rsid w:val="002E4696"/>
    <w:rsid w:val="002E475F"/>
    <w:rsid w:val="002E48E5"/>
    <w:rsid w:val="002E4DAF"/>
    <w:rsid w:val="002E5A9F"/>
    <w:rsid w:val="002E5AC9"/>
    <w:rsid w:val="002E5DE6"/>
    <w:rsid w:val="002E5E83"/>
    <w:rsid w:val="002E5F66"/>
    <w:rsid w:val="002E5FEF"/>
    <w:rsid w:val="002E61CB"/>
    <w:rsid w:val="002E6687"/>
    <w:rsid w:val="002E6705"/>
    <w:rsid w:val="002E6E73"/>
    <w:rsid w:val="002E705D"/>
    <w:rsid w:val="002E72AF"/>
    <w:rsid w:val="002E7461"/>
    <w:rsid w:val="002E760D"/>
    <w:rsid w:val="002E79AD"/>
    <w:rsid w:val="002E7E14"/>
    <w:rsid w:val="002F0283"/>
    <w:rsid w:val="002F08AD"/>
    <w:rsid w:val="002F0BF6"/>
    <w:rsid w:val="002F0E15"/>
    <w:rsid w:val="002F160C"/>
    <w:rsid w:val="002F1CE1"/>
    <w:rsid w:val="002F1E51"/>
    <w:rsid w:val="002F22B7"/>
    <w:rsid w:val="002F24AA"/>
    <w:rsid w:val="002F25FD"/>
    <w:rsid w:val="002F2AE2"/>
    <w:rsid w:val="002F330A"/>
    <w:rsid w:val="002F3497"/>
    <w:rsid w:val="002F3B9E"/>
    <w:rsid w:val="002F438A"/>
    <w:rsid w:val="002F4A0B"/>
    <w:rsid w:val="002F5403"/>
    <w:rsid w:val="002F61C7"/>
    <w:rsid w:val="002F64D9"/>
    <w:rsid w:val="002F69B2"/>
    <w:rsid w:val="002F69FD"/>
    <w:rsid w:val="002F718F"/>
    <w:rsid w:val="002F71C9"/>
    <w:rsid w:val="002F75F4"/>
    <w:rsid w:val="002F77ED"/>
    <w:rsid w:val="002F7F18"/>
    <w:rsid w:val="003000A1"/>
    <w:rsid w:val="00300138"/>
    <w:rsid w:val="003004F7"/>
    <w:rsid w:val="0030088D"/>
    <w:rsid w:val="003008E6"/>
    <w:rsid w:val="00300A3A"/>
    <w:rsid w:val="00300CA4"/>
    <w:rsid w:val="003011D2"/>
    <w:rsid w:val="00302505"/>
    <w:rsid w:val="003027EB"/>
    <w:rsid w:val="00302A97"/>
    <w:rsid w:val="00302DEE"/>
    <w:rsid w:val="00302E6B"/>
    <w:rsid w:val="003037C9"/>
    <w:rsid w:val="003039AB"/>
    <w:rsid w:val="00303D56"/>
    <w:rsid w:val="00303D8F"/>
    <w:rsid w:val="00304D2B"/>
    <w:rsid w:val="003050F1"/>
    <w:rsid w:val="00305B33"/>
    <w:rsid w:val="003062E8"/>
    <w:rsid w:val="003062EA"/>
    <w:rsid w:val="00306781"/>
    <w:rsid w:val="00306BBC"/>
    <w:rsid w:val="00306D76"/>
    <w:rsid w:val="00306E08"/>
    <w:rsid w:val="00306E21"/>
    <w:rsid w:val="00306EBE"/>
    <w:rsid w:val="0030784B"/>
    <w:rsid w:val="00310119"/>
    <w:rsid w:val="0031109C"/>
    <w:rsid w:val="003114EF"/>
    <w:rsid w:val="0031156B"/>
    <w:rsid w:val="00311BA0"/>
    <w:rsid w:val="00312471"/>
    <w:rsid w:val="003127FD"/>
    <w:rsid w:val="00312884"/>
    <w:rsid w:val="00312B1C"/>
    <w:rsid w:val="00312B27"/>
    <w:rsid w:val="00312C84"/>
    <w:rsid w:val="00312D73"/>
    <w:rsid w:val="00312DCB"/>
    <w:rsid w:val="00313022"/>
    <w:rsid w:val="003131CB"/>
    <w:rsid w:val="0031347A"/>
    <w:rsid w:val="0031359E"/>
    <w:rsid w:val="003135B4"/>
    <w:rsid w:val="00313B02"/>
    <w:rsid w:val="00313B07"/>
    <w:rsid w:val="00313DE0"/>
    <w:rsid w:val="00314318"/>
    <w:rsid w:val="0031450A"/>
    <w:rsid w:val="00314573"/>
    <w:rsid w:val="00314A06"/>
    <w:rsid w:val="00315131"/>
    <w:rsid w:val="003152C3"/>
    <w:rsid w:val="00315309"/>
    <w:rsid w:val="003153A4"/>
    <w:rsid w:val="0031568F"/>
    <w:rsid w:val="003157B2"/>
    <w:rsid w:val="00315813"/>
    <w:rsid w:val="00315C8A"/>
    <w:rsid w:val="00316C07"/>
    <w:rsid w:val="00316E37"/>
    <w:rsid w:val="00317008"/>
    <w:rsid w:val="0031705B"/>
    <w:rsid w:val="003173A7"/>
    <w:rsid w:val="00317B68"/>
    <w:rsid w:val="00317BDF"/>
    <w:rsid w:val="003202F7"/>
    <w:rsid w:val="00320AB0"/>
    <w:rsid w:val="00320DF4"/>
    <w:rsid w:val="003213DA"/>
    <w:rsid w:val="003219B1"/>
    <w:rsid w:val="00321F3A"/>
    <w:rsid w:val="00322963"/>
    <w:rsid w:val="00322CD9"/>
    <w:rsid w:val="00322D5D"/>
    <w:rsid w:val="0032306F"/>
    <w:rsid w:val="0032356E"/>
    <w:rsid w:val="00323688"/>
    <w:rsid w:val="003236C3"/>
    <w:rsid w:val="00323BB9"/>
    <w:rsid w:val="00324117"/>
    <w:rsid w:val="003241DB"/>
    <w:rsid w:val="00324F76"/>
    <w:rsid w:val="0032534F"/>
    <w:rsid w:val="00325BB0"/>
    <w:rsid w:val="00325C44"/>
    <w:rsid w:val="00325F26"/>
    <w:rsid w:val="00326169"/>
    <w:rsid w:val="00326277"/>
    <w:rsid w:val="00326737"/>
    <w:rsid w:val="00326A79"/>
    <w:rsid w:val="003274FC"/>
    <w:rsid w:val="003275F0"/>
    <w:rsid w:val="0032773C"/>
    <w:rsid w:val="00327994"/>
    <w:rsid w:val="00330346"/>
    <w:rsid w:val="00330BF5"/>
    <w:rsid w:val="00330BFE"/>
    <w:rsid w:val="00330EB6"/>
    <w:rsid w:val="0033138F"/>
    <w:rsid w:val="0033152B"/>
    <w:rsid w:val="003316C7"/>
    <w:rsid w:val="0033183C"/>
    <w:rsid w:val="0033190F"/>
    <w:rsid w:val="00332012"/>
    <w:rsid w:val="003320C8"/>
    <w:rsid w:val="003327F6"/>
    <w:rsid w:val="00332957"/>
    <w:rsid w:val="0033295F"/>
    <w:rsid w:val="00332B7F"/>
    <w:rsid w:val="00332ECB"/>
    <w:rsid w:val="00332EE4"/>
    <w:rsid w:val="0033322C"/>
    <w:rsid w:val="0033328B"/>
    <w:rsid w:val="0033329B"/>
    <w:rsid w:val="0033356F"/>
    <w:rsid w:val="003336FD"/>
    <w:rsid w:val="00333826"/>
    <w:rsid w:val="003338EB"/>
    <w:rsid w:val="00333E10"/>
    <w:rsid w:val="00334034"/>
    <w:rsid w:val="0033448F"/>
    <w:rsid w:val="0033455D"/>
    <w:rsid w:val="0033534A"/>
    <w:rsid w:val="0033549B"/>
    <w:rsid w:val="00335648"/>
    <w:rsid w:val="00335CB8"/>
    <w:rsid w:val="00336980"/>
    <w:rsid w:val="00336C5B"/>
    <w:rsid w:val="00336F1D"/>
    <w:rsid w:val="00336F44"/>
    <w:rsid w:val="00336FBD"/>
    <w:rsid w:val="0033715F"/>
    <w:rsid w:val="0033748A"/>
    <w:rsid w:val="003375A9"/>
    <w:rsid w:val="00337A60"/>
    <w:rsid w:val="00337F23"/>
    <w:rsid w:val="00340127"/>
    <w:rsid w:val="00340EC8"/>
    <w:rsid w:val="00340F0A"/>
    <w:rsid w:val="003412E4"/>
    <w:rsid w:val="00341423"/>
    <w:rsid w:val="0034214A"/>
    <w:rsid w:val="00342998"/>
    <w:rsid w:val="00342A37"/>
    <w:rsid w:val="00342DFA"/>
    <w:rsid w:val="00343160"/>
    <w:rsid w:val="0034326D"/>
    <w:rsid w:val="0034361E"/>
    <w:rsid w:val="0034372F"/>
    <w:rsid w:val="0034381E"/>
    <w:rsid w:val="00343C88"/>
    <w:rsid w:val="003440C9"/>
    <w:rsid w:val="003442F1"/>
    <w:rsid w:val="003443A1"/>
    <w:rsid w:val="00344883"/>
    <w:rsid w:val="00345342"/>
    <w:rsid w:val="00345849"/>
    <w:rsid w:val="0034627B"/>
    <w:rsid w:val="003464DA"/>
    <w:rsid w:val="00346545"/>
    <w:rsid w:val="0034699D"/>
    <w:rsid w:val="00346A39"/>
    <w:rsid w:val="00346DC9"/>
    <w:rsid w:val="003475E0"/>
    <w:rsid w:val="003477FA"/>
    <w:rsid w:val="0034791B"/>
    <w:rsid w:val="00347A5D"/>
    <w:rsid w:val="00347DD8"/>
    <w:rsid w:val="003503F6"/>
    <w:rsid w:val="003508F7"/>
    <w:rsid w:val="00350D65"/>
    <w:rsid w:val="00350F2F"/>
    <w:rsid w:val="00351480"/>
    <w:rsid w:val="00351522"/>
    <w:rsid w:val="0035185A"/>
    <w:rsid w:val="00351C7C"/>
    <w:rsid w:val="00351E6A"/>
    <w:rsid w:val="00351EA6"/>
    <w:rsid w:val="00352131"/>
    <w:rsid w:val="00352319"/>
    <w:rsid w:val="00352352"/>
    <w:rsid w:val="00352390"/>
    <w:rsid w:val="003528F0"/>
    <w:rsid w:val="00352CE2"/>
    <w:rsid w:val="0035325A"/>
    <w:rsid w:val="0035342C"/>
    <w:rsid w:val="00354183"/>
    <w:rsid w:val="00354799"/>
    <w:rsid w:val="00354919"/>
    <w:rsid w:val="00354FDF"/>
    <w:rsid w:val="00355C24"/>
    <w:rsid w:val="00355EB1"/>
    <w:rsid w:val="003560E0"/>
    <w:rsid w:val="00356615"/>
    <w:rsid w:val="003567A0"/>
    <w:rsid w:val="003567C5"/>
    <w:rsid w:val="00356DF2"/>
    <w:rsid w:val="003576FD"/>
    <w:rsid w:val="00357A45"/>
    <w:rsid w:val="00357F31"/>
    <w:rsid w:val="003602E0"/>
    <w:rsid w:val="0036037E"/>
    <w:rsid w:val="0036079A"/>
    <w:rsid w:val="00360840"/>
    <w:rsid w:val="00360B9B"/>
    <w:rsid w:val="00360C6E"/>
    <w:rsid w:val="00360F5F"/>
    <w:rsid w:val="0036186D"/>
    <w:rsid w:val="00361A60"/>
    <w:rsid w:val="00361C2B"/>
    <w:rsid w:val="0036224E"/>
    <w:rsid w:val="003622A2"/>
    <w:rsid w:val="00362336"/>
    <w:rsid w:val="00362D34"/>
    <w:rsid w:val="00362D4A"/>
    <w:rsid w:val="00363027"/>
    <w:rsid w:val="00363524"/>
    <w:rsid w:val="00363BCB"/>
    <w:rsid w:val="003641D8"/>
    <w:rsid w:val="00364D8A"/>
    <w:rsid w:val="00365147"/>
    <w:rsid w:val="003653ED"/>
    <w:rsid w:val="00365470"/>
    <w:rsid w:val="00365A4B"/>
    <w:rsid w:val="00365C91"/>
    <w:rsid w:val="003667AA"/>
    <w:rsid w:val="00366AB1"/>
    <w:rsid w:val="00366AD0"/>
    <w:rsid w:val="00366E82"/>
    <w:rsid w:val="00367821"/>
    <w:rsid w:val="0037094D"/>
    <w:rsid w:val="003711AC"/>
    <w:rsid w:val="003711ED"/>
    <w:rsid w:val="003715BB"/>
    <w:rsid w:val="003715E2"/>
    <w:rsid w:val="00372393"/>
    <w:rsid w:val="00372429"/>
    <w:rsid w:val="00372A85"/>
    <w:rsid w:val="00372D34"/>
    <w:rsid w:val="00372FC7"/>
    <w:rsid w:val="003731DC"/>
    <w:rsid w:val="0037320C"/>
    <w:rsid w:val="003733B7"/>
    <w:rsid w:val="00373581"/>
    <w:rsid w:val="00373750"/>
    <w:rsid w:val="003738D4"/>
    <w:rsid w:val="003739F3"/>
    <w:rsid w:val="003748A9"/>
    <w:rsid w:val="00374A4D"/>
    <w:rsid w:val="00374BCF"/>
    <w:rsid w:val="00374D4E"/>
    <w:rsid w:val="00374DEF"/>
    <w:rsid w:val="00375046"/>
    <w:rsid w:val="00375DB1"/>
    <w:rsid w:val="003765E0"/>
    <w:rsid w:val="00376E7D"/>
    <w:rsid w:val="00376FFE"/>
    <w:rsid w:val="00377240"/>
    <w:rsid w:val="00377390"/>
    <w:rsid w:val="003775A3"/>
    <w:rsid w:val="0037780C"/>
    <w:rsid w:val="0037785D"/>
    <w:rsid w:val="00377B94"/>
    <w:rsid w:val="00380518"/>
    <w:rsid w:val="00380628"/>
    <w:rsid w:val="003807A8"/>
    <w:rsid w:val="003807B2"/>
    <w:rsid w:val="00380AC7"/>
    <w:rsid w:val="00381304"/>
    <w:rsid w:val="00381784"/>
    <w:rsid w:val="00382385"/>
    <w:rsid w:val="00382A97"/>
    <w:rsid w:val="00382B97"/>
    <w:rsid w:val="00383272"/>
    <w:rsid w:val="00383459"/>
    <w:rsid w:val="0038397F"/>
    <w:rsid w:val="00383CB8"/>
    <w:rsid w:val="00383F3D"/>
    <w:rsid w:val="00384822"/>
    <w:rsid w:val="00384953"/>
    <w:rsid w:val="00384A48"/>
    <w:rsid w:val="00384B5D"/>
    <w:rsid w:val="00384D3E"/>
    <w:rsid w:val="003855A4"/>
    <w:rsid w:val="00385A37"/>
    <w:rsid w:val="003861A2"/>
    <w:rsid w:val="003861A3"/>
    <w:rsid w:val="00386306"/>
    <w:rsid w:val="00386BBB"/>
    <w:rsid w:val="00386D46"/>
    <w:rsid w:val="00386DCD"/>
    <w:rsid w:val="00387BFB"/>
    <w:rsid w:val="00387E84"/>
    <w:rsid w:val="00387F09"/>
    <w:rsid w:val="00390760"/>
    <w:rsid w:val="00390BA4"/>
    <w:rsid w:val="00390C46"/>
    <w:rsid w:val="00390E7E"/>
    <w:rsid w:val="00391706"/>
    <w:rsid w:val="00391A71"/>
    <w:rsid w:val="00391DE3"/>
    <w:rsid w:val="00392821"/>
    <w:rsid w:val="003929E4"/>
    <w:rsid w:val="00393503"/>
    <w:rsid w:val="00393570"/>
    <w:rsid w:val="00393615"/>
    <w:rsid w:val="0039370A"/>
    <w:rsid w:val="0039388F"/>
    <w:rsid w:val="00393EF4"/>
    <w:rsid w:val="00394400"/>
    <w:rsid w:val="00394A12"/>
    <w:rsid w:val="00395033"/>
    <w:rsid w:val="00396E24"/>
    <w:rsid w:val="00396F7A"/>
    <w:rsid w:val="00397353"/>
    <w:rsid w:val="00397CEF"/>
    <w:rsid w:val="003A07C6"/>
    <w:rsid w:val="003A091A"/>
    <w:rsid w:val="003A097D"/>
    <w:rsid w:val="003A09BF"/>
    <w:rsid w:val="003A0EAF"/>
    <w:rsid w:val="003A0FBD"/>
    <w:rsid w:val="003A1662"/>
    <w:rsid w:val="003A1913"/>
    <w:rsid w:val="003A19ED"/>
    <w:rsid w:val="003A1CDA"/>
    <w:rsid w:val="003A1E10"/>
    <w:rsid w:val="003A27C9"/>
    <w:rsid w:val="003A2A80"/>
    <w:rsid w:val="003A2F8B"/>
    <w:rsid w:val="003A31AE"/>
    <w:rsid w:val="003A34B4"/>
    <w:rsid w:val="003A3938"/>
    <w:rsid w:val="003A4D51"/>
    <w:rsid w:val="003A4D6A"/>
    <w:rsid w:val="003A4D8B"/>
    <w:rsid w:val="003A4E32"/>
    <w:rsid w:val="003A514B"/>
    <w:rsid w:val="003A5156"/>
    <w:rsid w:val="003A5194"/>
    <w:rsid w:val="003A56D1"/>
    <w:rsid w:val="003A5FBF"/>
    <w:rsid w:val="003A69A0"/>
    <w:rsid w:val="003A6B6E"/>
    <w:rsid w:val="003A6CCC"/>
    <w:rsid w:val="003A70A8"/>
    <w:rsid w:val="003A71B9"/>
    <w:rsid w:val="003A7470"/>
    <w:rsid w:val="003A7AC7"/>
    <w:rsid w:val="003A7AEB"/>
    <w:rsid w:val="003A7DE8"/>
    <w:rsid w:val="003A7F19"/>
    <w:rsid w:val="003B02EE"/>
    <w:rsid w:val="003B0551"/>
    <w:rsid w:val="003B0611"/>
    <w:rsid w:val="003B0921"/>
    <w:rsid w:val="003B0A70"/>
    <w:rsid w:val="003B0B72"/>
    <w:rsid w:val="003B1211"/>
    <w:rsid w:val="003B130A"/>
    <w:rsid w:val="003B2252"/>
    <w:rsid w:val="003B2411"/>
    <w:rsid w:val="003B256C"/>
    <w:rsid w:val="003B2839"/>
    <w:rsid w:val="003B28EA"/>
    <w:rsid w:val="003B2C18"/>
    <w:rsid w:val="003B2FE5"/>
    <w:rsid w:val="003B37E7"/>
    <w:rsid w:val="003B3FF9"/>
    <w:rsid w:val="003B4023"/>
    <w:rsid w:val="003B4AA5"/>
    <w:rsid w:val="003B4B60"/>
    <w:rsid w:val="003B4C66"/>
    <w:rsid w:val="003B4F86"/>
    <w:rsid w:val="003B527E"/>
    <w:rsid w:val="003B543C"/>
    <w:rsid w:val="003B552D"/>
    <w:rsid w:val="003B55DF"/>
    <w:rsid w:val="003B5B74"/>
    <w:rsid w:val="003B5D82"/>
    <w:rsid w:val="003B5DAA"/>
    <w:rsid w:val="003B5EAF"/>
    <w:rsid w:val="003B5FD9"/>
    <w:rsid w:val="003B61E9"/>
    <w:rsid w:val="003B669F"/>
    <w:rsid w:val="003B6AFA"/>
    <w:rsid w:val="003B6FE5"/>
    <w:rsid w:val="003B79DA"/>
    <w:rsid w:val="003C0957"/>
    <w:rsid w:val="003C0BE2"/>
    <w:rsid w:val="003C1254"/>
    <w:rsid w:val="003C1540"/>
    <w:rsid w:val="003C15D9"/>
    <w:rsid w:val="003C15FA"/>
    <w:rsid w:val="003C160E"/>
    <w:rsid w:val="003C16FC"/>
    <w:rsid w:val="003C1736"/>
    <w:rsid w:val="003C18BB"/>
    <w:rsid w:val="003C2003"/>
    <w:rsid w:val="003C2B73"/>
    <w:rsid w:val="003C350F"/>
    <w:rsid w:val="003C37D9"/>
    <w:rsid w:val="003C37DB"/>
    <w:rsid w:val="003C3B3A"/>
    <w:rsid w:val="003C3B5F"/>
    <w:rsid w:val="003C3DAC"/>
    <w:rsid w:val="003C3EF5"/>
    <w:rsid w:val="003C428A"/>
    <w:rsid w:val="003C4C2B"/>
    <w:rsid w:val="003C4D82"/>
    <w:rsid w:val="003C5643"/>
    <w:rsid w:val="003C586F"/>
    <w:rsid w:val="003C6CEF"/>
    <w:rsid w:val="003C71E4"/>
    <w:rsid w:val="003C7740"/>
    <w:rsid w:val="003C7B2F"/>
    <w:rsid w:val="003D0028"/>
    <w:rsid w:val="003D0462"/>
    <w:rsid w:val="003D09AB"/>
    <w:rsid w:val="003D0C9A"/>
    <w:rsid w:val="003D13FA"/>
    <w:rsid w:val="003D1907"/>
    <w:rsid w:val="003D1B95"/>
    <w:rsid w:val="003D1E5E"/>
    <w:rsid w:val="003D2622"/>
    <w:rsid w:val="003D3706"/>
    <w:rsid w:val="003D370C"/>
    <w:rsid w:val="003D39EA"/>
    <w:rsid w:val="003D3B9E"/>
    <w:rsid w:val="003D3C62"/>
    <w:rsid w:val="003D3E04"/>
    <w:rsid w:val="003D4460"/>
    <w:rsid w:val="003D4D4E"/>
    <w:rsid w:val="003D51B2"/>
    <w:rsid w:val="003D53CE"/>
    <w:rsid w:val="003D55CF"/>
    <w:rsid w:val="003D5CD1"/>
    <w:rsid w:val="003D6239"/>
    <w:rsid w:val="003D6AFF"/>
    <w:rsid w:val="003D6F6A"/>
    <w:rsid w:val="003D703C"/>
    <w:rsid w:val="003D7377"/>
    <w:rsid w:val="003D7819"/>
    <w:rsid w:val="003D7ABF"/>
    <w:rsid w:val="003D7ACC"/>
    <w:rsid w:val="003D7F0C"/>
    <w:rsid w:val="003E0A24"/>
    <w:rsid w:val="003E1038"/>
    <w:rsid w:val="003E192F"/>
    <w:rsid w:val="003E22C9"/>
    <w:rsid w:val="003E2AD3"/>
    <w:rsid w:val="003E32DF"/>
    <w:rsid w:val="003E4471"/>
    <w:rsid w:val="003E46B8"/>
    <w:rsid w:val="003E4851"/>
    <w:rsid w:val="003E4926"/>
    <w:rsid w:val="003E4986"/>
    <w:rsid w:val="003E4A0D"/>
    <w:rsid w:val="003E4D3A"/>
    <w:rsid w:val="003E511C"/>
    <w:rsid w:val="003E5424"/>
    <w:rsid w:val="003E5C85"/>
    <w:rsid w:val="003E5E41"/>
    <w:rsid w:val="003E6114"/>
    <w:rsid w:val="003E670F"/>
    <w:rsid w:val="003E6764"/>
    <w:rsid w:val="003E6DA6"/>
    <w:rsid w:val="003E7200"/>
    <w:rsid w:val="003E75C4"/>
    <w:rsid w:val="003E7B2C"/>
    <w:rsid w:val="003F099B"/>
    <w:rsid w:val="003F0FA3"/>
    <w:rsid w:val="003F12DE"/>
    <w:rsid w:val="003F1B79"/>
    <w:rsid w:val="003F20FA"/>
    <w:rsid w:val="003F2190"/>
    <w:rsid w:val="003F2AA8"/>
    <w:rsid w:val="003F2B11"/>
    <w:rsid w:val="003F3153"/>
    <w:rsid w:val="003F3536"/>
    <w:rsid w:val="003F35F4"/>
    <w:rsid w:val="003F36C5"/>
    <w:rsid w:val="003F379C"/>
    <w:rsid w:val="003F3C1A"/>
    <w:rsid w:val="003F3D6C"/>
    <w:rsid w:val="003F465F"/>
    <w:rsid w:val="003F48A1"/>
    <w:rsid w:val="003F4CC5"/>
    <w:rsid w:val="003F511C"/>
    <w:rsid w:val="003F571C"/>
    <w:rsid w:val="003F5D6D"/>
    <w:rsid w:val="003F5E91"/>
    <w:rsid w:val="003F6AF3"/>
    <w:rsid w:val="003F6FF8"/>
    <w:rsid w:val="003F738F"/>
    <w:rsid w:val="003F765A"/>
    <w:rsid w:val="003F7891"/>
    <w:rsid w:val="003F792F"/>
    <w:rsid w:val="003F7A33"/>
    <w:rsid w:val="003F7D07"/>
    <w:rsid w:val="00400096"/>
    <w:rsid w:val="00400106"/>
    <w:rsid w:val="004003F8"/>
    <w:rsid w:val="00400FC1"/>
    <w:rsid w:val="004017D2"/>
    <w:rsid w:val="00401BFB"/>
    <w:rsid w:val="00401C69"/>
    <w:rsid w:val="004020EF"/>
    <w:rsid w:val="00402266"/>
    <w:rsid w:val="00402500"/>
    <w:rsid w:val="00402549"/>
    <w:rsid w:val="0040270D"/>
    <w:rsid w:val="00402894"/>
    <w:rsid w:val="00402A44"/>
    <w:rsid w:val="00402E07"/>
    <w:rsid w:val="00403193"/>
    <w:rsid w:val="00403EE9"/>
    <w:rsid w:val="00404409"/>
    <w:rsid w:val="00404466"/>
    <w:rsid w:val="00404548"/>
    <w:rsid w:val="00405047"/>
    <w:rsid w:val="00405308"/>
    <w:rsid w:val="004057A3"/>
    <w:rsid w:val="00405862"/>
    <w:rsid w:val="00405C87"/>
    <w:rsid w:val="004062BB"/>
    <w:rsid w:val="004069C1"/>
    <w:rsid w:val="004069C3"/>
    <w:rsid w:val="0040798A"/>
    <w:rsid w:val="00407C7C"/>
    <w:rsid w:val="0041086B"/>
    <w:rsid w:val="00410CD9"/>
    <w:rsid w:val="00410E4E"/>
    <w:rsid w:val="0041124C"/>
    <w:rsid w:val="0041144D"/>
    <w:rsid w:val="00411E88"/>
    <w:rsid w:val="00411F00"/>
    <w:rsid w:val="004120FD"/>
    <w:rsid w:val="0041260A"/>
    <w:rsid w:val="00412637"/>
    <w:rsid w:val="00412837"/>
    <w:rsid w:val="00412AD3"/>
    <w:rsid w:val="004138B9"/>
    <w:rsid w:val="004138EC"/>
    <w:rsid w:val="00413E9C"/>
    <w:rsid w:val="00414744"/>
    <w:rsid w:val="00415437"/>
    <w:rsid w:val="004156B6"/>
    <w:rsid w:val="00415889"/>
    <w:rsid w:val="00415A91"/>
    <w:rsid w:val="00415CD2"/>
    <w:rsid w:val="00415DD1"/>
    <w:rsid w:val="004170F0"/>
    <w:rsid w:val="004172CA"/>
    <w:rsid w:val="00417453"/>
    <w:rsid w:val="00417B2E"/>
    <w:rsid w:val="00417F35"/>
    <w:rsid w:val="00420A83"/>
    <w:rsid w:val="00421BC6"/>
    <w:rsid w:val="004222F2"/>
    <w:rsid w:val="00422A79"/>
    <w:rsid w:val="00422ADC"/>
    <w:rsid w:val="00422C96"/>
    <w:rsid w:val="00422F52"/>
    <w:rsid w:val="0042327A"/>
    <w:rsid w:val="004235EE"/>
    <w:rsid w:val="004239AF"/>
    <w:rsid w:val="004247B2"/>
    <w:rsid w:val="00424835"/>
    <w:rsid w:val="004250F0"/>
    <w:rsid w:val="004252D4"/>
    <w:rsid w:val="00425572"/>
    <w:rsid w:val="004255AD"/>
    <w:rsid w:val="004266B0"/>
    <w:rsid w:val="004268C1"/>
    <w:rsid w:val="00426AAF"/>
    <w:rsid w:val="00427006"/>
    <w:rsid w:val="004271D7"/>
    <w:rsid w:val="0042747B"/>
    <w:rsid w:val="00427762"/>
    <w:rsid w:val="00430ABB"/>
    <w:rsid w:val="00430D40"/>
    <w:rsid w:val="00430EB3"/>
    <w:rsid w:val="00432213"/>
    <w:rsid w:val="0043280C"/>
    <w:rsid w:val="00433AB7"/>
    <w:rsid w:val="00434ADF"/>
    <w:rsid w:val="00434AF4"/>
    <w:rsid w:val="00434AFE"/>
    <w:rsid w:val="00435098"/>
    <w:rsid w:val="0043574E"/>
    <w:rsid w:val="00435896"/>
    <w:rsid w:val="00435B34"/>
    <w:rsid w:val="00435B44"/>
    <w:rsid w:val="004361D8"/>
    <w:rsid w:val="00436541"/>
    <w:rsid w:val="004365F9"/>
    <w:rsid w:val="004367A3"/>
    <w:rsid w:val="004367CC"/>
    <w:rsid w:val="004368B8"/>
    <w:rsid w:val="00436C67"/>
    <w:rsid w:val="00436D0B"/>
    <w:rsid w:val="004375D5"/>
    <w:rsid w:val="00437798"/>
    <w:rsid w:val="004377BA"/>
    <w:rsid w:val="00437E54"/>
    <w:rsid w:val="00437EC3"/>
    <w:rsid w:val="00441EDB"/>
    <w:rsid w:val="004425F3"/>
    <w:rsid w:val="00442756"/>
    <w:rsid w:val="004427FA"/>
    <w:rsid w:val="00442936"/>
    <w:rsid w:val="00442C07"/>
    <w:rsid w:val="00442C1E"/>
    <w:rsid w:val="00442D9C"/>
    <w:rsid w:val="00442DA9"/>
    <w:rsid w:val="00442F70"/>
    <w:rsid w:val="004432E3"/>
    <w:rsid w:val="00443935"/>
    <w:rsid w:val="00443CA8"/>
    <w:rsid w:val="00443DB4"/>
    <w:rsid w:val="00443EBD"/>
    <w:rsid w:val="00443EBE"/>
    <w:rsid w:val="004440ED"/>
    <w:rsid w:val="004447B6"/>
    <w:rsid w:val="004448BF"/>
    <w:rsid w:val="004448F0"/>
    <w:rsid w:val="00444AF7"/>
    <w:rsid w:val="00444E94"/>
    <w:rsid w:val="004452C0"/>
    <w:rsid w:val="0044580D"/>
    <w:rsid w:val="00446883"/>
    <w:rsid w:val="00446A15"/>
    <w:rsid w:val="00446CB2"/>
    <w:rsid w:val="00446E2E"/>
    <w:rsid w:val="00447F4C"/>
    <w:rsid w:val="0045006C"/>
    <w:rsid w:val="0045013A"/>
    <w:rsid w:val="004503AE"/>
    <w:rsid w:val="00450BD1"/>
    <w:rsid w:val="00450CDC"/>
    <w:rsid w:val="0045110C"/>
    <w:rsid w:val="00451623"/>
    <w:rsid w:val="004518A8"/>
    <w:rsid w:val="00452564"/>
    <w:rsid w:val="004529E8"/>
    <w:rsid w:val="00452EEF"/>
    <w:rsid w:val="00453B8A"/>
    <w:rsid w:val="004542EE"/>
    <w:rsid w:val="0045437E"/>
    <w:rsid w:val="004546F4"/>
    <w:rsid w:val="00454D5A"/>
    <w:rsid w:val="00454EBF"/>
    <w:rsid w:val="0045574C"/>
    <w:rsid w:val="00455E5D"/>
    <w:rsid w:val="00455F17"/>
    <w:rsid w:val="00455FB2"/>
    <w:rsid w:val="00456390"/>
    <w:rsid w:val="00456470"/>
    <w:rsid w:val="00456E2B"/>
    <w:rsid w:val="00456E94"/>
    <w:rsid w:val="004578CF"/>
    <w:rsid w:val="00457E6B"/>
    <w:rsid w:val="00457EAA"/>
    <w:rsid w:val="004605B8"/>
    <w:rsid w:val="004606BA"/>
    <w:rsid w:val="00460B59"/>
    <w:rsid w:val="00460F14"/>
    <w:rsid w:val="00460F48"/>
    <w:rsid w:val="004610E9"/>
    <w:rsid w:val="00461160"/>
    <w:rsid w:val="004612C6"/>
    <w:rsid w:val="004618B1"/>
    <w:rsid w:val="00461A4C"/>
    <w:rsid w:val="00461D53"/>
    <w:rsid w:val="0046244B"/>
    <w:rsid w:val="00462931"/>
    <w:rsid w:val="00463987"/>
    <w:rsid w:val="00463CF3"/>
    <w:rsid w:val="004643DC"/>
    <w:rsid w:val="004645F1"/>
    <w:rsid w:val="00464EF1"/>
    <w:rsid w:val="00464F1B"/>
    <w:rsid w:val="0046514A"/>
    <w:rsid w:val="004658B1"/>
    <w:rsid w:val="00465B85"/>
    <w:rsid w:val="004669B9"/>
    <w:rsid w:val="00467162"/>
    <w:rsid w:val="004675CD"/>
    <w:rsid w:val="00467AC7"/>
    <w:rsid w:val="00467C70"/>
    <w:rsid w:val="004703DE"/>
    <w:rsid w:val="00470782"/>
    <w:rsid w:val="00470B23"/>
    <w:rsid w:val="00470F56"/>
    <w:rsid w:val="00471783"/>
    <w:rsid w:val="0047178A"/>
    <w:rsid w:val="00471F6A"/>
    <w:rsid w:val="004728A3"/>
    <w:rsid w:val="00472B41"/>
    <w:rsid w:val="00472D77"/>
    <w:rsid w:val="00473468"/>
    <w:rsid w:val="004738C8"/>
    <w:rsid w:val="004742A4"/>
    <w:rsid w:val="00474A51"/>
    <w:rsid w:val="00475446"/>
    <w:rsid w:val="004759DC"/>
    <w:rsid w:val="00475ABB"/>
    <w:rsid w:val="00475E78"/>
    <w:rsid w:val="00475E9A"/>
    <w:rsid w:val="004766A2"/>
    <w:rsid w:val="004770F6"/>
    <w:rsid w:val="0047746D"/>
    <w:rsid w:val="00477B5C"/>
    <w:rsid w:val="004800F4"/>
    <w:rsid w:val="00480644"/>
    <w:rsid w:val="004808C6"/>
    <w:rsid w:val="00480E99"/>
    <w:rsid w:val="00480F77"/>
    <w:rsid w:val="00481009"/>
    <w:rsid w:val="004829CF"/>
    <w:rsid w:val="00482CCF"/>
    <w:rsid w:val="00482F8F"/>
    <w:rsid w:val="004833EF"/>
    <w:rsid w:val="004834B5"/>
    <w:rsid w:val="00483528"/>
    <w:rsid w:val="0048371A"/>
    <w:rsid w:val="00483AA1"/>
    <w:rsid w:val="0048431E"/>
    <w:rsid w:val="0048490C"/>
    <w:rsid w:val="004854D6"/>
    <w:rsid w:val="00485F5D"/>
    <w:rsid w:val="00486766"/>
    <w:rsid w:val="00486BD4"/>
    <w:rsid w:val="004877A4"/>
    <w:rsid w:val="00487DAC"/>
    <w:rsid w:val="004902A4"/>
    <w:rsid w:val="004903E6"/>
    <w:rsid w:val="0049049D"/>
    <w:rsid w:val="004904FA"/>
    <w:rsid w:val="00491532"/>
    <w:rsid w:val="004917B5"/>
    <w:rsid w:val="00491814"/>
    <w:rsid w:val="00491A36"/>
    <w:rsid w:val="00492464"/>
    <w:rsid w:val="00492723"/>
    <w:rsid w:val="004929AD"/>
    <w:rsid w:val="00492F89"/>
    <w:rsid w:val="00493817"/>
    <w:rsid w:val="0049395E"/>
    <w:rsid w:val="00493ABB"/>
    <w:rsid w:val="00493ECA"/>
    <w:rsid w:val="00493FE7"/>
    <w:rsid w:val="00494936"/>
    <w:rsid w:val="00494B02"/>
    <w:rsid w:val="00494F9B"/>
    <w:rsid w:val="004950E7"/>
    <w:rsid w:val="0049562E"/>
    <w:rsid w:val="00495D8F"/>
    <w:rsid w:val="004962F0"/>
    <w:rsid w:val="00496328"/>
    <w:rsid w:val="00496AFE"/>
    <w:rsid w:val="00496CB5"/>
    <w:rsid w:val="00497B0C"/>
    <w:rsid w:val="00497E18"/>
    <w:rsid w:val="004A0842"/>
    <w:rsid w:val="004A0DC7"/>
    <w:rsid w:val="004A208E"/>
    <w:rsid w:val="004A296D"/>
    <w:rsid w:val="004A2FDD"/>
    <w:rsid w:val="004A3265"/>
    <w:rsid w:val="004A3337"/>
    <w:rsid w:val="004A37BF"/>
    <w:rsid w:val="004A3FB3"/>
    <w:rsid w:val="004A43F3"/>
    <w:rsid w:val="004A565A"/>
    <w:rsid w:val="004A56B5"/>
    <w:rsid w:val="004A57B5"/>
    <w:rsid w:val="004A5942"/>
    <w:rsid w:val="004A5B88"/>
    <w:rsid w:val="004A5BDF"/>
    <w:rsid w:val="004A5E21"/>
    <w:rsid w:val="004A6946"/>
    <w:rsid w:val="004A6948"/>
    <w:rsid w:val="004A6AD3"/>
    <w:rsid w:val="004A72A2"/>
    <w:rsid w:val="004A72C7"/>
    <w:rsid w:val="004A733A"/>
    <w:rsid w:val="004A73B3"/>
    <w:rsid w:val="004A7781"/>
    <w:rsid w:val="004A79F9"/>
    <w:rsid w:val="004A7A90"/>
    <w:rsid w:val="004A7CCD"/>
    <w:rsid w:val="004B0709"/>
    <w:rsid w:val="004B1038"/>
    <w:rsid w:val="004B1449"/>
    <w:rsid w:val="004B1535"/>
    <w:rsid w:val="004B1F7A"/>
    <w:rsid w:val="004B2889"/>
    <w:rsid w:val="004B289A"/>
    <w:rsid w:val="004B29C0"/>
    <w:rsid w:val="004B2C85"/>
    <w:rsid w:val="004B2E13"/>
    <w:rsid w:val="004B3305"/>
    <w:rsid w:val="004B3542"/>
    <w:rsid w:val="004B3890"/>
    <w:rsid w:val="004B3C0B"/>
    <w:rsid w:val="004B3EAD"/>
    <w:rsid w:val="004B3F77"/>
    <w:rsid w:val="004B45B1"/>
    <w:rsid w:val="004B47E9"/>
    <w:rsid w:val="004B4C72"/>
    <w:rsid w:val="004B5414"/>
    <w:rsid w:val="004B5D2A"/>
    <w:rsid w:val="004B61DC"/>
    <w:rsid w:val="004B63A9"/>
    <w:rsid w:val="004B6479"/>
    <w:rsid w:val="004B66B1"/>
    <w:rsid w:val="004B677F"/>
    <w:rsid w:val="004B71EA"/>
    <w:rsid w:val="004B738A"/>
    <w:rsid w:val="004B762B"/>
    <w:rsid w:val="004C00D2"/>
    <w:rsid w:val="004C0313"/>
    <w:rsid w:val="004C031C"/>
    <w:rsid w:val="004C09C5"/>
    <w:rsid w:val="004C0A4F"/>
    <w:rsid w:val="004C15F3"/>
    <w:rsid w:val="004C27E5"/>
    <w:rsid w:val="004C2805"/>
    <w:rsid w:val="004C2A02"/>
    <w:rsid w:val="004C2B38"/>
    <w:rsid w:val="004C2BFE"/>
    <w:rsid w:val="004C370C"/>
    <w:rsid w:val="004C3A89"/>
    <w:rsid w:val="004C4370"/>
    <w:rsid w:val="004C4A35"/>
    <w:rsid w:val="004C5527"/>
    <w:rsid w:val="004C571A"/>
    <w:rsid w:val="004C5C0F"/>
    <w:rsid w:val="004C5CBB"/>
    <w:rsid w:val="004C622E"/>
    <w:rsid w:val="004C6357"/>
    <w:rsid w:val="004C6CC3"/>
    <w:rsid w:val="004C6CCE"/>
    <w:rsid w:val="004C6E0B"/>
    <w:rsid w:val="004C6EA7"/>
    <w:rsid w:val="004C70FD"/>
    <w:rsid w:val="004C73D7"/>
    <w:rsid w:val="004C747F"/>
    <w:rsid w:val="004C79EF"/>
    <w:rsid w:val="004C7B15"/>
    <w:rsid w:val="004C7CCC"/>
    <w:rsid w:val="004D023E"/>
    <w:rsid w:val="004D042A"/>
    <w:rsid w:val="004D1A66"/>
    <w:rsid w:val="004D2444"/>
    <w:rsid w:val="004D44A4"/>
    <w:rsid w:val="004D4703"/>
    <w:rsid w:val="004D4CEC"/>
    <w:rsid w:val="004D4E84"/>
    <w:rsid w:val="004D51AF"/>
    <w:rsid w:val="004D52F9"/>
    <w:rsid w:val="004D5300"/>
    <w:rsid w:val="004D5858"/>
    <w:rsid w:val="004D684C"/>
    <w:rsid w:val="004D727F"/>
    <w:rsid w:val="004D731A"/>
    <w:rsid w:val="004D781A"/>
    <w:rsid w:val="004D7BE4"/>
    <w:rsid w:val="004D7D03"/>
    <w:rsid w:val="004E0DE0"/>
    <w:rsid w:val="004E0F33"/>
    <w:rsid w:val="004E10D1"/>
    <w:rsid w:val="004E10FE"/>
    <w:rsid w:val="004E18A4"/>
    <w:rsid w:val="004E194D"/>
    <w:rsid w:val="004E2336"/>
    <w:rsid w:val="004E2852"/>
    <w:rsid w:val="004E306A"/>
    <w:rsid w:val="004E35F5"/>
    <w:rsid w:val="004E3CE7"/>
    <w:rsid w:val="004E4B5E"/>
    <w:rsid w:val="004E5245"/>
    <w:rsid w:val="004E5640"/>
    <w:rsid w:val="004E5B29"/>
    <w:rsid w:val="004E5C14"/>
    <w:rsid w:val="004E6073"/>
    <w:rsid w:val="004E638A"/>
    <w:rsid w:val="004E7D4E"/>
    <w:rsid w:val="004F05F4"/>
    <w:rsid w:val="004F07A2"/>
    <w:rsid w:val="004F10D5"/>
    <w:rsid w:val="004F12E9"/>
    <w:rsid w:val="004F180B"/>
    <w:rsid w:val="004F1B58"/>
    <w:rsid w:val="004F1DDA"/>
    <w:rsid w:val="004F2085"/>
    <w:rsid w:val="004F218F"/>
    <w:rsid w:val="004F24BB"/>
    <w:rsid w:val="004F2D09"/>
    <w:rsid w:val="004F316F"/>
    <w:rsid w:val="004F337E"/>
    <w:rsid w:val="004F3F3C"/>
    <w:rsid w:val="004F6345"/>
    <w:rsid w:val="004F657A"/>
    <w:rsid w:val="004F65D5"/>
    <w:rsid w:val="004F665A"/>
    <w:rsid w:val="004F6C0F"/>
    <w:rsid w:val="004F6DBC"/>
    <w:rsid w:val="004F6EF0"/>
    <w:rsid w:val="004F738C"/>
    <w:rsid w:val="004F7593"/>
    <w:rsid w:val="004F7ACC"/>
    <w:rsid w:val="00500FEE"/>
    <w:rsid w:val="0050149C"/>
    <w:rsid w:val="0050170C"/>
    <w:rsid w:val="00501996"/>
    <w:rsid w:val="005022C0"/>
    <w:rsid w:val="00502EBF"/>
    <w:rsid w:val="00502F43"/>
    <w:rsid w:val="00503097"/>
    <w:rsid w:val="005035CB"/>
    <w:rsid w:val="00503B80"/>
    <w:rsid w:val="00503D13"/>
    <w:rsid w:val="00505328"/>
    <w:rsid w:val="0050567B"/>
    <w:rsid w:val="00505727"/>
    <w:rsid w:val="00505757"/>
    <w:rsid w:val="005058C1"/>
    <w:rsid w:val="00505A55"/>
    <w:rsid w:val="00506153"/>
    <w:rsid w:val="00507313"/>
    <w:rsid w:val="00507520"/>
    <w:rsid w:val="005079B1"/>
    <w:rsid w:val="005105BB"/>
    <w:rsid w:val="00510FD0"/>
    <w:rsid w:val="00511355"/>
    <w:rsid w:val="005114C0"/>
    <w:rsid w:val="00511F0B"/>
    <w:rsid w:val="005120F2"/>
    <w:rsid w:val="00512676"/>
    <w:rsid w:val="00512BFC"/>
    <w:rsid w:val="00512DA6"/>
    <w:rsid w:val="00513315"/>
    <w:rsid w:val="00513B8E"/>
    <w:rsid w:val="005141A5"/>
    <w:rsid w:val="00514341"/>
    <w:rsid w:val="005144DD"/>
    <w:rsid w:val="00514A37"/>
    <w:rsid w:val="00514B71"/>
    <w:rsid w:val="00515190"/>
    <w:rsid w:val="0051539A"/>
    <w:rsid w:val="00515663"/>
    <w:rsid w:val="00515BA8"/>
    <w:rsid w:val="00516B5F"/>
    <w:rsid w:val="00516F8B"/>
    <w:rsid w:val="0051731A"/>
    <w:rsid w:val="00517439"/>
    <w:rsid w:val="0051768F"/>
    <w:rsid w:val="005176A8"/>
    <w:rsid w:val="00517796"/>
    <w:rsid w:val="005177FD"/>
    <w:rsid w:val="00517979"/>
    <w:rsid w:val="00520169"/>
    <w:rsid w:val="005204DF"/>
    <w:rsid w:val="00520D56"/>
    <w:rsid w:val="005210D8"/>
    <w:rsid w:val="005210D9"/>
    <w:rsid w:val="00521575"/>
    <w:rsid w:val="00521772"/>
    <w:rsid w:val="00521D84"/>
    <w:rsid w:val="00521E81"/>
    <w:rsid w:val="0052231D"/>
    <w:rsid w:val="00522888"/>
    <w:rsid w:val="00522ABC"/>
    <w:rsid w:val="00522C14"/>
    <w:rsid w:val="00522FBC"/>
    <w:rsid w:val="00523235"/>
    <w:rsid w:val="00523436"/>
    <w:rsid w:val="0052362B"/>
    <w:rsid w:val="00523D8E"/>
    <w:rsid w:val="00524684"/>
    <w:rsid w:val="0052491F"/>
    <w:rsid w:val="00524F75"/>
    <w:rsid w:val="0052525E"/>
    <w:rsid w:val="005255E9"/>
    <w:rsid w:val="005256ED"/>
    <w:rsid w:val="0052571A"/>
    <w:rsid w:val="00525CD8"/>
    <w:rsid w:val="005260F1"/>
    <w:rsid w:val="005275B7"/>
    <w:rsid w:val="00527E1C"/>
    <w:rsid w:val="0053007F"/>
    <w:rsid w:val="00530087"/>
    <w:rsid w:val="00530156"/>
    <w:rsid w:val="00530491"/>
    <w:rsid w:val="00530B7C"/>
    <w:rsid w:val="00530F1E"/>
    <w:rsid w:val="00531340"/>
    <w:rsid w:val="00531423"/>
    <w:rsid w:val="00531772"/>
    <w:rsid w:val="00531B66"/>
    <w:rsid w:val="00531CE1"/>
    <w:rsid w:val="00531F98"/>
    <w:rsid w:val="00532D3E"/>
    <w:rsid w:val="00532F66"/>
    <w:rsid w:val="00533580"/>
    <w:rsid w:val="00533BF5"/>
    <w:rsid w:val="00534017"/>
    <w:rsid w:val="00534117"/>
    <w:rsid w:val="00534262"/>
    <w:rsid w:val="005347CA"/>
    <w:rsid w:val="00534980"/>
    <w:rsid w:val="00534B91"/>
    <w:rsid w:val="00534B95"/>
    <w:rsid w:val="0053500E"/>
    <w:rsid w:val="00535576"/>
    <w:rsid w:val="00536659"/>
    <w:rsid w:val="00537846"/>
    <w:rsid w:val="00537BEA"/>
    <w:rsid w:val="00537D43"/>
    <w:rsid w:val="00537DF6"/>
    <w:rsid w:val="00537E3B"/>
    <w:rsid w:val="00537E66"/>
    <w:rsid w:val="00540005"/>
    <w:rsid w:val="00540042"/>
    <w:rsid w:val="005400E1"/>
    <w:rsid w:val="00540135"/>
    <w:rsid w:val="00540A1E"/>
    <w:rsid w:val="00540D21"/>
    <w:rsid w:val="00540D9A"/>
    <w:rsid w:val="00540F29"/>
    <w:rsid w:val="0054102F"/>
    <w:rsid w:val="005412AE"/>
    <w:rsid w:val="00541C1C"/>
    <w:rsid w:val="00541CA1"/>
    <w:rsid w:val="00542593"/>
    <w:rsid w:val="00542615"/>
    <w:rsid w:val="00542FCF"/>
    <w:rsid w:val="005430C1"/>
    <w:rsid w:val="00543335"/>
    <w:rsid w:val="00543DF1"/>
    <w:rsid w:val="00544219"/>
    <w:rsid w:val="005445F0"/>
    <w:rsid w:val="00544694"/>
    <w:rsid w:val="00544CD9"/>
    <w:rsid w:val="005451F4"/>
    <w:rsid w:val="005454E7"/>
    <w:rsid w:val="00545AE4"/>
    <w:rsid w:val="00545CB7"/>
    <w:rsid w:val="00545E42"/>
    <w:rsid w:val="00546565"/>
    <w:rsid w:val="00546B5F"/>
    <w:rsid w:val="005472DF"/>
    <w:rsid w:val="005478E4"/>
    <w:rsid w:val="00547945"/>
    <w:rsid w:val="005479F3"/>
    <w:rsid w:val="00547D86"/>
    <w:rsid w:val="0055007F"/>
    <w:rsid w:val="0055020C"/>
    <w:rsid w:val="005502AE"/>
    <w:rsid w:val="005515E1"/>
    <w:rsid w:val="0055182C"/>
    <w:rsid w:val="00551E8E"/>
    <w:rsid w:val="005520E2"/>
    <w:rsid w:val="00552311"/>
    <w:rsid w:val="005529EA"/>
    <w:rsid w:val="00552B15"/>
    <w:rsid w:val="00552BA9"/>
    <w:rsid w:val="00552E2A"/>
    <w:rsid w:val="0055311D"/>
    <w:rsid w:val="005534C5"/>
    <w:rsid w:val="005535E8"/>
    <w:rsid w:val="00554581"/>
    <w:rsid w:val="00554823"/>
    <w:rsid w:val="00554F38"/>
    <w:rsid w:val="00555499"/>
    <w:rsid w:val="00555B3A"/>
    <w:rsid w:val="00555E1F"/>
    <w:rsid w:val="0055601C"/>
    <w:rsid w:val="005562B2"/>
    <w:rsid w:val="005563E0"/>
    <w:rsid w:val="0055698D"/>
    <w:rsid w:val="00557041"/>
    <w:rsid w:val="00557AAC"/>
    <w:rsid w:val="00557D6B"/>
    <w:rsid w:val="00560049"/>
    <w:rsid w:val="005604F2"/>
    <w:rsid w:val="00560625"/>
    <w:rsid w:val="005607A1"/>
    <w:rsid w:val="0056087C"/>
    <w:rsid w:val="0056094B"/>
    <w:rsid w:val="00560ABD"/>
    <w:rsid w:val="005614F4"/>
    <w:rsid w:val="00561753"/>
    <w:rsid w:val="00561C33"/>
    <w:rsid w:val="005620B4"/>
    <w:rsid w:val="005620E5"/>
    <w:rsid w:val="0056230B"/>
    <w:rsid w:val="005628DD"/>
    <w:rsid w:val="00562A99"/>
    <w:rsid w:val="00562E73"/>
    <w:rsid w:val="0056303A"/>
    <w:rsid w:val="005636CD"/>
    <w:rsid w:val="00563D71"/>
    <w:rsid w:val="00564019"/>
    <w:rsid w:val="00564538"/>
    <w:rsid w:val="00564981"/>
    <w:rsid w:val="0056523A"/>
    <w:rsid w:val="00565344"/>
    <w:rsid w:val="00565426"/>
    <w:rsid w:val="0056579F"/>
    <w:rsid w:val="005658E3"/>
    <w:rsid w:val="00565D4F"/>
    <w:rsid w:val="00565EA7"/>
    <w:rsid w:val="005660C4"/>
    <w:rsid w:val="00566260"/>
    <w:rsid w:val="0056637A"/>
    <w:rsid w:val="005663E4"/>
    <w:rsid w:val="00566477"/>
    <w:rsid w:val="0056669A"/>
    <w:rsid w:val="00566815"/>
    <w:rsid w:val="00566D12"/>
    <w:rsid w:val="00566DA7"/>
    <w:rsid w:val="00566ED1"/>
    <w:rsid w:val="00567C5F"/>
    <w:rsid w:val="00567F71"/>
    <w:rsid w:val="005701D9"/>
    <w:rsid w:val="0057026A"/>
    <w:rsid w:val="005703AC"/>
    <w:rsid w:val="00570440"/>
    <w:rsid w:val="005705A2"/>
    <w:rsid w:val="00570BC0"/>
    <w:rsid w:val="005713DC"/>
    <w:rsid w:val="00571403"/>
    <w:rsid w:val="0057145F"/>
    <w:rsid w:val="00571596"/>
    <w:rsid w:val="00571AC7"/>
    <w:rsid w:val="00571D19"/>
    <w:rsid w:val="005720E6"/>
    <w:rsid w:val="00572527"/>
    <w:rsid w:val="005728E5"/>
    <w:rsid w:val="00572EB3"/>
    <w:rsid w:val="00572FF5"/>
    <w:rsid w:val="005732CF"/>
    <w:rsid w:val="00573866"/>
    <w:rsid w:val="00573925"/>
    <w:rsid w:val="005747E9"/>
    <w:rsid w:val="00574A61"/>
    <w:rsid w:val="00574E20"/>
    <w:rsid w:val="00574F79"/>
    <w:rsid w:val="005765CE"/>
    <w:rsid w:val="00576B6A"/>
    <w:rsid w:val="005771CA"/>
    <w:rsid w:val="005800A2"/>
    <w:rsid w:val="005807FD"/>
    <w:rsid w:val="00580BDA"/>
    <w:rsid w:val="00580DA9"/>
    <w:rsid w:val="0058144E"/>
    <w:rsid w:val="0058145F"/>
    <w:rsid w:val="00581813"/>
    <w:rsid w:val="00581912"/>
    <w:rsid w:val="00581AE3"/>
    <w:rsid w:val="00581C27"/>
    <w:rsid w:val="005823CB"/>
    <w:rsid w:val="00582883"/>
    <w:rsid w:val="00582E2F"/>
    <w:rsid w:val="00583B2B"/>
    <w:rsid w:val="00583C37"/>
    <w:rsid w:val="005847E7"/>
    <w:rsid w:val="00584AC2"/>
    <w:rsid w:val="00585158"/>
    <w:rsid w:val="005855E5"/>
    <w:rsid w:val="005858CA"/>
    <w:rsid w:val="00585B1A"/>
    <w:rsid w:val="00585D2E"/>
    <w:rsid w:val="0058716A"/>
    <w:rsid w:val="0058722E"/>
    <w:rsid w:val="005875EE"/>
    <w:rsid w:val="0059006A"/>
    <w:rsid w:val="00590586"/>
    <w:rsid w:val="00590B7E"/>
    <w:rsid w:val="00590C32"/>
    <w:rsid w:val="00590DDB"/>
    <w:rsid w:val="00590EB9"/>
    <w:rsid w:val="005911CD"/>
    <w:rsid w:val="00591481"/>
    <w:rsid w:val="00591654"/>
    <w:rsid w:val="00591708"/>
    <w:rsid w:val="00591735"/>
    <w:rsid w:val="0059177A"/>
    <w:rsid w:val="00591926"/>
    <w:rsid w:val="00592369"/>
    <w:rsid w:val="005931BF"/>
    <w:rsid w:val="005933CC"/>
    <w:rsid w:val="0059366F"/>
    <w:rsid w:val="00593F0D"/>
    <w:rsid w:val="00594024"/>
    <w:rsid w:val="005942A6"/>
    <w:rsid w:val="005942F6"/>
    <w:rsid w:val="0059446C"/>
    <w:rsid w:val="005944FC"/>
    <w:rsid w:val="00594B94"/>
    <w:rsid w:val="00595786"/>
    <w:rsid w:val="00595CC7"/>
    <w:rsid w:val="00595CC8"/>
    <w:rsid w:val="00595DA0"/>
    <w:rsid w:val="00595F10"/>
    <w:rsid w:val="0059635F"/>
    <w:rsid w:val="00596449"/>
    <w:rsid w:val="00597352"/>
    <w:rsid w:val="00597B90"/>
    <w:rsid w:val="00597BDC"/>
    <w:rsid w:val="00597E93"/>
    <w:rsid w:val="005A08BA"/>
    <w:rsid w:val="005A141B"/>
    <w:rsid w:val="005A2450"/>
    <w:rsid w:val="005A2775"/>
    <w:rsid w:val="005A28E4"/>
    <w:rsid w:val="005A2B53"/>
    <w:rsid w:val="005A2DE1"/>
    <w:rsid w:val="005A34C2"/>
    <w:rsid w:val="005A38D9"/>
    <w:rsid w:val="005A3E68"/>
    <w:rsid w:val="005A4F32"/>
    <w:rsid w:val="005A514C"/>
    <w:rsid w:val="005A5366"/>
    <w:rsid w:val="005A5626"/>
    <w:rsid w:val="005A571F"/>
    <w:rsid w:val="005A5A67"/>
    <w:rsid w:val="005A5CB0"/>
    <w:rsid w:val="005A61D9"/>
    <w:rsid w:val="005A65D0"/>
    <w:rsid w:val="005A667E"/>
    <w:rsid w:val="005A6885"/>
    <w:rsid w:val="005A6E62"/>
    <w:rsid w:val="005A75B9"/>
    <w:rsid w:val="005A77DA"/>
    <w:rsid w:val="005A7987"/>
    <w:rsid w:val="005A7DE9"/>
    <w:rsid w:val="005A7F5C"/>
    <w:rsid w:val="005B0923"/>
    <w:rsid w:val="005B13E1"/>
    <w:rsid w:val="005B17DD"/>
    <w:rsid w:val="005B1A49"/>
    <w:rsid w:val="005B215B"/>
    <w:rsid w:val="005B277D"/>
    <w:rsid w:val="005B2A46"/>
    <w:rsid w:val="005B2D6C"/>
    <w:rsid w:val="005B32EE"/>
    <w:rsid w:val="005B3C1F"/>
    <w:rsid w:val="005B407E"/>
    <w:rsid w:val="005B44BE"/>
    <w:rsid w:val="005B457D"/>
    <w:rsid w:val="005B4E8E"/>
    <w:rsid w:val="005B50F0"/>
    <w:rsid w:val="005B5888"/>
    <w:rsid w:val="005B661E"/>
    <w:rsid w:val="005B668D"/>
    <w:rsid w:val="005B733F"/>
    <w:rsid w:val="005B77D8"/>
    <w:rsid w:val="005B7A09"/>
    <w:rsid w:val="005B7D55"/>
    <w:rsid w:val="005C01C3"/>
    <w:rsid w:val="005C0453"/>
    <w:rsid w:val="005C0B29"/>
    <w:rsid w:val="005C0E4D"/>
    <w:rsid w:val="005C0EC3"/>
    <w:rsid w:val="005C1AD3"/>
    <w:rsid w:val="005C1E02"/>
    <w:rsid w:val="005C3178"/>
    <w:rsid w:val="005C33E2"/>
    <w:rsid w:val="005C3A8F"/>
    <w:rsid w:val="005C3FE2"/>
    <w:rsid w:val="005C4085"/>
    <w:rsid w:val="005C48A5"/>
    <w:rsid w:val="005C4B83"/>
    <w:rsid w:val="005C4CA6"/>
    <w:rsid w:val="005C4FD2"/>
    <w:rsid w:val="005C5722"/>
    <w:rsid w:val="005C6434"/>
    <w:rsid w:val="005C64D9"/>
    <w:rsid w:val="005C6ADA"/>
    <w:rsid w:val="005C7428"/>
    <w:rsid w:val="005C76E4"/>
    <w:rsid w:val="005D0BA0"/>
    <w:rsid w:val="005D0D38"/>
    <w:rsid w:val="005D152D"/>
    <w:rsid w:val="005D15FA"/>
    <w:rsid w:val="005D16F3"/>
    <w:rsid w:val="005D17A0"/>
    <w:rsid w:val="005D1AEB"/>
    <w:rsid w:val="005D22DD"/>
    <w:rsid w:val="005D29B8"/>
    <w:rsid w:val="005D3465"/>
    <w:rsid w:val="005D3FD8"/>
    <w:rsid w:val="005D404F"/>
    <w:rsid w:val="005D410E"/>
    <w:rsid w:val="005D4439"/>
    <w:rsid w:val="005D4D19"/>
    <w:rsid w:val="005D4E73"/>
    <w:rsid w:val="005D51A4"/>
    <w:rsid w:val="005D55B7"/>
    <w:rsid w:val="005D567F"/>
    <w:rsid w:val="005D5890"/>
    <w:rsid w:val="005D5950"/>
    <w:rsid w:val="005D6721"/>
    <w:rsid w:val="005E0158"/>
    <w:rsid w:val="005E0528"/>
    <w:rsid w:val="005E0752"/>
    <w:rsid w:val="005E0E2E"/>
    <w:rsid w:val="005E11CA"/>
    <w:rsid w:val="005E12CF"/>
    <w:rsid w:val="005E14AE"/>
    <w:rsid w:val="005E195E"/>
    <w:rsid w:val="005E1D87"/>
    <w:rsid w:val="005E2367"/>
    <w:rsid w:val="005E293E"/>
    <w:rsid w:val="005E2B64"/>
    <w:rsid w:val="005E2EA0"/>
    <w:rsid w:val="005E329B"/>
    <w:rsid w:val="005E341F"/>
    <w:rsid w:val="005E37C3"/>
    <w:rsid w:val="005E37D0"/>
    <w:rsid w:val="005E3F0A"/>
    <w:rsid w:val="005E476D"/>
    <w:rsid w:val="005E49FC"/>
    <w:rsid w:val="005E4B5C"/>
    <w:rsid w:val="005E4CBD"/>
    <w:rsid w:val="005E4D5B"/>
    <w:rsid w:val="005E4E7B"/>
    <w:rsid w:val="005E567F"/>
    <w:rsid w:val="005E58A9"/>
    <w:rsid w:val="005E590B"/>
    <w:rsid w:val="005E600D"/>
    <w:rsid w:val="005E6304"/>
    <w:rsid w:val="005E636B"/>
    <w:rsid w:val="005E6529"/>
    <w:rsid w:val="005E691D"/>
    <w:rsid w:val="005E6D83"/>
    <w:rsid w:val="005E708E"/>
    <w:rsid w:val="005E72F9"/>
    <w:rsid w:val="005E74C8"/>
    <w:rsid w:val="005E79D6"/>
    <w:rsid w:val="005E7CEA"/>
    <w:rsid w:val="005E7E8C"/>
    <w:rsid w:val="005F0680"/>
    <w:rsid w:val="005F084A"/>
    <w:rsid w:val="005F1736"/>
    <w:rsid w:val="005F1AC0"/>
    <w:rsid w:val="005F1B3C"/>
    <w:rsid w:val="005F1C64"/>
    <w:rsid w:val="005F20FE"/>
    <w:rsid w:val="005F27E0"/>
    <w:rsid w:val="005F2E81"/>
    <w:rsid w:val="005F35C5"/>
    <w:rsid w:val="005F391F"/>
    <w:rsid w:val="005F3A7C"/>
    <w:rsid w:val="005F3AF9"/>
    <w:rsid w:val="005F447F"/>
    <w:rsid w:val="005F48E7"/>
    <w:rsid w:val="005F4ABB"/>
    <w:rsid w:val="005F4E21"/>
    <w:rsid w:val="005F4E37"/>
    <w:rsid w:val="005F5677"/>
    <w:rsid w:val="005F58D2"/>
    <w:rsid w:val="005F62D2"/>
    <w:rsid w:val="005F6308"/>
    <w:rsid w:val="005F6D23"/>
    <w:rsid w:val="0060027F"/>
    <w:rsid w:val="0060037F"/>
    <w:rsid w:val="0060075B"/>
    <w:rsid w:val="006007B7"/>
    <w:rsid w:val="0060081A"/>
    <w:rsid w:val="00600919"/>
    <w:rsid w:val="00600FD9"/>
    <w:rsid w:val="00601134"/>
    <w:rsid w:val="00601919"/>
    <w:rsid w:val="00601B19"/>
    <w:rsid w:val="00601F54"/>
    <w:rsid w:val="00602046"/>
    <w:rsid w:val="00602440"/>
    <w:rsid w:val="006025D9"/>
    <w:rsid w:val="00603013"/>
    <w:rsid w:val="006038CC"/>
    <w:rsid w:val="00603A24"/>
    <w:rsid w:val="00604419"/>
    <w:rsid w:val="00604B04"/>
    <w:rsid w:val="00604E97"/>
    <w:rsid w:val="00605094"/>
    <w:rsid w:val="00605B96"/>
    <w:rsid w:val="006068F0"/>
    <w:rsid w:val="00606E6C"/>
    <w:rsid w:val="00606E75"/>
    <w:rsid w:val="0060726D"/>
    <w:rsid w:val="00607E98"/>
    <w:rsid w:val="0061061E"/>
    <w:rsid w:val="00610896"/>
    <w:rsid w:val="006109F4"/>
    <w:rsid w:val="00610A9F"/>
    <w:rsid w:val="0061212B"/>
    <w:rsid w:val="00612AEE"/>
    <w:rsid w:val="00613826"/>
    <w:rsid w:val="006142B9"/>
    <w:rsid w:val="006144F7"/>
    <w:rsid w:val="00614816"/>
    <w:rsid w:val="00614EFF"/>
    <w:rsid w:val="00615097"/>
    <w:rsid w:val="006159D5"/>
    <w:rsid w:val="00615D10"/>
    <w:rsid w:val="00616CB2"/>
    <w:rsid w:val="00616DA1"/>
    <w:rsid w:val="0061711F"/>
    <w:rsid w:val="00617F09"/>
    <w:rsid w:val="00621630"/>
    <w:rsid w:val="006216B9"/>
    <w:rsid w:val="006217B7"/>
    <w:rsid w:val="006218CD"/>
    <w:rsid w:val="00621E38"/>
    <w:rsid w:val="00621EAB"/>
    <w:rsid w:val="006224CC"/>
    <w:rsid w:val="0062287C"/>
    <w:rsid w:val="00623994"/>
    <w:rsid w:val="00623FB6"/>
    <w:rsid w:val="0062406A"/>
    <w:rsid w:val="006244EF"/>
    <w:rsid w:val="006248A7"/>
    <w:rsid w:val="00624B0E"/>
    <w:rsid w:val="00624DBC"/>
    <w:rsid w:val="006254EB"/>
    <w:rsid w:val="00625AB4"/>
    <w:rsid w:val="00625CCE"/>
    <w:rsid w:val="0062665F"/>
    <w:rsid w:val="006269D3"/>
    <w:rsid w:val="00626EC2"/>
    <w:rsid w:val="00627396"/>
    <w:rsid w:val="0063118C"/>
    <w:rsid w:val="00631363"/>
    <w:rsid w:val="0063153D"/>
    <w:rsid w:val="00631B22"/>
    <w:rsid w:val="0063313C"/>
    <w:rsid w:val="006332E9"/>
    <w:rsid w:val="006337F9"/>
    <w:rsid w:val="00633C89"/>
    <w:rsid w:val="00633E9F"/>
    <w:rsid w:val="00633FBC"/>
    <w:rsid w:val="00633FBD"/>
    <w:rsid w:val="006343F9"/>
    <w:rsid w:val="006344E2"/>
    <w:rsid w:val="006349F8"/>
    <w:rsid w:val="006352E9"/>
    <w:rsid w:val="0063558F"/>
    <w:rsid w:val="00635CA4"/>
    <w:rsid w:val="00636723"/>
    <w:rsid w:val="006367D6"/>
    <w:rsid w:val="00636CA1"/>
    <w:rsid w:val="00637365"/>
    <w:rsid w:val="006373FF"/>
    <w:rsid w:val="00637F12"/>
    <w:rsid w:val="00641C91"/>
    <w:rsid w:val="00641EDF"/>
    <w:rsid w:val="0064259A"/>
    <w:rsid w:val="00642CE8"/>
    <w:rsid w:val="0064338B"/>
    <w:rsid w:val="006438A5"/>
    <w:rsid w:val="00644A50"/>
    <w:rsid w:val="006452C0"/>
    <w:rsid w:val="00645470"/>
    <w:rsid w:val="0064607C"/>
    <w:rsid w:val="00646558"/>
    <w:rsid w:val="00646F3B"/>
    <w:rsid w:val="00646F63"/>
    <w:rsid w:val="00647C79"/>
    <w:rsid w:val="0065016B"/>
    <w:rsid w:val="0065106E"/>
    <w:rsid w:val="00651113"/>
    <w:rsid w:val="0065182A"/>
    <w:rsid w:val="006523A7"/>
    <w:rsid w:val="0065251B"/>
    <w:rsid w:val="006526D8"/>
    <w:rsid w:val="00652ACE"/>
    <w:rsid w:val="00652B6B"/>
    <w:rsid w:val="00652E00"/>
    <w:rsid w:val="00653259"/>
    <w:rsid w:val="00653DDF"/>
    <w:rsid w:val="00653E86"/>
    <w:rsid w:val="006540E1"/>
    <w:rsid w:val="006543A8"/>
    <w:rsid w:val="006563CE"/>
    <w:rsid w:val="006563E5"/>
    <w:rsid w:val="00656F24"/>
    <w:rsid w:val="00656F87"/>
    <w:rsid w:val="00657D6B"/>
    <w:rsid w:val="00657F89"/>
    <w:rsid w:val="006600DE"/>
    <w:rsid w:val="0066047F"/>
    <w:rsid w:val="00660A17"/>
    <w:rsid w:val="00660C62"/>
    <w:rsid w:val="00660E30"/>
    <w:rsid w:val="00661767"/>
    <w:rsid w:val="006619A7"/>
    <w:rsid w:val="006621A7"/>
    <w:rsid w:val="006621BC"/>
    <w:rsid w:val="0066283C"/>
    <w:rsid w:val="00662986"/>
    <w:rsid w:val="00662EE1"/>
    <w:rsid w:val="00662F9D"/>
    <w:rsid w:val="006632D8"/>
    <w:rsid w:val="00663314"/>
    <w:rsid w:val="00663879"/>
    <w:rsid w:val="006638F5"/>
    <w:rsid w:val="006639BC"/>
    <w:rsid w:val="00663E6D"/>
    <w:rsid w:val="00663F2C"/>
    <w:rsid w:val="006642A9"/>
    <w:rsid w:val="0066494C"/>
    <w:rsid w:val="00664AFB"/>
    <w:rsid w:val="00664B14"/>
    <w:rsid w:val="00664EFB"/>
    <w:rsid w:val="006653F4"/>
    <w:rsid w:val="00665715"/>
    <w:rsid w:val="0066586F"/>
    <w:rsid w:val="00665E80"/>
    <w:rsid w:val="00665E8A"/>
    <w:rsid w:val="006668DF"/>
    <w:rsid w:val="006668EB"/>
    <w:rsid w:val="00667356"/>
    <w:rsid w:val="0066740C"/>
    <w:rsid w:val="00670011"/>
    <w:rsid w:val="006704FD"/>
    <w:rsid w:val="00670E9C"/>
    <w:rsid w:val="006713FC"/>
    <w:rsid w:val="006716EB"/>
    <w:rsid w:val="006717EC"/>
    <w:rsid w:val="00672221"/>
    <w:rsid w:val="0067264F"/>
    <w:rsid w:val="006731FF"/>
    <w:rsid w:val="006737BE"/>
    <w:rsid w:val="00673F5A"/>
    <w:rsid w:val="00674563"/>
    <w:rsid w:val="006745D7"/>
    <w:rsid w:val="006746AA"/>
    <w:rsid w:val="00674927"/>
    <w:rsid w:val="00674C97"/>
    <w:rsid w:val="00674DE7"/>
    <w:rsid w:val="006754AD"/>
    <w:rsid w:val="006757D4"/>
    <w:rsid w:val="00675A20"/>
    <w:rsid w:val="00676170"/>
    <w:rsid w:val="006761F6"/>
    <w:rsid w:val="006763DB"/>
    <w:rsid w:val="00676C1D"/>
    <w:rsid w:val="00676D13"/>
    <w:rsid w:val="00676E32"/>
    <w:rsid w:val="00677E61"/>
    <w:rsid w:val="006809A8"/>
    <w:rsid w:val="0068125D"/>
    <w:rsid w:val="00681451"/>
    <w:rsid w:val="006815C2"/>
    <w:rsid w:val="00681959"/>
    <w:rsid w:val="00681FEE"/>
    <w:rsid w:val="006821FD"/>
    <w:rsid w:val="0068238A"/>
    <w:rsid w:val="006829DB"/>
    <w:rsid w:val="00682C27"/>
    <w:rsid w:val="00683145"/>
    <w:rsid w:val="00683B4C"/>
    <w:rsid w:val="00684B03"/>
    <w:rsid w:val="00685539"/>
    <w:rsid w:val="00685639"/>
    <w:rsid w:val="00685BD7"/>
    <w:rsid w:val="00686127"/>
    <w:rsid w:val="006863E1"/>
    <w:rsid w:val="00686507"/>
    <w:rsid w:val="0068659A"/>
    <w:rsid w:val="00686616"/>
    <w:rsid w:val="00686CB7"/>
    <w:rsid w:val="00686EA5"/>
    <w:rsid w:val="006873EC"/>
    <w:rsid w:val="006901AC"/>
    <w:rsid w:val="006911CD"/>
    <w:rsid w:val="006912D8"/>
    <w:rsid w:val="0069205B"/>
    <w:rsid w:val="00692180"/>
    <w:rsid w:val="006924DC"/>
    <w:rsid w:val="006927C8"/>
    <w:rsid w:val="00692C25"/>
    <w:rsid w:val="00692E00"/>
    <w:rsid w:val="00694177"/>
    <w:rsid w:val="00694288"/>
    <w:rsid w:val="00694B06"/>
    <w:rsid w:val="00694C99"/>
    <w:rsid w:val="00694F04"/>
    <w:rsid w:val="006955A7"/>
    <w:rsid w:val="0069565F"/>
    <w:rsid w:val="00695842"/>
    <w:rsid w:val="00695940"/>
    <w:rsid w:val="00695DE1"/>
    <w:rsid w:val="00695EB6"/>
    <w:rsid w:val="00695F81"/>
    <w:rsid w:val="00695FB2"/>
    <w:rsid w:val="0069641B"/>
    <w:rsid w:val="00696438"/>
    <w:rsid w:val="00696548"/>
    <w:rsid w:val="00697DB8"/>
    <w:rsid w:val="006A010B"/>
    <w:rsid w:val="006A0443"/>
    <w:rsid w:val="006A0E6F"/>
    <w:rsid w:val="006A1387"/>
    <w:rsid w:val="006A1448"/>
    <w:rsid w:val="006A1464"/>
    <w:rsid w:val="006A1709"/>
    <w:rsid w:val="006A1C81"/>
    <w:rsid w:val="006A1C99"/>
    <w:rsid w:val="006A203D"/>
    <w:rsid w:val="006A2218"/>
    <w:rsid w:val="006A27E5"/>
    <w:rsid w:val="006A318D"/>
    <w:rsid w:val="006A3579"/>
    <w:rsid w:val="006A35AA"/>
    <w:rsid w:val="006A363E"/>
    <w:rsid w:val="006A3A12"/>
    <w:rsid w:val="006A401E"/>
    <w:rsid w:val="006A48E7"/>
    <w:rsid w:val="006A4A9A"/>
    <w:rsid w:val="006A4B18"/>
    <w:rsid w:val="006A4ECD"/>
    <w:rsid w:val="006A4F72"/>
    <w:rsid w:val="006A525F"/>
    <w:rsid w:val="006A599C"/>
    <w:rsid w:val="006A5C6F"/>
    <w:rsid w:val="006A630F"/>
    <w:rsid w:val="006A64AD"/>
    <w:rsid w:val="006A64F0"/>
    <w:rsid w:val="006A68F0"/>
    <w:rsid w:val="006A7010"/>
    <w:rsid w:val="006A78CB"/>
    <w:rsid w:val="006B06CE"/>
    <w:rsid w:val="006B0913"/>
    <w:rsid w:val="006B0B0D"/>
    <w:rsid w:val="006B16F9"/>
    <w:rsid w:val="006B1D0E"/>
    <w:rsid w:val="006B2A91"/>
    <w:rsid w:val="006B33B2"/>
    <w:rsid w:val="006B3E43"/>
    <w:rsid w:val="006B3F3D"/>
    <w:rsid w:val="006B4302"/>
    <w:rsid w:val="006B456E"/>
    <w:rsid w:val="006B468A"/>
    <w:rsid w:val="006B47E0"/>
    <w:rsid w:val="006B490F"/>
    <w:rsid w:val="006B4C94"/>
    <w:rsid w:val="006B52BE"/>
    <w:rsid w:val="006B52C7"/>
    <w:rsid w:val="006B56E4"/>
    <w:rsid w:val="006B68E3"/>
    <w:rsid w:val="006B6A85"/>
    <w:rsid w:val="006B73EC"/>
    <w:rsid w:val="006B7688"/>
    <w:rsid w:val="006B76E9"/>
    <w:rsid w:val="006B795B"/>
    <w:rsid w:val="006B7BCD"/>
    <w:rsid w:val="006C01EF"/>
    <w:rsid w:val="006C0A15"/>
    <w:rsid w:val="006C0B6F"/>
    <w:rsid w:val="006C1672"/>
    <w:rsid w:val="006C1A90"/>
    <w:rsid w:val="006C1B5F"/>
    <w:rsid w:val="006C22DB"/>
    <w:rsid w:val="006C27D9"/>
    <w:rsid w:val="006C2BC9"/>
    <w:rsid w:val="006C2F91"/>
    <w:rsid w:val="006C3133"/>
    <w:rsid w:val="006C3205"/>
    <w:rsid w:val="006C35FF"/>
    <w:rsid w:val="006C3868"/>
    <w:rsid w:val="006C390D"/>
    <w:rsid w:val="006C399C"/>
    <w:rsid w:val="006C3B74"/>
    <w:rsid w:val="006C3BB3"/>
    <w:rsid w:val="006C400D"/>
    <w:rsid w:val="006C4725"/>
    <w:rsid w:val="006C47EB"/>
    <w:rsid w:val="006C56F4"/>
    <w:rsid w:val="006C587F"/>
    <w:rsid w:val="006C5A38"/>
    <w:rsid w:val="006C6211"/>
    <w:rsid w:val="006C62F7"/>
    <w:rsid w:val="006C6356"/>
    <w:rsid w:val="006C6517"/>
    <w:rsid w:val="006C6B50"/>
    <w:rsid w:val="006C6ED6"/>
    <w:rsid w:val="006C6F1D"/>
    <w:rsid w:val="006C7810"/>
    <w:rsid w:val="006C7FC7"/>
    <w:rsid w:val="006D02E8"/>
    <w:rsid w:val="006D049E"/>
    <w:rsid w:val="006D0B2A"/>
    <w:rsid w:val="006D1080"/>
    <w:rsid w:val="006D10D2"/>
    <w:rsid w:val="006D1410"/>
    <w:rsid w:val="006D1586"/>
    <w:rsid w:val="006D1E8B"/>
    <w:rsid w:val="006D20C2"/>
    <w:rsid w:val="006D247F"/>
    <w:rsid w:val="006D2561"/>
    <w:rsid w:val="006D28AB"/>
    <w:rsid w:val="006D2953"/>
    <w:rsid w:val="006D29D2"/>
    <w:rsid w:val="006D30C8"/>
    <w:rsid w:val="006D30CF"/>
    <w:rsid w:val="006D3AF1"/>
    <w:rsid w:val="006D5941"/>
    <w:rsid w:val="006D5C62"/>
    <w:rsid w:val="006D5F85"/>
    <w:rsid w:val="006D648C"/>
    <w:rsid w:val="006D69AA"/>
    <w:rsid w:val="006D6D0C"/>
    <w:rsid w:val="006D731C"/>
    <w:rsid w:val="006D776B"/>
    <w:rsid w:val="006E093F"/>
    <w:rsid w:val="006E0ADB"/>
    <w:rsid w:val="006E0D18"/>
    <w:rsid w:val="006E0D28"/>
    <w:rsid w:val="006E1557"/>
    <w:rsid w:val="006E1D30"/>
    <w:rsid w:val="006E2022"/>
    <w:rsid w:val="006E2462"/>
    <w:rsid w:val="006E2882"/>
    <w:rsid w:val="006E2B71"/>
    <w:rsid w:val="006E2C05"/>
    <w:rsid w:val="006E39CC"/>
    <w:rsid w:val="006E3ADE"/>
    <w:rsid w:val="006E4C05"/>
    <w:rsid w:val="006E5126"/>
    <w:rsid w:val="006E5299"/>
    <w:rsid w:val="006E56AD"/>
    <w:rsid w:val="006E58E8"/>
    <w:rsid w:val="006E5CC0"/>
    <w:rsid w:val="006E6845"/>
    <w:rsid w:val="006E6988"/>
    <w:rsid w:val="006E69FE"/>
    <w:rsid w:val="006E6D38"/>
    <w:rsid w:val="006E7416"/>
    <w:rsid w:val="006E7D0E"/>
    <w:rsid w:val="006E7D90"/>
    <w:rsid w:val="006F104C"/>
    <w:rsid w:val="006F1BDF"/>
    <w:rsid w:val="006F2236"/>
    <w:rsid w:val="006F2947"/>
    <w:rsid w:val="006F2D27"/>
    <w:rsid w:val="006F2F2D"/>
    <w:rsid w:val="006F32A1"/>
    <w:rsid w:val="006F39B2"/>
    <w:rsid w:val="006F3BCE"/>
    <w:rsid w:val="006F4F7E"/>
    <w:rsid w:val="006F5016"/>
    <w:rsid w:val="006F5741"/>
    <w:rsid w:val="006F5D2E"/>
    <w:rsid w:val="006F5F9A"/>
    <w:rsid w:val="006F620D"/>
    <w:rsid w:val="006F6C29"/>
    <w:rsid w:val="006F714D"/>
    <w:rsid w:val="006F7325"/>
    <w:rsid w:val="006F763E"/>
    <w:rsid w:val="006F778C"/>
    <w:rsid w:val="006F7F1B"/>
    <w:rsid w:val="00700B14"/>
    <w:rsid w:val="00701340"/>
    <w:rsid w:val="0070182C"/>
    <w:rsid w:val="00701E10"/>
    <w:rsid w:val="00702401"/>
    <w:rsid w:val="00702678"/>
    <w:rsid w:val="007026B8"/>
    <w:rsid w:val="007026B9"/>
    <w:rsid w:val="007028DE"/>
    <w:rsid w:val="00703276"/>
    <w:rsid w:val="00703491"/>
    <w:rsid w:val="0070375F"/>
    <w:rsid w:val="00703890"/>
    <w:rsid w:val="007039BB"/>
    <w:rsid w:val="00703F1B"/>
    <w:rsid w:val="007043FA"/>
    <w:rsid w:val="00704E3B"/>
    <w:rsid w:val="007052A5"/>
    <w:rsid w:val="007052B9"/>
    <w:rsid w:val="007058DB"/>
    <w:rsid w:val="00705A15"/>
    <w:rsid w:val="00705CE5"/>
    <w:rsid w:val="00706582"/>
    <w:rsid w:val="00706677"/>
    <w:rsid w:val="0070691C"/>
    <w:rsid w:val="00706AC3"/>
    <w:rsid w:val="00706BD1"/>
    <w:rsid w:val="00706FA1"/>
    <w:rsid w:val="007073F4"/>
    <w:rsid w:val="00710FA4"/>
    <w:rsid w:val="00711422"/>
    <w:rsid w:val="00711B10"/>
    <w:rsid w:val="00711E5A"/>
    <w:rsid w:val="00711F2B"/>
    <w:rsid w:val="007124E2"/>
    <w:rsid w:val="00712563"/>
    <w:rsid w:val="00712E13"/>
    <w:rsid w:val="00712FEF"/>
    <w:rsid w:val="00713212"/>
    <w:rsid w:val="007137C3"/>
    <w:rsid w:val="007138CD"/>
    <w:rsid w:val="00713993"/>
    <w:rsid w:val="00713A81"/>
    <w:rsid w:val="00713E29"/>
    <w:rsid w:val="00714761"/>
    <w:rsid w:val="0071560C"/>
    <w:rsid w:val="00715A6E"/>
    <w:rsid w:val="00715D17"/>
    <w:rsid w:val="00717232"/>
    <w:rsid w:val="00717E4A"/>
    <w:rsid w:val="007208D6"/>
    <w:rsid w:val="00720BE7"/>
    <w:rsid w:val="00721E2F"/>
    <w:rsid w:val="0072223C"/>
    <w:rsid w:val="00722B56"/>
    <w:rsid w:val="00722C86"/>
    <w:rsid w:val="00723021"/>
    <w:rsid w:val="007233C2"/>
    <w:rsid w:val="007235A4"/>
    <w:rsid w:val="00723804"/>
    <w:rsid w:val="00723D7E"/>
    <w:rsid w:val="00723F3D"/>
    <w:rsid w:val="00724576"/>
    <w:rsid w:val="007246BB"/>
    <w:rsid w:val="007247BC"/>
    <w:rsid w:val="00724D70"/>
    <w:rsid w:val="007256D9"/>
    <w:rsid w:val="007258B5"/>
    <w:rsid w:val="007259C9"/>
    <w:rsid w:val="00725FF4"/>
    <w:rsid w:val="007272BA"/>
    <w:rsid w:val="007303E1"/>
    <w:rsid w:val="00730F29"/>
    <w:rsid w:val="0073100B"/>
    <w:rsid w:val="0073192A"/>
    <w:rsid w:val="007321EB"/>
    <w:rsid w:val="0073226F"/>
    <w:rsid w:val="007322AD"/>
    <w:rsid w:val="00732413"/>
    <w:rsid w:val="00732423"/>
    <w:rsid w:val="0073282C"/>
    <w:rsid w:val="00732B15"/>
    <w:rsid w:val="00733071"/>
    <w:rsid w:val="0073360F"/>
    <w:rsid w:val="00733E00"/>
    <w:rsid w:val="00733F13"/>
    <w:rsid w:val="00734147"/>
    <w:rsid w:val="0073443C"/>
    <w:rsid w:val="007347A0"/>
    <w:rsid w:val="00734B11"/>
    <w:rsid w:val="00735E2D"/>
    <w:rsid w:val="00736631"/>
    <w:rsid w:val="00737445"/>
    <w:rsid w:val="007377D8"/>
    <w:rsid w:val="00737C38"/>
    <w:rsid w:val="007402D4"/>
    <w:rsid w:val="007407A2"/>
    <w:rsid w:val="00740B4F"/>
    <w:rsid w:val="00740DAB"/>
    <w:rsid w:val="007410FB"/>
    <w:rsid w:val="00741564"/>
    <w:rsid w:val="00741DCE"/>
    <w:rsid w:val="0074249D"/>
    <w:rsid w:val="007424F2"/>
    <w:rsid w:val="00742EBC"/>
    <w:rsid w:val="00743603"/>
    <w:rsid w:val="00743763"/>
    <w:rsid w:val="007438A6"/>
    <w:rsid w:val="00743CC9"/>
    <w:rsid w:val="007440E7"/>
    <w:rsid w:val="007442B2"/>
    <w:rsid w:val="00744570"/>
    <w:rsid w:val="007445C4"/>
    <w:rsid w:val="0074495D"/>
    <w:rsid w:val="00744BE1"/>
    <w:rsid w:val="00744E03"/>
    <w:rsid w:val="00744FD8"/>
    <w:rsid w:val="00745261"/>
    <w:rsid w:val="007457BF"/>
    <w:rsid w:val="00745DA2"/>
    <w:rsid w:val="00745FDE"/>
    <w:rsid w:val="0074631A"/>
    <w:rsid w:val="00746637"/>
    <w:rsid w:val="00746BBD"/>
    <w:rsid w:val="00746C35"/>
    <w:rsid w:val="00747181"/>
    <w:rsid w:val="00750584"/>
    <w:rsid w:val="007505F8"/>
    <w:rsid w:val="00750742"/>
    <w:rsid w:val="007507FC"/>
    <w:rsid w:val="00750810"/>
    <w:rsid w:val="007509FE"/>
    <w:rsid w:val="00750A13"/>
    <w:rsid w:val="00750A1E"/>
    <w:rsid w:val="0075115A"/>
    <w:rsid w:val="007514F8"/>
    <w:rsid w:val="00751A01"/>
    <w:rsid w:val="00752435"/>
    <w:rsid w:val="00752C89"/>
    <w:rsid w:val="00752E6F"/>
    <w:rsid w:val="00752FA8"/>
    <w:rsid w:val="007536FB"/>
    <w:rsid w:val="00753C5F"/>
    <w:rsid w:val="00753CE1"/>
    <w:rsid w:val="00753FCB"/>
    <w:rsid w:val="007544EF"/>
    <w:rsid w:val="007545ED"/>
    <w:rsid w:val="00754BF2"/>
    <w:rsid w:val="00754E90"/>
    <w:rsid w:val="00755147"/>
    <w:rsid w:val="007562A3"/>
    <w:rsid w:val="00756A72"/>
    <w:rsid w:val="00756B83"/>
    <w:rsid w:val="00756BB4"/>
    <w:rsid w:val="00756DE2"/>
    <w:rsid w:val="00757462"/>
    <w:rsid w:val="0076027D"/>
    <w:rsid w:val="00760477"/>
    <w:rsid w:val="00760602"/>
    <w:rsid w:val="00760690"/>
    <w:rsid w:val="007607D0"/>
    <w:rsid w:val="00760D28"/>
    <w:rsid w:val="00760DC8"/>
    <w:rsid w:val="007611F9"/>
    <w:rsid w:val="00761377"/>
    <w:rsid w:val="00762445"/>
    <w:rsid w:val="007627DC"/>
    <w:rsid w:val="0076324E"/>
    <w:rsid w:val="00763809"/>
    <w:rsid w:val="00763E00"/>
    <w:rsid w:val="0076461F"/>
    <w:rsid w:val="0076482C"/>
    <w:rsid w:val="00764AD1"/>
    <w:rsid w:val="007652A4"/>
    <w:rsid w:val="00766BE2"/>
    <w:rsid w:val="0076758F"/>
    <w:rsid w:val="00767CCA"/>
    <w:rsid w:val="00767FC8"/>
    <w:rsid w:val="007706A2"/>
    <w:rsid w:val="00770F0A"/>
    <w:rsid w:val="0077139C"/>
    <w:rsid w:val="0077167C"/>
    <w:rsid w:val="00771A47"/>
    <w:rsid w:val="00771ED3"/>
    <w:rsid w:val="00771FCB"/>
    <w:rsid w:val="00772088"/>
    <w:rsid w:val="007727C7"/>
    <w:rsid w:val="0077291E"/>
    <w:rsid w:val="00772AFF"/>
    <w:rsid w:val="00772D33"/>
    <w:rsid w:val="0077303B"/>
    <w:rsid w:val="007731D0"/>
    <w:rsid w:val="00773ECE"/>
    <w:rsid w:val="00774A54"/>
    <w:rsid w:val="00775E51"/>
    <w:rsid w:val="00776827"/>
    <w:rsid w:val="00776DCD"/>
    <w:rsid w:val="0077720D"/>
    <w:rsid w:val="00777279"/>
    <w:rsid w:val="0077728F"/>
    <w:rsid w:val="00777D06"/>
    <w:rsid w:val="007808C3"/>
    <w:rsid w:val="007808FA"/>
    <w:rsid w:val="00781421"/>
    <w:rsid w:val="00781563"/>
    <w:rsid w:val="007815B6"/>
    <w:rsid w:val="00781B66"/>
    <w:rsid w:val="00781CDE"/>
    <w:rsid w:val="00781D4D"/>
    <w:rsid w:val="00781D5E"/>
    <w:rsid w:val="0078226A"/>
    <w:rsid w:val="00782336"/>
    <w:rsid w:val="0078277B"/>
    <w:rsid w:val="00782ADB"/>
    <w:rsid w:val="00782D95"/>
    <w:rsid w:val="00782EFC"/>
    <w:rsid w:val="00783263"/>
    <w:rsid w:val="007835FB"/>
    <w:rsid w:val="0078408D"/>
    <w:rsid w:val="00784256"/>
    <w:rsid w:val="007853BE"/>
    <w:rsid w:val="0078574C"/>
    <w:rsid w:val="00785961"/>
    <w:rsid w:val="00785F04"/>
    <w:rsid w:val="007861F9"/>
    <w:rsid w:val="00787217"/>
    <w:rsid w:val="007876B1"/>
    <w:rsid w:val="007879F8"/>
    <w:rsid w:val="00787AD2"/>
    <w:rsid w:val="00787FB6"/>
    <w:rsid w:val="007901B3"/>
    <w:rsid w:val="00791636"/>
    <w:rsid w:val="00791DC1"/>
    <w:rsid w:val="00791FE9"/>
    <w:rsid w:val="0079235A"/>
    <w:rsid w:val="007926EF"/>
    <w:rsid w:val="00793371"/>
    <w:rsid w:val="00793A8C"/>
    <w:rsid w:val="00793E10"/>
    <w:rsid w:val="00794062"/>
    <w:rsid w:val="007941E8"/>
    <w:rsid w:val="0079430E"/>
    <w:rsid w:val="007943CD"/>
    <w:rsid w:val="00794448"/>
    <w:rsid w:val="00795747"/>
    <w:rsid w:val="00795D28"/>
    <w:rsid w:val="00795F2E"/>
    <w:rsid w:val="007961B1"/>
    <w:rsid w:val="007961DB"/>
    <w:rsid w:val="00796340"/>
    <w:rsid w:val="00797040"/>
    <w:rsid w:val="00797296"/>
    <w:rsid w:val="007972F4"/>
    <w:rsid w:val="007973BB"/>
    <w:rsid w:val="0079756B"/>
    <w:rsid w:val="007A02EF"/>
    <w:rsid w:val="007A074E"/>
    <w:rsid w:val="007A0A12"/>
    <w:rsid w:val="007A1092"/>
    <w:rsid w:val="007A1ADF"/>
    <w:rsid w:val="007A1B8C"/>
    <w:rsid w:val="007A20AD"/>
    <w:rsid w:val="007A2FC5"/>
    <w:rsid w:val="007A3230"/>
    <w:rsid w:val="007A40C0"/>
    <w:rsid w:val="007A40FE"/>
    <w:rsid w:val="007A50BC"/>
    <w:rsid w:val="007A591B"/>
    <w:rsid w:val="007A5D63"/>
    <w:rsid w:val="007A5FCD"/>
    <w:rsid w:val="007A65D8"/>
    <w:rsid w:val="007A661E"/>
    <w:rsid w:val="007A66ED"/>
    <w:rsid w:val="007A745B"/>
    <w:rsid w:val="007A7484"/>
    <w:rsid w:val="007A7AB2"/>
    <w:rsid w:val="007A7DC4"/>
    <w:rsid w:val="007B0511"/>
    <w:rsid w:val="007B0DB8"/>
    <w:rsid w:val="007B1144"/>
    <w:rsid w:val="007B118E"/>
    <w:rsid w:val="007B12B1"/>
    <w:rsid w:val="007B1AE8"/>
    <w:rsid w:val="007B22E2"/>
    <w:rsid w:val="007B24B3"/>
    <w:rsid w:val="007B265D"/>
    <w:rsid w:val="007B27C5"/>
    <w:rsid w:val="007B2AB0"/>
    <w:rsid w:val="007B2E1E"/>
    <w:rsid w:val="007B3128"/>
    <w:rsid w:val="007B371C"/>
    <w:rsid w:val="007B377C"/>
    <w:rsid w:val="007B3D9A"/>
    <w:rsid w:val="007B3E47"/>
    <w:rsid w:val="007B3F59"/>
    <w:rsid w:val="007B56EF"/>
    <w:rsid w:val="007B59B9"/>
    <w:rsid w:val="007B64BC"/>
    <w:rsid w:val="007B67C0"/>
    <w:rsid w:val="007B70AE"/>
    <w:rsid w:val="007B711A"/>
    <w:rsid w:val="007B7468"/>
    <w:rsid w:val="007B7567"/>
    <w:rsid w:val="007B792B"/>
    <w:rsid w:val="007B7DDA"/>
    <w:rsid w:val="007B7E87"/>
    <w:rsid w:val="007C05E7"/>
    <w:rsid w:val="007C0B63"/>
    <w:rsid w:val="007C0C7A"/>
    <w:rsid w:val="007C1161"/>
    <w:rsid w:val="007C14F6"/>
    <w:rsid w:val="007C1F1D"/>
    <w:rsid w:val="007C23C6"/>
    <w:rsid w:val="007C29C2"/>
    <w:rsid w:val="007C2AF0"/>
    <w:rsid w:val="007C36FC"/>
    <w:rsid w:val="007C3BC6"/>
    <w:rsid w:val="007C3D29"/>
    <w:rsid w:val="007C4EF0"/>
    <w:rsid w:val="007C5C17"/>
    <w:rsid w:val="007C639F"/>
    <w:rsid w:val="007C6DD1"/>
    <w:rsid w:val="007C74B1"/>
    <w:rsid w:val="007C76A3"/>
    <w:rsid w:val="007C7C02"/>
    <w:rsid w:val="007C7FC7"/>
    <w:rsid w:val="007D0811"/>
    <w:rsid w:val="007D0C39"/>
    <w:rsid w:val="007D0E2A"/>
    <w:rsid w:val="007D1078"/>
    <w:rsid w:val="007D1D0B"/>
    <w:rsid w:val="007D26B6"/>
    <w:rsid w:val="007D2825"/>
    <w:rsid w:val="007D3461"/>
    <w:rsid w:val="007D3811"/>
    <w:rsid w:val="007D397F"/>
    <w:rsid w:val="007D40C4"/>
    <w:rsid w:val="007D4404"/>
    <w:rsid w:val="007D4C4C"/>
    <w:rsid w:val="007D4F17"/>
    <w:rsid w:val="007D55C0"/>
    <w:rsid w:val="007D5CED"/>
    <w:rsid w:val="007D6275"/>
    <w:rsid w:val="007D6604"/>
    <w:rsid w:val="007D6660"/>
    <w:rsid w:val="007D666D"/>
    <w:rsid w:val="007D72C2"/>
    <w:rsid w:val="007D75A5"/>
    <w:rsid w:val="007D77CF"/>
    <w:rsid w:val="007D7B61"/>
    <w:rsid w:val="007E0442"/>
    <w:rsid w:val="007E101A"/>
    <w:rsid w:val="007E15DD"/>
    <w:rsid w:val="007E1AA9"/>
    <w:rsid w:val="007E27BA"/>
    <w:rsid w:val="007E324D"/>
    <w:rsid w:val="007E387C"/>
    <w:rsid w:val="007E4492"/>
    <w:rsid w:val="007E4940"/>
    <w:rsid w:val="007E4A91"/>
    <w:rsid w:val="007E56E4"/>
    <w:rsid w:val="007E5EE4"/>
    <w:rsid w:val="007E60E8"/>
    <w:rsid w:val="007E6398"/>
    <w:rsid w:val="007E644F"/>
    <w:rsid w:val="007E71BF"/>
    <w:rsid w:val="007E7989"/>
    <w:rsid w:val="007E7C5F"/>
    <w:rsid w:val="007F0174"/>
    <w:rsid w:val="007F0794"/>
    <w:rsid w:val="007F0870"/>
    <w:rsid w:val="007F1151"/>
    <w:rsid w:val="007F17D9"/>
    <w:rsid w:val="007F1912"/>
    <w:rsid w:val="007F2458"/>
    <w:rsid w:val="007F2469"/>
    <w:rsid w:val="007F2BAC"/>
    <w:rsid w:val="007F2DAC"/>
    <w:rsid w:val="007F3847"/>
    <w:rsid w:val="007F52C4"/>
    <w:rsid w:val="007F53DC"/>
    <w:rsid w:val="007F59A9"/>
    <w:rsid w:val="007F5CE5"/>
    <w:rsid w:val="007F608A"/>
    <w:rsid w:val="007F6192"/>
    <w:rsid w:val="007F6895"/>
    <w:rsid w:val="007F6BEA"/>
    <w:rsid w:val="007F71E3"/>
    <w:rsid w:val="007F7213"/>
    <w:rsid w:val="007F7779"/>
    <w:rsid w:val="007F793D"/>
    <w:rsid w:val="007F7D83"/>
    <w:rsid w:val="007F7EC3"/>
    <w:rsid w:val="007F7EE7"/>
    <w:rsid w:val="008005D4"/>
    <w:rsid w:val="00800D61"/>
    <w:rsid w:val="008013D6"/>
    <w:rsid w:val="00801803"/>
    <w:rsid w:val="00801F1A"/>
    <w:rsid w:val="00802AA6"/>
    <w:rsid w:val="00803DD0"/>
    <w:rsid w:val="00804537"/>
    <w:rsid w:val="00805314"/>
    <w:rsid w:val="00805571"/>
    <w:rsid w:val="00806005"/>
    <w:rsid w:val="00806228"/>
    <w:rsid w:val="0080630A"/>
    <w:rsid w:val="00806394"/>
    <w:rsid w:val="00806958"/>
    <w:rsid w:val="00807635"/>
    <w:rsid w:val="008076FA"/>
    <w:rsid w:val="00807707"/>
    <w:rsid w:val="00807D0E"/>
    <w:rsid w:val="00807D5F"/>
    <w:rsid w:val="00807E37"/>
    <w:rsid w:val="00810BE7"/>
    <w:rsid w:val="00810CEE"/>
    <w:rsid w:val="00810D8A"/>
    <w:rsid w:val="0081114F"/>
    <w:rsid w:val="00811589"/>
    <w:rsid w:val="00811755"/>
    <w:rsid w:val="008117EF"/>
    <w:rsid w:val="00811ABA"/>
    <w:rsid w:val="00811D55"/>
    <w:rsid w:val="00812CAF"/>
    <w:rsid w:val="00812E6C"/>
    <w:rsid w:val="00813185"/>
    <w:rsid w:val="008133D4"/>
    <w:rsid w:val="008135C9"/>
    <w:rsid w:val="00813C34"/>
    <w:rsid w:val="008142B2"/>
    <w:rsid w:val="00814731"/>
    <w:rsid w:val="00815454"/>
    <w:rsid w:val="00815A39"/>
    <w:rsid w:val="008163A7"/>
    <w:rsid w:val="008163DD"/>
    <w:rsid w:val="00816492"/>
    <w:rsid w:val="008166A3"/>
    <w:rsid w:val="00816B40"/>
    <w:rsid w:val="00816D05"/>
    <w:rsid w:val="00816F7A"/>
    <w:rsid w:val="00817AF8"/>
    <w:rsid w:val="00817C44"/>
    <w:rsid w:val="00817C58"/>
    <w:rsid w:val="00820108"/>
    <w:rsid w:val="00820279"/>
    <w:rsid w:val="008205A6"/>
    <w:rsid w:val="008205F7"/>
    <w:rsid w:val="008209C6"/>
    <w:rsid w:val="00820DC7"/>
    <w:rsid w:val="00820FD7"/>
    <w:rsid w:val="00821312"/>
    <w:rsid w:val="0082164C"/>
    <w:rsid w:val="0082181B"/>
    <w:rsid w:val="00821954"/>
    <w:rsid w:val="00821AD7"/>
    <w:rsid w:val="00821C5D"/>
    <w:rsid w:val="00822236"/>
    <w:rsid w:val="0082272F"/>
    <w:rsid w:val="00822A62"/>
    <w:rsid w:val="00822B38"/>
    <w:rsid w:val="00823ACC"/>
    <w:rsid w:val="00823D55"/>
    <w:rsid w:val="0082487D"/>
    <w:rsid w:val="00824E7B"/>
    <w:rsid w:val="00824F83"/>
    <w:rsid w:val="00826E05"/>
    <w:rsid w:val="008271C9"/>
    <w:rsid w:val="00827494"/>
    <w:rsid w:val="00827661"/>
    <w:rsid w:val="0082785C"/>
    <w:rsid w:val="008279C9"/>
    <w:rsid w:val="00827C5E"/>
    <w:rsid w:val="00830A05"/>
    <w:rsid w:val="00831366"/>
    <w:rsid w:val="00831629"/>
    <w:rsid w:val="00831638"/>
    <w:rsid w:val="00831894"/>
    <w:rsid w:val="00831C0D"/>
    <w:rsid w:val="00831E3B"/>
    <w:rsid w:val="00831F5D"/>
    <w:rsid w:val="0083208B"/>
    <w:rsid w:val="00832774"/>
    <w:rsid w:val="00832D21"/>
    <w:rsid w:val="00833105"/>
    <w:rsid w:val="008338EC"/>
    <w:rsid w:val="00833C4A"/>
    <w:rsid w:val="00833D84"/>
    <w:rsid w:val="008340C9"/>
    <w:rsid w:val="008341ED"/>
    <w:rsid w:val="00834535"/>
    <w:rsid w:val="008348F1"/>
    <w:rsid w:val="00834A28"/>
    <w:rsid w:val="00834ADE"/>
    <w:rsid w:val="00834CB6"/>
    <w:rsid w:val="00836163"/>
    <w:rsid w:val="00836617"/>
    <w:rsid w:val="00836622"/>
    <w:rsid w:val="00836824"/>
    <w:rsid w:val="008373DB"/>
    <w:rsid w:val="008376D8"/>
    <w:rsid w:val="00837A13"/>
    <w:rsid w:val="00837B74"/>
    <w:rsid w:val="00837CAD"/>
    <w:rsid w:val="00840046"/>
    <w:rsid w:val="008414CF"/>
    <w:rsid w:val="00841637"/>
    <w:rsid w:val="008417B8"/>
    <w:rsid w:val="008422ED"/>
    <w:rsid w:val="008425B1"/>
    <w:rsid w:val="00842860"/>
    <w:rsid w:val="00843289"/>
    <w:rsid w:val="0084349F"/>
    <w:rsid w:val="00843A32"/>
    <w:rsid w:val="00843CD9"/>
    <w:rsid w:val="00843CF3"/>
    <w:rsid w:val="00843F1F"/>
    <w:rsid w:val="00844B5F"/>
    <w:rsid w:val="0084565C"/>
    <w:rsid w:val="00845C94"/>
    <w:rsid w:val="00846115"/>
    <w:rsid w:val="008462E4"/>
    <w:rsid w:val="00846E6F"/>
    <w:rsid w:val="00846EC3"/>
    <w:rsid w:val="00847989"/>
    <w:rsid w:val="0085019F"/>
    <w:rsid w:val="0085049F"/>
    <w:rsid w:val="0085055F"/>
    <w:rsid w:val="008517F0"/>
    <w:rsid w:val="00852426"/>
    <w:rsid w:val="008524AB"/>
    <w:rsid w:val="00852AC8"/>
    <w:rsid w:val="00852B4A"/>
    <w:rsid w:val="00852C0C"/>
    <w:rsid w:val="00852FC4"/>
    <w:rsid w:val="00853F44"/>
    <w:rsid w:val="00855427"/>
    <w:rsid w:val="00855A80"/>
    <w:rsid w:val="00855E66"/>
    <w:rsid w:val="00855F00"/>
    <w:rsid w:val="00855F38"/>
    <w:rsid w:val="008566CA"/>
    <w:rsid w:val="00856814"/>
    <w:rsid w:val="008572BA"/>
    <w:rsid w:val="008574E3"/>
    <w:rsid w:val="008607D0"/>
    <w:rsid w:val="00860BA9"/>
    <w:rsid w:val="00860F8E"/>
    <w:rsid w:val="00861EF3"/>
    <w:rsid w:val="0086219D"/>
    <w:rsid w:val="008622C3"/>
    <w:rsid w:val="008626B0"/>
    <w:rsid w:val="008627F4"/>
    <w:rsid w:val="00862813"/>
    <w:rsid w:val="00862958"/>
    <w:rsid w:val="00862C39"/>
    <w:rsid w:val="00863022"/>
    <w:rsid w:val="00863AD9"/>
    <w:rsid w:val="00863ED0"/>
    <w:rsid w:val="0086429F"/>
    <w:rsid w:val="00864831"/>
    <w:rsid w:val="00864A4C"/>
    <w:rsid w:val="00865629"/>
    <w:rsid w:val="0086581D"/>
    <w:rsid w:val="00865A96"/>
    <w:rsid w:val="00866B58"/>
    <w:rsid w:val="00866C58"/>
    <w:rsid w:val="00866CE6"/>
    <w:rsid w:val="00866E85"/>
    <w:rsid w:val="008670A6"/>
    <w:rsid w:val="00867E15"/>
    <w:rsid w:val="00870136"/>
    <w:rsid w:val="0087017F"/>
    <w:rsid w:val="0087058B"/>
    <w:rsid w:val="0087071D"/>
    <w:rsid w:val="00870878"/>
    <w:rsid w:val="00870CDE"/>
    <w:rsid w:val="00870FBC"/>
    <w:rsid w:val="008710DB"/>
    <w:rsid w:val="00871420"/>
    <w:rsid w:val="00872245"/>
    <w:rsid w:val="00872B2D"/>
    <w:rsid w:val="00872C62"/>
    <w:rsid w:val="00872DC8"/>
    <w:rsid w:val="008731DB"/>
    <w:rsid w:val="00873A38"/>
    <w:rsid w:val="00875335"/>
    <w:rsid w:val="00875E64"/>
    <w:rsid w:val="00875EA9"/>
    <w:rsid w:val="0087616E"/>
    <w:rsid w:val="00876886"/>
    <w:rsid w:val="00876890"/>
    <w:rsid w:val="008768B8"/>
    <w:rsid w:val="008772CA"/>
    <w:rsid w:val="00877951"/>
    <w:rsid w:val="0088020B"/>
    <w:rsid w:val="0088067F"/>
    <w:rsid w:val="0088076D"/>
    <w:rsid w:val="00880B23"/>
    <w:rsid w:val="008815AC"/>
    <w:rsid w:val="00881FC2"/>
    <w:rsid w:val="0088213E"/>
    <w:rsid w:val="008825DC"/>
    <w:rsid w:val="008828D3"/>
    <w:rsid w:val="00883948"/>
    <w:rsid w:val="0088480D"/>
    <w:rsid w:val="0088489E"/>
    <w:rsid w:val="00884BC3"/>
    <w:rsid w:val="00885374"/>
    <w:rsid w:val="00885499"/>
    <w:rsid w:val="00885901"/>
    <w:rsid w:val="00885A34"/>
    <w:rsid w:val="00886A1B"/>
    <w:rsid w:val="00887DF2"/>
    <w:rsid w:val="00890C5A"/>
    <w:rsid w:val="00890C8C"/>
    <w:rsid w:val="00891522"/>
    <w:rsid w:val="0089178F"/>
    <w:rsid w:val="00891916"/>
    <w:rsid w:val="008926A9"/>
    <w:rsid w:val="00892B74"/>
    <w:rsid w:val="008932F5"/>
    <w:rsid w:val="00893FBC"/>
    <w:rsid w:val="0089429A"/>
    <w:rsid w:val="00894552"/>
    <w:rsid w:val="0089458F"/>
    <w:rsid w:val="0089463D"/>
    <w:rsid w:val="00894A2F"/>
    <w:rsid w:val="00894BEF"/>
    <w:rsid w:val="00894CC4"/>
    <w:rsid w:val="0089570F"/>
    <w:rsid w:val="00895AD5"/>
    <w:rsid w:val="00895EEA"/>
    <w:rsid w:val="008966C8"/>
    <w:rsid w:val="008A06F5"/>
    <w:rsid w:val="008A07A4"/>
    <w:rsid w:val="008A07B5"/>
    <w:rsid w:val="008A07F6"/>
    <w:rsid w:val="008A09A7"/>
    <w:rsid w:val="008A1063"/>
    <w:rsid w:val="008A120E"/>
    <w:rsid w:val="008A1637"/>
    <w:rsid w:val="008A180D"/>
    <w:rsid w:val="008A1AAC"/>
    <w:rsid w:val="008A1BAA"/>
    <w:rsid w:val="008A1BFC"/>
    <w:rsid w:val="008A1D4F"/>
    <w:rsid w:val="008A2452"/>
    <w:rsid w:val="008A27A4"/>
    <w:rsid w:val="008A2910"/>
    <w:rsid w:val="008A2A10"/>
    <w:rsid w:val="008A30B7"/>
    <w:rsid w:val="008A36EA"/>
    <w:rsid w:val="008A3790"/>
    <w:rsid w:val="008A37F8"/>
    <w:rsid w:val="008A3870"/>
    <w:rsid w:val="008A3D5D"/>
    <w:rsid w:val="008A4028"/>
    <w:rsid w:val="008A4E3C"/>
    <w:rsid w:val="008A4EAD"/>
    <w:rsid w:val="008A4F8D"/>
    <w:rsid w:val="008A64C6"/>
    <w:rsid w:val="008A684A"/>
    <w:rsid w:val="008A6BBE"/>
    <w:rsid w:val="008A726D"/>
    <w:rsid w:val="008A7414"/>
    <w:rsid w:val="008A76AC"/>
    <w:rsid w:val="008A78C1"/>
    <w:rsid w:val="008A7CA0"/>
    <w:rsid w:val="008B0254"/>
    <w:rsid w:val="008B0697"/>
    <w:rsid w:val="008B06A5"/>
    <w:rsid w:val="008B0986"/>
    <w:rsid w:val="008B09D7"/>
    <w:rsid w:val="008B0AC0"/>
    <w:rsid w:val="008B17AF"/>
    <w:rsid w:val="008B210C"/>
    <w:rsid w:val="008B24A0"/>
    <w:rsid w:val="008B291A"/>
    <w:rsid w:val="008B2AE2"/>
    <w:rsid w:val="008B2BAF"/>
    <w:rsid w:val="008B2CBD"/>
    <w:rsid w:val="008B2D1E"/>
    <w:rsid w:val="008B2DDF"/>
    <w:rsid w:val="008B3571"/>
    <w:rsid w:val="008B4043"/>
    <w:rsid w:val="008B40DC"/>
    <w:rsid w:val="008B4B8E"/>
    <w:rsid w:val="008B4C35"/>
    <w:rsid w:val="008B51C0"/>
    <w:rsid w:val="008B53CC"/>
    <w:rsid w:val="008B5FA5"/>
    <w:rsid w:val="008B66C7"/>
    <w:rsid w:val="008B6C4A"/>
    <w:rsid w:val="008B6C5D"/>
    <w:rsid w:val="008C00E1"/>
    <w:rsid w:val="008C07E3"/>
    <w:rsid w:val="008C13DB"/>
    <w:rsid w:val="008C15BD"/>
    <w:rsid w:val="008C1910"/>
    <w:rsid w:val="008C1B01"/>
    <w:rsid w:val="008C2C4B"/>
    <w:rsid w:val="008C2C85"/>
    <w:rsid w:val="008C3CAC"/>
    <w:rsid w:val="008C3DF2"/>
    <w:rsid w:val="008C561A"/>
    <w:rsid w:val="008C5F21"/>
    <w:rsid w:val="008C62B3"/>
    <w:rsid w:val="008C6391"/>
    <w:rsid w:val="008C73C7"/>
    <w:rsid w:val="008C7615"/>
    <w:rsid w:val="008C798C"/>
    <w:rsid w:val="008D01B4"/>
    <w:rsid w:val="008D0673"/>
    <w:rsid w:val="008D0BE3"/>
    <w:rsid w:val="008D0F1E"/>
    <w:rsid w:val="008D14A3"/>
    <w:rsid w:val="008D151F"/>
    <w:rsid w:val="008D1B4F"/>
    <w:rsid w:val="008D1F0F"/>
    <w:rsid w:val="008D286A"/>
    <w:rsid w:val="008D2D65"/>
    <w:rsid w:val="008D3262"/>
    <w:rsid w:val="008D3FBC"/>
    <w:rsid w:val="008D4534"/>
    <w:rsid w:val="008D5D4D"/>
    <w:rsid w:val="008D62D5"/>
    <w:rsid w:val="008D6BCA"/>
    <w:rsid w:val="008D6EEB"/>
    <w:rsid w:val="008D6F54"/>
    <w:rsid w:val="008D728D"/>
    <w:rsid w:val="008D7422"/>
    <w:rsid w:val="008D76BD"/>
    <w:rsid w:val="008D78E2"/>
    <w:rsid w:val="008D7B12"/>
    <w:rsid w:val="008D7FA4"/>
    <w:rsid w:val="008E0487"/>
    <w:rsid w:val="008E08A6"/>
    <w:rsid w:val="008E0997"/>
    <w:rsid w:val="008E0CBC"/>
    <w:rsid w:val="008E0DB3"/>
    <w:rsid w:val="008E11C6"/>
    <w:rsid w:val="008E15ED"/>
    <w:rsid w:val="008E170C"/>
    <w:rsid w:val="008E1A54"/>
    <w:rsid w:val="008E1AA4"/>
    <w:rsid w:val="008E1C3E"/>
    <w:rsid w:val="008E2166"/>
    <w:rsid w:val="008E2799"/>
    <w:rsid w:val="008E2834"/>
    <w:rsid w:val="008E30BE"/>
    <w:rsid w:val="008E33B3"/>
    <w:rsid w:val="008E3705"/>
    <w:rsid w:val="008E38C3"/>
    <w:rsid w:val="008E3CE3"/>
    <w:rsid w:val="008E3E26"/>
    <w:rsid w:val="008E4120"/>
    <w:rsid w:val="008E4426"/>
    <w:rsid w:val="008E4B91"/>
    <w:rsid w:val="008E4F26"/>
    <w:rsid w:val="008E55F2"/>
    <w:rsid w:val="008E5C0D"/>
    <w:rsid w:val="008E60DB"/>
    <w:rsid w:val="008E62FC"/>
    <w:rsid w:val="008E6941"/>
    <w:rsid w:val="008E6AF8"/>
    <w:rsid w:val="008E6BEC"/>
    <w:rsid w:val="008E6EC7"/>
    <w:rsid w:val="008F0297"/>
    <w:rsid w:val="008F03C0"/>
    <w:rsid w:val="008F04F4"/>
    <w:rsid w:val="008F0666"/>
    <w:rsid w:val="008F0873"/>
    <w:rsid w:val="008F0E56"/>
    <w:rsid w:val="008F122C"/>
    <w:rsid w:val="008F1364"/>
    <w:rsid w:val="008F1650"/>
    <w:rsid w:val="008F24E3"/>
    <w:rsid w:val="008F27DE"/>
    <w:rsid w:val="008F3699"/>
    <w:rsid w:val="008F3F60"/>
    <w:rsid w:val="008F4FD1"/>
    <w:rsid w:val="008F5386"/>
    <w:rsid w:val="008F53A2"/>
    <w:rsid w:val="008F54D6"/>
    <w:rsid w:val="008F5A85"/>
    <w:rsid w:val="008F67CA"/>
    <w:rsid w:val="008F6B06"/>
    <w:rsid w:val="008F73E2"/>
    <w:rsid w:val="008F76FF"/>
    <w:rsid w:val="009000D9"/>
    <w:rsid w:val="00900335"/>
    <w:rsid w:val="0090056B"/>
    <w:rsid w:val="00900F9D"/>
    <w:rsid w:val="009010B4"/>
    <w:rsid w:val="009012F9"/>
    <w:rsid w:val="009014F4"/>
    <w:rsid w:val="0090271A"/>
    <w:rsid w:val="00902E2F"/>
    <w:rsid w:val="00902EAE"/>
    <w:rsid w:val="0090341C"/>
    <w:rsid w:val="00903766"/>
    <w:rsid w:val="00903B6E"/>
    <w:rsid w:val="00903F55"/>
    <w:rsid w:val="009042C9"/>
    <w:rsid w:val="009047D2"/>
    <w:rsid w:val="00904894"/>
    <w:rsid w:val="009048AB"/>
    <w:rsid w:val="009049FC"/>
    <w:rsid w:val="00904D2B"/>
    <w:rsid w:val="00904F39"/>
    <w:rsid w:val="00904F8A"/>
    <w:rsid w:val="0090603B"/>
    <w:rsid w:val="0090649A"/>
    <w:rsid w:val="009066B9"/>
    <w:rsid w:val="009069E9"/>
    <w:rsid w:val="00906BD3"/>
    <w:rsid w:val="00906D57"/>
    <w:rsid w:val="00906FD7"/>
    <w:rsid w:val="00907ED8"/>
    <w:rsid w:val="00910544"/>
    <w:rsid w:val="00910867"/>
    <w:rsid w:val="00910C03"/>
    <w:rsid w:val="009111D2"/>
    <w:rsid w:val="009117EA"/>
    <w:rsid w:val="00911D56"/>
    <w:rsid w:val="00912C13"/>
    <w:rsid w:val="00912C4F"/>
    <w:rsid w:val="00912ED4"/>
    <w:rsid w:val="009135BB"/>
    <w:rsid w:val="009137B9"/>
    <w:rsid w:val="00913963"/>
    <w:rsid w:val="00913E1F"/>
    <w:rsid w:val="009140CE"/>
    <w:rsid w:val="009141EE"/>
    <w:rsid w:val="00914282"/>
    <w:rsid w:val="0091465C"/>
    <w:rsid w:val="00914A1A"/>
    <w:rsid w:val="00914D21"/>
    <w:rsid w:val="00915485"/>
    <w:rsid w:val="00915511"/>
    <w:rsid w:val="00915F2F"/>
    <w:rsid w:val="00916529"/>
    <w:rsid w:val="0091683F"/>
    <w:rsid w:val="00916C89"/>
    <w:rsid w:val="009170C4"/>
    <w:rsid w:val="009175C4"/>
    <w:rsid w:val="009177B0"/>
    <w:rsid w:val="009177DD"/>
    <w:rsid w:val="00917B23"/>
    <w:rsid w:val="00917BA9"/>
    <w:rsid w:val="00917EC7"/>
    <w:rsid w:val="0092044B"/>
    <w:rsid w:val="009205D8"/>
    <w:rsid w:val="0092135D"/>
    <w:rsid w:val="00921481"/>
    <w:rsid w:val="00921502"/>
    <w:rsid w:val="009216B9"/>
    <w:rsid w:val="009218E4"/>
    <w:rsid w:val="00921A3F"/>
    <w:rsid w:val="00921DF9"/>
    <w:rsid w:val="00922EB2"/>
    <w:rsid w:val="00922F14"/>
    <w:rsid w:val="00923627"/>
    <w:rsid w:val="00923641"/>
    <w:rsid w:val="00923BF5"/>
    <w:rsid w:val="009245BA"/>
    <w:rsid w:val="00924DE3"/>
    <w:rsid w:val="00925B6A"/>
    <w:rsid w:val="00926129"/>
    <w:rsid w:val="009263F4"/>
    <w:rsid w:val="009264D6"/>
    <w:rsid w:val="00926F8F"/>
    <w:rsid w:val="00927033"/>
    <w:rsid w:val="0092711D"/>
    <w:rsid w:val="009276E6"/>
    <w:rsid w:val="00927D1F"/>
    <w:rsid w:val="0093051E"/>
    <w:rsid w:val="00930CDE"/>
    <w:rsid w:val="00931035"/>
    <w:rsid w:val="00931365"/>
    <w:rsid w:val="00931520"/>
    <w:rsid w:val="0093162A"/>
    <w:rsid w:val="00931924"/>
    <w:rsid w:val="00931E00"/>
    <w:rsid w:val="009322E7"/>
    <w:rsid w:val="00933366"/>
    <w:rsid w:val="00933E23"/>
    <w:rsid w:val="00934652"/>
    <w:rsid w:val="00934CE9"/>
    <w:rsid w:val="00934CFA"/>
    <w:rsid w:val="00934D2A"/>
    <w:rsid w:val="00934ECD"/>
    <w:rsid w:val="00935934"/>
    <w:rsid w:val="00935B33"/>
    <w:rsid w:val="00935F0E"/>
    <w:rsid w:val="00935F25"/>
    <w:rsid w:val="009361C1"/>
    <w:rsid w:val="009366A6"/>
    <w:rsid w:val="0093698E"/>
    <w:rsid w:val="00936EE0"/>
    <w:rsid w:val="00936EEB"/>
    <w:rsid w:val="0093707E"/>
    <w:rsid w:val="009370F6"/>
    <w:rsid w:val="00937262"/>
    <w:rsid w:val="009376E3"/>
    <w:rsid w:val="00937774"/>
    <w:rsid w:val="009377C2"/>
    <w:rsid w:val="009377E1"/>
    <w:rsid w:val="009378A4"/>
    <w:rsid w:val="00937917"/>
    <w:rsid w:val="009403C8"/>
    <w:rsid w:val="009405B5"/>
    <w:rsid w:val="00940C94"/>
    <w:rsid w:val="00940FFA"/>
    <w:rsid w:val="00941146"/>
    <w:rsid w:val="0094123E"/>
    <w:rsid w:val="00941670"/>
    <w:rsid w:val="00941830"/>
    <w:rsid w:val="00941EF4"/>
    <w:rsid w:val="009425B1"/>
    <w:rsid w:val="00942D3F"/>
    <w:rsid w:val="0094306D"/>
    <w:rsid w:val="0094341C"/>
    <w:rsid w:val="009439E0"/>
    <w:rsid w:val="00943EEB"/>
    <w:rsid w:val="00943F81"/>
    <w:rsid w:val="00944111"/>
    <w:rsid w:val="00944904"/>
    <w:rsid w:val="00944D56"/>
    <w:rsid w:val="00944E6C"/>
    <w:rsid w:val="00944E91"/>
    <w:rsid w:val="00945024"/>
    <w:rsid w:val="00945592"/>
    <w:rsid w:val="009455FE"/>
    <w:rsid w:val="00945665"/>
    <w:rsid w:val="0094571D"/>
    <w:rsid w:val="00945F05"/>
    <w:rsid w:val="0094603B"/>
    <w:rsid w:val="00946CED"/>
    <w:rsid w:val="00946D88"/>
    <w:rsid w:val="00946E1E"/>
    <w:rsid w:val="00946E5B"/>
    <w:rsid w:val="009473F7"/>
    <w:rsid w:val="009476C7"/>
    <w:rsid w:val="00947B1C"/>
    <w:rsid w:val="00947CEC"/>
    <w:rsid w:val="009506AC"/>
    <w:rsid w:val="0095072F"/>
    <w:rsid w:val="00950762"/>
    <w:rsid w:val="00950B99"/>
    <w:rsid w:val="00950E1C"/>
    <w:rsid w:val="0095114A"/>
    <w:rsid w:val="009512B7"/>
    <w:rsid w:val="0095178F"/>
    <w:rsid w:val="00952169"/>
    <w:rsid w:val="00952A47"/>
    <w:rsid w:val="00952A4D"/>
    <w:rsid w:val="00952D08"/>
    <w:rsid w:val="00953BF7"/>
    <w:rsid w:val="009542F7"/>
    <w:rsid w:val="00954696"/>
    <w:rsid w:val="009546C3"/>
    <w:rsid w:val="00955331"/>
    <w:rsid w:val="009560AE"/>
    <w:rsid w:val="009564C4"/>
    <w:rsid w:val="00956B0D"/>
    <w:rsid w:val="00956C10"/>
    <w:rsid w:val="00957004"/>
    <w:rsid w:val="0095759C"/>
    <w:rsid w:val="00957607"/>
    <w:rsid w:val="00957C3C"/>
    <w:rsid w:val="009605C7"/>
    <w:rsid w:val="00960824"/>
    <w:rsid w:val="009608C9"/>
    <w:rsid w:val="00960F52"/>
    <w:rsid w:val="00961AE7"/>
    <w:rsid w:val="00961D8F"/>
    <w:rsid w:val="0096232D"/>
    <w:rsid w:val="00962D7E"/>
    <w:rsid w:val="00963435"/>
    <w:rsid w:val="009635E7"/>
    <w:rsid w:val="00963695"/>
    <w:rsid w:val="0096417A"/>
    <w:rsid w:val="00964240"/>
    <w:rsid w:val="00965FD7"/>
    <w:rsid w:val="00966077"/>
    <w:rsid w:val="00966132"/>
    <w:rsid w:val="009669A4"/>
    <w:rsid w:val="00966DC0"/>
    <w:rsid w:val="00967357"/>
    <w:rsid w:val="00967950"/>
    <w:rsid w:val="00967D2C"/>
    <w:rsid w:val="00967EE2"/>
    <w:rsid w:val="0097001E"/>
    <w:rsid w:val="009700CF"/>
    <w:rsid w:val="00970167"/>
    <w:rsid w:val="00970266"/>
    <w:rsid w:val="009709A3"/>
    <w:rsid w:val="00970A00"/>
    <w:rsid w:val="0097176E"/>
    <w:rsid w:val="00971B2E"/>
    <w:rsid w:val="00971C14"/>
    <w:rsid w:val="009733D6"/>
    <w:rsid w:val="0097345B"/>
    <w:rsid w:val="009737DF"/>
    <w:rsid w:val="009737FC"/>
    <w:rsid w:val="00973F11"/>
    <w:rsid w:val="00974262"/>
    <w:rsid w:val="009742A4"/>
    <w:rsid w:val="00974B0F"/>
    <w:rsid w:val="00974B82"/>
    <w:rsid w:val="00974DAD"/>
    <w:rsid w:val="0097514E"/>
    <w:rsid w:val="00975361"/>
    <w:rsid w:val="009757F2"/>
    <w:rsid w:val="009758F3"/>
    <w:rsid w:val="00975A7D"/>
    <w:rsid w:val="00975E96"/>
    <w:rsid w:val="00975ED7"/>
    <w:rsid w:val="00977096"/>
    <w:rsid w:val="009776AE"/>
    <w:rsid w:val="0097773B"/>
    <w:rsid w:val="00980762"/>
    <w:rsid w:val="00981167"/>
    <w:rsid w:val="0098120F"/>
    <w:rsid w:val="00981AF5"/>
    <w:rsid w:val="00982582"/>
    <w:rsid w:val="009827F7"/>
    <w:rsid w:val="009829A5"/>
    <w:rsid w:val="00982C22"/>
    <w:rsid w:val="00983C36"/>
    <w:rsid w:val="00983FF9"/>
    <w:rsid w:val="00984322"/>
    <w:rsid w:val="0098458C"/>
    <w:rsid w:val="00984883"/>
    <w:rsid w:val="00985D2D"/>
    <w:rsid w:val="009860E9"/>
    <w:rsid w:val="00986418"/>
    <w:rsid w:val="00986CFE"/>
    <w:rsid w:val="00987BD6"/>
    <w:rsid w:val="00987CE8"/>
    <w:rsid w:val="00990168"/>
    <w:rsid w:val="009903B7"/>
    <w:rsid w:val="0099043B"/>
    <w:rsid w:val="00990499"/>
    <w:rsid w:val="0099089C"/>
    <w:rsid w:val="00990BA9"/>
    <w:rsid w:val="00990C00"/>
    <w:rsid w:val="0099156E"/>
    <w:rsid w:val="009915B8"/>
    <w:rsid w:val="00991A1E"/>
    <w:rsid w:val="0099204C"/>
    <w:rsid w:val="009922F2"/>
    <w:rsid w:val="009924AD"/>
    <w:rsid w:val="009924F8"/>
    <w:rsid w:val="00992A22"/>
    <w:rsid w:val="009931ED"/>
    <w:rsid w:val="00993932"/>
    <w:rsid w:val="00994144"/>
    <w:rsid w:val="00994281"/>
    <w:rsid w:val="00994A8D"/>
    <w:rsid w:val="00994CDF"/>
    <w:rsid w:val="009951EE"/>
    <w:rsid w:val="009962AF"/>
    <w:rsid w:val="009968E8"/>
    <w:rsid w:val="00996B95"/>
    <w:rsid w:val="00996CC4"/>
    <w:rsid w:val="00996DF2"/>
    <w:rsid w:val="00996DF4"/>
    <w:rsid w:val="009975D2"/>
    <w:rsid w:val="009976DF"/>
    <w:rsid w:val="009A03FC"/>
    <w:rsid w:val="009A0637"/>
    <w:rsid w:val="009A09AC"/>
    <w:rsid w:val="009A2069"/>
    <w:rsid w:val="009A2970"/>
    <w:rsid w:val="009A2DF8"/>
    <w:rsid w:val="009A2E97"/>
    <w:rsid w:val="009A30DB"/>
    <w:rsid w:val="009A3235"/>
    <w:rsid w:val="009A378D"/>
    <w:rsid w:val="009A3F23"/>
    <w:rsid w:val="009A400A"/>
    <w:rsid w:val="009A419A"/>
    <w:rsid w:val="009A43F2"/>
    <w:rsid w:val="009A4590"/>
    <w:rsid w:val="009A4D06"/>
    <w:rsid w:val="009A4DFD"/>
    <w:rsid w:val="009A59B3"/>
    <w:rsid w:val="009A5E50"/>
    <w:rsid w:val="009A6815"/>
    <w:rsid w:val="009A6DAB"/>
    <w:rsid w:val="009A70C6"/>
    <w:rsid w:val="009A7B41"/>
    <w:rsid w:val="009B0343"/>
    <w:rsid w:val="009B03E7"/>
    <w:rsid w:val="009B0617"/>
    <w:rsid w:val="009B10D6"/>
    <w:rsid w:val="009B1191"/>
    <w:rsid w:val="009B1A29"/>
    <w:rsid w:val="009B22A6"/>
    <w:rsid w:val="009B22F6"/>
    <w:rsid w:val="009B254B"/>
    <w:rsid w:val="009B265B"/>
    <w:rsid w:val="009B28E9"/>
    <w:rsid w:val="009B36BE"/>
    <w:rsid w:val="009B39CE"/>
    <w:rsid w:val="009B46DE"/>
    <w:rsid w:val="009B4AC4"/>
    <w:rsid w:val="009B4F80"/>
    <w:rsid w:val="009B54A6"/>
    <w:rsid w:val="009B54BA"/>
    <w:rsid w:val="009B54F6"/>
    <w:rsid w:val="009B5CC8"/>
    <w:rsid w:val="009B60FE"/>
    <w:rsid w:val="009B64D9"/>
    <w:rsid w:val="009B6D9B"/>
    <w:rsid w:val="009B7761"/>
    <w:rsid w:val="009B78F2"/>
    <w:rsid w:val="009B7B87"/>
    <w:rsid w:val="009B7D27"/>
    <w:rsid w:val="009B7FD2"/>
    <w:rsid w:val="009C0566"/>
    <w:rsid w:val="009C0FEC"/>
    <w:rsid w:val="009C1D28"/>
    <w:rsid w:val="009C21A0"/>
    <w:rsid w:val="009C22E4"/>
    <w:rsid w:val="009C2D49"/>
    <w:rsid w:val="009C30AA"/>
    <w:rsid w:val="009C3702"/>
    <w:rsid w:val="009C3BC8"/>
    <w:rsid w:val="009C3E9C"/>
    <w:rsid w:val="009C42F7"/>
    <w:rsid w:val="009C450F"/>
    <w:rsid w:val="009C45F2"/>
    <w:rsid w:val="009C47B2"/>
    <w:rsid w:val="009C4A53"/>
    <w:rsid w:val="009C5048"/>
    <w:rsid w:val="009C5227"/>
    <w:rsid w:val="009C5449"/>
    <w:rsid w:val="009C5A47"/>
    <w:rsid w:val="009C6761"/>
    <w:rsid w:val="009C6F66"/>
    <w:rsid w:val="009C7747"/>
    <w:rsid w:val="009C777E"/>
    <w:rsid w:val="009C78BD"/>
    <w:rsid w:val="009C78C0"/>
    <w:rsid w:val="009C7AA0"/>
    <w:rsid w:val="009C7FA1"/>
    <w:rsid w:val="009D0875"/>
    <w:rsid w:val="009D1188"/>
    <w:rsid w:val="009D12E4"/>
    <w:rsid w:val="009D138C"/>
    <w:rsid w:val="009D1578"/>
    <w:rsid w:val="009D1775"/>
    <w:rsid w:val="009D19FA"/>
    <w:rsid w:val="009D1CBD"/>
    <w:rsid w:val="009D1E60"/>
    <w:rsid w:val="009D2A89"/>
    <w:rsid w:val="009D3164"/>
    <w:rsid w:val="009D37D3"/>
    <w:rsid w:val="009D3B04"/>
    <w:rsid w:val="009D4E6D"/>
    <w:rsid w:val="009D60EF"/>
    <w:rsid w:val="009D60F9"/>
    <w:rsid w:val="009D625E"/>
    <w:rsid w:val="009D6AB9"/>
    <w:rsid w:val="009D6D38"/>
    <w:rsid w:val="009D6FAC"/>
    <w:rsid w:val="009D76ED"/>
    <w:rsid w:val="009D7735"/>
    <w:rsid w:val="009D7A0C"/>
    <w:rsid w:val="009D7E2F"/>
    <w:rsid w:val="009D7EAB"/>
    <w:rsid w:val="009E00E0"/>
    <w:rsid w:val="009E095D"/>
    <w:rsid w:val="009E0DE4"/>
    <w:rsid w:val="009E1159"/>
    <w:rsid w:val="009E24D9"/>
    <w:rsid w:val="009E2907"/>
    <w:rsid w:val="009E2D88"/>
    <w:rsid w:val="009E3136"/>
    <w:rsid w:val="009E349D"/>
    <w:rsid w:val="009E392E"/>
    <w:rsid w:val="009E3933"/>
    <w:rsid w:val="009E3A8A"/>
    <w:rsid w:val="009E3F40"/>
    <w:rsid w:val="009E496C"/>
    <w:rsid w:val="009E4E70"/>
    <w:rsid w:val="009E50D9"/>
    <w:rsid w:val="009E5358"/>
    <w:rsid w:val="009E5885"/>
    <w:rsid w:val="009E5F17"/>
    <w:rsid w:val="009E6274"/>
    <w:rsid w:val="009E642F"/>
    <w:rsid w:val="009E6B01"/>
    <w:rsid w:val="009E6C67"/>
    <w:rsid w:val="009E6CD0"/>
    <w:rsid w:val="009E6FBD"/>
    <w:rsid w:val="009E707A"/>
    <w:rsid w:val="009E7520"/>
    <w:rsid w:val="009E7CED"/>
    <w:rsid w:val="009E7EE1"/>
    <w:rsid w:val="009F0341"/>
    <w:rsid w:val="009F03ED"/>
    <w:rsid w:val="009F0823"/>
    <w:rsid w:val="009F0CE5"/>
    <w:rsid w:val="009F0F53"/>
    <w:rsid w:val="009F1403"/>
    <w:rsid w:val="009F1728"/>
    <w:rsid w:val="009F2097"/>
    <w:rsid w:val="009F25B7"/>
    <w:rsid w:val="009F2FDA"/>
    <w:rsid w:val="009F3352"/>
    <w:rsid w:val="009F3584"/>
    <w:rsid w:val="009F3669"/>
    <w:rsid w:val="009F37BB"/>
    <w:rsid w:val="009F390F"/>
    <w:rsid w:val="009F3ACF"/>
    <w:rsid w:val="009F3AEB"/>
    <w:rsid w:val="009F403F"/>
    <w:rsid w:val="009F4DCC"/>
    <w:rsid w:val="009F559A"/>
    <w:rsid w:val="009F5922"/>
    <w:rsid w:val="009F5A75"/>
    <w:rsid w:val="009F5DFC"/>
    <w:rsid w:val="009F6508"/>
    <w:rsid w:val="009F783C"/>
    <w:rsid w:val="009F7CE5"/>
    <w:rsid w:val="00A00B23"/>
    <w:rsid w:val="00A00CF3"/>
    <w:rsid w:val="00A00E15"/>
    <w:rsid w:val="00A017BE"/>
    <w:rsid w:val="00A017F6"/>
    <w:rsid w:val="00A01AD8"/>
    <w:rsid w:val="00A01DB3"/>
    <w:rsid w:val="00A02039"/>
    <w:rsid w:val="00A027E6"/>
    <w:rsid w:val="00A03217"/>
    <w:rsid w:val="00A03263"/>
    <w:rsid w:val="00A033F1"/>
    <w:rsid w:val="00A039D2"/>
    <w:rsid w:val="00A03ADF"/>
    <w:rsid w:val="00A03F8D"/>
    <w:rsid w:val="00A04296"/>
    <w:rsid w:val="00A046B4"/>
    <w:rsid w:val="00A04FF6"/>
    <w:rsid w:val="00A051E1"/>
    <w:rsid w:val="00A058C8"/>
    <w:rsid w:val="00A05FE0"/>
    <w:rsid w:val="00A06618"/>
    <w:rsid w:val="00A06850"/>
    <w:rsid w:val="00A069B1"/>
    <w:rsid w:val="00A069FB"/>
    <w:rsid w:val="00A06D1F"/>
    <w:rsid w:val="00A07B0E"/>
    <w:rsid w:val="00A100D0"/>
    <w:rsid w:val="00A109A8"/>
    <w:rsid w:val="00A10B95"/>
    <w:rsid w:val="00A113B0"/>
    <w:rsid w:val="00A1157E"/>
    <w:rsid w:val="00A11F45"/>
    <w:rsid w:val="00A1272D"/>
    <w:rsid w:val="00A1319D"/>
    <w:rsid w:val="00A13394"/>
    <w:rsid w:val="00A133D7"/>
    <w:rsid w:val="00A13D72"/>
    <w:rsid w:val="00A13FBB"/>
    <w:rsid w:val="00A144F1"/>
    <w:rsid w:val="00A14624"/>
    <w:rsid w:val="00A148AD"/>
    <w:rsid w:val="00A151DA"/>
    <w:rsid w:val="00A16506"/>
    <w:rsid w:val="00A16D1F"/>
    <w:rsid w:val="00A2089B"/>
    <w:rsid w:val="00A20B59"/>
    <w:rsid w:val="00A20BA7"/>
    <w:rsid w:val="00A21A19"/>
    <w:rsid w:val="00A21AF7"/>
    <w:rsid w:val="00A21C91"/>
    <w:rsid w:val="00A22017"/>
    <w:rsid w:val="00A2205A"/>
    <w:rsid w:val="00A22134"/>
    <w:rsid w:val="00A22280"/>
    <w:rsid w:val="00A22CD4"/>
    <w:rsid w:val="00A22FFF"/>
    <w:rsid w:val="00A235BD"/>
    <w:rsid w:val="00A23B15"/>
    <w:rsid w:val="00A24944"/>
    <w:rsid w:val="00A24FA9"/>
    <w:rsid w:val="00A2510D"/>
    <w:rsid w:val="00A252E7"/>
    <w:rsid w:val="00A252F0"/>
    <w:rsid w:val="00A2551B"/>
    <w:rsid w:val="00A25949"/>
    <w:rsid w:val="00A26AB5"/>
    <w:rsid w:val="00A26BE5"/>
    <w:rsid w:val="00A275C9"/>
    <w:rsid w:val="00A27D03"/>
    <w:rsid w:val="00A3033F"/>
    <w:rsid w:val="00A305FD"/>
    <w:rsid w:val="00A30AB0"/>
    <w:rsid w:val="00A30D59"/>
    <w:rsid w:val="00A30F16"/>
    <w:rsid w:val="00A318BB"/>
    <w:rsid w:val="00A31BAD"/>
    <w:rsid w:val="00A31BEF"/>
    <w:rsid w:val="00A31FB5"/>
    <w:rsid w:val="00A320C6"/>
    <w:rsid w:val="00A323A0"/>
    <w:rsid w:val="00A327E8"/>
    <w:rsid w:val="00A33457"/>
    <w:rsid w:val="00A33F1D"/>
    <w:rsid w:val="00A34CF3"/>
    <w:rsid w:val="00A35E24"/>
    <w:rsid w:val="00A36014"/>
    <w:rsid w:val="00A36220"/>
    <w:rsid w:val="00A36549"/>
    <w:rsid w:val="00A3697E"/>
    <w:rsid w:val="00A3699E"/>
    <w:rsid w:val="00A36D15"/>
    <w:rsid w:val="00A37375"/>
    <w:rsid w:val="00A375C4"/>
    <w:rsid w:val="00A405F0"/>
    <w:rsid w:val="00A40A17"/>
    <w:rsid w:val="00A413D3"/>
    <w:rsid w:val="00A415D1"/>
    <w:rsid w:val="00A4167C"/>
    <w:rsid w:val="00A41867"/>
    <w:rsid w:val="00A41877"/>
    <w:rsid w:val="00A41921"/>
    <w:rsid w:val="00A42238"/>
    <w:rsid w:val="00A42364"/>
    <w:rsid w:val="00A423F8"/>
    <w:rsid w:val="00A429D2"/>
    <w:rsid w:val="00A42A4F"/>
    <w:rsid w:val="00A42E76"/>
    <w:rsid w:val="00A431F1"/>
    <w:rsid w:val="00A431F7"/>
    <w:rsid w:val="00A43581"/>
    <w:rsid w:val="00A435A5"/>
    <w:rsid w:val="00A43731"/>
    <w:rsid w:val="00A44A98"/>
    <w:rsid w:val="00A450DD"/>
    <w:rsid w:val="00A45158"/>
    <w:rsid w:val="00A45304"/>
    <w:rsid w:val="00A45C7E"/>
    <w:rsid w:val="00A45C9F"/>
    <w:rsid w:val="00A45EEF"/>
    <w:rsid w:val="00A45FD5"/>
    <w:rsid w:val="00A46522"/>
    <w:rsid w:val="00A46CF2"/>
    <w:rsid w:val="00A472F4"/>
    <w:rsid w:val="00A5088E"/>
    <w:rsid w:val="00A51627"/>
    <w:rsid w:val="00A520EC"/>
    <w:rsid w:val="00A521A7"/>
    <w:rsid w:val="00A5332A"/>
    <w:rsid w:val="00A53410"/>
    <w:rsid w:val="00A53455"/>
    <w:rsid w:val="00A53718"/>
    <w:rsid w:val="00A54052"/>
    <w:rsid w:val="00A54446"/>
    <w:rsid w:val="00A54D3B"/>
    <w:rsid w:val="00A55404"/>
    <w:rsid w:val="00A55783"/>
    <w:rsid w:val="00A55AF4"/>
    <w:rsid w:val="00A56918"/>
    <w:rsid w:val="00A57517"/>
    <w:rsid w:val="00A57874"/>
    <w:rsid w:val="00A57A73"/>
    <w:rsid w:val="00A57D6C"/>
    <w:rsid w:val="00A602B5"/>
    <w:rsid w:val="00A6074A"/>
    <w:rsid w:val="00A60C96"/>
    <w:rsid w:val="00A60CFC"/>
    <w:rsid w:val="00A614AD"/>
    <w:rsid w:val="00A61996"/>
    <w:rsid w:val="00A61F69"/>
    <w:rsid w:val="00A62285"/>
    <w:rsid w:val="00A626A3"/>
    <w:rsid w:val="00A62B7F"/>
    <w:rsid w:val="00A62CF2"/>
    <w:rsid w:val="00A62F18"/>
    <w:rsid w:val="00A6344E"/>
    <w:rsid w:val="00A64153"/>
    <w:rsid w:val="00A643EE"/>
    <w:rsid w:val="00A64403"/>
    <w:rsid w:val="00A64BB7"/>
    <w:rsid w:val="00A64EC2"/>
    <w:rsid w:val="00A654E9"/>
    <w:rsid w:val="00A658EF"/>
    <w:rsid w:val="00A65B6F"/>
    <w:rsid w:val="00A65EE3"/>
    <w:rsid w:val="00A660A2"/>
    <w:rsid w:val="00A660ED"/>
    <w:rsid w:val="00A664BE"/>
    <w:rsid w:val="00A66F6A"/>
    <w:rsid w:val="00A6715F"/>
    <w:rsid w:val="00A675A8"/>
    <w:rsid w:val="00A67CBE"/>
    <w:rsid w:val="00A70167"/>
    <w:rsid w:val="00A70258"/>
    <w:rsid w:val="00A705FF"/>
    <w:rsid w:val="00A70B0C"/>
    <w:rsid w:val="00A70D79"/>
    <w:rsid w:val="00A71411"/>
    <w:rsid w:val="00A7142A"/>
    <w:rsid w:val="00A71A65"/>
    <w:rsid w:val="00A71CB9"/>
    <w:rsid w:val="00A7266D"/>
    <w:rsid w:val="00A727C6"/>
    <w:rsid w:val="00A7323E"/>
    <w:rsid w:val="00A7351C"/>
    <w:rsid w:val="00A737B0"/>
    <w:rsid w:val="00A73B0D"/>
    <w:rsid w:val="00A7420D"/>
    <w:rsid w:val="00A758BC"/>
    <w:rsid w:val="00A7627B"/>
    <w:rsid w:val="00A7652C"/>
    <w:rsid w:val="00A7711B"/>
    <w:rsid w:val="00A77EFC"/>
    <w:rsid w:val="00A801EC"/>
    <w:rsid w:val="00A8025F"/>
    <w:rsid w:val="00A80743"/>
    <w:rsid w:val="00A80D3A"/>
    <w:rsid w:val="00A80DAE"/>
    <w:rsid w:val="00A81073"/>
    <w:rsid w:val="00A814D6"/>
    <w:rsid w:val="00A8257B"/>
    <w:rsid w:val="00A830FD"/>
    <w:rsid w:val="00A8394E"/>
    <w:rsid w:val="00A83A6D"/>
    <w:rsid w:val="00A83AAD"/>
    <w:rsid w:val="00A83DD3"/>
    <w:rsid w:val="00A8486C"/>
    <w:rsid w:val="00A84BE1"/>
    <w:rsid w:val="00A84C93"/>
    <w:rsid w:val="00A84E2D"/>
    <w:rsid w:val="00A85324"/>
    <w:rsid w:val="00A853A2"/>
    <w:rsid w:val="00A85404"/>
    <w:rsid w:val="00A866CC"/>
    <w:rsid w:val="00A8790F"/>
    <w:rsid w:val="00A90301"/>
    <w:rsid w:val="00A9076E"/>
    <w:rsid w:val="00A916F0"/>
    <w:rsid w:val="00A918E8"/>
    <w:rsid w:val="00A919A7"/>
    <w:rsid w:val="00A92238"/>
    <w:rsid w:val="00A92346"/>
    <w:rsid w:val="00A923B5"/>
    <w:rsid w:val="00A9244B"/>
    <w:rsid w:val="00A932FD"/>
    <w:rsid w:val="00A938D6"/>
    <w:rsid w:val="00A93927"/>
    <w:rsid w:val="00A939F4"/>
    <w:rsid w:val="00A94096"/>
    <w:rsid w:val="00A94354"/>
    <w:rsid w:val="00A946B2"/>
    <w:rsid w:val="00A94897"/>
    <w:rsid w:val="00A948CD"/>
    <w:rsid w:val="00A949B2"/>
    <w:rsid w:val="00A958D9"/>
    <w:rsid w:val="00A958EB"/>
    <w:rsid w:val="00A95E9D"/>
    <w:rsid w:val="00A95F46"/>
    <w:rsid w:val="00A9611D"/>
    <w:rsid w:val="00A961AC"/>
    <w:rsid w:val="00A9656F"/>
    <w:rsid w:val="00A96712"/>
    <w:rsid w:val="00A96851"/>
    <w:rsid w:val="00A969A5"/>
    <w:rsid w:val="00A96D3F"/>
    <w:rsid w:val="00A96DAD"/>
    <w:rsid w:val="00A974F1"/>
    <w:rsid w:val="00A97F2C"/>
    <w:rsid w:val="00AA01D4"/>
    <w:rsid w:val="00AA021D"/>
    <w:rsid w:val="00AA0D64"/>
    <w:rsid w:val="00AA1220"/>
    <w:rsid w:val="00AA1692"/>
    <w:rsid w:val="00AA1B2A"/>
    <w:rsid w:val="00AA1E20"/>
    <w:rsid w:val="00AA1F72"/>
    <w:rsid w:val="00AA28F2"/>
    <w:rsid w:val="00AA3594"/>
    <w:rsid w:val="00AA3AB2"/>
    <w:rsid w:val="00AA3DA7"/>
    <w:rsid w:val="00AA3FEB"/>
    <w:rsid w:val="00AA430D"/>
    <w:rsid w:val="00AA4FFA"/>
    <w:rsid w:val="00AA535A"/>
    <w:rsid w:val="00AA5AA3"/>
    <w:rsid w:val="00AA62A3"/>
    <w:rsid w:val="00AA6360"/>
    <w:rsid w:val="00AA64A0"/>
    <w:rsid w:val="00AA6A95"/>
    <w:rsid w:val="00AA6BBB"/>
    <w:rsid w:val="00AA6DFF"/>
    <w:rsid w:val="00AA6E7A"/>
    <w:rsid w:val="00AA77E3"/>
    <w:rsid w:val="00AA780E"/>
    <w:rsid w:val="00AA7977"/>
    <w:rsid w:val="00AA7A69"/>
    <w:rsid w:val="00AA7CDE"/>
    <w:rsid w:val="00AB04B2"/>
    <w:rsid w:val="00AB056A"/>
    <w:rsid w:val="00AB08B5"/>
    <w:rsid w:val="00AB0F37"/>
    <w:rsid w:val="00AB151F"/>
    <w:rsid w:val="00AB173B"/>
    <w:rsid w:val="00AB230E"/>
    <w:rsid w:val="00AB2330"/>
    <w:rsid w:val="00AB2E94"/>
    <w:rsid w:val="00AB30D2"/>
    <w:rsid w:val="00AB30F3"/>
    <w:rsid w:val="00AB319A"/>
    <w:rsid w:val="00AB380E"/>
    <w:rsid w:val="00AB3BE4"/>
    <w:rsid w:val="00AB3D75"/>
    <w:rsid w:val="00AB4238"/>
    <w:rsid w:val="00AB462A"/>
    <w:rsid w:val="00AB511F"/>
    <w:rsid w:val="00AB517D"/>
    <w:rsid w:val="00AB5535"/>
    <w:rsid w:val="00AB5784"/>
    <w:rsid w:val="00AB59C3"/>
    <w:rsid w:val="00AB5AD1"/>
    <w:rsid w:val="00AB5D11"/>
    <w:rsid w:val="00AB6741"/>
    <w:rsid w:val="00AB6DC5"/>
    <w:rsid w:val="00AB6E0B"/>
    <w:rsid w:val="00AB758C"/>
    <w:rsid w:val="00AB7EBF"/>
    <w:rsid w:val="00AB7EF0"/>
    <w:rsid w:val="00AC0367"/>
    <w:rsid w:val="00AC1028"/>
    <w:rsid w:val="00AC103C"/>
    <w:rsid w:val="00AC124B"/>
    <w:rsid w:val="00AC2077"/>
    <w:rsid w:val="00AC2FC4"/>
    <w:rsid w:val="00AC3062"/>
    <w:rsid w:val="00AC36C1"/>
    <w:rsid w:val="00AC3A6C"/>
    <w:rsid w:val="00AC3EE9"/>
    <w:rsid w:val="00AC475B"/>
    <w:rsid w:val="00AC47EF"/>
    <w:rsid w:val="00AC4886"/>
    <w:rsid w:val="00AC4F42"/>
    <w:rsid w:val="00AC4F5A"/>
    <w:rsid w:val="00AC5678"/>
    <w:rsid w:val="00AC59AF"/>
    <w:rsid w:val="00AC6881"/>
    <w:rsid w:val="00AC6CB9"/>
    <w:rsid w:val="00AC6DAC"/>
    <w:rsid w:val="00AC74AE"/>
    <w:rsid w:val="00AC7A78"/>
    <w:rsid w:val="00AC7F2C"/>
    <w:rsid w:val="00AD0620"/>
    <w:rsid w:val="00AD0B7E"/>
    <w:rsid w:val="00AD1092"/>
    <w:rsid w:val="00AD1132"/>
    <w:rsid w:val="00AD1945"/>
    <w:rsid w:val="00AD1C31"/>
    <w:rsid w:val="00AD1E54"/>
    <w:rsid w:val="00AD1FA4"/>
    <w:rsid w:val="00AD2441"/>
    <w:rsid w:val="00AD2D81"/>
    <w:rsid w:val="00AD2DD3"/>
    <w:rsid w:val="00AD2F27"/>
    <w:rsid w:val="00AD2F46"/>
    <w:rsid w:val="00AD3052"/>
    <w:rsid w:val="00AD4366"/>
    <w:rsid w:val="00AD4554"/>
    <w:rsid w:val="00AD4662"/>
    <w:rsid w:val="00AD4747"/>
    <w:rsid w:val="00AD4C92"/>
    <w:rsid w:val="00AD5303"/>
    <w:rsid w:val="00AD5637"/>
    <w:rsid w:val="00AD59C1"/>
    <w:rsid w:val="00AD5BDC"/>
    <w:rsid w:val="00AD64D8"/>
    <w:rsid w:val="00AD6AD6"/>
    <w:rsid w:val="00AD6DE0"/>
    <w:rsid w:val="00AD734E"/>
    <w:rsid w:val="00AD76FB"/>
    <w:rsid w:val="00AD7802"/>
    <w:rsid w:val="00AD782C"/>
    <w:rsid w:val="00AD7C3D"/>
    <w:rsid w:val="00AE03E1"/>
    <w:rsid w:val="00AE126F"/>
    <w:rsid w:val="00AE14D4"/>
    <w:rsid w:val="00AE1F8F"/>
    <w:rsid w:val="00AE2791"/>
    <w:rsid w:val="00AE367F"/>
    <w:rsid w:val="00AE3682"/>
    <w:rsid w:val="00AE374D"/>
    <w:rsid w:val="00AE3A97"/>
    <w:rsid w:val="00AE472E"/>
    <w:rsid w:val="00AE4B90"/>
    <w:rsid w:val="00AE59A8"/>
    <w:rsid w:val="00AE66D4"/>
    <w:rsid w:val="00AE6E78"/>
    <w:rsid w:val="00AE784D"/>
    <w:rsid w:val="00AE7942"/>
    <w:rsid w:val="00AE7BA9"/>
    <w:rsid w:val="00AE7CA4"/>
    <w:rsid w:val="00AE7F57"/>
    <w:rsid w:val="00AF0122"/>
    <w:rsid w:val="00AF0EAC"/>
    <w:rsid w:val="00AF0FC3"/>
    <w:rsid w:val="00AF1223"/>
    <w:rsid w:val="00AF15AC"/>
    <w:rsid w:val="00AF1C01"/>
    <w:rsid w:val="00AF1D0B"/>
    <w:rsid w:val="00AF1FFA"/>
    <w:rsid w:val="00AF2387"/>
    <w:rsid w:val="00AF23E6"/>
    <w:rsid w:val="00AF2B0B"/>
    <w:rsid w:val="00AF2BE9"/>
    <w:rsid w:val="00AF312A"/>
    <w:rsid w:val="00AF3963"/>
    <w:rsid w:val="00AF42F7"/>
    <w:rsid w:val="00AF4531"/>
    <w:rsid w:val="00AF4EB5"/>
    <w:rsid w:val="00AF5060"/>
    <w:rsid w:val="00AF50DE"/>
    <w:rsid w:val="00AF5359"/>
    <w:rsid w:val="00AF56BC"/>
    <w:rsid w:val="00AF5C12"/>
    <w:rsid w:val="00AF5E3F"/>
    <w:rsid w:val="00AF7125"/>
    <w:rsid w:val="00AF7489"/>
    <w:rsid w:val="00AF7792"/>
    <w:rsid w:val="00AF79C8"/>
    <w:rsid w:val="00AF7B09"/>
    <w:rsid w:val="00AF7F8F"/>
    <w:rsid w:val="00B00432"/>
    <w:rsid w:val="00B006D1"/>
    <w:rsid w:val="00B00BB5"/>
    <w:rsid w:val="00B00EFC"/>
    <w:rsid w:val="00B01032"/>
    <w:rsid w:val="00B01121"/>
    <w:rsid w:val="00B013EC"/>
    <w:rsid w:val="00B0202C"/>
    <w:rsid w:val="00B021CA"/>
    <w:rsid w:val="00B0244E"/>
    <w:rsid w:val="00B02527"/>
    <w:rsid w:val="00B02E4B"/>
    <w:rsid w:val="00B03116"/>
    <w:rsid w:val="00B031AE"/>
    <w:rsid w:val="00B03337"/>
    <w:rsid w:val="00B03AEC"/>
    <w:rsid w:val="00B042FC"/>
    <w:rsid w:val="00B043C4"/>
    <w:rsid w:val="00B04ADD"/>
    <w:rsid w:val="00B05658"/>
    <w:rsid w:val="00B05825"/>
    <w:rsid w:val="00B05A8D"/>
    <w:rsid w:val="00B05D9A"/>
    <w:rsid w:val="00B05F7E"/>
    <w:rsid w:val="00B05FA4"/>
    <w:rsid w:val="00B060E8"/>
    <w:rsid w:val="00B0692F"/>
    <w:rsid w:val="00B07837"/>
    <w:rsid w:val="00B07906"/>
    <w:rsid w:val="00B07925"/>
    <w:rsid w:val="00B07AD2"/>
    <w:rsid w:val="00B07CD6"/>
    <w:rsid w:val="00B07F7D"/>
    <w:rsid w:val="00B10299"/>
    <w:rsid w:val="00B1092D"/>
    <w:rsid w:val="00B10E86"/>
    <w:rsid w:val="00B10EDD"/>
    <w:rsid w:val="00B11EC1"/>
    <w:rsid w:val="00B11F5A"/>
    <w:rsid w:val="00B11F9B"/>
    <w:rsid w:val="00B12051"/>
    <w:rsid w:val="00B12FCF"/>
    <w:rsid w:val="00B13058"/>
    <w:rsid w:val="00B132A9"/>
    <w:rsid w:val="00B13F35"/>
    <w:rsid w:val="00B1407B"/>
    <w:rsid w:val="00B14DAE"/>
    <w:rsid w:val="00B163E1"/>
    <w:rsid w:val="00B16436"/>
    <w:rsid w:val="00B16865"/>
    <w:rsid w:val="00B16F48"/>
    <w:rsid w:val="00B17538"/>
    <w:rsid w:val="00B20327"/>
    <w:rsid w:val="00B2066A"/>
    <w:rsid w:val="00B206B9"/>
    <w:rsid w:val="00B2090A"/>
    <w:rsid w:val="00B2180A"/>
    <w:rsid w:val="00B21DDF"/>
    <w:rsid w:val="00B22092"/>
    <w:rsid w:val="00B22332"/>
    <w:rsid w:val="00B224E3"/>
    <w:rsid w:val="00B228AB"/>
    <w:rsid w:val="00B22ABB"/>
    <w:rsid w:val="00B22D74"/>
    <w:rsid w:val="00B23117"/>
    <w:rsid w:val="00B23135"/>
    <w:rsid w:val="00B23623"/>
    <w:rsid w:val="00B23722"/>
    <w:rsid w:val="00B2401A"/>
    <w:rsid w:val="00B24023"/>
    <w:rsid w:val="00B243E5"/>
    <w:rsid w:val="00B2457A"/>
    <w:rsid w:val="00B24607"/>
    <w:rsid w:val="00B24E70"/>
    <w:rsid w:val="00B24E9E"/>
    <w:rsid w:val="00B251DB"/>
    <w:rsid w:val="00B2534B"/>
    <w:rsid w:val="00B2549C"/>
    <w:rsid w:val="00B25825"/>
    <w:rsid w:val="00B25A42"/>
    <w:rsid w:val="00B25BC4"/>
    <w:rsid w:val="00B262D2"/>
    <w:rsid w:val="00B26735"/>
    <w:rsid w:val="00B2693F"/>
    <w:rsid w:val="00B2696D"/>
    <w:rsid w:val="00B26C5C"/>
    <w:rsid w:val="00B26D9E"/>
    <w:rsid w:val="00B26DB0"/>
    <w:rsid w:val="00B26FBE"/>
    <w:rsid w:val="00B27518"/>
    <w:rsid w:val="00B2787A"/>
    <w:rsid w:val="00B30252"/>
    <w:rsid w:val="00B30E2A"/>
    <w:rsid w:val="00B30FE8"/>
    <w:rsid w:val="00B31B90"/>
    <w:rsid w:val="00B31EFD"/>
    <w:rsid w:val="00B320C5"/>
    <w:rsid w:val="00B32714"/>
    <w:rsid w:val="00B329B4"/>
    <w:rsid w:val="00B32F49"/>
    <w:rsid w:val="00B32F4B"/>
    <w:rsid w:val="00B33228"/>
    <w:rsid w:val="00B33513"/>
    <w:rsid w:val="00B3386D"/>
    <w:rsid w:val="00B33A7D"/>
    <w:rsid w:val="00B33BC1"/>
    <w:rsid w:val="00B340C9"/>
    <w:rsid w:val="00B342AE"/>
    <w:rsid w:val="00B34B64"/>
    <w:rsid w:val="00B34E78"/>
    <w:rsid w:val="00B34E87"/>
    <w:rsid w:val="00B35233"/>
    <w:rsid w:val="00B3531C"/>
    <w:rsid w:val="00B35394"/>
    <w:rsid w:val="00B356A9"/>
    <w:rsid w:val="00B359FA"/>
    <w:rsid w:val="00B36209"/>
    <w:rsid w:val="00B36336"/>
    <w:rsid w:val="00B36C74"/>
    <w:rsid w:val="00B37E65"/>
    <w:rsid w:val="00B37EA5"/>
    <w:rsid w:val="00B40668"/>
    <w:rsid w:val="00B40E5F"/>
    <w:rsid w:val="00B41502"/>
    <w:rsid w:val="00B41A4F"/>
    <w:rsid w:val="00B41F29"/>
    <w:rsid w:val="00B42A14"/>
    <w:rsid w:val="00B42B71"/>
    <w:rsid w:val="00B42BFC"/>
    <w:rsid w:val="00B437A0"/>
    <w:rsid w:val="00B43A99"/>
    <w:rsid w:val="00B43E68"/>
    <w:rsid w:val="00B441FB"/>
    <w:rsid w:val="00B4477D"/>
    <w:rsid w:val="00B44799"/>
    <w:rsid w:val="00B45023"/>
    <w:rsid w:val="00B459CF"/>
    <w:rsid w:val="00B46517"/>
    <w:rsid w:val="00B468BE"/>
    <w:rsid w:val="00B468C9"/>
    <w:rsid w:val="00B46A5F"/>
    <w:rsid w:val="00B46ACB"/>
    <w:rsid w:val="00B46F1E"/>
    <w:rsid w:val="00B47AFD"/>
    <w:rsid w:val="00B47D4A"/>
    <w:rsid w:val="00B47EBE"/>
    <w:rsid w:val="00B50041"/>
    <w:rsid w:val="00B50D4F"/>
    <w:rsid w:val="00B5115D"/>
    <w:rsid w:val="00B51D12"/>
    <w:rsid w:val="00B531B0"/>
    <w:rsid w:val="00B53FA3"/>
    <w:rsid w:val="00B5422E"/>
    <w:rsid w:val="00B54596"/>
    <w:rsid w:val="00B54682"/>
    <w:rsid w:val="00B54C60"/>
    <w:rsid w:val="00B54D81"/>
    <w:rsid w:val="00B54E34"/>
    <w:rsid w:val="00B552F1"/>
    <w:rsid w:val="00B55489"/>
    <w:rsid w:val="00B554CE"/>
    <w:rsid w:val="00B55CA3"/>
    <w:rsid w:val="00B55D01"/>
    <w:rsid w:val="00B561DD"/>
    <w:rsid w:val="00B5692A"/>
    <w:rsid w:val="00B56DB4"/>
    <w:rsid w:val="00B56DEF"/>
    <w:rsid w:val="00B56E77"/>
    <w:rsid w:val="00B56FBD"/>
    <w:rsid w:val="00B5728E"/>
    <w:rsid w:val="00B5743C"/>
    <w:rsid w:val="00B60816"/>
    <w:rsid w:val="00B60822"/>
    <w:rsid w:val="00B62119"/>
    <w:rsid w:val="00B62650"/>
    <w:rsid w:val="00B62BDD"/>
    <w:rsid w:val="00B6367A"/>
    <w:rsid w:val="00B6390F"/>
    <w:rsid w:val="00B63E2F"/>
    <w:rsid w:val="00B64BFC"/>
    <w:rsid w:val="00B64CAC"/>
    <w:rsid w:val="00B6561C"/>
    <w:rsid w:val="00B65D23"/>
    <w:rsid w:val="00B666C1"/>
    <w:rsid w:val="00B66D63"/>
    <w:rsid w:val="00B6753A"/>
    <w:rsid w:val="00B677A6"/>
    <w:rsid w:val="00B67D59"/>
    <w:rsid w:val="00B67F64"/>
    <w:rsid w:val="00B70DEC"/>
    <w:rsid w:val="00B71389"/>
    <w:rsid w:val="00B71443"/>
    <w:rsid w:val="00B7152F"/>
    <w:rsid w:val="00B717AB"/>
    <w:rsid w:val="00B71874"/>
    <w:rsid w:val="00B724FD"/>
    <w:rsid w:val="00B73645"/>
    <w:rsid w:val="00B73B54"/>
    <w:rsid w:val="00B73F04"/>
    <w:rsid w:val="00B74166"/>
    <w:rsid w:val="00B744A9"/>
    <w:rsid w:val="00B74CCF"/>
    <w:rsid w:val="00B74DFD"/>
    <w:rsid w:val="00B75437"/>
    <w:rsid w:val="00B7582D"/>
    <w:rsid w:val="00B75999"/>
    <w:rsid w:val="00B76203"/>
    <w:rsid w:val="00B76585"/>
    <w:rsid w:val="00B773B1"/>
    <w:rsid w:val="00B77819"/>
    <w:rsid w:val="00B80609"/>
    <w:rsid w:val="00B80D09"/>
    <w:rsid w:val="00B811FD"/>
    <w:rsid w:val="00B812DB"/>
    <w:rsid w:val="00B81A72"/>
    <w:rsid w:val="00B8202A"/>
    <w:rsid w:val="00B8263E"/>
    <w:rsid w:val="00B826E9"/>
    <w:rsid w:val="00B8278B"/>
    <w:rsid w:val="00B829B7"/>
    <w:rsid w:val="00B83905"/>
    <w:rsid w:val="00B841AF"/>
    <w:rsid w:val="00B8477F"/>
    <w:rsid w:val="00B848A2"/>
    <w:rsid w:val="00B8499B"/>
    <w:rsid w:val="00B84D91"/>
    <w:rsid w:val="00B8532A"/>
    <w:rsid w:val="00B854C3"/>
    <w:rsid w:val="00B855B6"/>
    <w:rsid w:val="00B86004"/>
    <w:rsid w:val="00B86123"/>
    <w:rsid w:val="00B86425"/>
    <w:rsid w:val="00B86CA4"/>
    <w:rsid w:val="00B86D39"/>
    <w:rsid w:val="00B870E8"/>
    <w:rsid w:val="00B87256"/>
    <w:rsid w:val="00B877C0"/>
    <w:rsid w:val="00B877F5"/>
    <w:rsid w:val="00B90394"/>
    <w:rsid w:val="00B904D6"/>
    <w:rsid w:val="00B90803"/>
    <w:rsid w:val="00B90A1E"/>
    <w:rsid w:val="00B90E6E"/>
    <w:rsid w:val="00B91516"/>
    <w:rsid w:val="00B918F6"/>
    <w:rsid w:val="00B91B42"/>
    <w:rsid w:val="00B91DD1"/>
    <w:rsid w:val="00B92426"/>
    <w:rsid w:val="00B926E4"/>
    <w:rsid w:val="00B92865"/>
    <w:rsid w:val="00B92AAE"/>
    <w:rsid w:val="00B935EE"/>
    <w:rsid w:val="00B93DE7"/>
    <w:rsid w:val="00B9403B"/>
    <w:rsid w:val="00B943E5"/>
    <w:rsid w:val="00B9453B"/>
    <w:rsid w:val="00B94EC4"/>
    <w:rsid w:val="00B9515A"/>
    <w:rsid w:val="00B9549A"/>
    <w:rsid w:val="00B95689"/>
    <w:rsid w:val="00B960E5"/>
    <w:rsid w:val="00B962F2"/>
    <w:rsid w:val="00B96325"/>
    <w:rsid w:val="00B9689B"/>
    <w:rsid w:val="00B96AAC"/>
    <w:rsid w:val="00B96EB8"/>
    <w:rsid w:val="00B97896"/>
    <w:rsid w:val="00BA0D97"/>
    <w:rsid w:val="00BA0EAE"/>
    <w:rsid w:val="00BA0FBF"/>
    <w:rsid w:val="00BA0FE0"/>
    <w:rsid w:val="00BA10BF"/>
    <w:rsid w:val="00BA12D6"/>
    <w:rsid w:val="00BA1347"/>
    <w:rsid w:val="00BA209B"/>
    <w:rsid w:val="00BA236C"/>
    <w:rsid w:val="00BA268F"/>
    <w:rsid w:val="00BA285C"/>
    <w:rsid w:val="00BA29CC"/>
    <w:rsid w:val="00BA2E82"/>
    <w:rsid w:val="00BA3411"/>
    <w:rsid w:val="00BA3823"/>
    <w:rsid w:val="00BA3897"/>
    <w:rsid w:val="00BA391A"/>
    <w:rsid w:val="00BA43C4"/>
    <w:rsid w:val="00BA45EB"/>
    <w:rsid w:val="00BA4676"/>
    <w:rsid w:val="00BA495B"/>
    <w:rsid w:val="00BA5155"/>
    <w:rsid w:val="00BA51E3"/>
    <w:rsid w:val="00BA51E4"/>
    <w:rsid w:val="00BA5220"/>
    <w:rsid w:val="00BA5623"/>
    <w:rsid w:val="00BA56F1"/>
    <w:rsid w:val="00BA59C1"/>
    <w:rsid w:val="00BA640C"/>
    <w:rsid w:val="00BA666A"/>
    <w:rsid w:val="00BA66F4"/>
    <w:rsid w:val="00BA67E8"/>
    <w:rsid w:val="00BA6F3B"/>
    <w:rsid w:val="00BA73A1"/>
    <w:rsid w:val="00BA7889"/>
    <w:rsid w:val="00BA796D"/>
    <w:rsid w:val="00BA7B93"/>
    <w:rsid w:val="00BB0550"/>
    <w:rsid w:val="00BB081D"/>
    <w:rsid w:val="00BB0EEE"/>
    <w:rsid w:val="00BB0FBB"/>
    <w:rsid w:val="00BB1145"/>
    <w:rsid w:val="00BB12A3"/>
    <w:rsid w:val="00BB1958"/>
    <w:rsid w:val="00BB1A36"/>
    <w:rsid w:val="00BB1C7E"/>
    <w:rsid w:val="00BB1D14"/>
    <w:rsid w:val="00BB2837"/>
    <w:rsid w:val="00BB2E74"/>
    <w:rsid w:val="00BB2FCE"/>
    <w:rsid w:val="00BB3940"/>
    <w:rsid w:val="00BB3DC7"/>
    <w:rsid w:val="00BB40B4"/>
    <w:rsid w:val="00BB410C"/>
    <w:rsid w:val="00BB4188"/>
    <w:rsid w:val="00BB41EB"/>
    <w:rsid w:val="00BB53F3"/>
    <w:rsid w:val="00BB5BD8"/>
    <w:rsid w:val="00BB5BEC"/>
    <w:rsid w:val="00BB5C18"/>
    <w:rsid w:val="00BB5D0C"/>
    <w:rsid w:val="00BB632E"/>
    <w:rsid w:val="00BB68ED"/>
    <w:rsid w:val="00BB6DF8"/>
    <w:rsid w:val="00BB6EB8"/>
    <w:rsid w:val="00BB761B"/>
    <w:rsid w:val="00BB78BA"/>
    <w:rsid w:val="00BB78FB"/>
    <w:rsid w:val="00BB7BF8"/>
    <w:rsid w:val="00BB7DC3"/>
    <w:rsid w:val="00BB7F86"/>
    <w:rsid w:val="00BC0445"/>
    <w:rsid w:val="00BC04F6"/>
    <w:rsid w:val="00BC0CE4"/>
    <w:rsid w:val="00BC1353"/>
    <w:rsid w:val="00BC13A5"/>
    <w:rsid w:val="00BC192E"/>
    <w:rsid w:val="00BC19C2"/>
    <w:rsid w:val="00BC1C19"/>
    <w:rsid w:val="00BC22FB"/>
    <w:rsid w:val="00BC251C"/>
    <w:rsid w:val="00BC2D17"/>
    <w:rsid w:val="00BC2D2B"/>
    <w:rsid w:val="00BC31AB"/>
    <w:rsid w:val="00BC342C"/>
    <w:rsid w:val="00BC3874"/>
    <w:rsid w:val="00BC4344"/>
    <w:rsid w:val="00BC4409"/>
    <w:rsid w:val="00BC51ED"/>
    <w:rsid w:val="00BC58B6"/>
    <w:rsid w:val="00BC58F0"/>
    <w:rsid w:val="00BC5A18"/>
    <w:rsid w:val="00BC5ABA"/>
    <w:rsid w:val="00BC5C80"/>
    <w:rsid w:val="00BC5D40"/>
    <w:rsid w:val="00BC6395"/>
    <w:rsid w:val="00BC63E3"/>
    <w:rsid w:val="00BC6D46"/>
    <w:rsid w:val="00BC7C3E"/>
    <w:rsid w:val="00BD01DB"/>
    <w:rsid w:val="00BD07A1"/>
    <w:rsid w:val="00BD0882"/>
    <w:rsid w:val="00BD09AD"/>
    <w:rsid w:val="00BD0B20"/>
    <w:rsid w:val="00BD117B"/>
    <w:rsid w:val="00BD1247"/>
    <w:rsid w:val="00BD162C"/>
    <w:rsid w:val="00BD17B0"/>
    <w:rsid w:val="00BD1A53"/>
    <w:rsid w:val="00BD1CF0"/>
    <w:rsid w:val="00BD24A4"/>
    <w:rsid w:val="00BD2625"/>
    <w:rsid w:val="00BD2F23"/>
    <w:rsid w:val="00BD3A18"/>
    <w:rsid w:val="00BD3C45"/>
    <w:rsid w:val="00BD417A"/>
    <w:rsid w:val="00BD4568"/>
    <w:rsid w:val="00BD4653"/>
    <w:rsid w:val="00BD4A72"/>
    <w:rsid w:val="00BD5611"/>
    <w:rsid w:val="00BD5CC0"/>
    <w:rsid w:val="00BD5D94"/>
    <w:rsid w:val="00BD6F73"/>
    <w:rsid w:val="00BD7121"/>
    <w:rsid w:val="00BD7A29"/>
    <w:rsid w:val="00BD7B4E"/>
    <w:rsid w:val="00BD7C7D"/>
    <w:rsid w:val="00BE0913"/>
    <w:rsid w:val="00BE19D1"/>
    <w:rsid w:val="00BE2215"/>
    <w:rsid w:val="00BE2826"/>
    <w:rsid w:val="00BE29D4"/>
    <w:rsid w:val="00BE2ECC"/>
    <w:rsid w:val="00BE32F2"/>
    <w:rsid w:val="00BE34E9"/>
    <w:rsid w:val="00BE370F"/>
    <w:rsid w:val="00BE38B6"/>
    <w:rsid w:val="00BE3B6F"/>
    <w:rsid w:val="00BE4A12"/>
    <w:rsid w:val="00BE4CFF"/>
    <w:rsid w:val="00BE4DA3"/>
    <w:rsid w:val="00BE4E38"/>
    <w:rsid w:val="00BE4FF0"/>
    <w:rsid w:val="00BE5072"/>
    <w:rsid w:val="00BE6515"/>
    <w:rsid w:val="00BE6DC8"/>
    <w:rsid w:val="00BE75D6"/>
    <w:rsid w:val="00BE7A0A"/>
    <w:rsid w:val="00BF09FF"/>
    <w:rsid w:val="00BF1494"/>
    <w:rsid w:val="00BF160E"/>
    <w:rsid w:val="00BF2634"/>
    <w:rsid w:val="00BF3216"/>
    <w:rsid w:val="00BF33A5"/>
    <w:rsid w:val="00BF3C66"/>
    <w:rsid w:val="00BF40F0"/>
    <w:rsid w:val="00BF4653"/>
    <w:rsid w:val="00BF49F4"/>
    <w:rsid w:val="00BF4B60"/>
    <w:rsid w:val="00BF4EEA"/>
    <w:rsid w:val="00BF4FB6"/>
    <w:rsid w:val="00BF5567"/>
    <w:rsid w:val="00BF6348"/>
    <w:rsid w:val="00BF669F"/>
    <w:rsid w:val="00BF6BED"/>
    <w:rsid w:val="00BF72A6"/>
    <w:rsid w:val="00BF78A2"/>
    <w:rsid w:val="00BF7EA0"/>
    <w:rsid w:val="00C00693"/>
    <w:rsid w:val="00C00AC1"/>
    <w:rsid w:val="00C00D88"/>
    <w:rsid w:val="00C00F04"/>
    <w:rsid w:val="00C02168"/>
    <w:rsid w:val="00C02891"/>
    <w:rsid w:val="00C0289D"/>
    <w:rsid w:val="00C031A5"/>
    <w:rsid w:val="00C032D8"/>
    <w:rsid w:val="00C035AD"/>
    <w:rsid w:val="00C03F8C"/>
    <w:rsid w:val="00C0439F"/>
    <w:rsid w:val="00C04AA3"/>
    <w:rsid w:val="00C058B1"/>
    <w:rsid w:val="00C05C3F"/>
    <w:rsid w:val="00C05D4F"/>
    <w:rsid w:val="00C05ED8"/>
    <w:rsid w:val="00C06757"/>
    <w:rsid w:val="00C06C60"/>
    <w:rsid w:val="00C06E54"/>
    <w:rsid w:val="00C07043"/>
    <w:rsid w:val="00C070E6"/>
    <w:rsid w:val="00C073CE"/>
    <w:rsid w:val="00C074D9"/>
    <w:rsid w:val="00C076FC"/>
    <w:rsid w:val="00C0772F"/>
    <w:rsid w:val="00C07E53"/>
    <w:rsid w:val="00C108BC"/>
    <w:rsid w:val="00C10F9E"/>
    <w:rsid w:val="00C114DF"/>
    <w:rsid w:val="00C11CF5"/>
    <w:rsid w:val="00C12007"/>
    <w:rsid w:val="00C126EB"/>
    <w:rsid w:val="00C12FB5"/>
    <w:rsid w:val="00C132FA"/>
    <w:rsid w:val="00C13EDC"/>
    <w:rsid w:val="00C14006"/>
    <w:rsid w:val="00C149A0"/>
    <w:rsid w:val="00C15125"/>
    <w:rsid w:val="00C155B0"/>
    <w:rsid w:val="00C15621"/>
    <w:rsid w:val="00C15DED"/>
    <w:rsid w:val="00C15FAF"/>
    <w:rsid w:val="00C16997"/>
    <w:rsid w:val="00C16C08"/>
    <w:rsid w:val="00C16FE3"/>
    <w:rsid w:val="00C1721E"/>
    <w:rsid w:val="00C17FED"/>
    <w:rsid w:val="00C207CC"/>
    <w:rsid w:val="00C2096A"/>
    <w:rsid w:val="00C20EE6"/>
    <w:rsid w:val="00C20F4C"/>
    <w:rsid w:val="00C2176D"/>
    <w:rsid w:val="00C21ECB"/>
    <w:rsid w:val="00C2222E"/>
    <w:rsid w:val="00C22DDA"/>
    <w:rsid w:val="00C22F97"/>
    <w:rsid w:val="00C2314D"/>
    <w:rsid w:val="00C2325B"/>
    <w:rsid w:val="00C23B70"/>
    <w:rsid w:val="00C23D0A"/>
    <w:rsid w:val="00C24611"/>
    <w:rsid w:val="00C248B2"/>
    <w:rsid w:val="00C24ADA"/>
    <w:rsid w:val="00C24B3B"/>
    <w:rsid w:val="00C24B46"/>
    <w:rsid w:val="00C25744"/>
    <w:rsid w:val="00C25AA7"/>
    <w:rsid w:val="00C26266"/>
    <w:rsid w:val="00C26C9E"/>
    <w:rsid w:val="00C27266"/>
    <w:rsid w:val="00C274DC"/>
    <w:rsid w:val="00C27E99"/>
    <w:rsid w:val="00C27EB2"/>
    <w:rsid w:val="00C30355"/>
    <w:rsid w:val="00C30922"/>
    <w:rsid w:val="00C30EEB"/>
    <w:rsid w:val="00C318A9"/>
    <w:rsid w:val="00C318E3"/>
    <w:rsid w:val="00C31A30"/>
    <w:rsid w:val="00C31AFF"/>
    <w:rsid w:val="00C31CBA"/>
    <w:rsid w:val="00C31E00"/>
    <w:rsid w:val="00C3219E"/>
    <w:rsid w:val="00C323B7"/>
    <w:rsid w:val="00C328B6"/>
    <w:rsid w:val="00C32C5F"/>
    <w:rsid w:val="00C336EE"/>
    <w:rsid w:val="00C3371C"/>
    <w:rsid w:val="00C339E2"/>
    <w:rsid w:val="00C33DE6"/>
    <w:rsid w:val="00C33E2B"/>
    <w:rsid w:val="00C342B9"/>
    <w:rsid w:val="00C34492"/>
    <w:rsid w:val="00C3456F"/>
    <w:rsid w:val="00C3459B"/>
    <w:rsid w:val="00C348FE"/>
    <w:rsid w:val="00C353C9"/>
    <w:rsid w:val="00C35420"/>
    <w:rsid w:val="00C36B1D"/>
    <w:rsid w:val="00C36B4E"/>
    <w:rsid w:val="00C36C11"/>
    <w:rsid w:val="00C36C99"/>
    <w:rsid w:val="00C36E74"/>
    <w:rsid w:val="00C37254"/>
    <w:rsid w:val="00C3729B"/>
    <w:rsid w:val="00C372BA"/>
    <w:rsid w:val="00C3765C"/>
    <w:rsid w:val="00C37D49"/>
    <w:rsid w:val="00C37DB0"/>
    <w:rsid w:val="00C40800"/>
    <w:rsid w:val="00C40822"/>
    <w:rsid w:val="00C412E3"/>
    <w:rsid w:val="00C412EB"/>
    <w:rsid w:val="00C41667"/>
    <w:rsid w:val="00C417CC"/>
    <w:rsid w:val="00C41E41"/>
    <w:rsid w:val="00C4209F"/>
    <w:rsid w:val="00C42470"/>
    <w:rsid w:val="00C4259B"/>
    <w:rsid w:val="00C42F3F"/>
    <w:rsid w:val="00C432D3"/>
    <w:rsid w:val="00C433CA"/>
    <w:rsid w:val="00C43FE5"/>
    <w:rsid w:val="00C442E4"/>
    <w:rsid w:val="00C445B7"/>
    <w:rsid w:val="00C4486D"/>
    <w:rsid w:val="00C44D3C"/>
    <w:rsid w:val="00C44E11"/>
    <w:rsid w:val="00C45025"/>
    <w:rsid w:val="00C4527F"/>
    <w:rsid w:val="00C452FB"/>
    <w:rsid w:val="00C45702"/>
    <w:rsid w:val="00C45FF3"/>
    <w:rsid w:val="00C46437"/>
    <w:rsid w:val="00C46490"/>
    <w:rsid w:val="00C465AA"/>
    <w:rsid w:val="00C468B5"/>
    <w:rsid w:val="00C46ACD"/>
    <w:rsid w:val="00C46C7F"/>
    <w:rsid w:val="00C4704D"/>
    <w:rsid w:val="00C4751A"/>
    <w:rsid w:val="00C500BF"/>
    <w:rsid w:val="00C5069C"/>
    <w:rsid w:val="00C5174D"/>
    <w:rsid w:val="00C5192F"/>
    <w:rsid w:val="00C52564"/>
    <w:rsid w:val="00C52A36"/>
    <w:rsid w:val="00C52FD5"/>
    <w:rsid w:val="00C53304"/>
    <w:rsid w:val="00C537E5"/>
    <w:rsid w:val="00C5383B"/>
    <w:rsid w:val="00C53EDE"/>
    <w:rsid w:val="00C53F99"/>
    <w:rsid w:val="00C53FF6"/>
    <w:rsid w:val="00C540F0"/>
    <w:rsid w:val="00C54171"/>
    <w:rsid w:val="00C54460"/>
    <w:rsid w:val="00C54526"/>
    <w:rsid w:val="00C54F0A"/>
    <w:rsid w:val="00C54F0C"/>
    <w:rsid w:val="00C551BD"/>
    <w:rsid w:val="00C5560D"/>
    <w:rsid w:val="00C55CA3"/>
    <w:rsid w:val="00C56943"/>
    <w:rsid w:val="00C569BE"/>
    <w:rsid w:val="00C56B76"/>
    <w:rsid w:val="00C56F95"/>
    <w:rsid w:val="00C5725A"/>
    <w:rsid w:val="00C572EE"/>
    <w:rsid w:val="00C57506"/>
    <w:rsid w:val="00C57591"/>
    <w:rsid w:val="00C576DF"/>
    <w:rsid w:val="00C5795C"/>
    <w:rsid w:val="00C57B64"/>
    <w:rsid w:val="00C57DBC"/>
    <w:rsid w:val="00C60028"/>
    <w:rsid w:val="00C60250"/>
    <w:rsid w:val="00C603A3"/>
    <w:rsid w:val="00C6188F"/>
    <w:rsid w:val="00C61FE7"/>
    <w:rsid w:val="00C623CC"/>
    <w:rsid w:val="00C624C6"/>
    <w:rsid w:val="00C624F8"/>
    <w:rsid w:val="00C62C71"/>
    <w:rsid w:val="00C62FA7"/>
    <w:rsid w:val="00C63035"/>
    <w:rsid w:val="00C633C0"/>
    <w:rsid w:val="00C634BF"/>
    <w:rsid w:val="00C6390F"/>
    <w:rsid w:val="00C64DC0"/>
    <w:rsid w:val="00C654D3"/>
    <w:rsid w:val="00C6581C"/>
    <w:rsid w:val="00C65968"/>
    <w:rsid w:val="00C65AB6"/>
    <w:rsid w:val="00C660FE"/>
    <w:rsid w:val="00C661CA"/>
    <w:rsid w:val="00C66D65"/>
    <w:rsid w:val="00C6708D"/>
    <w:rsid w:val="00C6738A"/>
    <w:rsid w:val="00C674AE"/>
    <w:rsid w:val="00C67653"/>
    <w:rsid w:val="00C6774C"/>
    <w:rsid w:val="00C67ACA"/>
    <w:rsid w:val="00C67BCC"/>
    <w:rsid w:val="00C67D0B"/>
    <w:rsid w:val="00C70C7E"/>
    <w:rsid w:val="00C7106F"/>
    <w:rsid w:val="00C71698"/>
    <w:rsid w:val="00C71A57"/>
    <w:rsid w:val="00C724EA"/>
    <w:rsid w:val="00C72F85"/>
    <w:rsid w:val="00C73450"/>
    <w:rsid w:val="00C73458"/>
    <w:rsid w:val="00C73852"/>
    <w:rsid w:val="00C73911"/>
    <w:rsid w:val="00C7438F"/>
    <w:rsid w:val="00C743EA"/>
    <w:rsid w:val="00C745F9"/>
    <w:rsid w:val="00C749A7"/>
    <w:rsid w:val="00C74F7B"/>
    <w:rsid w:val="00C75426"/>
    <w:rsid w:val="00C75790"/>
    <w:rsid w:val="00C759CC"/>
    <w:rsid w:val="00C75B6F"/>
    <w:rsid w:val="00C75DEC"/>
    <w:rsid w:val="00C75E75"/>
    <w:rsid w:val="00C76324"/>
    <w:rsid w:val="00C767CA"/>
    <w:rsid w:val="00C76C63"/>
    <w:rsid w:val="00C76FCC"/>
    <w:rsid w:val="00C77001"/>
    <w:rsid w:val="00C77E40"/>
    <w:rsid w:val="00C800D4"/>
    <w:rsid w:val="00C801BB"/>
    <w:rsid w:val="00C81407"/>
    <w:rsid w:val="00C8175E"/>
    <w:rsid w:val="00C8230D"/>
    <w:rsid w:val="00C82898"/>
    <w:rsid w:val="00C82FEC"/>
    <w:rsid w:val="00C8325E"/>
    <w:rsid w:val="00C84576"/>
    <w:rsid w:val="00C84C89"/>
    <w:rsid w:val="00C85462"/>
    <w:rsid w:val="00C85EAC"/>
    <w:rsid w:val="00C86E31"/>
    <w:rsid w:val="00C86F29"/>
    <w:rsid w:val="00C87420"/>
    <w:rsid w:val="00C87C4F"/>
    <w:rsid w:val="00C901F1"/>
    <w:rsid w:val="00C9042F"/>
    <w:rsid w:val="00C90A29"/>
    <w:rsid w:val="00C90EB8"/>
    <w:rsid w:val="00C91C23"/>
    <w:rsid w:val="00C91C89"/>
    <w:rsid w:val="00C924C6"/>
    <w:rsid w:val="00C9265F"/>
    <w:rsid w:val="00C92B8A"/>
    <w:rsid w:val="00C92DCE"/>
    <w:rsid w:val="00C932DF"/>
    <w:rsid w:val="00C93432"/>
    <w:rsid w:val="00C938D5"/>
    <w:rsid w:val="00C93D22"/>
    <w:rsid w:val="00C93E00"/>
    <w:rsid w:val="00C93F9E"/>
    <w:rsid w:val="00C94374"/>
    <w:rsid w:val="00C946E1"/>
    <w:rsid w:val="00C94B54"/>
    <w:rsid w:val="00C957BC"/>
    <w:rsid w:val="00C958CE"/>
    <w:rsid w:val="00C95BFF"/>
    <w:rsid w:val="00C95F28"/>
    <w:rsid w:val="00C9620F"/>
    <w:rsid w:val="00C9648C"/>
    <w:rsid w:val="00C97989"/>
    <w:rsid w:val="00CA02B6"/>
    <w:rsid w:val="00CA0425"/>
    <w:rsid w:val="00CA061E"/>
    <w:rsid w:val="00CA06F0"/>
    <w:rsid w:val="00CA0CEF"/>
    <w:rsid w:val="00CA1BC9"/>
    <w:rsid w:val="00CA1DF4"/>
    <w:rsid w:val="00CA1EBA"/>
    <w:rsid w:val="00CA23D4"/>
    <w:rsid w:val="00CA2717"/>
    <w:rsid w:val="00CA2C1A"/>
    <w:rsid w:val="00CA2CBE"/>
    <w:rsid w:val="00CA2E77"/>
    <w:rsid w:val="00CA30C4"/>
    <w:rsid w:val="00CA3213"/>
    <w:rsid w:val="00CA3A9D"/>
    <w:rsid w:val="00CA3CA1"/>
    <w:rsid w:val="00CA4171"/>
    <w:rsid w:val="00CA4454"/>
    <w:rsid w:val="00CA44B9"/>
    <w:rsid w:val="00CA4557"/>
    <w:rsid w:val="00CA47E1"/>
    <w:rsid w:val="00CA4BB2"/>
    <w:rsid w:val="00CA54DD"/>
    <w:rsid w:val="00CA57A6"/>
    <w:rsid w:val="00CA5E68"/>
    <w:rsid w:val="00CA652D"/>
    <w:rsid w:val="00CA689F"/>
    <w:rsid w:val="00CA794F"/>
    <w:rsid w:val="00CA79EE"/>
    <w:rsid w:val="00CA7F31"/>
    <w:rsid w:val="00CB03DD"/>
    <w:rsid w:val="00CB0927"/>
    <w:rsid w:val="00CB0C0E"/>
    <w:rsid w:val="00CB1376"/>
    <w:rsid w:val="00CB2856"/>
    <w:rsid w:val="00CB2FD8"/>
    <w:rsid w:val="00CB33F6"/>
    <w:rsid w:val="00CB3507"/>
    <w:rsid w:val="00CB354A"/>
    <w:rsid w:val="00CB3BD7"/>
    <w:rsid w:val="00CB3DA9"/>
    <w:rsid w:val="00CB3E6F"/>
    <w:rsid w:val="00CB4234"/>
    <w:rsid w:val="00CB4388"/>
    <w:rsid w:val="00CB5120"/>
    <w:rsid w:val="00CB559D"/>
    <w:rsid w:val="00CB5781"/>
    <w:rsid w:val="00CB5E8F"/>
    <w:rsid w:val="00CB619A"/>
    <w:rsid w:val="00CB6215"/>
    <w:rsid w:val="00CB6895"/>
    <w:rsid w:val="00CB6DF2"/>
    <w:rsid w:val="00CB6FDD"/>
    <w:rsid w:val="00CB7130"/>
    <w:rsid w:val="00CB73EE"/>
    <w:rsid w:val="00CC024E"/>
    <w:rsid w:val="00CC0802"/>
    <w:rsid w:val="00CC0C89"/>
    <w:rsid w:val="00CC1410"/>
    <w:rsid w:val="00CC17E3"/>
    <w:rsid w:val="00CC1848"/>
    <w:rsid w:val="00CC19AA"/>
    <w:rsid w:val="00CC1A53"/>
    <w:rsid w:val="00CC1C90"/>
    <w:rsid w:val="00CC2401"/>
    <w:rsid w:val="00CC261B"/>
    <w:rsid w:val="00CC40F0"/>
    <w:rsid w:val="00CC428F"/>
    <w:rsid w:val="00CC46A6"/>
    <w:rsid w:val="00CC497A"/>
    <w:rsid w:val="00CC4981"/>
    <w:rsid w:val="00CC4B4C"/>
    <w:rsid w:val="00CC53CE"/>
    <w:rsid w:val="00CC53F2"/>
    <w:rsid w:val="00CC5794"/>
    <w:rsid w:val="00CC5C10"/>
    <w:rsid w:val="00CC5F6B"/>
    <w:rsid w:val="00CC60AE"/>
    <w:rsid w:val="00CC6C01"/>
    <w:rsid w:val="00CC7083"/>
    <w:rsid w:val="00CC7570"/>
    <w:rsid w:val="00CC7673"/>
    <w:rsid w:val="00CC7D84"/>
    <w:rsid w:val="00CD0258"/>
    <w:rsid w:val="00CD0629"/>
    <w:rsid w:val="00CD1D3E"/>
    <w:rsid w:val="00CD1E07"/>
    <w:rsid w:val="00CD270A"/>
    <w:rsid w:val="00CD2852"/>
    <w:rsid w:val="00CD296D"/>
    <w:rsid w:val="00CD331A"/>
    <w:rsid w:val="00CD37FB"/>
    <w:rsid w:val="00CD3CF6"/>
    <w:rsid w:val="00CD3D78"/>
    <w:rsid w:val="00CD52DC"/>
    <w:rsid w:val="00CD5BCC"/>
    <w:rsid w:val="00CD5C69"/>
    <w:rsid w:val="00CD6693"/>
    <w:rsid w:val="00CD68F4"/>
    <w:rsid w:val="00CD69B2"/>
    <w:rsid w:val="00CD6A08"/>
    <w:rsid w:val="00CD78EA"/>
    <w:rsid w:val="00CD7E4D"/>
    <w:rsid w:val="00CD7EB3"/>
    <w:rsid w:val="00CE0530"/>
    <w:rsid w:val="00CE05C9"/>
    <w:rsid w:val="00CE130E"/>
    <w:rsid w:val="00CE1367"/>
    <w:rsid w:val="00CE1BEC"/>
    <w:rsid w:val="00CE1CC1"/>
    <w:rsid w:val="00CE2290"/>
    <w:rsid w:val="00CE3508"/>
    <w:rsid w:val="00CE362B"/>
    <w:rsid w:val="00CE423F"/>
    <w:rsid w:val="00CE473B"/>
    <w:rsid w:val="00CE494B"/>
    <w:rsid w:val="00CE4C1E"/>
    <w:rsid w:val="00CE5A81"/>
    <w:rsid w:val="00CE5B69"/>
    <w:rsid w:val="00CE5BD1"/>
    <w:rsid w:val="00CE6557"/>
    <w:rsid w:val="00CE6865"/>
    <w:rsid w:val="00CE6C51"/>
    <w:rsid w:val="00CE6F68"/>
    <w:rsid w:val="00CE71D7"/>
    <w:rsid w:val="00CF001D"/>
    <w:rsid w:val="00CF0EFA"/>
    <w:rsid w:val="00CF101E"/>
    <w:rsid w:val="00CF1505"/>
    <w:rsid w:val="00CF19A0"/>
    <w:rsid w:val="00CF2239"/>
    <w:rsid w:val="00CF248C"/>
    <w:rsid w:val="00CF2F44"/>
    <w:rsid w:val="00CF3C72"/>
    <w:rsid w:val="00CF404C"/>
    <w:rsid w:val="00CF4248"/>
    <w:rsid w:val="00CF4603"/>
    <w:rsid w:val="00CF4D1F"/>
    <w:rsid w:val="00CF524C"/>
    <w:rsid w:val="00CF5387"/>
    <w:rsid w:val="00CF5FC3"/>
    <w:rsid w:val="00CF61BA"/>
    <w:rsid w:val="00CF6349"/>
    <w:rsid w:val="00CF78EE"/>
    <w:rsid w:val="00CF7D68"/>
    <w:rsid w:val="00D005F8"/>
    <w:rsid w:val="00D0068A"/>
    <w:rsid w:val="00D00875"/>
    <w:rsid w:val="00D01E06"/>
    <w:rsid w:val="00D02646"/>
    <w:rsid w:val="00D02B79"/>
    <w:rsid w:val="00D02BEF"/>
    <w:rsid w:val="00D02FD9"/>
    <w:rsid w:val="00D03082"/>
    <w:rsid w:val="00D034E4"/>
    <w:rsid w:val="00D037A0"/>
    <w:rsid w:val="00D04892"/>
    <w:rsid w:val="00D048ED"/>
    <w:rsid w:val="00D04D7E"/>
    <w:rsid w:val="00D04DCB"/>
    <w:rsid w:val="00D05261"/>
    <w:rsid w:val="00D054D7"/>
    <w:rsid w:val="00D057BF"/>
    <w:rsid w:val="00D05BB6"/>
    <w:rsid w:val="00D06526"/>
    <w:rsid w:val="00D067D4"/>
    <w:rsid w:val="00D06EE1"/>
    <w:rsid w:val="00D06F51"/>
    <w:rsid w:val="00D06F7E"/>
    <w:rsid w:val="00D0732B"/>
    <w:rsid w:val="00D0761F"/>
    <w:rsid w:val="00D107D6"/>
    <w:rsid w:val="00D108CB"/>
    <w:rsid w:val="00D10FBE"/>
    <w:rsid w:val="00D1131D"/>
    <w:rsid w:val="00D11B5D"/>
    <w:rsid w:val="00D11F41"/>
    <w:rsid w:val="00D12282"/>
    <w:rsid w:val="00D13BC8"/>
    <w:rsid w:val="00D142A3"/>
    <w:rsid w:val="00D1432C"/>
    <w:rsid w:val="00D144D8"/>
    <w:rsid w:val="00D14B81"/>
    <w:rsid w:val="00D1524D"/>
    <w:rsid w:val="00D15EC1"/>
    <w:rsid w:val="00D15F33"/>
    <w:rsid w:val="00D1629C"/>
    <w:rsid w:val="00D16CBD"/>
    <w:rsid w:val="00D170DD"/>
    <w:rsid w:val="00D171A3"/>
    <w:rsid w:val="00D172C1"/>
    <w:rsid w:val="00D17670"/>
    <w:rsid w:val="00D178F6"/>
    <w:rsid w:val="00D17941"/>
    <w:rsid w:val="00D17FAE"/>
    <w:rsid w:val="00D2002E"/>
    <w:rsid w:val="00D2034B"/>
    <w:rsid w:val="00D20D6B"/>
    <w:rsid w:val="00D22BC4"/>
    <w:rsid w:val="00D22F7B"/>
    <w:rsid w:val="00D2345F"/>
    <w:rsid w:val="00D23CB6"/>
    <w:rsid w:val="00D23CC4"/>
    <w:rsid w:val="00D23CDA"/>
    <w:rsid w:val="00D23DE5"/>
    <w:rsid w:val="00D2408E"/>
    <w:rsid w:val="00D245AA"/>
    <w:rsid w:val="00D24714"/>
    <w:rsid w:val="00D24A1A"/>
    <w:rsid w:val="00D24D4B"/>
    <w:rsid w:val="00D261E4"/>
    <w:rsid w:val="00D262E5"/>
    <w:rsid w:val="00D2652C"/>
    <w:rsid w:val="00D2663A"/>
    <w:rsid w:val="00D26B57"/>
    <w:rsid w:val="00D26FD4"/>
    <w:rsid w:val="00D2728B"/>
    <w:rsid w:val="00D2786F"/>
    <w:rsid w:val="00D27A8A"/>
    <w:rsid w:val="00D27C31"/>
    <w:rsid w:val="00D3002F"/>
    <w:rsid w:val="00D30169"/>
    <w:rsid w:val="00D301B1"/>
    <w:rsid w:val="00D302C1"/>
    <w:rsid w:val="00D30613"/>
    <w:rsid w:val="00D306D7"/>
    <w:rsid w:val="00D306F0"/>
    <w:rsid w:val="00D3193D"/>
    <w:rsid w:val="00D32464"/>
    <w:rsid w:val="00D32606"/>
    <w:rsid w:val="00D32997"/>
    <w:rsid w:val="00D32F9E"/>
    <w:rsid w:val="00D33D9F"/>
    <w:rsid w:val="00D3420F"/>
    <w:rsid w:val="00D34537"/>
    <w:rsid w:val="00D34789"/>
    <w:rsid w:val="00D348D6"/>
    <w:rsid w:val="00D34DCD"/>
    <w:rsid w:val="00D353E1"/>
    <w:rsid w:val="00D35E82"/>
    <w:rsid w:val="00D36149"/>
    <w:rsid w:val="00D36245"/>
    <w:rsid w:val="00D36BEE"/>
    <w:rsid w:val="00D370DF"/>
    <w:rsid w:val="00D37543"/>
    <w:rsid w:val="00D37F7B"/>
    <w:rsid w:val="00D401CD"/>
    <w:rsid w:val="00D40F49"/>
    <w:rsid w:val="00D424B8"/>
    <w:rsid w:val="00D4287F"/>
    <w:rsid w:val="00D428EE"/>
    <w:rsid w:val="00D42962"/>
    <w:rsid w:val="00D431F1"/>
    <w:rsid w:val="00D434EE"/>
    <w:rsid w:val="00D43DB2"/>
    <w:rsid w:val="00D43F06"/>
    <w:rsid w:val="00D44486"/>
    <w:rsid w:val="00D4470F"/>
    <w:rsid w:val="00D44986"/>
    <w:rsid w:val="00D449C4"/>
    <w:rsid w:val="00D457D7"/>
    <w:rsid w:val="00D4612E"/>
    <w:rsid w:val="00D46538"/>
    <w:rsid w:val="00D46E94"/>
    <w:rsid w:val="00D472B5"/>
    <w:rsid w:val="00D477AA"/>
    <w:rsid w:val="00D478D3"/>
    <w:rsid w:val="00D47A07"/>
    <w:rsid w:val="00D47A34"/>
    <w:rsid w:val="00D503D0"/>
    <w:rsid w:val="00D5059F"/>
    <w:rsid w:val="00D50681"/>
    <w:rsid w:val="00D506CD"/>
    <w:rsid w:val="00D50762"/>
    <w:rsid w:val="00D50BCA"/>
    <w:rsid w:val="00D514E6"/>
    <w:rsid w:val="00D51E32"/>
    <w:rsid w:val="00D524B0"/>
    <w:rsid w:val="00D52774"/>
    <w:rsid w:val="00D5299F"/>
    <w:rsid w:val="00D52EB0"/>
    <w:rsid w:val="00D52FF5"/>
    <w:rsid w:val="00D533DB"/>
    <w:rsid w:val="00D53635"/>
    <w:rsid w:val="00D54170"/>
    <w:rsid w:val="00D54A87"/>
    <w:rsid w:val="00D558AF"/>
    <w:rsid w:val="00D55C40"/>
    <w:rsid w:val="00D56892"/>
    <w:rsid w:val="00D56B04"/>
    <w:rsid w:val="00D56B25"/>
    <w:rsid w:val="00D571C2"/>
    <w:rsid w:val="00D5730B"/>
    <w:rsid w:val="00D57504"/>
    <w:rsid w:val="00D5779E"/>
    <w:rsid w:val="00D577D7"/>
    <w:rsid w:val="00D57D17"/>
    <w:rsid w:val="00D603BF"/>
    <w:rsid w:val="00D60673"/>
    <w:rsid w:val="00D6070C"/>
    <w:rsid w:val="00D60D0E"/>
    <w:rsid w:val="00D60D5A"/>
    <w:rsid w:val="00D60E70"/>
    <w:rsid w:val="00D6124A"/>
    <w:rsid w:val="00D619A3"/>
    <w:rsid w:val="00D61DD1"/>
    <w:rsid w:val="00D6219E"/>
    <w:rsid w:val="00D62BB0"/>
    <w:rsid w:val="00D62D37"/>
    <w:rsid w:val="00D634DC"/>
    <w:rsid w:val="00D63557"/>
    <w:rsid w:val="00D6381E"/>
    <w:rsid w:val="00D63886"/>
    <w:rsid w:val="00D63F54"/>
    <w:rsid w:val="00D6421D"/>
    <w:rsid w:val="00D64BF8"/>
    <w:rsid w:val="00D64E7D"/>
    <w:rsid w:val="00D6503C"/>
    <w:rsid w:val="00D6529B"/>
    <w:rsid w:val="00D6608C"/>
    <w:rsid w:val="00D661D1"/>
    <w:rsid w:val="00D66474"/>
    <w:rsid w:val="00D6733F"/>
    <w:rsid w:val="00D67470"/>
    <w:rsid w:val="00D67504"/>
    <w:rsid w:val="00D67736"/>
    <w:rsid w:val="00D67896"/>
    <w:rsid w:val="00D700DB"/>
    <w:rsid w:val="00D701F7"/>
    <w:rsid w:val="00D70879"/>
    <w:rsid w:val="00D70B69"/>
    <w:rsid w:val="00D71CE3"/>
    <w:rsid w:val="00D71DC4"/>
    <w:rsid w:val="00D71EA1"/>
    <w:rsid w:val="00D7236A"/>
    <w:rsid w:val="00D725F9"/>
    <w:rsid w:val="00D7270D"/>
    <w:rsid w:val="00D72752"/>
    <w:rsid w:val="00D72B41"/>
    <w:rsid w:val="00D72C0B"/>
    <w:rsid w:val="00D72F69"/>
    <w:rsid w:val="00D73357"/>
    <w:rsid w:val="00D7348A"/>
    <w:rsid w:val="00D734C1"/>
    <w:rsid w:val="00D73B72"/>
    <w:rsid w:val="00D74091"/>
    <w:rsid w:val="00D74C8A"/>
    <w:rsid w:val="00D74CCC"/>
    <w:rsid w:val="00D752F4"/>
    <w:rsid w:val="00D7539E"/>
    <w:rsid w:val="00D75650"/>
    <w:rsid w:val="00D756F0"/>
    <w:rsid w:val="00D758CA"/>
    <w:rsid w:val="00D75DBD"/>
    <w:rsid w:val="00D75F90"/>
    <w:rsid w:val="00D75F9B"/>
    <w:rsid w:val="00D768CC"/>
    <w:rsid w:val="00D76904"/>
    <w:rsid w:val="00D7693F"/>
    <w:rsid w:val="00D77154"/>
    <w:rsid w:val="00D771AB"/>
    <w:rsid w:val="00D774CE"/>
    <w:rsid w:val="00D77F90"/>
    <w:rsid w:val="00D77FED"/>
    <w:rsid w:val="00D8086F"/>
    <w:rsid w:val="00D80933"/>
    <w:rsid w:val="00D80A55"/>
    <w:rsid w:val="00D81674"/>
    <w:rsid w:val="00D816C7"/>
    <w:rsid w:val="00D8274D"/>
    <w:rsid w:val="00D82F14"/>
    <w:rsid w:val="00D834BA"/>
    <w:rsid w:val="00D83C4B"/>
    <w:rsid w:val="00D848FE"/>
    <w:rsid w:val="00D853AE"/>
    <w:rsid w:val="00D86283"/>
    <w:rsid w:val="00D863B1"/>
    <w:rsid w:val="00D86E66"/>
    <w:rsid w:val="00D8703A"/>
    <w:rsid w:val="00D87665"/>
    <w:rsid w:val="00D8770B"/>
    <w:rsid w:val="00D87743"/>
    <w:rsid w:val="00D8774B"/>
    <w:rsid w:val="00D9019B"/>
    <w:rsid w:val="00D90427"/>
    <w:rsid w:val="00D90936"/>
    <w:rsid w:val="00D9161B"/>
    <w:rsid w:val="00D92012"/>
    <w:rsid w:val="00D921E4"/>
    <w:rsid w:val="00D926E0"/>
    <w:rsid w:val="00D929BA"/>
    <w:rsid w:val="00D929FB"/>
    <w:rsid w:val="00D92E43"/>
    <w:rsid w:val="00D932BF"/>
    <w:rsid w:val="00D934BF"/>
    <w:rsid w:val="00D93A67"/>
    <w:rsid w:val="00D93B4A"/>
    <w:rsid w:val="00D93BAB"/>
    <w:rsid w:val="00D93C9A"/>
    <w:rsid w:val="00D940B5"/>
    <w:rsid w:val="00D940D5"/>
    <w:rsid w:val="00D943CC"/>
    <w:rsid w:val="00D945AE"/>
    <w:rsid w:val="00D94D22"/>
    <w:rsid w:val="00D95315"/>
    <w:rsid w:val="00D954A7"/>
    <w:rsid w:val="00D95B0E"/>
    <w:rsid w:val="00D95D17"/>
    <w:rsid w:val="00D96A13"/>
    <w:rsid w:val="00D973B7"/>
    <w:rsid w:val="00D97B14"/>
    <w:rsid w:val="00DA03FF"/>
    <w:rsid w:val="00DA0AB3"/>
    <w:rsid w:val="00DA0C5A"/>
    <w:rsid w:val="00DA1DE7"/>
    <w:rsid w:val="00DA20D4"/>
    <w:rsid w:val="00DA23AE"/>
    <w:rsid w:val="00DA2678"/>
    <w:rsid w:val="00DA293C"/>
    <w:rsid w:val="00DA2C81"/>
    <w:rsid w:val="00DA389D"/>
    <w:rsid w:val="00DA42D2"/>
    <w:rsid w:val="00DA45AD"/>
    <w:rsid w:val="00DA46EC"/>
    <w:rsid w:val="00DA4946"/>
    <w:rsid w:val="00DA4B3D"/>
    <w:rsid w:val="00DA4F6D"/>
    <w:rsid w:val="00DA67BC"/>
    <w:rsid w:val="00DA6B8C"/>
    <w:rsid w:val="00DA6D72"/>
    <w:rsid w:val="00DA6D7A"/>
    <w:rsid w:val="00DA725B"/>
    <w:rsid w:val="00DA7EDF"/>
    <w:rsid w:val="00DB00C9"/>
    <w:rsid w:val="00DB033A"/>
    <w:rsid w:val="00DB076D"/>
    <w:rsid w:val="00DB0AA5"/>
    <w:rsid w:val="00DB0E00"/>
    <w:rsid w:val="00DB1115"/>
    <w:rsid w:val="00DB1381"/>
    <w:rsid w:val="00DB13FC"/>
    <w:rsid w:val="00DB1D23"/>
    <w:rsid w:val="00DB1D55"/>
    <w:rsid w:val="00DB1D6E"/>
    <w:rsid w:val="00DB2263"/>
    <w:rsid w:val="00DB366A"/>
    <w:rsid w:val="00DB3676"/>
    <w:rsid w:val="00DB3BFD"/>
    <w:rsid w:val="00DB3E7C"/>
    <w:rsid w:val="00DB408B"/>
    <w:rsid w:val="00DB442A"/>
    <w:rsid w:val="00DB470E"/>
    <w:rsid w:val="00DB4DF7"/>
    <w:rsid w:val="00DB4E67"/>
    <w:rsid w:val="00DB5011"/>
    <w:rsid w:val="00DB5890"/>
    <w:rsid w:val="00DB58B9"/>
    <w:rsid w:val="00DB65BB"/>
    <w:rsid w:val="00DB7048"/>
    <w:rsid w:val="00DB712D"/>
    <w:rsid w:val="00DB7CE5"/>
    <w:rsid w:val="00DB7E97"/>
    <w:rsid w:val="00DC055D"/>
    <w:rsid w:val="00DC0E30"/>
    <w:rsid w:val="00DC0E92"/>
    <w:rsid w:val="00DC0FD2"/>
    <w:rsid w:val="00DC17C3"/>
    <w:rsid w:val="00DC24FE"/>
    <w:rsid w:val="00DC2834"/>
    <w:rsid w:val="00DC2C77"/>
    <w:rsid w:val="00DC340B"/>
    <w:rsid w:val="00DC366E"/>
    <w:rsid w:val="00DC425D"/>
    <w:rsid w:val="00DC43A4"/>
    <w:rsid w:val="00DC4C01"/>
    <w:rsid w:val="00DC4E11"/>
    <w:rsid w:val="00DC4F8B"/>
    <w:rsid w:val="00DC5172"/>
    <w:rsid w:val="00DC52AD"/>
    <w:rsid w:val="00DC5403"/>
    <w:rsid w:val="00DC560A"/>
    <w:rsid w:val="00DC5C81"/>
    <w:rsid w:val="00DC62FB"/>
    <w:rsid w:val="00DC6D13"/>
    <w:rsid w:val="00DC6F21"/>
    <w:rsid w:val="00DC7079"/>
    <w:rsid w:val="00DC7085"/>
    <w:rsid w:val="00DC741C"/>
    <w:rsid w:val="00DC7E3C"/>
    <w:rsid w:val="00DD0493"/>
    <w:rsid w:val="00DD078D"/>
    <w:rsid w:val="00DD0B7F"/>
    <w:rsid w:val="00DD0D3B"/>
    <w:rsid w:val="00DD0F69"/>
    <w:rsid w:val="00DD1C50"/>
    <w:rsid w:val="00DD23BE"/>
    <w:rsid w:val="00DD2D32"/>
    <w:rsid w:val="00DD2ECE"/>
    <w:rsid w:val="00DD30ED"/>
    <w:rsid w:val="00DD3681"/>
    <w:rsid w:val="00DD3D9D"/>
    <w:rsid w:val="00DD3F69"/>
    <w:rsid w:val="00DD4D66"/>
    <w:rsid w:val="00DD5674"/>
    <w:rsid w:val="00DD598C"/>
    <w:rsid w:val="00DD641F"/>
    <w:rsid w:val="00DD6649"/>
    <w:rsid w:val="00DD68C5"/>
    <w:rsid w:val="00DD6BDD"/>
    <w:rsid w:val="00DD712C"/>
    <w:rsid w:val="00DD7286"/>
    <w:rsid w:val="00DD7371"/>
    <w:rsid w:val="00DD7C15"/>
    <w:rsid w:val="00DD7DE8"/>
    <w:rsid w:val="00DD7FC2"/>
    <w:rsid w:val="00DE0309"/>
    <w:rsid w:val="00DE0590"/>
    <w:rsid w:val="00DE0637"/>
    <w:rsid w:val="00DE09A1"/>
    <w:rsid w:val="00DE0BED"/>
    <w:rsid w:val="00DE0C23"/>
    <w:rsid w:val="00DE1254"/>
    <w:rsid w:val="00DE20DF"/>
    <w:rsid w:val="00DE28A2"/>
    <w:rsid w:val="00DE43DD"/>
    <w:rsid w:val="00DE43E7"/>
    <w:rsid w:val="00DE4472"/>
    <w:rsid w:val="00DE562A"/>
    <w:rsid w:val="00DE5A75"/>
    <w:rsid w:val="00DE5BBA"/>
    <w:rsid w:val="00DE62DC"/>
    <w:rsid w:val="00DE6F40"/>
    <w:rsid w:val="00DE7002"/>
    <w:rsid w:val="00DE774A"/>
    <w:rsid w:val="00DE7B7A"/>
    <w:rsid w:val="00DF03A6"/>
    <w:rsid w:val="00DF03B6"/>
    <w:rsid w:val="00DF0691"/>
    <w:rsid w:val="00DF08B2"/>
    <w:rsid w:val="00DF0DED"/>
    <w:rsid w:val="00DF111F"/>
    <w:rsid w:val="00DF232C"/>
    <w:rsid w:val="00DF24F5"/>
    <w:rsid w:val="00DF29E7"/>
    <w:rsid w:val="00DF2BCE"/>
    <w:rsid w:val="00DF3064"/>
    <w:rsid w:val="00DF3220"/>
    <w:rsid w:val="00DF35D3"/>
    <w:rsid w:val="00DF383F"/>
    <w:rsid w:val="00DF3DB8"/>
    <w:rsid w:val="00DF3DD3"/>
    <w:rsid w:val="00DF4A0A"/>
    <w:rsid w:val="00DF4B45"/>
    <w:rsid w:val="00DF55DA"/>
    <w:rsid w:val="00DF55FE"/>
    <w:rsid w:val="00DF5621"/>
    <w:rsid w:val="00DF585A"/>
    <w:rsid w:val="00DF5C38"/>
    <w:rsid w:val="00DF5E9F"/>
    <w:rsid w:val="00DF64AF"/>
    <w:rsid w:val="00DF6C7E"/>
    <w:rsid w:val="00DF7294"/>
    <w:rsid w:val="00DF737A"/>
    <w:rsid w:val="00DF7400"/>
    <w:rsid w:val="00DF7559"/>
    <w:rsid w:val="00DF7925"/>
    <w:rsid w:val="00E00151"/>
    <w:rsid w:val="00E005F9"/>
    <w:rsid w:val="00E0064F"/>
    <w:rsid w:val="00E00FDB"/>
    <w:rsid w:val="00E01ABD"/>
    <w:rsid w:val="00E01FC1"/>
    <w:rsid w:val="00E02102"/>
    <w:rsid w:val="00E02433"/>
    <w:rsid w:val="00E03497"/>
    <w:rsid w:val="00E03F83"/>
    <w:rsid w:val="00E04005"/>
    <w:rsid w:val="00E0443E"/>
    <w:rsid w:val="00E0470A"/>
    <w:rsid w:val="00E04797"/>
    <w:rsid w:val="00E0494E"/>
    <w:rsid w:val="00E04C7A"/>
    <w:rsid w:val="00E04D20"/>
    <w:rsid w:val="00E04D83"/>
    <w:rsid w:val="00E0564F"/>
    <w:rsid w:val="00E056C1"/>
    <w:rsid w:val="00E06007"/>
    <w:rsid w:val="00E062B0"/>
    <w:rsid w:val="00E0632F"/>
    <w:rsid w:val="00E06331"/>
    <w:rsid w:val="00E065C3"/>
    <w:rsid w:val="00E0677D"/>
    <w:rsid w:val="00E067D3"/>
    <w:rsid w:val="00E068DD"/>
    <w:rsid w:val="00E06932"/>
    <w:rsid w:val="00E06B1C"/>
    <w:rsid w:val="00E06F10"/>
    <w:rsid w:val="00E0729C"/>
    <w:rsid w:val="00E07662"/>
    <w:rsid w:val="00E0778D"/>
    <w:rsid w:val="00E1093C"/>
    <w:rsid w:val="00E10D7F"/>
    <w:rsid w:val="00E10E85"/>
    <w:rsid w:val="00E10EF5"/>
    <w:rsid w:val="00E1198D"/>
    <w:rsid w:val="00E11C25"/>
    <w:rsid w:val="00E12202"/>
    <w:rsid w:val="00E1281E"/>
    <w:rsid w:val="00E12C32"/>
    <w:rsid w:val="00E12F86"/>
    <w:rsid w:val="00E1366C"/>
    <w:rsid w:val="00E1369B"/>
    <w:rsid w:val="00E139DD"/>
    <w:rsid w:val="00E13A72"/>
    <w:rsid w:val="00E1492B"/>
    <w:rsid w:val="00E15826"/>
    <w:rsid w:val="00E158CE"/>
    <w:rsid w:val="00E16503"/>
    <w:rsid w:val="00E16F50"/>
    <w:rsid w:val="00E1708D"/>
    <w:rsid w:val="00E178E9"/>
    <w:rsid w:val="00E17A1D"/>
    <w:rsid w:val="00E17D03"/>
    <w:rsid w:val="00E17E47"/>
    <w:rsid w:val="00E17F62"/>
    <w:rsid w:val="00E17F77"/>
    <w:rsid w:val="00E17FBA"/>
    <w:rsid w:val="00E20B01"/>
    <w:rsid w:val="00E2130F"/>
    <w:rsid w:val="00E21514"/>
    <w:rsid w:val="00E21DE1"/>
    <w:rsid w:val="00E229A6"/>
    <w:rsid w:val="00E229F0"/>
    <w:rsid w:val="00E22D27"/>
    <w:rsid w:val="00E23050"/>
    <w:rsid w:val="00E231A3"/>
    <w:rsid w:val="00E241E6"/>
    <w:rsid w:val="00E24C64"/>
    <w:rsid w:val="00E24E13"/>
    <w:rsid w:val="00E24F0F"/>
    <w:rsid w:val="00E25451"/>
    <w:rsid w:val="00E254DB"/>
    <w:rsid w:val="00E25ECC"/>
    <w:rsid w:val="00E2672C"/>
    <w:rsid w:val="00E26BE1"/>
    <w:rsid w:val="00E2780C"/>
    <w:rsid w:val="00E27BD1"/>
    <w:rsid w:val="00E27D2D"/>
    <w:rsid w:val="00E3059E"/>
    <w:rsid w:val="00E30AE2"/>
    <w:rsid w:val="00E30E09"/>
    <w:rsid w:val="00E31797"/>
    <w:rsid w:val="00E31B5B"/>
    <w:rsid w:val="00E31C48"/>
    <w:rsid w:val="00E32065"/>
    <w:rsid w:val="00E32371"/>
    <w:rsid w:val="00E32F97"/>
    <w:rsid w:val="00E33ACF"/>
    <w:rsid w:val="00E34BE9"/>
    <w:rsid w:val="00E355CE"/>
    <w:rsid w:val="00E35706"/>
    <w:rsid w:val="00E36914"/>
    <w:rsid w:val="00E3787C"/>
    <w:rsid w:val="00E3799D"/>
    <w:rsid w:val="00E37A13"/>
    <w:rsid w:val="00E37A8C"/>
    <w:rsid w:val="00E37C5D"/>
    <w:rsid w:val="00E37F68"/>
    <w:rsid w:val="00E40E7E"/>
    <w:rsid w:val="00E41C90"/>
    <w:rsid w:val="00E425AF"/>
    <w:rsid w:val="00E427C0"/>
    <w:rsid w:val="00E430DD"/>
    <w:rsid w:val="00E43584"/>
    <w:rsid w:val="00E43A2E"/>
    <w:rsid w:val="00E43D7C"/>
    <w:rsid w:val="00E43E00"/>
    <w:rsid w:val="00E444F6"/>
    <w:rsid w:val="00E44BC0"/>
    <w:rsid w:val="00E451A6"/>
    <w:rsid w:val="00E457B8"/>
    <w:rsid w:val="00E4676A"/>
    <w:rsid w:val="00E46A26"/>
    <w:rsid w:val="00E47703"/>
    <w:rsid w:val="00E50C95"/>
    <w:rsid w:val="00E50E79"/>
    <w:rsid w:val="00E51DD0"/>
    <w:rsid w:val="00E52B16"/>
    <w:rsid w:val="00E52E9B"/>
    <w:rsid w:val="00E5322B"/>
    <w:rsid w:val="00E532ED"/>
    <w:rsid w:val="00E5417D"/>
    <w:rsid w:val="00E54781"/>
    <w:rsid w:val="00E552A0"/>
    <w:rsid w:val="00E5530B"/>
    <w:rsid w:val="00E5542D"/>
    <w:rsid w:val="00E557E9"/>
    <w:rsid w:val="00E559CC"/>
    <w:rsid w:val="00E55C4F"/>
    <w:rsid w:val="00E55D7A"/>
    <w:rsid w:val="00E560BF"/>
    <w:rsid w:val="00E566DE"/>
    <w:rsid w:val="00E56F36"/>
    <w:rsid w:val="00E576D9"/>
    <w:rsid w:val="00E57EAA"/>
    <w:rsid w:val="00E60095"/>
    <w:rsid w:val="00E60251"/>
    <w:rsid w:val="00E606CE"/>
    <w:rsid w:val="00E60C61"/>
    <w:rsid w:val="00E61459"/>
    <w:rsid w:val="00E616C5"/>
    <w:rsid w:val="00E616D4"/>
    <w:rsid w:val="00E61703"/>
    <w:rsid w:val="00E618B8"/>
    <w:rsid w:val="00E61ED4"/>
    <w:rsid w:val="00E621F7"/>
    <w:rsid w:val="00E62766"/>
    <w:rsid w:val="00E62D5C"/>
    <w:rsid w:val="00E6300D"/>
    <w:rsid w:val="00E63120"/>
    <w:rsid w:val="00E632D5"/>
    <w:rsid w:val="00E6330B"/>
    <w:rsid w:val="00E63BB8"/>
    <w:rsid w:val="00E63D47"/>
    <w:rsid w:val="00E63D94"/>
    <w:rsid w:val="00E63FEF"/>
    <w:rsid w:val="00E641CA"/>
    <w:rsid w:val="00E641E4"/>
    <w:rsid w:val="00E6468A"/>
    <w:rsid w:val="00E64996"/>
    <w:rsid w:val="00E64AA6"/>
    <w:rsid w:val="00E64B86"/>
    <w:rsid w:val="00E65184"/>
    <w:rsid w:val="00E652B2"/>
    <w:rsid w:val="00E65A9F"/>
    <w:rsid w:val="00E65B71"/>
    <w:rsid w:val="00E66873"/>
    <w:rsid w:val="00E668E3"/>
    <w:rsid w:val="00E66B44"/>
    <w:rsid w:val="00E66FE8"/>
    <w:rsid w:val="00E6791D"/>
    <w:rsid w:val="00E67F3C"/>
    <w:rsid w:val="00E70C02"/>
    <w:rsid w:val="00E70C3B"/>
    <w:rsid w:val="00E71170"/>
    <w:rsid w:val="00E7154D"/>
    <w:rsid w:val="00E71646"/>
    <w:rsid w:val="00E719CC"/>
    <w:rsid w:val="00E725D2"/>
    <w:rsid w:val="00E72D67"/>
    <w:rsid w:val="00E72FA3"/>
    <w:rsid w:val="00E73426"/>
    <w:rsid w:val="00E736CD"/>
    <w:rsid w:val="00E738A6"/>
    <w:rsid w:val="00E7396F"/>
    <w:rsid w:val="00E73D02"/>
    <w:rsid w:val="00E73EC1"/>
    <w:rsid w:val="00E742BF"/>
    <w:rsid w:val="00E745A0"/>
    <w:rsid w:val="00E754A8"/>
    <w:rsid w:val="00E755B5"/>
    <w:rsid w:val="00E755E3"/>
    <w:rsid w:val="00E75A99"/>
    <w:rsid w:val="00E75AB4"/>
    <w:rsid w:val="00E75D61"/>
    <w:rsid w:val="00E76C1C"/>
    <w:rsid w:val="00E778AD"/>
    <w:rsid w:val="00E77CD4"/>
    <w:rsid w:val="00E8009A"/>
    <w:rsid w:val="00E803B0"/>
    <w:rsid w:val="00E80612"/>
    <w:rsid w:val="00E80840"/>
    <w:rsid w:val="00E80CBD"/>
    <w:rsid w:val="00E80DFB"/>
    <w:rsid w:val="00E80E49"/>
    <w:rsid w:val="00E8149C"/>
    <w:rsid w:val="00E8174D"/>
    <w:rsid w:val="00E81972"/>
    <w:rsid w:val="00E81B8F"/>
    <w:rsid w:val="00E81CF4"/>
    <w:rsid w:val="00E81FF9"/>
    <w:rsid w:val="00E82267"/>
    <w:rsid w:val="00E827AF"/>
    <w:rsid w:val="00E828E5"/>
    <w:rsid w:val="00E82967"/>
    <w:rsid w:val="00E82976"/>
    <w:rsid w:val="00E82D5B"/>
    <w:rsid w:val="00E8313F"/>
    <w:rsid w:val="00E831F0"/>
    <w:rsid w:val="00E832EF"/>
    <w:rsid w:val="00E838A0"/>
    <w:rsid w:val="00E83A1D"/>
    <w:rsid w:val="00E83AA3"/>
    <w:rsid w:val="00E83E71"/>
    <w:rsid w:val="00E8451B"/>
    <w:rsid w:val="00E85C8A"/>
    <w:rsid w:val="00E86B58"/>
    <w:rsid w:val="00E86E62"/>
    <w:rsid w:val="00E9065C"/>
    <w:rsid w:val="00E90858"/>
    <w:rsid w:val="00E908D0"/>
    <w:rsid w:val="00E90D3A"/>
    <w:rsid w:val="00E90FB0"/>
    <w:rsid w:val="00E9118D"/>
    <w:rsid w:val="00E919F0"/>
    <w:rsid w:val="00E92AFA"/>
    <w:rsid w:val="00E92C93"/>
    <w:rsid w:val="00E92CD3"/>
    <w:rsid w:val="00E92E99"/>
    <w:rsid w:val="00E9300C"/>
    <w:rsid w:val="00E9365D"/>
    <w:rsid w:val="00E937B3"/>
    <w:rsid w:val="00E94035"/>
    <w:rsid w:val="00E9413C"/>
    <w:rsid w:val="00E95EB5"/>
    <w:rsid w:val="00E96265"/>
    <w:rsid w:val="00E96582"/>
    <w:rsid w:val="00E96C5A"/>
    <w:rsid w:val="00E96F37"/>
    <w:rsid w:val="00E97469"/>
    <w:rsid w:val="00E9754F"/>
    <w:rsid w:val="00EA005A"/>
    <w:rsid w:val="00EA0628"/>
    <w:rsid w:val="00EA06CF"/>
    <w:rsid w:val="00EA080E"/>
    <w:rsid w:val="00EA0BAD"/>
    <w:rsid w:val="00EA0BEE"/>
    <w:rsid w:val="00EA1CD4"/>
    <w:rsid w:val="00EA1D03"/>
    <w:rsid w:val="00EA216C"/>
    <w:rsid w:val="00EA242C"/>
    <w:rsid w:val="00EA2720"/>
    <w:rsid w:val="00EA2CD2"/>
    <w:rsid w:val="00EA2E23"/>
    <w:rsid w:val="00EA2F90"/>
    <w:rsid w:val="00EA3356"/>
    <w:rsid w:val="00EA34E4"/>
    <w:rsid w:val="00EA3B82"/>
    <w:rsid w:val="00EA40FE"/>
    <w:rsid w:val="00EA4A92"/>
    <w:rsid w:val="00EA5235"/>
    <w:rsid w:val="00EA53A9"/>
    <w:rsid w:val="00EA53BB"/>
    <w:rsid w:val="00EA5A2C"/>
    <w:rsid w:val="00EA5A81"/>
    <w:rsid w:val="00EA6973"/>
    <w:rsid w:val="00EA754A"/>
    <w:rsid w:val="00EA76FD"/>
    <w:rsid w:val="00EA7F3F"/>
    <w:rsid w:val="00EB0D1A"/>
    <w:rsid w:val="00EB10A6"/>
    <w:rsid w:val="00EB1379"/>
    <w:rsid w:val="00EB1749"/>
    <w:rsid w:val="00EB1B49"/>
    <w:rsid w:val="00EB1D30"/>
    <w:rsid w:val="00EB1E20"/>
    <w:rsid w:val="00EB25B6"/>
    <w:rsid w:val="00EB35CC"/>
    <w:rsid w:val="00EB35D3"/>
    <w:rsid w:val="00EB37F4"/>
    <w:rsid w:val="00EB37F9"/>
    <w:rsid w:val="00EB3D05"/>
    <w:rsid w:val="00EB438C"/>
    <w:rsid w:val="00EB47FB"/>
    <w:rsid w:val="00EB4D01"/>
    <w:rsid w:val="00EB52E9"/>
    <w:rsid w:val="00EB558D"/>
    <w:rsid w:val="00EB5AB8"/>
    <w:rsid w:val="00EB5C6C"/>
    <w:rsid w:val="00EB6CF2"/>
    <w:rsid w:val="00EB6DD6"/>
    <w:rsid w:val="00EB7038"/>
    <w:rsid w:val="00EB70CC"/>
    <w:rsid w:val="00EB741B"/>
    <w:rsid w:val="00EB744F"/>
    <w:rsid w:val="00EB78F5"/>
    <w:rsid w:val="00EB7DD1"/>
    <w:rsid w:val="00EB7F9B"/>
    <w:rsid w:val="00EC0C5C"/>
    <w:rsid w:val="00EC1340"/>
    <w:rsid w:val="00EC1682"/>
    <w:rsid w:val="00EC1696"/>
    <w:rsid w:val="00EC1756"/>
    <w:rsid w:val="00EC2206"/>
    <w:rsid w:val="00EC26EE"/>
    <w:rsid w:val="00EC4530"/>
    <w:rsid w:val="00EC49D8"/>
    <w:rsid w:val="00EC4B9F"/>
    <w:rsid w:val="00EC4C0E"/>
    <w:rsid w:val="00EC5349"/>
    <w:rsid w:val="00EC5482"/>
    <w:rsid w:val="00EC56A2"/>
    <w:rsid w:val="00EC57E4"/>
    <w:rsid w:val="00EC5B83"/>
    <w:rsid w:val="00EC5D69"/>
    <w:rsid w:val="00EC6838"/>
    <w:rsid w:val="00EC70B1"/>
    <w:rsid w:val="00EC76A2"/>
    <w:rsid w:val="00ED016C"/>
    <w:rsid w:val="00ED050C"/>
    <w:rsid w:val="00ED0664"/>
    <w:rsid w:val="00ED0A53"/>
    <w:rsid w:val="00ED0F2D"/>
    <w:rsid w:val="00ED20A0"/>
    <w:rsid w:val="00ED2361"/>
    <w:rsid w:val="00ED2D99"/>
    <w:rsid w:val="00ED3083"/>
    <w:rsid w:val="00ED3386"/>
    <w:rsid w:val="00ED34EC"/>
    <w:rsid w:val="00ED36CC"/>
    <w:rsid w:val="00ED3C08"/>
    <w:rsid w:val="00ED3EF6"/>
    <w:rsid w:val="00ED5978"/>
    <w:rsid w:val="00ED597B"/>
    <w:rsid w:val="00ED5CC7"/>
    <w:rsid w:val="00ED66B6"/>
    <w:rsid w:val="00ED69CD"/>
    <w:rsid w:val="00ED69E6"/>
    <w:rsid w:val="00ED763C"/>
    <w:rsid w:val="00ED7CCE"/>
    <w:rsid w:val="00EE08CE"/>
    <w:rsid w:val="00EE11CA"/>
    <w:rsid w:val="00EE137C"/>
    <w:rsid w:val="00EE154B"/>
    <w:rsid w:val="00EE1567"/>
    <w:rsid w:val="00EE1893"/>
    <w:rsid w:val="00EE1E31"/>
    <w:rsid w:val="00EE24F1"/>
    <w:rsid w:val="00EE27A0"/>
    <w:rsid w:val="00EE2A4B"/>
    <w:rsid w:val="00EE335F"/>
    <w:rsid w:val="00EE3619"/>
    <w:rsid w:val="00EE3870"/>
    <w:rsid w:val="00EE3923"/>
    <w:rsid w:val="00EE3B85"/>
    <w:rsid w:val="00EE4A71"/>
    <w:rsid w:val="00EE5857"/>
    <w:rsid w:val="00EE696E"/>
    <w:rsid w:val="00EE6B40"/>
    <w:rsid w:val="00EE6C1E"/>
    <w:rsid w:val="00EE78D2"/>
    <w:rsid w:val="00EE7D60"/>
    <w:rsid w:val="00EE7E85"/>
    <w:rsid w:val="00EF039A"/>
    <w:rsid w:val="00EF06E6"/>
    <w:rsid w:val="00EF0D71"/>
    <w:rsid w:val="00EF0E3C"/>
    <w:rsid w:val="00EF1147"/>
    <w:rsid w:val="00EF1179"/>
    <w:rsid w:val="00EF16EA"/>
    <w:rsid w:val="00EF1759"/>
    <w:rsid w:val="00EF198F"/>
    <w:rsid w:val="00EF2186"/>
    <w:rsid w:val="00EF256E"/>
    <w:rsid w:val="00EF27EC"/>
    <w:rsid w:val="00EF3249"/>
    <w:rsid w:val="00EF3399"/>
    <w:rsid w:val="00EF36A4"/>
    <w:rsid w:val="00EF3E03"/>
    <w:rsid w:val="00EF3F09"/>
    <w:rsid w:val="00EF43FE"/>
    <w:rsid w:val="00EF44C1"/>
    <w:rsid w:val="00EF4758"/>
    <w:rsid w:val="00EF49F5"/>
    <w:rsid w:val="00EF5401"/>
    <w:rsid w:val="00EF55F7"/>
    <w:rsid w:val="00EF5AE9"/>
    <w:rsid w:val="00EF66D3"/>
    <w:rsid w:val="00EF6E3B"/>
    <w:rsid w:val="00EF6F67"/>
    <w:rsid w:val="00F00BEE"/>
    <w:rsid w:val="00F00F86"/>
    <w:rsid w:val="00F01430"/>
    <w:rsid w:val="00F017E1"/>
    <w:rsid w:val="00F01A40"/>
    <w:rsid w:val="00F01EEC"/>
    <w:rsid w:val="00F020DD"/>
    <w:rsid w:val="00F0231F"/>
    <w:rsid w:val="00F029B5"/>
    <w:rsid w:val="00F02D7D"/>
    <w:rsid w:val="00F03910"/>
    <w:rsid w:val="00F03950"/>
    <w:rsid w:val="00F03BB1"/>
    <w:rsid w:val="00F040CD"/>
    <w:rsid w:val="00F04C5C"/>
    <w:rsid w:val="00F05021"/>
    <w:rsid w:val="00F05233"/>
    <w:rsid w:val="00F057F2"/>
    <w:rsid w:val="00F06030"/>
    <w:rsid w:val="00F0668A"/>
    <w:rsid w:val="00F06D30"/>
    <w:rsid w:val="00F06E15"/>
    <w:rsid w:val="00F07D84"/>
    <w:rsid w:val="00F07D91"/>
    <w:rsid w:val="00F101C2"/>
    <w:rsid w:val="00F104AF"/>
    <w:rsid w:val="00F10798"/>
    <w:rsid w:val="00F1245A"/>
    <w:rsid w:val="00F12696"/>
    <w:rsid w:val="00F12881"/>
    <w:rsid w:val="00F12A36"/>
    <w:rsid w:val="00F13A4B"/>
    <w:rsid w:val="00F14489"/>
    <w:rsid w:val="00F1464B"/>
    <w:rsid w:val="00F14840"/>
    <w:rsid w:val="00F14DF1"/>
    <w:rsid w:val="00F1581A"/>
    <w:rsid w:val="00F173F9"/>
    <w:rsid w:val="00F17526"/>
    <w:rsid w:val="00F205F4"/>
    <w:rsid w:val="00F20662"/>
    <w:rsid w:val="00F215D0"/>
    <w:rsid w:val="00F22284"/>
    <w:rsid w:val="00F230C0"/>
    <w:rsid w:val="00F235B9"/>
    <w:rsid w:val="00F237D9"/>
    <w:rsid w:val="00F23A39"/>
    <w:rsid w:val="00F23AD1"/>
    <w:rsid w:val="00F23AF2"/>
    <w:rsid w:val="00F23B1A"/>
    <w:rsid w:val="00F23B4A"/>
    <w:rsid w:val="00F24353"/>
    <w:rsid w:val="00F246B4"/>
    <w:rsid w:val="00F2477A"/>
    <w:rsid w:val="00F24E16"/>
    <w:rsid w:val="00F25406"/>
    <w:rsid w:val="00F25409"/>
    <w:rsid w:val="00F2555B"/>
    <w:rsid w:val="00F256EE"/>
    <w:rsid w:val="00F257A7"/>
    <w:rsid w:val="00F25818"/>
    <w:rsid w:val="00F25C96"/>
    <w:rsid w:val="00F2674B"/>
    <w:rsid w:val="00F26E32"/>
    <w:rsid w:val="00F271DC"/>
    <w:rsid w:val="00F278C4"/>
    <w:rsid w:val="00F27C5C"/>
    <w:rsid w:val="00F31D99"/>
    <w:rsid w:val="00F3237B"/>
    <w:rsid w:val="00F330D6"/>
    <w:rsid w:val="00F33291"/>
    <w:rsid w:val="00F33499"/>
    <w:rsid w:val="00F3440B"/>
    <w:rsid w:val="00F34662"/>
    <w:rsid w:val="00F346BD"/>
    <w:rsid w:val="00F349DE"/>
    <w:rsid w:val="00F35174"/>
    <w:rsid w:val="00F35396"/>
    <w:rsid w:val="00F3558B"/>
    <w:rsid w:val="00F35618"/>
    <w:rsid w:val="00F357DF"/>
    <w:rsid w:val="00F35BAB"/>
    <w:rsid w:val="00F35C94"/>
    <w:rsid w:val="00F35D18"/>
    <w:rsid w:val="00F3601E"/>
    <w:rsid w:val="00F36179"/>
    <w:rsid w:val="00F36676"/>
    <w:rsid w:val="00F3690F"/>
    <w:rsid w:val="00F36A9E"/>
    <w:rsid w:val="00F36C51"/>
    <w:rsid w:val="00F36EEE"/>
    <w:rsid w:val="00F36F47"/>
    <w:rsid w:val="00F372E3"/>
    <w:rsid w:val="00F37595"/>
    <w:rsid w:val="00F37777"/>
    <w:rsid w:val="00F405E5"/>
    <w:rsid w:val="00F40D54"/>
    <w:rsid w:val="00F40E68"/>
    <w:rsid w:val="00F41456"/>
    <w:rsid w:val="00F414B4"/>
    <w:rsid w:val="00F41777"/>
    <w:rsid w:val="00F41EEB"/>
    <w:rsid w:val="00F41F4C"/>
    <w:rsid w:val="00F423CF"/>
    <w:rsid w:val="00F424EC"/>
    <w:rsid w:val="00F42C4E"/>
    <w:rsid w:val="00F4330B"/>
    <w:rsid w:val="00F43A2C"/>
    <w:rsid w:val="00F43B9A"/>
    <w:rsid w:val="00F44096"/>
    <w:rsid w:val="00F4410C"/>
    <w:rsid w:val="00F44BCC"/>
    <w:rsid w:val="00F44CD9"/>
    <w:rsid w:val="00F45142"/>
    <w:rsid w:val="00F45456"/>
    <w:rsid w:val="00F460AF"/>
    <w:rsid w:val="00F464B7"/>
    <w:rsid w:val="00F46591"/>
    <w:rsid w:val="00F467EC"/>
    <w:rsid w:val="00F46D2B"/>
    <w:rsid w:val="00F46E0F"/>
    <w:rsid w:val="00F46EEE"/>
    <w:rsid w:val="00F474DF"/>
    <w:rsid w:val="00F474E9"/>
    <w:rsid w:val="00F47720"/>
    <w:rsid w:val="00F477AA"/>
    <w:rsid w:val="00F505E2"/>
    <w:rsid w:val="00F508E2"/>
    <w:rsid w:val="00F5120F"/>
    <w:rsid w:val="00F5167B"/>
    <w:rsid w:val="00F51B13"/>
    <w:rsid w:val="00F52619"/>
    <w:rsid w:val="00F5289F"/>
    <w:rsid w:val="00F5308E"/>
    <w:rsid w:val="00F530A7"/>
    <w:rsid w:val="00F53407"/>
    <w:rsid w:val="00F53A54"/>
    <w:rsid w:val="00F53A5B"/>
    <w:rsid w:val="00F5448F"/>
    <w:rsid w:val="00F55823"/>
    <w:rsid w:val="00F559A0"/>
    <w:rsid w:val="00F55D6A"/>
    <w:rsid w:val="00F55E4B"/>
    <w:rsid w:val="00F56751"/>
    <w:rsid w:val="00F5711E"/>
    <w:rsid w:val="00F572FC"/>
    <w:rsid w:val="00F5755C"/>
    <w:rsid w:val="00F5773F"/>
    <w:rsid w:val="00F57FEE"/>
    <w:rsid w:val="00F603DA"/>
    <w:rsid w:val="00F605C6"/>
    <w:rsid w:val="00F611F2"/>
    <w:rsid w:val="00F6167C"/>
    <w:rsid w:val="00F61771"/>
    <w:rsid w:val="00F61830"/>
    <w:rsid w:val="00F61F3A"/>
    <w:rsid w:val="00F6207C"/>
    <w:rsid w:val="00F62B11"/>
    <w:rsid w:val="00F62E54"/>
    <w:rsid w:val="00F6313A"/>
    <w:rsid w:val="00F631A9"/>
    <w:rsid w:val="00F649D3"/>
    <w:rsid w:val="00F64A94"/>
    <w:rsid w:val="00F64CAE"/>
    <w:rsid w:val="00F64CF3"/>
    <w:rsid w:val="00F64E72"/>
    <w:rsid w:val="00F64E8B"/>
    <w:rsid w:val="00F64F94"/>
    <w:rsid w:val="00F6504C"/>
    <w:rsid w:val="00F6571F"/>
    <w:rsid w:val="00F65734"/>
    <w:rsid w:val="00F65ECA"/>
    <w:rsid w:val="00F664B3"/>
    <w:rsid w:val="00F668C1"/>
    <w:rsid w:val="00F66C5A"/>
    <w:rsid w:val="00F66E0D"/>
    <w:rsid w:val="00F67021"/>
    <w:rsid w:val="00F673F9"/>
    <w:rsid w:val="00F675E9"/>
    <w:rsid w:val="00F67F43"/>
    <w:rsid w:val="00F70243"/>
    <w:rsid w:val="00F705FF"/>
    <w:rsid w:val="00F70948"/>
    <w:rsid w:val="00F71374"/>
    <w:rsid w:val="00F71A1C"/>
    <w:rsid w:val="00F72178"/>
    <w:rsid w:val="00F72286"/>
    <w:rsid w:val="00F723CC"/>
    <w:rsid w:val="00F73E0B"/>
    <w:rsid w:val="00F743C2"/>
    <w:rsid w:val="00F7573F"/>
    <w:rsid w:val="00F7575E"/>
    <w:rsid w:val="00F758FF"/>
    <w:rsid w:val="00F75F1D"/>
    <w:rsid w:val="00F75F46"/>
    <w:rsid w:val="00F768C7"/>
    <w:rsid w:val="00F76CB1"/>
    <w:rsid w:val="00F76DDE"/>
    <w:rsid w:val="00F778A4"/>
    <w:rsid w:val="00F77AF6"/>
    <w:rsid w:val="00F80B96"/>
    <w:rsid w:val="00F812AC"/>
    <w:rsid w:val="00F8147A"/>
    <w:rsid w:val="00F814DB"/>
    <w:rsid w:val="00F81C38"/>
    <w:rsid w:val="00F81EDE"/>
    <w:rsid w:val="00F8203F"/>
    <w:rsid w:val="00F8237D"/>
    <w:rsid w:val="00F82692"/>
    <w:rsid w:val="00F82774"/>
    <w:rsid w:val="00F83105"/>
    <w:rsid w:val="00F835F5"/>
    <w:rsid w:val="00F83B95"/>
    <w:rsid w:val="00F83C3A"/>
    <w:rsid w:val="00F83D9A"/>
    <w:rsid w:val="00F83FC2"/>
    <w:rsid w:val="00F8442B"/>
    <w:rsid w:val="00F84AF6"/>
    <w:rsid w:val="00F84DD3"/>
    <w:rsid w:val="00F85499"/>
    <w:rsid w:val="00F864A0"/>
    <w:rsid w:val="00F86668"/>
    <w:rsid w:val="00F86A83"/>
    <w:rsid w:val="00F86AD0"/>
    <w:rsid w:val="00F872E6"/>
    <w:rsid w:val="00F87500"/>
    <w:rsid w:val="00F87870"/>
    <w:rsid w:val="00F90096"/>
    <w:rsid w:val="00F90710"/>
    <w:rsid w:val="00F908DD"/>
    <w:rsid w:val="00F90950"/>
    <w:rsid w:val="00F90B5A"/>
    <w:rsid w:val="00F90CA0"/>
    <w:rsid w:val="00F91443"/>
    <w:rsid w:val="00F91E23"/>
    <w:rsid w:val="00F92B8F"/>
    <w:rsid w:val="00F9341E"/>
    <w:rsid w:val="00F93518"/>
    <w:rsid w:val="00F93A70"/>
    <w:rsid w:val="00F93F58"/>
    <w:rsid w:val="00F94261"/>
    <w:rsid w:val="00F94731"/>
    <w:rsid w:val="00F94C04"/>
    <w:rsid w:val="00F94C82"/>
    <w:rsid w:val="00F94C84"/>
    <w:rsid w:val="00F94D45"/>
    <w:rsid w:val="00F94F9C"/>
    <w:rsid w:val="00F95A0E"/>
    <w:rsid w:val="00F95C39"/>
    <w:rsid w:val="00F95DCA"/>
    <w:rsid w:val="00F965B2"/>
    <w:rsid w:val="00F96C26"/>
    <w:rsid w:val="00F96E38"/>
    <w:rsid w:val="00F97141"/>
    <w:rsid w:val="00F97552"/>
    <w:rsid w:val="00F977F7"/>
    <w:rsid w:val="00F979AF"/>
    <w:rsid w:val="00F97B0B"/>
    <w:rsid w:val="00FA0058"/>
    <w:rsid w:val="00FA007E"/>
    <w:rsid w:val="00FA062D"/>
    <w:rsid w:val="00FA0A82"/>
    <w:rsid w:val="00FA1436"/>
    <w:rsid w:val="00FA1636"/>
    <w:rsid w:val="00FA19E0"/>
    <w:rsid w:val="00FA1A60"/>
    <w:rsid w:val="00FA1C80"/>
    <w:rsid w:val="00FA1FCB"/>
    <w:rsid w:val="00FA2146"/>
    <w:rsid w:val="00FA24C2"/>
    <w:rsid w:val="00FA261C"/>
    <w:rsid w:val="00FA2D2E"/>
    <w:rsid w:val="00FA2DFF"/>
    <w:rsid w:val="00FA36BA"/>
    <w:rsid w:val="00FA3CB6"/>
    <w:rsid w:val="00FA4FFC"/>
    <w:rsid w:val="00FA52FF"/>
    <w:rsid w:val="00FA5A94"/>
    <w:rsid w:val="00FA5C01"/>
    <w:rsid w:val="00FA5F91"/>
    <w:rsid w:val="00FA6068"/>
    <w:rsid w:val="00FA6A3A"/>
    <w:rsid w:val="00FA6E80"/>
    <w:rsid w:val="00FB032C"/>
    <w:rsid w:val="00FB03CF"/>
    <w:rsid w:val="00FB0D61"/>
    <w:rsid w:val="00FB0D7D"/>
    <w:rsid w:val="00FB0F3A"/>
    <w:rsid w:val="00FB1166"/>
    <w:rsid w:val="00FB12CF"/>
    <w:rsid w:val="00FB14E6"/>
    <w:rsid w:val="00FB1F9F"/>
    <w:rsid w:val="00FB281F"/>
    <w:rsid w:val="00FB2E0A"/>
    <w:rsid w:val="00FB38F5"/>
    <w:rsid w:val="00FB3988"/>
    <w:rsid w:val="00FB3B14"/>
    <w:rsid w:val="00FB3B5E"/>
    <w:rsid w:val="00FB4AC5"/>
    <w:rsid w:val="00FB5623"/>
    <w:rsid w:val="00FB5D96"/>
    <w:rsid w:val="00FB6056"/>
    <w:rsid w:val="00FB663B"/>
    <w:rsid w:val="00FB7297"/>
    <w:rsid w:val="00FB7592"/>
    <w:rsid w:val="00FB77B8"/>
    <w:rsid w:val="00FB77C2"/>
    <w:rsid w:val="00FB77D1"/>
    <w:rsid w:val="00FB78FC"/>
    <w:rsid w:val="00FB7B8B"/>
    <w:rsid w:val="00FB7F84"/>
    <w:rsid w:val="00FB7FEC"/>
    <w:rsid w:val="00FC031F"/>
    <w:rsid w:val="00FC0BFD"/>
    <w:rsid w:val="00FC0D89"/>
    <w:rsid w:val="00FC1647"/>
    <w:rsid w:val="00FC1892"/>
    <w:rsid w:val="00FC1999"/>
    <w:rsid w:val="00FC19D9"/>
    <w:rsid w:val="00FC1A49"/>
    <w:rsid w:val="00FC1A98"/>
    <w:rsid w:val="00FC1ECD"/>
    <w:rsid w:val="00FC1F96"/>
    <w:rsid w:val="00FC2A45"/>
    <w:rsid w:val="00FC2E02"/>
    <w:rsid w:val="00FC2F27"/>
    <w:rsid w:val="00FC3BB7"/>
    <w:rsid w:val="00FC3E7B"/>
    <w:rsid w:val="00FC414F"/>
    <w:rsid w:val="00FC4191"/>
    <w:rsid w:val="00FC4735"/>
    <w:rsid w:val="00FC48CA"/>
    <w:rsid w:val="00FC4B08"/>
    <w:rsid w:val="00FC4B27"/>
    <w:rsid w:val="00FC4F53"/>
    <w:rsid w:val="00FC4F65"/>
    <w:rsid w:val="00FC4FA0"/>
    <w:rsid w:val="00FC5003"/>
    <w:rsid w:val="00FC512A"/>
    <w:rsid w:val="00FC54D4"/>
    <w:rsid w:val="00FC5755"/>
    <w:rsid w:val="00FC5B14"/>
    <w:rsid w:val="00FC6155"/>
    <w:rsid w:val="00FC6713"/>
    <w:rsid w:val="00FC68B8"/>
    <w:rsid w:val="00FC6E8C"/>
    <w:rsid w:val="00FC6F35"/>
    <w:rsid w:val="00FC769A"/>
    <w:rsid w:val="00FC7F6A"/>
    <w:rsid w:val="00FD0B90"/>
    <w:rsid w:val="00FD0BAA"/>
    <w:rsid w:val="00FD0D54"/>
    <w:rsid w:val="00FD0DDD"/>
    <w:rsid w:val="00FD109B"/>
    <w:rsid w:val="00FD12B4"/>
    <w:rsid w:val="00FD1DDE"/>
    <w:rsid w:val="00FD2006"/>
    <w:rsid w:val="00FD288A"/>
    <w:rsid w:val="00FD28E4"/>
    <w:rsid w:val="00FD2982"/>
    <w:rsid w:val="00FD2DF2"/>
    <w:rsid w:val="00FD30A5"/>
    <w:rsid w:val="00FD3993"/>
    <w:rsid w:val="00FD3EF0"/>
    <w:rsid w:val="00FD41FE"/>
    <w:rsid w:val="00FD4587"/>
    <w:rsid w:val="00FD4B72"/>
    <w:rsid w:val="00FD5334"/>
    <w:rsid w:val="00FD6494"/>
    <w:rsid w:val="00FD6966"/>
    <w:rsid w:val="00FD7122"/>
    <w:rsid w:val="00FD76FB"/>
    <w:rsid w:val="00FD773B"/>
    <w:rsid w:val="00FD7AF7"/>
    <w:rsid w:val="00FD7DB5"/>
    <w:rsid w:val="00FE036B"/>
    <w:rsid w:val="00FE03B3"/>
    <w:rsid w:val="00FE0681"/>
    <w:rsid w:val="00FE072B"/>
    <w:rsid w:val="00FE0AD9"/>
    <w:rsid w:val="00FE0DF5"/>
    <w:rsid w:val="00FE14D9"/>
    <w:rsid w:val="00FE15F3"/>
    <w:rsid w:val="00FE1B04"/>
    <w:rsid w:val="00FE1BAE"/>
    <w:rsid w:val="00FE28B5"/>
    <w:rsid w:val="00FE3003"/>
    <w:rsid w:val="00FE3057"/>
    <w:rsid w:val="00FE30C6"/>
    <w:rsid w:val="00FE3393"/>
    <w:rsid w:val="00FE34D7"/>
    <w:rsid w:val="00FE354B"/>
    <w:rsid w:val="00FE362D"/>
    <w:rsid w:val="00FE3692"/>
    <w:rsid w:val="00FE3E5F"/>
    <w:rsid w:val="00FE48F5"/>
    <w:rsid w:val="00FE4C7B"/>
    <w:rsid w:val="00FE4FFD"/>
    <w:rsid w:val="00FE5165"/>
    <w:rsid w:val="00FE51F9"/>
    <w:rsid w:val="00FE523F"/>
    <w:rsid w:val="00FE5A79"/>
    <w:rsid w:val="00FE5E0D"/>
    <w:rsid w:val="00FE619E"/>
    <w:rsid w:val="00FE64ED"/>
    <w:rsid w:val="00FE6EEE"/>
    <w:rsid w:val="00FE6EFE"/>
    <w:rsid w:val="00FE7BD8"/>
    <w:rsid w:val="00FE7FAE"/>
    <w:rsid w:val="00FF07B3"/>
    <w:rsid w:val="00FF0D8A"/>
    <w:rsid w:val="00FF0F44"/>
    <w:rsid w:val="00FF0F95"/>
    <w:rsid w:val="00FF110F"/>
    <w:rsid w:val="00FF15B2"/>
    <w:rsid w:val="00FF19E6"/>
    <w:rsid w:val="00FF1BE4"/>
    <w:rsid w:val="00FF2588"/>
    <w:rsid w:val="00FF2712"/>
    <w:rsid w:val="00FF2CEC"/>
    <w:rsid w:val="00FF33BF"/>
    <w:rsid w:val="00FF3898"/>
    <w:rsid w:val="00FF39CC"/>
    <w:rsid w:val="00FF3B7A"/>
    <w:rsid w:val="00FF3B9D"/>
    <w:rsid w:val="00FF3C55"/>
    <w:rsid w:val="00FF4401"/>
    <w:rsid w:val="00FF4AAA"/>
    <w:rsid w:val="00FF4AE9"/>
    <w:rsid w:val="00FF4E18"/>
    <w:rsid w:val="00FF61D5"/>
    <w:rsid w:val="00FF6285"/>
    <w:rsid w:val="00FF6747"/>
    <w:rsid w:val="00FF69BD"/>
    <w:rsid w:val="00FF6CE3"/>
    <w:rsid w:val="00FF6F7F"/>
    <w:rsid w:val="00FF6FC0"/>
    <w:rsid w:val="00FF70CE"/>
    <w:rsid w:val="00FF773A"/>
    <w:rsid w:val="00FF789B"/>
    <w:rsid w:val="00FF78F1"/>
    <w:rsid w:val="00FF79EE"/>
    <w:rsid w:val="00FF7A27"/>
    <w:rsid w:val="06EB17D3"/>
    <w:rsid w:val="0F5B1397"/>
    <w:rsid w:val="16142596"/>
    <w:rsid w:val="17B61EF8"/>
    <w:rsid w:val="38AC7189"/>
    <w:rsid w:val="4BD421E9"/>
    <w:rsid w:val="59A06542"/>
    <w:rsid w:val="64837594"/>
    <w:rsid w:val="68197EDE"/>
    <w:rsid w:val="7A35555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t" stroke="t">
      <v:fill type="gradient" on="t" angle="90" focussize="0f,0f" focusposition="0f,0f">
        <o:fill type="gradientUnscaled" v:ext="backwardCompatible"/>
      </v:fill>
      <v:stroke weight="1.25pt" color="#739CC3"/>
    </o:shapedefaults>
    <o:shapelayout v:ext="edit">
      <o:idmap v:ext="edit" data="1"/>
      <o:rules v:ext="edit">
        <o:r id="V:Rule1" type="connector" idref="#_x0000_s1043"/>
        <o:r id="V:Rule2" type="connector" idref="#_x0000_s1044"/>
        <o:r id="V:Rule3" type="connector" idref="#_x0000_s1045"/>
        <o:r id="V:Rule4" type="connector" idref="#_x0000_s1046"/>
        <o:r id="V:Rule5" type="connector" idref="#_x0000_s1047"/>
        <o:r id="V:Rule6" type="connector" idref="#_x0000_s1048"/>
        <o:r id="V:Rule7" type="connector" idref="#_x0000_s1049"/>
        <o:r id="V:Rule8" type="connector" idref="#_x0000_s1050"/>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Calibr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ocked="1"/>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nhideWhenUsed="0" w:uiPriority="0" w:semiHidden="0" w:name="caption"/>
    <w:lsdException w:qFormat="1" w:unhideWhenUsed="0" w:uiPriority="0" w:semiHidden="0" w:name="table of figures"/>
    <w:lsdException w:unhideWhenUsed="0" w:uiPriority="0" w:semiHidden="0" w:name="envelope address"/>
    <w:lsdException w:unhideWhenUsed="0" w:uiPriority="0" w:semiHidden="0" w:name="envelope return"/>
    <w:lsdException w:qFormat="1" w:unhideWhenUsed="0" w:uiPriority="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unhideWhenUsed="0" w:uiPriority="0" w:semiHidden="0" w:name="Title" w:locked="1"/>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ocked="1"/>
    <w:lsdException w:unhideWhenUsed="0" w:uiPriority="0" w:semiHidden="0" w:name="Salutation"/>
    <w:lsdException w:qFormat="1" w:unhideWhenUsed="0" w:uiPriority="0" w:semiHidden="0" w:name="Date" w:locked="1"/>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ocked="1"/>
    <w:lsdException w:unhideWhenUsed="0" w:uiPriority="0" w:semiHidden="0" w:name="Body Text 3" w:locked="1"/>
    <w:lsdException w:unhideWhenUsed="0" w:uiPriority="0" w:semiHidden="0" w:name="Body Text Indent 2" w:locked="1"/>
    <w:lsdException w:qFormat="1" w:unhideWhenUsed="0" w:uiPriority="0" w:semiHidden="0" w:name="Body Text Indent 3"/>
    <w:lsdException w:unhideWhenUsed="0" w:uiPriority="0" w:semiHidden="0" w:name="Block Text"/>
    <w:lsdException w:qFormat="1" w:unhideWhenUsed="0" w:uiPriority="99" w:semiHidden="0" w:name="Hyperlink"/>
    <w:lsdException w:qFormat="1" w:unhideWhenUsed="0" w:uiPriority="99" w:semiHidden="0" w:name="FollowedHyperlink"/>
    <w:lsdException w:unhideWhenUsed="0" w:uiPriority="0" w:semiHidden="0" w:name="Strong" w:locked="1"/>
    <w:lsdException w:qFormat="1" w:unhideWhenUsed="0" w:uiPriority="20" w:semiHidden="0" w:name="Emphasis" w:locked="1"/>
    <w:lsdException w:qFormat="1" w:unhideWhenUsed="0" w:uiPriority="0" w:semiHidden="0" w:name="Document Map"/>
    <w:lsdException w:qFormat="1" w:unhideWhenUsed="0" w:uiPriority="99"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topLinePunct/>
      <w:adjustRightInd w:val="0"/>
      <w:snapToGrid w:val="0"/>
      <w:spacing w:line="360" w:lineRule="auto"/>
      <w:ind w:firstLine="200" w:firstLineChars="200"/>
      <w:jc w:val="both"/>
    </w:pPr>
    <w:rPr>
      <w:rFonts w:ascii="Times New Roman" w:hAnsi="Times New Roman" w:eastAsia="仿宋" w:cs="Times New Roman"/>
      <w:sz w:val="24"/>
      <w:szCs w:val="24"/>
      <w:lang w:val="en-US" w:eastAsia="zh-CN" w:bidi="ar-SA"/>
    </w:rPr>
  </w:style>
  <w:style w:type="paragraph" w:styleId="2">
    <w:name w:val="heading 1"/>
    <w:basedOn w:val="1"/>
    <w:next w:val="1"/>
    <w:link w:val="52"/>
    <w:qFormat/>
    <w:uiPriority w:val="0"/>
    <w:pPr>
      <w:keepNext/>
      <w:keepLines/>
      <w:pageBreakBefore/>
      <w:tabs>
        <w:tab w:val="left" w:pos="432"/>
      </w:tabs>
      <w:ind w:firstLine="0" w:firstLineChars="0"/>
      <w:jc w:val="left"/>
      <w:outlineLvl w:val="0"/>
    </w:pPr>
    <w:rPr>
      <w:b/>
      <w:bCs/>
      <w:sz w:val="32"/>
      <w:szCs w:val="32"/>
    </w:rPr>
  </w:style>
  <w:style w:type="paragraph" w:styleId="3">
    <w:name w:val="heading 2"/>
    <w:basedOn w:val="1"/>
    <w:next w:val="1"/>
    <w:link w:val="51"/>
    <w:qFormat/>
    <w:uiPriority w:val="0"/>
    <w:pPr>
      <w:keepNext/>
      <w:keepLines/>
      <w:tabs>
        <w:tab w:val="left" w:pos="432"/>
        <w:tab w:val="left" w:pos="1002"/>
      </w:tabs>
      <w:ind w:firstLine="0" w:firstLineChars="0"/>
      <w:jc w:val="left"/>
      <w:outlineLvl w:val="1"/>
    </w:pPr>
    <w:rPr>
      <w:b/>
      <w:bCs/>
      <w:sz w:val="30"/>
      <w:szCs w:val="30"/>
    </w:rPr>
  </w:style>
  <w:style w:type="paragraph" w:styleId="4">
    <w:name w:val="heading 3"/>
    <w:basedOn w:val="1"/>
    <w:next w:val="1"/>
    <w:link w:val="53"/>
    <w:qFormat/>
    <w:uiPriority w:val="0"/>
    <w:pPr>
      <w:keepNext/>
      <w:tabs>
        <w:tab w:val="left" w:pos="432"/>
        <w:tab w:val="left" w:pos="960"/>
      </w:tabs>
      <w:kinsoku w:val="0"/>
      <w:overflowPunct w:val="0"/>
      <w:autoSpaceDE w:val="0"/>
      <w:autoSpaceDN w:val="0"/>
      <w:ind w:firstLine="0" w:firstLineChars="0"/>
      <w:jc w:val="left"/>
      <w:outlineLvl w:val="2"/>
    </w:pPr>
    <w:rPr>
      <w:b/>
      <w:bCs/>
      <w:sz w:val="28"/>
      <w:szCs w:val="28"/>
    </w:rPr>
  </w:style>
  <w:style w:type="paragraph" w:styleId="5">
    <w:name w:val="heading 4"/>
    <w:basedOn w:val="1"/>
    <w:next w:val="1"/>
    <w:link w:val="49"/>
    <w:qFormat/>
    <w:uiPriority w:val="0"/>
    <w:pPr>
      <w:keepNext/>
      <w:keepLines/>
      <w:widowControl/>
      <w:numPr>
        <w:ilvl w:val="3"/>
        <w:numId w:val="1"/>
      </w:numPr>
      <w:tabs>
        <w:tab w:val="left" w:pos="432"/>
      </w:tabs>
      <w:ind w:firstLineChars="0"/>
      <w:outlineLvl w:val="3"/>
    </w:pPr>
    <w:rPr>
      <w:rFonts w:eastAsia="仿宋_GB2312"/>
      <w:b/>
      <w:bCs/>
    </w:rPr>
  </w:style>
  <w:style w:type="paragraph" w:styleId="6">
    <w:name w:val="heading 5"/>
    <w:basedOn w:val="1"/>
    <w:next w:val="1"/>
    <w:qFormat/>
    <w:uiPriority w:val="0"/>
    <w:pPr>
      <w:keepNext/>
      <w:keepLines/>
      <w:numPr>
        <w:ilvl w:val="4"/>
        <w:numId w:val="2"/>
      </w:numPr>
      <w:spacing w:before="280" w:after="290" w:line="376" w:lineRule="auto"/>
      <w:ind w:firstLine="0" w:firstLineChars="0"/>
      <w:outlineLvl w:val="4"/>
    </w:pPr>
    <w:rPr>
      <w:b/>
      <w:bCs/>
      <w:sz w:val="28"/>
      <w:szCs w:val="28"/>
    </w:rPr>
  </w:style>
  <w:style w:type="paragraph" w:styleId="7">
    <w:name w:val="heading 6"/>
    <w:basedOn w:val="1"/>
    <w:next w:val="1"/>
    <w:qFormat/>
    <w:uiPriority w:val="0"/>
    <w:pPr>
      <w:keepNext/>
      <w:keepLines/>
      <w:numPr>
        <w:ilvl w:val="5"/>
        <w:numId w:val="2"/>
      </w:numPr>
      <w:spacing w:before="240" w:after="64" w:line="320" w:lineRule="auto"/>
      <w:ind w:firstLine="0" w:firstLineChars="0"/>
      <w:outlineLvl w:val="5"/>
    </w:pPr>
    <w:rPr>
      <w:rFonts w:ascii="Cambria" w:hAnsi="Cambria"/>
      <w:b/>
      <w:bCs/>
    </w:rPr>
  </w:style>
  <w:style w:type="paragraph" w:styleId="8">
    <w:name w:val="heading 7"/>
    <w:basedOn w:val="1"/>
    <w:next w:val="1"/>
    <w:qFormat/>
    <w:uiPriority w:val="0"/>
    <w:pPr>
      <w:keepNext/>
      <w:keepLines/>
      <w:numPr>
        <w:ilvl w:val="6"/>
        <w:numId w:val="2"/>
      </w:numPr>
      <w:spacing w:before="240" w:after="64" w:line="320" w:lineRule="auto"/>
      <w:ind w:firstLine="0" w:firstLineChars="0"/>
      <w:outlineLvl w:val="6"/>
    </w:pPr>
    <w:rPr>
      <w:b/>
      <w:bCs/>
    </w:rPr>
  </w:style>
  <w:style w:type="paragraph" w:styleId="9">
    <w:name w:val="heading 8"/>
    <w:basedOn w:val="1"/>
    <w:next w:val="1"/>
    <w:qFormat/>
    <w:uiPriority w:val="0"/>
    <w:pPr>
      <w:keepNext/>
      <w:keepLines/>
      <w:numPr>
        <w:ilvl w:val="7"/>
        <w:numId w:val="2"/>
      </w:numPr>
      <w:spacing w:before="240" w:after="64" w:line="320" w:lineRule="auto"/>
      <w:ind w:firstLine="0" w:firstLineChars="0"/>
      <w:outlineLvl w:val="7"/>
    </w:pPr>
    <w:rPr>
      <w:rFonts w:ascii="Cambria" w:hAnsi="Cambria"/>
    </w:rPr>
  </w:style>
  <w:style w:type="paragraph" w:styleId="10">
    <w:name w:val="heading 9"/>
    <w:basedOn w:val="1"/>
    <w:next w:val="1"/>
    <w:qFormat/>
    <w:uiPriority w:val="0"/>
    <w:pPr>
      <w:keepNext/>
      <w:keepLines/>
      <w:numPr>
        <w:ilvl w:val="8"/>
        <w:numId w:val="2"/>
      </w:numPr>
      <w:spacing w:before="240" w:after="64" w:line="320" w:lineRule="auto"/>
      <w:ind w:firstLine="0" w:firstLineChars="0"/>
      <w:outlineLvl w:val="8"/>
    </w:pPr>
    <w:rPr>
      <w:rFonts w:ascii="Cambria" w:hAnsi="Cambria"/>
      <w:sz w:val="21"/>
    </w:rPr>
  </w:style>
  <w:style w:type="character" w:default="1" w:styleId="42">
    <w:name w:val="Default Paragraph Font"/>
    <w:semiHidden/>
    <w:unhideWhenUsed/>
    <w:qFormat/>
    <w:uiPriority w:val="1"/>
  </w:style>
  <w:style w:type="table" w:default="1" w:styleId="40">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qFormat/>
    <w:uiPriority w:val="39"/>
    <w:pPr>
      <w:ind w:firstLine="0"/>
      <w:jc w:val="left"/>
    </w:pPr>
    <w:rPr>
      <w:rFonts w:asciiTheme="minorHAnsi" w:hAnsiTheme="minorHAnsi" w:cstheme="minorHAnsi"/>
      <w:sz w:val="22"/>
      <w:szCs w:val="22"/>
    </w:rPr>
  </w:style>
  <w:style w:type="paragraph" w:styleId="12">
    <w:name w:val="List Number"/>
    <w:basedOn w:val="1"/>
    <w:qFormat/>
    <w:uiPriority w:val="0"/>
    <w:pPr>
      <w:tabs>
        <w:tab w:val="left" w:pos="480"/>
      </w:tabs>
      <w:ind w:left="480" w:firstLine="0" w:firstLineChars="0"/>
    </w:pPr>
  </w:style>
  <w:style w:type="paragraph" w:styleId="13">
    <w:name w:val="Normal Indent"/>
    <w:basedOn w:val="1"/>
    <w:link w:val="152"/>
    <w:qFormat/>
    <w:locked/>
    <w:uiPriority w:val="0"/>
    <w:pPr>
      <w:topLinePunct w:val="0"/>
      <w:adjustRightInd/>
      <w:snapToGrid/>
      <w:ind w:firstLine="420"/>
      <w:jc w:val="left"/>
    </w:pPr>
    <w:rPr>
      <w:kern w:val="2"/>
    </w:rPr>
  </w:style>
  <w:style w:type="paragraph" w:styleId="14">
    <w:name w:val="caption"/>
    <w:basedOn w:val="1"/>
    <w:next w:val="15"/>
    <w:link w:val="58"/>
    <w:qFormat/>
    <w:uiPriority w:val="0"/>
    <w:pPr>
      <w:keepNext/>
      <w:widowControl/>
      <w:ind w:firstLine="0" w:firstLineChars="0"/>
      <w:jc w:val="center"/>
    </w:pPr>
    <w:rPr>
      <w:rFonts w:ascii="Arial Unicode MS" w:hAnsi="Arial Unicode MS" w:eastAsia="黑体"/>
      <w:b/>
      <w:sz w:val="21"/>
      <w:szCs w:val="21"/>
    </w:rPr>
  </w:style>
  <w:style w:type="paragraph" w:customStyle="1" w:styleId="15">
    <w:name w:val="默认段落"/>
    <w:basedOn w:val="1"/>
    <w:link w:val="55"/>
    <w:qFormat/>
    <w:uiPriority w:val="0"/>
  </w:style>
  <w:style w:type="paragraph" w:styleId="16">
    <w:name w:val="Document Map"/>
    <w:basedOn w:val="1"/>
    <w:link w:val="59"/>
    <w:qFormat/>
    <w:uiPriority w:val="0"/>
    <w:rPr>
      <w:rFonts w:ascii="宋体"/>
      <w:sz w:val="18"/>
      <w:szCs w:val="18"/>
    </w:rPr>
  </w:style>
  <w:style w:type="paragraph" w:styleId="17">
    <w:name w:val="annotation text"/>
    <w:basedOn w:val="1"/>
    <w:link w:val="54"/>
    <w:qFormat/>
    <w:uiPriority w:val="0"/>
    <w:pPr>
      <w:spacing w:line="480" w:lineRule="auto"/>
      <w:jc w:val="left"/>
    </w:pPr>
    <w:rPr>
      <w:rFonts w:eastAsia="仿宋_GB2312"/>
      <w:sz w:val="21"/>
    </w:rPr>
  </w:style>
  <w:style w:type="paragraph" w:styleId="18">
    <w:name w:val="Body Text"/>
    <w:basedOn w:val="1"/>
    <w:next w:val="15"/>
    <w:link w:val="56"/>
    <w:qFormat/>
    <w:uiPriority w:val="0"/>
    <w:pPr>
      <w:spacing w:after="120"/>
    </w:pPr>
  </w:style>
  <w:style w:type="paragraph" w:styleId="19">
    <w:name w:val="Body Text Indent"/>
    <w:basedOn w:val="1"/>
    <w:link w:val="60"/>
    <w:qFormat/>
    <w:uiPriority w:val="0"/>
    <w:pPr>
      <w:spacing w:after="120"/>
      <w:ind w:left="420" w:leftChars="200"/>
    </w:pPr>
  </w:style>
  <w:style w:type="paragraph" w:styleId="20">
    <w:name w:val="toc 5"/>
    <w:basedOn w:val="1"/>
    <w:next w:val="1"/>
    <w:qFormat/>
    <w:uiPriority w:val="39"/>
    <w:pPr>
      <w:ind w:firstLine="0"/>
      <w:jc w:val="left"/>
    </w:pPr>
    <w:rPr>
      <w:rFonts w:asciiTheme="minorHAnsi" w:hAnsiTheme="minorHAnsi" w:cstheme="minorHAnsi"/>
      <w:sz w:val="22"/>
      <w:szCs w:val="22"/>
    </w:rPr>
  </w:style>
  <w:style w:type="paragraph" w:styleId="21">
    <w:name w:val="toc 3"/>
    <w:basedOn w:val="1"/>
    <w:next w:val="1"/>
    <w:qFormat/>
    <w:uiPriority w:val="39"/>
    <w:pPr>
      <w:ind w:firstLine="0"/>
      <w:jc w:val="left"/>
    </w:pPr>
    <w:rPr>
      <w:rFonts w:asciiTheme="minorHAnsi" w:hAnsiTheme="minorHAnsi" w:cstheme="minorHAnsi"/>
      <w:smallCaps/>
      <w:sz w:val="22"/>
      <w:szCs w:val="22"/>
    </w:rPr>
  </w:style>
  <w:style w:type="paragraph" w:styleId="22">
    <w:name w:val="Plain Text"/>
    <w:basedOn w:val="1"/>
    <w:link w:val="61"/>
    <w:qFormat/>
    <w:locked/>
    <w:uiPriority w:val="99"/>
    <w:pPr>
      <w:spacing w:line="240" w:lineRule="auto"/>
      <w:ind w:firstLine="0" w:firstLineChars="0"/>
    </w:pPr>
    <w:rPr>
      <w:rFonts w:ascii="宋体" w:hAnsi="Courier New" w:cs="Courier New"/>
      <w:kern w:val="2"/>
      <w:sz w:val="21"/>
      <w:szCs w:val="21"/>
    </w:rPr>
  </w:style>
  <w:style w:type="paragraph" w:styleId="23">
    <w:name w:val="toc 8"/>
    <w:basedOn w:val="1"/>
    <w:next w:val="1"/>
    <w:qFormat/>
    <w:uiPriority w:val="39"/>
    <w:pPr>
      <w:ind w:firstLine="0"/>
      <w:jc w:val="left"/>
    </w:pPr>
    <w:rPr>
      <w:rFonts w:asciiTheme="minorHAnsi" w:hAnsiTheme="minorHAnsi" w:cstheme="minorHAnsi"/>
      <w:sz w:val="22"/>
      <w:szCs w:val="22"/>
    </w:rPr>
  </w:style>
  <w:style w:type="paragraph" w:styleId="24">
    <w:name w:val="Date"/>
    <w:basedOn w:val="1"/>
    <w:next w:val="1"/>
    <w:link w:val="149"/>
    <w:qFormat/>
    <w:locked/>
    <w:uiPriority w:val="0"/>
    <w:pPr>
      <w:ind w:left="100" w:leftChars="2500"/>
    </w:pPr>
  </w:style>
  <w:style w:type="paragraph" w:styleId="25">
    <w:name w:val="Balloon Text"/>
    <w:basedOn w:val="1"/>
    <w:qFormat/>
    <w:uiPriority w:val="0"/>
    <w:rPr>
      <w:sz w:val="18"/>
      <w:szCs w:val="18"/>
    </w:rPr>
  </w:style>
  <w:style w:type="paragraph" w:styleId="26">
    <w:name w:val="footer"/>
    <w:basedOn w:val="1"/>
    <w:link w:val="190"/>
    <w:qFormat/>
    <w:uiPriority w:val="99"/>
    <w:pPr>
      <w:tabs>
        <w:tab w:val="center" w:pos="4153"/>
        <w:tab w:val="right" w:pos="8306"/>
      </w:tabs>
      <w:spacing w:line="240" w:lineRule="auto"/>
      <w:ind w:firstLine="0" w:firstLineChars="0"/>
      <w:jc w:val="left"/>
    </w:pPr>
    <w:rPr>
      <w:sz w:val="18"/>
      <w:szCs w:val="18"/>
    </w:rPr>
  </w:style>
  <w:style w:type="paragraph" w:styleId="27">
    <w:name w:val="header"/>
    <w:basedOn w:val="1"/>
    <w:link w:val="187"/>
    <w:qFormat/>
    <w:uiPriority w:val="0"/>
    <w:pPr>
      <w:widowControl/>
      <w:pBdr>
        <w:bottom w:val="single" w:color="auto" w:sz="6" w:space="1"/>
      </w:pBdr>
      <w:spacing w:line="240" w:lineRule="auto"/>
      <w:ind w:firstLine="0" w:firstLineChars="0"/>
      <w:jc w:val="center"/>
      <w:textAlignment w:val="center"/>
    </w:pPr>
    <w:rPr>
      <w:sz w:val="18"/>
      <w:szCs w:val="18"/>
    </w:rPr>
  </w:style>
  <w:style w:type="paragraph" w:styleId="28">
    <w:name w:val="toc 1"/>
    <w:next w:val="1"/>
    <w:qFormat/>
    <w:uiPriority w:val="39"/>
    <w:pPr>
      <w:adjustRightInd w:val="0"/>
      <w:spacing w:line="360" w:lineRule="auto"/>
    </w:pPr>
    <w:rPr>
      <w:rFonts w:eastAsia="仿宋_GB2312" w:asciiTheme="minorHAnsi" w:hAnsiTheme="minorHAnsi" w:cstheme="minorHAnsi"/>
      <w:b/>
      <w:bCs/>
      <w:caps/>
      <w:sz w:val="28"/>
      <w:szCs w:val="22"/>
      <w:lang w:val="en-US" w:eastAsia="zh-CN" w:bidi="ar-SA"/>
    </w:rPr>
  </w:style>
  <w:style w:type="paragraph" w:styleId="29">
    <w:name w:val="toc 4"/>
    <w:basedOn w:val="1"/>
    <w:next w:val="1"/>
    <w:qFormat/>
    <w:uiPriority w:val="39"/>
    <w:pPr>
      <w:ind w:firstLine="0"/>
      <w:jc w:val="left"/>
    </w:pPr>
    <w:rPr>
      <w:rFonts w:asciiTheme="minorHAnsi" w:hAnsiTheme="minorHAnsi" w:cstheme="minorHAnsi"/>
      <w:sz w:val="22"/>
      <w:szCs w:val="22"/>
    </w:rPr>
  </w:style>
  <w:style w:type="paragraph" w:styleId="30">
    <w:name w:val="Subtitle"/>
    <w:basedOn w:val="1"/>
    <w:next w:val="1"/>
    <w:link w:val="62"/>
    <w:qFormat/>
    <w:locked/>
    <w:uiPriority w:val="0"/>
    <w:pPr>
      <w:spacing w:before="240" w:after="60" w:line="312" w:lineRule="auto"/>
      <w:jc w:val="center"/>
      <w:outlineLvl w:val="1"/>
    </w:pPr>
    <w:rPr>
      <w:rFonts w:ascii="Cambria" w:hAnsi="Cambria"/>
      <w:b/>
      <w:bCs/>
      <w:kern w:val="28"/>
      <w:sz w:val="32"/>
      <w:szCs w:val="32"/>
    </w:rPr>
  </w:style>
  <w:style w:type="paragraph" w:styleId="31">
    <w:name w:val="List"/>
    <w:basedOn w:val="1"/>
    <w:qFormat/>
    <w:uiPriority w:val="0"/>
    <w:pPr>
      <w:ind w:left="200" w:hanging="200" w:hangingChars="200"/>
      <w:contextualSpacing/>
    </w:pPr>
  </w:style>
  <w:style w:type="paragraph" w:styleId="32">
    <w:name w:val="toc 6"/>
    <w:basedOn w:val="1"/>
    <w:next w:val="1"/>
    <w:qFormat/>
    <w:uiPriority w:val="39"/>
    <w:pPr>
      <w:ind w:firstLine="0"/>
      <w:jc w:val="left"/>
    </w:pPr>
    <w:rPr>
      <w:rFonts w:asciiTheme="minorHAnsi" w:hAnsiTheme="minorHAnsi" w:cstheme="minorHAnsi"/>
      <w:sz w:val="22"/>
      <w:szCs w:val="22"/>
    </w:rPr>
  </w:style>
  <w:style w:type="paragraph" w:styleId="33">
    <w:name w:val="Body Text Indent 3"/>
    <w:basedOn w:val="1"/>
    <w:link w:val="200"/>
    <w:qFormat/>
    <w:uiPriority w:val="0"/>
    <w:pPr>
      <w:spacing w:after="120"/>
      <w:ind w:left="420" w:leftChars="200"/>
    </w:pPr>
    <w:rPr>
      <w:sz w:val="16"/>
      <w:szCs w:val="16"/>
    </w:rPr>
  </w:style>
  <w:style w:type="paragraph" w:styleId="34">
    <w:name w:val="table of figures"/>
    <w:basedOn w:val="1"/>
    <w:next w:val="1"/>
    <w:qFormat/>
    <w:uiPriority w:val="0"/>
    <w:pPr>
      <w:widowControl/>
      <w:jc w:val="left"/>
    </w:pPr>
  </w:style>
  <w:style w:type="paragraph" w:styleId="35">
    <w:name w:val="toc 2"/>
    <w:next w:val="1"/>
    <w:qFormat/>
    <w:uiPriority w:val="39"/>
    <w:pPr>
      <w:adjustRightInd w:val="0"/>
      <w:spacing w:line="360" w:lineRule="auto"/>
      <w:ind w:left="100" w:leftChars="100"/>
    </w:pPr>
    <w:rPr>
      <w:rFonts w:eastAsia="仿宋_GB2312" w:asciiTheme="minorHAnsi" w:hAnsiTheme="minorHAnsi" w:cstheme="minorHAnsi"/>
      <w:bCs/>
      <w:smallCaps/>
      <w:sz w:val="28"/>
      <w:szCs w:val="22"/>
      <w:lang w:val="en-US" w:eastAsia="zh-CN" w:bidi="ar-SA"/>
    </w:rPr>
  </w:style>
  <w:style w:type="paragraph" w:styleId="36">
    <w:name w:val="toc 9"/>
    <w:basedOn w:val="1"/>
    <w:next w:val="1"/>
    <w:qFormat/>
    <w:uiPriority w:val="39"/>
    <w:pPr>
      <w:ind w:firstLine="0"/>
      <w:jc w:val="left"/>
    </w:pPr>
    <w:rPr>
      <w:rFonts w:asciiTheme="minorHAnsi" w:hAnsiTheme="minorHAnsi" w:cstheme="minorHAnsi"/>
      <w:sz w:val="22"/>
      <w:szCs w:val="22"/>
    </w:rPr>
  </w:style>
  <w:style w:type="paragraph" w:styleId="37">
    <w:name w:val="Normal (Web)"/>
    <w:basedOn w:val="1"/>
    <w:qFormat/>
    <w:uiPriority w:val="0"/>
    <w:pPr>
      <w:widowControl/>
      <w:spacing w:before="100" w:beforeAutospacing="1" w:after="100" w:afterAutospacing="1" w:line="240" w:lineRule="auto"/>
      <w:ind w:firstLine="0" w:firstLineChars="0"/>
      <w:jc w:val="left"/>
    </w:pPr>
    <w:rPr>
      <w:rFonts w:ascii="宋体" w:hAnsi="宋体" w:cs="宋体"/>
    </w:rPr>
  </w:style>
  <w:style w:type="paragraph" w:styleId="38">
    <w:name w:val="annotation subject"/>
    <w:basedOn w:val="1"/>
    <w:next w:val="17"/>
    <w:semiHidden/>
    <w:qFormat/>
    <w:uiPriority w:val="0"/>
    <w:rPr>
      <w:b/>
      <w:bCs/>
      <w:szCs w:val="21"/>
    </w:rPr>
  </w:style>
  <w:style w:type="paragraph" w:styleId="39">
    <w:name w:val="Body Text First Indent"/>
    <w:basedOn w:val="18"/>
    <w:link w:val="57"/>
    <w:qFormat/>
    <w:uiPriority w:val="0"/>
    <w:pPr>
      <w:ind w:firstLine="420" w:firstLineChars="100"/>
    </w:pPr>
  </w:style>
  <w:style w:type="table" w:styleId="41">
    <w:name w:val="Table Grid"/>
    <w:basedOn w:val="40"/>
    <w:unhideWhenUsed/>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3">
    <w:name w:val="page number"/>
    <w:qFormat/>
    <w:uiPriority w:val="0"/>
    <w:rPr>
      <w:rFonts w:ascii="Times New Roman" w:hAnsi="Times New Roman" w:eastAsia="宋体"/>
      <w:sz w:val="18"/>
    </w:rPr>
  </w:style>
  <w:style w:type="character" w:styleId="44">
    <w:name w:val="FollowedHyperlink"/>
    <w:qFormat/>
    <w:uiPriority w:val="99"/>
    <w:rPr>
      <w:rFonts w:cs="Times New Roman"/>
      <w:color w:val="800080"/>
      <w:u w:val="single"/>
    </w:rPr>
  </w:style>
  <w:style w:type="character" w:styleId="45">
    <w:name w:val="Emphasis"/>
    <w:basedOn w:val="42"/>
    <w:qFormat/>
    <w:locked/>
    <w:uiPriority w:val="20"/>
    <w:rPr>
      <w:i/>
      <w:iCs/>
    </w:rPr>
  </w:style>
  <w:style w:type="character" w:styleId="46">
    <w:name w:val="Hyperlink"/>
    <w:qFormat/>
    <w:uiPriority w:val="99"/>
    <w:rPr>
      <w:rFonts w:cs="Times New Roman"/>
      <w:color w:val="0000FF"/>
      <w:u w:val="single"/>
    </w:rPr>
  </w:style>
  <w:style w:type="character" w:styleId="47">
    <w:name w:val="annotation reference"/>
    <w:semiHidden/>
    <w:qFormat/>
    <w:uiPriority w:val="0"/>
    <w:rPr>
      <w:rFonts w:cs="Times New Roman"/>
      <w:sz w:val="21"/>
      <w:szCs w:val="21"/>
    </w:rPr>
  </w:style>
  <w:style w:type="character" w:styleId="48">
    <w:name w:val="footnote reference"/>
    <w:semiHidden/>
    <w:qFormat/>
    <w:uiPriority w:val="0"/>
    <w:rPr>
      <w:rFonts w:cs="Times New Roman"/>
      <w:vertAlign w:val="superscript"/>
    </w:rPr>
  </w:style>
  <w:style w:type="character" w:customStyle="1" w:styleId="49">
    <w:name w:val="标题 4 Char"/>
    <w:basedOn w:val="42"/>
    <w:link w:val="5"/>
    <w:qFormat/>
    <w:uiPriority w:val="0"/>
    <w:rPr>
      <w:rFonts w:ascii="Times New Roman" w:hAnsi="Times New Roman" w:eastAsia="仿宋_GB2312" w:cs="Times New Roman"/>
      <w:b/>
      <w:bCs/>
      <w:sz w:val="24"/>
      <w:szCs w:val="24"/>
    </w:rPr>
  </w:style>
  <w:style w:type="paragraph" w:customStyle="1" w:styleId="50">
    <w:name w:val="标题一"/>
    <w:basedOn w:val="2"/>
    <w:qFormat/>
    <w:uiPriority w:val="0"/>
    <w:pPr>
      <w:pageBreakBefore w:val="0"/>
      <w:tabs>
        <w:tab w:val="clear" w:pos="432"/>
      </w:tabs>
      <w:topLinePunct w:val="0"/>
      <w:adjustRightInd/>
      <w:snapToGrid/>
      <w:spacing w:before="340" w:after="330"/>
      <w:jc w:val="center"/>
    </w:pPr>
    <w:rPr>
      <w:rFonts w:eastAsia="宋体"/>
      <w:kern w:val="44"/>
      <w:sz w:val="36"/>
      <w:szCs w:val="44"/>
    </w:rPr>
  </w:style>
  <w:style w:type="character" w:customStyle="1" w:styleId="51">
    <w:name w:val="标题 2 Char"/>
    <w:basedOn w:val="42"/>
    <w:link w:val="3"/>
    <w:qFormat/>
    <w:uiPriority w:val="0"/>
    <w:rPr>
      <w:rFonts w:ascii="Times New Roman" w:hAnsi="Times New Roman" w:eastAsia="仿宋" w:cs="Times New Roman"/>
      <w:b/>
      <w:bCs/>
      <w:sz w:val="30"/>
      <w:szCs w:val="30"/>
    </w:rPr>
  </w:style>
  <w:style w:type="character" w:customStyle="1" w:styleId="52">
    <w:name w:val="标题 1 Char"/>
    <w:link w:val="2"/>
    <w:qFormat/>
    <w:uiPriority w:val="0"/>
    <w:rPr>
      <w:rFonts w:ascii="Times New Roman" w:hAnsi="Times New Roman" w:cs="Times New Roman"/>
      <w:b/>
      <w:bCs/>
      <w:sz w:val="32"/>
      <w:szCs w:val="32"/>
    </w:rPr>
  </w:style>
  <w:style w:type="character" w:customStyle="1" w:styleId="53">
    <w:name w:val="标题 3 Char"/>
    <w:link w:val="4"/>
    <w:qFormat/>
    <w:uiPriority w:val="0"/>
    <w:rPr>
      <w:rFonts w:ascii="Times New Roman" w:hAnsi="Times New Roman" w:eastAsia="仿宋" w:cs="Times New Roman"/>
      <w:b/>
      <w:bCs/>
      <w:sz w:val="28"/>
      <w:szCs w:val="28"/>
    </w:rPr>
  </w:style>
  <w:style w:type="character" w:customStyle="1" w:styleId="54">
    <w:name w:val="批注文字 Char"/>
    <w:link w:val="17"/>
    <w:qFormat/>
    <w:locked/>
    <w:uiPriority w:val="0"/>
    <w:rPr>
      <w:rFonts w:eastAsia="仿宋_GB2312" w:cs="Times New Roman"/>
      <w:sz w:val="24"/>
      <w:szCs w:val="24"/>
      <w:lang w:val="en-US" w:eastAsia="zh-CN" w:bidi="ar-SA"/>
    </w:rPr>
  </w:style>
  <w:style w:type="character" w:customStyle="1" w:styleId="55">
    <w:name w:val="默认段落 Char"/>
    <w:link w:val="15"/>
    <w:qFormat/>
    <w:locked/>
    <w:uiPriority w:val="0"/>
    <w:rPr>
      <w:rFonts w:eastAsia="宋体" w:cs="Times New Roman"/>
      <w:sz w:val="24"/>
      <w:szCs w:val="24"/>
      <w:lang w:val="en-US" w:eastAsia="zh-CN" w:bidi="ar-SA"/>
    </w:rPr>
  </w:style>
  <w:style w:type="character" w:customStyle="1" w:styleId="56">
    <w:name w:val="正文文本 Char"/>
    <w:link w:val="18"/>
    <w:qFormat/>
    <w:uiPriority w:val="0"/>
    <w:rPr>
      <w:rFonts w:ascii="Times New Roman" w:hAnsi="Times New Roman"/>
      <w:sz w:val="24"/>
      <w:szCs w:val="24"/>
    </w:rPr>
  </w:style>
  <w:style w:type="character" w:customStyle="1" w:styleId="57">
    <w:name w:val="正文首行缩进 Char"/>
    <w:link w:val="39"/>
    <w:qFormat/>
    <w:uiPriority w:val="0"/>
    <w:rPr>
      <w:rFonts w:ascii="Times New Roman" w:hAnsi="Times New Roman"/>
      <w:sz w:val="24"/>
      <w:szCs w:val="24"/>
    </w:rPr>
  </w:style>
  <w:style w:type="character" w:customStyle="1" w:styleId="58">
    <w:name w:val="题注 Char"/>
    <w:link w:val="14"/>
    <w:qFormat/>
    <w:locked/>
    <w:uiPriority w:val="0"/>
    <w:rPr>
      <w:rFonts w:ascii="Arial Unicode MS" w:hAnsi="Arial Unicode MS" w:eastAsia="黑体" w:cs="Times New Roman"/>
      <w:b/>
      <w:sz w:val="21"/>
      <w:szCs w:val="21"/>
      <w:lang w:val="en-US" w:eastAsia="zh-CN" w:bidi="ar-SA"/>
    </w:rPr>
  </w:style>
  <w:style w:type="character" w:customStyle="1" w:styleId="59">
    <w:name w:val="文档结构图 Char"/>
    <w:basedOn w:val="42"/>
    <w:link w:val="16"/>
    <w:qFormat/>
    <w:uiPriority w:val="0"/>
    <w:rPr>
      <w:rFonts w:ascii="宋体" w:hAnsi="Times New Roman" w:cs="Times New Roman"/>
      <w:sz w:val="18"/>
      <w:szCs w:val="18"/>
    </w:rPr>
  </w:style>
  <w:style w:type="character" w:customStyle="1" w:styleId="60">
    <w:name w:val="正文文本缩进 Char"/>
    <w:link w:val="19"/>
    <w:qFormat/>
    <w:uiPriority w:val="0"/>
    <w:rPr>
      <w:rFonts w:ascii="Times New Roman" w:hAnsi="Times New Roman" w:cs="Times New Roman"/>
      <w:sz w:val="24"/>
      <w:szCs w:val="24"/>
    </w:rPr>
  </w:style>
  <w:style w:type="character" w:customStyle="1" w:styleId="61">
    <w:name w:val="纯文本 Char"/>
    <w:link w:val="22"/>
    <w:qFormat/>
    <w:uiPriority w:val="99"/>
    <w:rPr>
      <w:rFonts w:ascii="宋体" w:hAnsi="Courier New" w:cs="Courier New"/>
      <w:kern w:val="2"/>
      <w:sz w:val="21"/>
      <w:szCs w:val="21"/>
    </w:rPr>
  </w:style>
  <w:style w:type="character" w:customStyle="1" w:styleId="62">
    <w:name w:val="副标题 Char"/>
    <w:link w:val="30"/>
    <w:qFormat/>
    <w:uiPriority w:val="0"/>
    <w:rPr>
      <w:rFonts w:ascii="Cambria" w:hAnsi="Cambria" w:cs="Times New Roman"/>
      <w:b/>
      <w:bCs/>
      <w:kern w:val="28"/>
      <w:sz w:val="32"/>
      <w:szCs w:val="32"/>
    </w:rPr>
  </w:style>
  <w:style w:type="paragraph" w:customStyle="1" w:styleId="63">
    <w:name w:val="03"/>
    <w:basedOn w:val="64"/>
    <w:link w:val="66"/>
    <w:qFormat/>
    <w:uiPriority w:val="0"/>
    <w:pPr>
      <w:spacing w:line="360" w:lineRule="auto"/>
      <w:ind w:left="0" w:hanging="431"/>
      <w:outlineLvl w:val="2"/>
    </w:pPr>
    <w:rPr>
      <w:sz w:val="28"/>
    </w:rPr>
  </w:style>
  <w:style w:type="paragraph" w:customStyle="1" w:styleId="64">
    <w:name w:val="02"/>
    <w:basedOn w:val="1"/>
    <w:link w:val="65"/>
    <w:qFormat/>
    <w:uiPriority w:val="0"/>
    <w:pPr>
      <w:widowControl/>
      <w:spacing w:before="240" w:after="60" w:line="432" w:lineRule="auto"/>
      <w:ind w:left="1" w:hanging="432" w:firstLineChars="0"/>
      <w:outlineLvl w:val="1"/>
    </w:pPr>
    <w:rPr>
      <w:b/>
      <w:bCs/>
      <w:snapToGrid w:val="0"/>
      <w:kern w:val="28"/>
      <w:sz w:val="32"/>
      <w:szCs w:val="44"/>
    </w:rPr>
  </w:style>
  <w:style w:type="character" w:customStyle="1" w:styleId="65">
    <w:name w:val="02 Char"/>
    <w:link w:val="64"/>
    <w:qFormat/>
    <w:uiPriority w:val="0"/>
    <w:rPr>
      <w:rFonts w:ascii="Times New Roman" w:hAnsi="Times New Roman"/>
      <w:b/>
      <w:bCs/>
      <w:snapToGrid w:val="0"/>
      <w:kern w:val="28"/>
      <w:sz w:val="32"/>
      <w:szCs w:val="44"/>
    </w:rPr>
  </w:style>
  <w:style w:type="character" w:customStyle="1" w:styleId="66">
    <w:name w:val="03 Char"/>
    <w:link w:val="63"/>
    <w:qFormat/>
    <w:uiPriority w:val="0"/>
    <w:rPr>
      <w:rFonts w:ascii="Times New Roman" w:hAnsi="Times New Roman"/>
      <w:b/>
      <w:bCs/>
      <w:snapToGrid w:val="0"/>
      <w:kern w:val="28"/>
      <w:sz w:val="28"/>
      <w:szCs w:val="44"/>
    </w:rPr>
  </w:style>
  <w:style w:type="paragraph" w:customStyle="1" w:styleId="67">
    <w:name w:val="Char Char Char Char Char Char Char"/>
    <w:basedOn w:val="1"/>
    <w:qFormat/>
    <w:uiPriority w:val="0"/>
    <w:pPr>
      <w:spacing w:line="240" w:lineRule="auto"/>
      <w:ind w:firstLine="0" w:firstLineChars="0"/>
      <w:jc w:val="center"/>
    </w:pPr>
    <w:rPr>
      <w:rFonts w:ascii="仿宋_GB2312" w:eastAsia="仿宋_GB2312"/>
      <w:b/>
      <w:kern w:val="2"/>
      <w:sz w:val="32"/>
      <w:szCs w:val="32"/>
    </w:rPr>
  </w:style>
  <w:style w:type="paragraph" w:customStyle="1" w:styleId="68">
    <w:name w:val="表题"/>
    <w:basedOn w:val="1"/>
    <w:next w:val="1"/>
    <w:link w:val="69"/>
    <w:qFormat/>
    <w:uiPriority w:val="0"/>
    <w:pPr>
      <w:ind w:firstLine="0" w:firstLineChars="0"/>
      <w:jc w:val="center"/>
    </w:pPr>
    <w:rPr>
      <w:b/>
      <w:bCs/>
      <w:kern w:val="2"/>
      <w:sz w:val="21"/>
      <w:szCs w:val="21"/>
    </w:rPr>
  </w:style>
  <w:style w:type="character" w:customStyle="1" w:styleId="69">
    <w:name w:val="表题 Char"/>
    <w:link w:val="68"/>
    <w:qFormat/>
    <w:locked/>
    <w:uiPriority w:val="0"/>
    <w:rPr>
      <w:rFonts w:eastAsia="宋体" w:cs="Times New Roman"/>
      <w:b/>
      <w:bCs/>
      <w:kern w:val="2"/>
      <w:sz w:val="21"/>
      <w:szCs w:val="21"/>
      <w:lang w:val="en-US" w:eastAsia="zh-CN" w:bidi="ar-SA"/>
    </w:rPr>
  </w:style>
  <w:style w:type="paragraph" w:customStyle="1" w:styleId="70">
    <w:name w:val="辅助"/>
    <w:qFormat/>
    <w:uiPriority w:val="0"/>
    <w:pPr>
      <w:spacing w:line="360" w:lineRule="auto"/>
      <w:jc w:val="center"/>
      <w:textAlignment w:val="center"/>
    </w:pPr>
    <w:rPr>
      <w:rFonts w:ascii="Times New Roman" w:hAnsi="Times New Roman" w:eastAsia="仿宋_GB2312" w:cs="Calibri"/>
      <w:vanish/>
      <w:color w:val="FF00FF"/>
      <w:sz w:val="21"/>
      <w:szCs w:val="24"/>
      <w:lang w:val="en-US" w:eastAsia="zh-CN" w:bidi="ar-SA"/>
    </w:rPr>
  </w:style>
  <w:style w:type="paragraph" w:customStyle="1" w:styleId="71">
    <w:name w:val="公式样式"/>
    <w:basedOn w:val="1"/>
    <w:qFormat/>
    <w:uiPriority w:val="0"/>
    <w:pPr>
      <w:ind w:firstLine="0" w:firstLineChars="0"/>
      <w:jc w:val="center"/>
    </w:pPr>
    <w:rPr>
      <w:rFonts w:cs="宋体"/>
      <w:szCs w:val="20"/>
    </w:rPr>
  </w:style>
  <w:style w:type="paragraph" w:customStyle="1" w:styleId="72">
    <w:name w:val="公式注释"/>
    <w:basedOn w:val="71"/>
    <w:qFormat/>
    <w:uiPriority w:val="0"/>
    <w:pPr>
      <w:ind w:firstLine="1680" w:firstLineChars="700"/>
      <w:jc w:val="left"/>
    </w:pPr>
  </w:style>
  <w:style w:type="paragraph" w:customStyle="1" w:styleId="73">
    <w:name w:val="表格正文"/>
    <w:link w:val="74"/>
    <w:qFormat/>
    <w:uiPriority w:val="0"/>
    <w:pPr>
      <w:keepNext/>
      <w:spacing w:line="360" w:lineRule="auto"/>
      <w:jc w:val="both"/>
    </w:pPr>
    <w:rPr>
      <w:rFonts w:ascii="Times New Roman" w:hAnsi="Times New Roman" w:eastAsia="仿宋_GB2312" w:cs="Calibri"/>
      <w:color w:val="000000"/>
      <w:kern w:val="2"/>
      <w:sz w:val="21"/>
      <w:szCs w:val="21"/>
      <w:lang w:val="en-US" w:eastAsia="zh-CN" w:bidi="ar-SA"/>
    </w:rPr>
  </w:style>
  <w:style w:type="character" w:customStyle="1" w:styleId="74">
    <w:name w:val="表格正文 Char"/>
    <w:link w:val="73"/>
    <w:qFormat/>
    <w:locked/>
    <w:uiPriority w:val="0"/>
    <w:rPr>
      <w:rFonts w:ascii="Times New Roman" w:hAnsi="Times New Roman" w:eastAsia="仿宋_GB2312"/>
      <w:color w:val="000000"/>
      <w:kern w:val="2"/>
      <w:sz w:val="21"/>
      <w:szCs w:val="21"/>
      <w:lang w:val="en-US" w:eastAsia="zh-CN" w:bidi="ar-SA"/>
    </w:rPr>
  </w:style>
  <w:style w:type="paragraph" w:customStyle="1" w:styleId="75">
    <w:name w:val="表文字"/>
    <w:basedOn w:val="1"/>
    <w:link w:val="76"/>
    <w:qFormat/>
    <w:uiPriority w:val="0"/>
    <w:pPr>
      <w:spacing w:beforeLines="20" w:afterLines="20"/>
      <w:ind w:firstLine="0" w:firstLineChars="0"/>
      <w:jc w:val="center"/>
    </w:pPr>
    <w:rPr>
      <w:b/>
      <w:kern w:val="2"/>
      <w:szCs w:val="20"/>
    </w:rPr>
  </w:style>
  <w:style w:type="character" w:customStyle="1" w:styleId="76">
    <w:name w:val="表文字 Char"/>
    <w:link w:val="75"/>
    <w:qFormat/>
    <w:locked/>
    <w:uiPriority w:val="0"/>
    <w:rPr>
      <w:rFonts w:ascii="Times New Roman" w:hAnsi="Times New Roman"/>
      <w:b/>
      <w:kern w:val="2"/>
      <w:sz w:val="24"/>
    </w:rPr>
  </w:style>
  <w:style w:type="paragraph" w:customStyle="1" w:styleId="77">
    <w:name w:val="表格标题"/>
    <w:basedOn w:val="1"/>
    <w:link w:val="78"/>
    <w:qFormat/>
    <w:uiPriority w:val="0"/>
    <w:pPr>
      <w:widowControl/>
      <w:ind w:firstLine="0" w:firstLineChars="0"/>
      <w:jc w:val="center"/>
    </w:pPr>
    <w:rPr>
      <w:rFonts w:ascii="Arial" w:hAnsi="Arial" w:eastAsia="楷体_GB2312"/>
      <w:b/>
      <w:sz w:val="21"/>
      <w:szCs w:val="20"/>
    </w:rPr>
  </w:style>
  <w:style w:type="character" w:customStyle="1" w:styleId="78">
    <w:name w:val="表格标题 Char"/>
    <w:link w:val="77"/>
    <w:qFormat/>
    <w:locked/>
    <w:uiPriority w:val="0"/>
    <w:rPr>
      <w:rFonts w:ascii="Arial" w:hAnsi="Arial" w:eastAsia="楷体_GB2312"/>
      <w:b/>
      <w:sz w:val="21"/>
    </w:rPr>
  </w:style>
  <w:style w:type="paragraph" w:customStyle="1" w:styleId="79">
    <w:name w:val="好正文"/>
    <w:basedOn w:val="1"/>
    <w:link w:val="80"/>
    <w:qFormat/>
    <w:uiPriority w:val="0"/>
    <w:pPr>
      <w:spacing w:beforeLines="50"/>
      <w:ind w:firstLine="480"/>
    </w:pPr>
    <w:rPr>
      <w:rFonts w:hAnsi="宋体"/>
      <w:kern w:val="44"/>
      <w:szCs w:val="20"/>
    </w:rPr>
  </w:style>
  <w:style w:type="character" w:customStyle="1" w:styleId="80">
    <w:name w:val="好正文 Char"/>
    <w:link w:val="79"/>
    <w:qFormat/>
    <w:locked/>
    <w:uiPriority w:val="0"/>
    <w:rPr>
      <w:rFonts w:ascii="Times New Roman" w:hAnsi="宋体"/>
      <w:kern w:val="44"/>
      <w:sz w:val="24"/>
    </w:rPr>
  </w:style>
  <w:style w:type="paragraph" w:customStyle="1" w:styleId="81">
    <w:name w:val="表内文字"/>
    <w:basedOn w:val="1"/>
    <w:qFormat/>
    <w:uiPriority w:val="0"/>
    <w:pPr>
      <w:spacing w:line="240" w:lineRule="atLeast"/>
      <w:ind w:firstLine="0" w:firstLineChars="0"/>
      <w:jc w:val="center"/>
      <w:textAlignment w:val="center"/>
    </w:pPr>
    <w:rPr>
      <w:kern w:val="2"/>
      <w:sz w:val="21"/>
      <w:szCs w:val="21"/>
    </w:rPr>
  </w:style>
  <w:style w:type="paragraph" w:customStyle="1" w:styleId="82">
    <w:name w:val="Char Char Char Char"/>
    <w:basedOn w:val="1"/>
    <w:qFormat/>
    <w:uiPriority w:val="0"/>
    <w:pPr>
      <w:spacing w:line="240" w:lineRule="auto"/>
      <w:ind w:firstLine="0" w:firstLineChars="0"/>
    </w:pPr>
    <w:rPr>
      <w:color w:val="FF0000"/>
      <w:sz w:val="21"/>
      <w:szCs w:val="21"/>
    </w:rPr>
  </w:style>
  <w:style w:type="paragraph" w:customStyle="1" w:styleId="83">
    <w:name w:val="表5号字"/>
    <w:qFormat/>
    <w:uiPriority w:val="0"/>
    <w:pPr>
      <w:keepNext/>
      <w:widowControl w:val="0"/>
      <w:adjustRightInd w:val="0"/>
      <w:spacing w:before="120" w:line="60" w:lineRule="atLeast"/>
      <w:jc w:val="center"/>
    </w:pPr>
    <w:rPr>
      <w:rFonts w:ascii="Times New Roman" w:hAnsi="Times New Roman" w:eastAsia="宋体" w:cs="Calibri"/>
      <w:sz w:val="21"/>
      <w:lang w:val="en-US" w:eastAsia="zh-CN" w:bidi="ar-SA"/>
    </w:rPr>
  </w:style>
  <w:style w:type="paragraph" w:customStyle="1" w:styleId="84">
    <w:name w:val="hd正文"/>
    <w:basedOn w:val="1"/>
    <w:link w:val="85"/>
    <w:qFormat/>
    <w:uiPriority w:val="0"/>
    <w:pPr>
      <w:textAlignment w:val="center"/>
    </w:pPr>
    <w:rPr>
      <w:kern w:val="2"/>
    </w:rPr>
  </w:style>
  <w:style w:type="character" w:customStyle="1" w:styleId="85">
    <w:name w:val="hd正文 Char"/>
    <w:link w:val="84"/>
    <w:qFormat/>
    <w:locked/>
    <w:uiPriority w:val="0"/>
    <w:rPr>
      <w:rFonts w:ascii="Times New Roman" w:hAnsi="Times New Roman" w:cs="Times New Roman"/>
      <w:kern w:val="2"/>
      <w:sz w:val="24"/>
      <w:szCs w:val="24"/>
    </w:rPr>
  </w:style>
  <w:style w:type="paragraph" w:customStyle="1" w:styleId="86">
    <w:name w:val="表（方案）"/>
    <w:basedOn w:val="1"/>
    <w:link w:val="87"/>
    <w:qFormat/>
    <w:uiPriority w:val="0"/>
    <w:pPr>
      <w:widowControl/>
      <w:ind w:firstLine="0" w:firstLineChars="0"/>
      <w:jc w:val="center"/>
    </w:pPr>
    <w:rPr>
      <w:b/>
      <w:szCs w:val="20"/>
    </w:rPr>
  </w:style>
  <w:style w:type="character" w:customStyle="1" w:styleId="87">
    <w:name w:val="表（方案） Char"/>
    <w:link w:val="86"/>
    <w:qFormat/>
    <w:locked/>
    <w:uiPriority w:val="0"/>
    <w:rPr>
      <w:rFonts w:ascii="Times New Roman" w:hAnsi="Times New Roman"/>
      <w:b/>
      <w:sz w:val="24"/>
    </w:rPr>
  </w:style>
  <w:style w:type="paragraph" w:customStyle="1" w:styleId="88">
    <w:name w:val="列出段落1"/>
    <w:basedOn w:val="1"/>
    <w:qFormat/>
    <w:uiPriority w:val="0"/>
    <w:pPr>
      <w:ind w:firstLine="420"/>
    </w:pPr>
  </w:style>
  <w:style w:type="paragraph" w:customStyle="1" w:styleId="89">
    <w:name w:val="列出段落2"/>
    <w:basedOn w:val="1"/>
    <w:qFormat/>
    <w:uiPriority w:val="34"/>
    <w:pPr>
      <w:ind w:firstLine="420"/>
    </w:pPr>
  </w:style>
  <w:style w:type="paragraph" w:customStyle="1" w:styleId="90">
    <w:name w:val="正文_宜巴"/>
    <w:basedOn w:val="1"/>
    <w:semiHidden/>
    <w:qFormat/>
    <w:uiPriority w:val="0"/>
    <w:rPr>
      <w:rFonts w:cs="宋体"/>
      <w:kern w:val="2"/>
      <w:szCs w:val="20"/>
    </w:rPr>
  </w:style>
  <w:style w:type="paragraph" w:customStyle="1" w:styleId="91">
    <w:name w:val="列出段落21"/>
    <w:basedOn w:val="1"/>
    <w:qFormat/>
    <w:uiPriority w:val="34"/>
    <w:pPr>
      <w:ind w:firstLine="420"/>
    </w:pPr>
  </w:style>
  <w:style w:type="paragraph" w:customStyle="1" w:styleId="92">
    <w:name w:val="样式 正文 +"/>
    <w:basedOn w:val="1"/>
    <w:qFormat/>
    <w:uiPriority w:val="0"/>
    <w:pPr>
      <w:ind w:firstLine="540" w:firstLineChars="225"/>
    </w:pPr>
    <w:rPr>
      <w:rFonts w:ascii="ˎ̥" w:hAnsi="ˎ̥" w:cs="宋体"/>
      <w:szCs w:val="20"/>
    </w:rPr>
  </w:style>
  <w:style w:type="paragraph" w:customStyle="1" w:styleId="93">
    <w:name w:val="font5"/>
    <w:basedOn w:val="1"/>
    <w:qFormat/>
    <w:uiPriority w:val="0"/>
    <w:pPr>
      <w:widowControl/>
      <w:spacing w:before="100" w:beforeAutospacing="1" w:after="100" w:afterAutospacing="1" w:line="240" w:lineRule="auto"/>
      <w:ind w:firstLine="0" w:firstLineChars="0"/>
      <w:jc w:val="left"/>
    </w:pPr>
    <w:rPr>
      <w:rFonts w:ascii="宋体" w:hAnsi="宋体" w:cs="宋体"/>
      <w:sz w:val="18"/>
      <w:szCs w:val="18"/>
    </w:rPr>
  </w:style>
  <w:style w:type="paragraph" w:customStyle="1" w:styleId="94">
    <w:name w:val="font6"/>
    <w:basedOn w:val="1"/>
    <w:qFormat/>
    <w:uiPriority w:val="0"/>
    <w:pPr>
      <w:widowControl/>
      <w:spacing w:before="100" w:beforeAutospacing="1" w:after="100" w:afterAutospacing="1" w:line="240" w:lineRule="auto"/>
      <w:ind w:firstLine="0" w:firstLineChars="0"/>
      <w:jc w:val="left"/>
    </w:pPr>
    <w:rPr>
      <w:color w:val="000000"/>
      <w:sz w:val="20"/>
      <w:szCs w:val="20"/>
    </w:rPr>
  </w:style>
  <w:style w:type="paragraph" w:customStyle="1" w:styleId="95">
    <w:name w:val="font7"/>
    <w:basedOn w:val="1"/>
    <w:qFormat/>
    <w:uiPriority w:val="0"/>
    <w:pPr>
      <w:widowControl/>
      <w:spacing w:before="100" w:beforeAutospacing="1" w:after="100" w:afterAutospacing="1" w:line="240" w:lineRule="auto"/>
      <w:ind w:firstLine="0" w:firstLineChars="0"/>
      <w:jc w:val="left"/>
    </w:pPr>
    <w:rPr>
      <w:color w:val="000000"/>
      <w:sz w:val="20"/>
      <w:szCs w:val="20"/>
    </w:rPr>
  </w:style>
  <w:style w:type="paragraph" w:customStyle="1" w:styleId="96">
    <w:name w:val="font8"/>
    <w:basedOn w:val="1"/>
    <w:qFormat/>
    <w:uiPriority w:val="0"/>
    <w:pPr>
      <w:widowControl/>
      <w:spacing w:before="100" w:beforeAutospacing="1" w:after="100" w:afterAutospacing="1" w:line="240" w:lineRule="auto"/>
      <w:ind w:firstLine="0" w:firstLineChars="0"/>
      <w:jc w:val="left"/>
    </w:pPr>
    <w:rPr>
      <w:rFonts w:ascii="宋体" w:hAnsi="宋体" w:cs="宋体"/>
      <w:color w:val="000000"/>
      <w:sz w:val="20"/>
      <w:szCs w:val="20"/>
    </w:rPr>
  </w:style>
  <w:style w:type="paragraph" w:customStyle="1" w:styleId="97">
    <w:name w:val="font9"/>
    <w:basedOn w:val="1"/>
    <w:qFormat/>
    <w:uiPriority w:val="0"/>
    <w:pPr>
      <w:widowControl/>
      <w:spacing w:before="100" w:beforeAutospacing="1" w:after="100" w:afterAutospacing="1" w:line="240" w:lineRule="auto"/>
      <w:ind w:firstLine="0" w:firstLineChars="0"/>
      <w:jc w:val="left"/>
    </w:pPr>
    <w:rPr>
      <w:rFonts w:ascii="宋体" w:hAnsi="宋体" w:cs="宋体"/>
      <w:color w:val="000000"/>
      <w:sz w:val="20"/>
      <w:szCs w:val="20"/>
    </w:rPr>
  </w:style>
  <w:style w:type="paragraph" w:customStyle="1" w:styleId="98">
    <w:name w:val="font10"/>
    <w:basedOn w:val="1"/>
    <w:qFormat/>
    <w:uiPriority w:val="0"/>
    <w:pPr>
      <w:widowControl/>
      <w:spacing w:before="100" w:beforeAutospacing="1" w:after="100" w:afterAutospacing="1" w:line="240" w:lineRule="auto"/>
      <w:ind w:firstLine="0" w:firstLineChars="0"/>
      <w:jc w:val="left"/>
    </w:pPr>
    <w:rPr>
      <w:rFonts w:ascii="宋体" w:hAnsi="宋体" w:cs="宋体"/>
      <w:b/>
      <w:bCs/>
      <w:color w:val="000000"/>
      <w:sz w:val="20"/>
      <w:szCs w:val="20"/>
    </w:rPr>
  </w:style>
  <w:style w:type="paragraph" w:customStyle="1" w:styleId="99">
    <w:name w:val="xl65"/>
    <w:basedOn w:val="1"/>
    <w:qFormat/>
    <w:uiPriority w:val="0"/>
    <w:pPr>
      <w:widowControl/>
      <w:spacing w:before="100" w:beforeAutospacing="1" w:after="100" w:afterAutospacing="1" w:line="240" w:lineRule="auto"/>
      <w:ind w:firstLine="0" w:firstLineChars="0"/>
      <w:jc w:val="center"/>
    </w:pPr>
    <w:rPr>
      <w:sz w:val="20"/>
      <w:szCs w:val="20"/>
    </w:rPr>
  </w:style>
  <w:style w:type="paragraph" w:customStyle="1" w:styleId="100">
    <w:name w:val="xl66"/>
    <w:basedOn w:val="1"/>
    <w:qFormat/>
    <w:uiPriority w:val="0"/>
    <w:pPr>
      <w:widowControl/>
      <w:spacing w:before="100" w:beforeAutospacing="1" w:after="100" w:afterAutospacing="1" w:line="240" w:lineRule="auto"/>
      <w:ind w:firstLine="0" w:firstLineChars="0"/>
      <w:jc w:val="center"/>
    </w:pPr>
    <w:rPr>
      <w:sz w:val="20"/>
      <w:szCs w:val="20"/>
    </w:rPr>
  </w:style>
  <w:style w:type="paragraph" w:customStyle="1" w:styleId="101">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sz w:val="20"/>
      <w:szCs w:val="20"/>
    </w:rPr>
  </w:style>
  <w:style w:type="paragraph" w:customStyle="1" w:styleId="102">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sz w:val="20"/>
      <w:szCs w:val="20"/>
    </w:rPr>
  </w:style>
  <w:style w:type="paragraph" w:customStyle="1" w:styleId="103">
    <w:name w:val="xl69"/>
    <w:basedOn w:val="1"/>
    <w:qFormat/>
    <w:uiPriority w:val="0"/>
    <w:pPr>
      <w:widowControl/>
      <w:spacing w:before="100" w:beforeAutospacing="1" w:after="100" w:afterAutospacing="1" w:line="240" w:lineRule="auto"/>
      <w:ind w:firstLine="0" w:firstLineChars="0"/>
      <w:jc w:val="center"/>
    </w:pPr>
    <w:rPr>
      <w:b/>
      <w:bCs/>
      <w:sz w:val="20"/>
      <w:szCs w:val="20"/>
    </w:rPr>
  </w:style>
  <w:style w:type="paragraph" w:customStyle="1" w:styleId="104">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b/>
      <w:bCs/>
      <w:sz w:val="20"/>
      <w:szCs w:val="20"/>
    </w:rPr>
  </w:style>
  <w:style w:type="paragraph" w:customStyle="1" w:styleId="105">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b/>
      <w:bCs/>
      <w:sz w:val="20"/>
      <w:szCs w:val="20"/>
    </w:rPr>
  </w:style>
  <w:style w:type="paragraph" w:customStyle="1" w:styleId="106">
    <w:name w:val="xl7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sz w:val="20"/>
      <w:szCs w:val="20"/>
    </w:rPr>
  </w:style>
  <w:style w:type="paragraph" w:customStyle="1" w:styleId="107">
    <w:name w:val="xl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sz w:val="20"/>
      <w:szCs w:val="20"/>
    </w:rPr>
  </w:style>
  <w:style w:type="paragraph" w:customStyle="1" w:styleId="108">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bottom"/>
    </w:pPr>
    <w:rPr>
      <w:color w:val="000000"/>
      <w:sz w:val="20"/>
      <w:szCs w:val="20"/>
    </w:rPr>
  </w:style>
  <w:style w:type="paragraph" w:customStyle="1" w:styleId="109">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sz w:val="20"/>
      <w:szCs w:val="20"/>
    </w:rPr>
  </w:style>
  <w:style w:type="paragraph" w:customStyle="1" w:styleId="110">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sz w:val="20"/>
      <w:szCs w:val="20"/>
    </w:rPr>
  </w:style>
  <w:style w:type="paragraph" w:customStyle="1" w:styleId="111">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sz w:val="20"/>
      <w:szCs w:val="20"/>
    </w:rPr>
  </w:style>
  <w:style w:type="paragraph" w:customStyle="1" w:styleId="112">
    <w:name w:val="xl78"/>
    <w:basedOn w:val="1"/>
    <w:qFormat/>
    <w:uiPriority w:val="0"/>
    <w:pPr>
      <w:widowControl/>
      <w:pBdr>
        <w:top w:val="single" w:color="auto" w:sz="4" w:space="0"/>
        <w:bottom w:val="single" w:color="auto" w:sz="4" w:space="0"/>
        <w:right w:val="single" w:color="auto" w:sz="4" w:space="0"/>
      </w:pBdr>
      <w:spacing w:before="100" w:beforeAutospacing="1" w:after="100" w:afterAutospacing="1" w:line="240" w:lineRule="auto"/>
      <w:ind w:firstLine="0" w:firstLineChars="0"/>
      <w:jc w:val="center"/>
    </w:pPr>
    <w:rPr>
      <w:sz w:val="20"/>
      <w:szCs w:val="20"/>
    </w:rPr>
  </w:style>
  <w:style w:type="paragraph" w:customStyle="1" w:styleId="113">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bottom"/>
    </w:pPr>
    <w:rPr>
      <w:sz w:val="20"/>
      <w:szCs w:val="20"/>
    </w:rPr>
  </w:style>
  <w:style w:type="paragraph" w:customStyle="1" w:styleId="114">
    <w:name w:val="xl80"/>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center"/>
    </w:pPr>
    <w:rPr>
      <w:b/>
      <w:bCs/>
      <w:sz w:val="20"/>
      <w:szCs w:val="20"/>
    </w:rPr>
  </w:style>
  <w:style w:type="paragraph" w:customStyle="1" w:styleId="115">
    <w:name w:val="xl81"/>
    <w:basedOn w:val="1"/>
    <w:qFormat/>
    <w:uiPriority w:val="0"/>
    <w:pPr>
      <w:widowControl/>
      <w:pBdr>
        <w:top w:val="single" w:color="auto" w:sz="4" w:space="0"/>
        <w:bottom w:val="single" w:color="auto" w:sz="4" w:space="0"/>
        <w:right w:val="single" w:color="auto" w:sz="4" w:space="0"/>
      </w:pBdr>
      <w:spacing w:before="100" w:beforeAutospacing="1" w:after="100" w:afterAutospacing="1" w:line="240" w:lineRule="auto"/>
      <w:ind w:firstLine="0" w:firstLineChars="0"/>
      <w:jc w:val="center"/>
    </w:pPr>
    <w:rPr>
      <w:b/>
      <w:bCs/>
      <w:sz w:val="20"/>
      <w:szCs w:val="20"/>
    </w:rPr>
  </w:style>
  <w:style w:type="paragraph" w:customStyle="1" w:styleId="116">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sz w:val="20"/>
      <w:szCs w:val="20"/>
    </w:rPr>
  </w:style>
  <w:style w:type="paragraph" w:customStyle="1" w:styleId="117">
    <w:name w:val="正文缩进2"/>
    <w:basedOn w:val="1"/>
    <w:qFormat/>
    <w:uiPriority w:val="0"/>
    <w:pPr>
      <w:ind w:firstLine="420"/>
    </w:pPr>
    <w:rPr>
      <w:sz w:val="28"/>
      <w:szCs w:val="20"/>
    </w:rPr>
  </w:style>
  <w:style w:type="paragraph" w:customStyle="1" w:styleId="118">
    <w:name w:val="列出段落3"/>
    <w:basedOn w:val="1"/>
    <w:qFormat/>
    <w:uiPriority w:val="34"/>
    <w:pPr>
      <w:ind w:firstLine="420"/>
    </w:pPr>
  </w:style>
  <w:style w:type="paragraph" w:customStyle="1" w:styleId="119">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sz w:val="20"/>
      <w:szCs w:val="20"/>
    </w:rPr>
  </w:style>
  <w:style w:type="paragraph" w:customStyle="1" w:styleId="120">
    <w:name w:val="xl84"/>
    <w:basedOn w:val="1"/>
    <w:qFormat/>
    <w:uiPriority w:val="0"/>
    <w:pPr>
      <w:widowControl/>
      <w:spacing w:before="100" w:beforeAutospacing="1" w:after="100" w:afterAutospacing="1" w:line="240" w:lineRule="auto"/>
      <w:ind w:firstLine="0" w:firstLineChars="0"/>
      <w:jc w:val="center"/>
    </w:pPr>
    <w:rPr>
      <w:sz w:val="20"/>
      <w:szCs w:val="20"/>
    </w:rPr>
  </w:style>
  <w:style w:type="paragraph" w:customStyle="1" w:styleId="121">
    <w:name w:val="xl85"/>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center"/>
    </w:pPr>
    <w:rPr>
      <w:b/>
      <w:bCs/>
      <w:sz w:val="20"/>
      <w:szCs w:val="20"/>
    </w:rPr>
  </w:style>
  <w:style w:type="paragraph" w:customStyle="1" w:styleId="122">
    <w:name w:val="xl86"/>
    <w:basedOn w:val="1"/>
    <w:qFormat/>
    <w:uiPriority w:val="0"/>
    <w:pPr>
      <w:widowControl/>
      <w:pBdr>
        <w:top w:val="single" w:color="auto" w:sz="4" w:space="0"/>
        <w:bottom w:val="single" w:color="auto" w:sz="4" w:space="0"/>
        <w:right w:val="single" w:color="auto" w:sz="4" w:space="0"/>
      </w:pBdr>
      <w:spacing w:before="100" w:beforeAutospacing="1" w:after="100" w:afterAutospacing="1" w:line="240" w:lineRule="auto"/>
      <w:ind w:firstLine="0" w:firstLineChars="0"/>
      <w:jc w:val="center"/>
    </w:pPr>
    <w:rPr>
      <w:b/>
      <w:bCs/>
      <w:sz w:val="20"/>
      <w:szCs w:val="20"/>
    </w:rPr>
  </w:style>
  <w:style w:type="paragraph" w:customStyle="1" w:styleId="123">
    <w:name w:val="列出段落4"/>
    <w:basedOn w:val="1"/>
    <w:link w:val="124"/>
    <w:qFormat/>
    <w:uiPriority w:val="34"/>
    <w:pPr>
      <w:ind w:firstLine="420"/>
    </w:pPr>
  </w:style>
  <w:style w:type="character" w:customStyle="1" w:styleId="124">
    <w:name w:val="列出段落 Char"/>
    <w:link w:val="123"/>
    <w:qFormat/>
    <w:uiPriority w:val="34"/>
    <w:rPr>
      <w:rFonts w:ascii="Times New Roman" w:hAnsi="Times New Roman" w:cs="Times New Roman"/>
      <w:sz w:val="24"/>
      <w:szCs w:val="24"/>
    </w:rPr>
  </w:style>
  <w:style w:type="character" w:customStyle="1" w:styleId="125">
    <w:name w:val="占位符文本1"/>
    <w:semiHidden/>
    <w:qFormat/>
    <w:uiPriority w:val="0"/>
    <w:rPr>
      <w:rFonts w:cs="Times New Roman"/>
      <w:color w:val="808080"/>
    </w:rPr>
  </w:style>
  <w:style w:type="character" w:customStyle="1" w:styleId="126">
    <w:name w:val="font41"/>
    <w:qFormat/>
    <w:uiPriority w:val="0"/>
    <w:rPr>
      <w:rFonts w:hint="eastAsia" w:ascii="宋体" w:hAnsi="宋体" w:eastAsia="宋体"/>
      <w:b/>
      <w:bCs/>
      <w:color w:val="000000"/>
      <w:sz w:val="20"/>
      <w:szCs w:val="20"/>
      <w:u w:val="none"/>
    </w:rPr>
  </w:style>
  <w:style w:type="character" w:customStyle="1" w:styleId="127">
    <w:name w:val="font51"/>
    <w:qFormat/>
    <w:uiPriority w:val="0"/>
    <w:rPr>
      <w:rFonts w:hint="default" w:ascii="Times New Roman" w:hAnsi="Times New Roman" w:cs="Times New Roman"/>
      <w:b/>
      <w:bCs/>
      <w:color w:val="000000"/>
      <w:sz w:val="20"/>
      <w:szCs w:val="20"/>
      <w:u w:val="none"/>
    </w:rPr>
  </w:style>
  <w:style w:type="character" w:customStyle="1" w:styleId="128">
    <w:name w:val="font11"/>
    <w:qFormat/>
    <w:uiPriority w:val="0"/>
    <w:rPr>
      <w:rFonts w:hint="default" w:ascii="Times New Roman" w:hAnsi="Times New Roman" w:cs="Times New Roman"/>
      <w:color w:val="000000"/>
      <w:sz w:val="20"/>
      <w:szCs w:val="20"/>
      <w:u w:val="none"/>
      <w:vertAlign w:val="superscript"/>
    </w:rPr>
  </w:style>
  <w:style w:type="paragraph" w:customStyle="1" w:styleId="129">
    <w:name w:val="列出段落5"/>
    <w:basedOn w:val="1"/>
    <w:unhideWhenUsed/>
    <w:qFormat/>
    <w:uiPriority w:val="99"/>
    <w:pPr>
      <w:ind w:firstLine="420"/>
    </w:pPr>
  </w:style>
  <w:style w:type="character" w:customStyle="1" w:styleId="130">
    <w:name w:val="description"/>
    <w:uiPriority w:val="0"/>
  </w:style>
  <w:style w:type="paragraph" w:customStyle="1" w:styleId="131">
    <w:name w:val="04"/>
    <w:basedOn w:val="63"/>
    <w:qFormat/>
    <w:uiPriority w:val="0"/>
    <w:pPr>
      <w:topLinePunct w:val="0"/>
      <w:snapToGrid/>
      <w:spacing w:before="120" w:after="120" w:line="440" w:lineRule="exact"/>
      <w:ind w:firstLine="0"/>
      <w:outlineLvl w:val="3"/>
    </w:pPr>
    <w:rPr>
      <w:b w:val="0"/>
      <w:sz w:val="24"/>
      <w:szCs w:val="28"/>
    </w:rPr>
  </w:style>
  <w:style w:type="character" w:customStyle="1" w:styleId="132">
    <w:name w:val="apple-converted-space"/>
    <w:uiPriority w:val="0"/>
  </w:style>
  <w:style w:type="paragraph" w:customStyle="1" w:styleId="133">
    <w:name w:val="xl24"/>
    <w:basedOn w:val="1"/>
    <w:qFormat/>
    <w:uiPriority w:val="0"/>
    <w:pPr>
      <w:widowControl/>
      <w:pBdr>
        <w:bottom w:val="single" w:color="auto" w:sz="4" w:space="0"/>
        <w:right w:val="single" w:color="auto" w:sz="4" w:space="0"/>
      </w:pBdr>
      <w:topLinePunct w:val="0"/>
      <w:spacing w:before="100" w:beforeAutospacing="1" w:after="100" w:afterAutospacing="1" w:line="240" w:lineRule="auto"/>
      <w:ind w:firstLine="0" w:firstLineChars="0"/>
      <w:jc w:val="center"/>
      <w:textAlignment w:val="top"/>
    </w:pPr>
    <w:rPr>
      <w:sz w:val="21"/>
      <w:szCs w:val="21"/>
    </w:rPr>
  </w:style>
  <w:style w:type="paragraph" w:customStyle="1" w:styleId="134">
    <w:name w:val="正文（文字）"/>
    <w:basedOn w:val="1"/>
    <w:link w:val="135"/>
    <w:qFormat/>
    <w:uiPriority w:val="0"/>
    <w:pPr>
      <w:widowControl/>
      <w:topLinePunct w:val="0"/>
      <w:ind w:firstLine="480"/>
    </w:pPr>
  </w:style>
  <w:style w:type="character" w:customStyle="1" w:styleId="135">
    <w:name w:val="正文（文字） Char"/>
    <w:link w:val="134"/>
    <w:uiPriority w:val="0"/>
    <w:rPr>
      <w:rFonts w:ascii="Times New Roman" w:hAnsi="Times New Roman" w:cs="Times New Roman"/>
      <w:sz w:val="24"/>
      <w:szCs w:val="24"/>
    </w:rPr>
  </w:style>
  <w:style w:type="paragraph" w:customStyle="1" w:styleId="136">
    <w:name w:val="三级标题"/>
    <w:basedOn w:val="4"/>
    <w:link w:val="137"/>
    <w:qFormat/>
    <w:uiPriority w:val="0"/>
  </w:style>
  <w:style w:type="character" w:customStyle="1" w:styleId="137">
    <w:name w:val="三级标题 Char"/>
    <w:link w:val="136"/>
    <w:uiPriority w:val="0"/>
    <w:rPr>
      <w:rFonts w:ascii="Times New Roman" w:hAnsi="Times New Roman" w:eastAsia="仿宋" w:cs="Times New Roman"/>
      <w:b/>
      <w:bCs/>
      <w:sz w:val="28"/>
      <w:szCs w:val="28"/>
    </w:rPr>
  </w:style>
  <w:style w:type="paragraph" w:customStyle="1" w:styleId="138">
    <w:name w:val="一级标题"/>
    <w:basedOn w:val="2"/>
    <w:link w:val="139"/>
    <w:uiPriority w:val="0"/>
  </w:style>
  <w:style w:type="character" w:customStyle="1" w:styleId="139">
    <w:name w:val="一级标题 Char"/>
    <w:link w:val="138"/>
    <w:uiPriority w:val="0"/>
    <w:rPr>
      <w:rFonts w:ascii="Times New Roman" w:hAnsi="Times New Roman" w:cs="Times New Roman"/>
      <w:b/>
      <w:bCs/>
      <w:sz w:val="32"/>
      <w:szCs w:val="32"/>
    </w:rPr>
  </w:style>
  <w:style w:type="paragraph" w:customStyle="1" w:styleId="140">
    <w:name w:val="一级标题syk"/>
    <w:basedOn w:val="2"/>
    <w:link w:val="141"/>
    <w:qFormat/>
    <w:uiPriority w:val="0"/>
    <w:pPr>
      <w:numPr>
        <w:ilvl w:val="0"/>
        <w:numId w:val="1"/>
      </w:numPr>
    </w:pPr>
  </w:style>
  <w:style w:type="character" w:customStyle="1" w:styleId="141">
    <w:name w:val="一级标题syk Char"/>
    <w:link w:val="140"/>
    <w:uiPriority w:val="0"/>
    <w:rPr>
      <w:rFonts w:ascii="Times New Roman" w:hAnsi="Times New Roman" w:eastAsia="仿宋" w:cs="Times New Roman"/>
      <w:b/>
      <w:bCs/>
      <w:sz w:val="32"/>
      <w:szCs w:val="32"/>
    </w:rPr>
  </w:style>
  <w:style w:type="paragraph" w:customStyle="1" w:styleId="142">
    <w:name w:val="二级标题"/>
    <w:basedOn w:val="3"/>
    <w:link w:val="143"/>
    <w:qFormat/>
    <w:uiPriority w:val="0"/>
  </w:style>
  <w:style w:type="character" w:customStyle="1" w:styleId="143">
    <w:name w:val="二级标题 Char"/>
    <w:basedOn w:val="51"/>
    <w:link w:val="142"/>
    <w:qFormat/>
    <w:uiPriority w:val="0"/>
    <w:rPr>
      <w:rFonts w:ascii="Times New Roman" w:hAnsi="Times New Roman" w:eastAsia="仿宋" w:cs="Times New Roman"/>
      <w:sz w:val="30"/>
      <w:szCs w:val="30"/>
    </w:rPr>
  </w:style>
  <w:style w:type="paragraph" w:customStyle="1" w:styleId="144">
    <w:name w:val="三级标题0"/>
    <w:basedOn w:val="4"/>
    <w:link w:val="145"/>
    <w:qFormat/>
    <w:uiPriority w:val="0"/>
  </w:style>
  <w:style w:type="character" w:customStyle="1" w:styleId="145">
    <w:name w:val="三级标题0 Char"/>
    <w:basedOn w:val="53"/>
    <w:link w:val="144"/>
    <w:qFormat/>
    <w:uiPriority w:val="0"/>
    <w:rPr>
      <w:rFonts w:ascii="Times New Roman" w:hAnsi="Times New Roman" w:eastAsia="仿宋" w:cs="Times New Roman"/>
      <w:sz w:val="28"/>
      <w:szCs w:val="28"/>
    </w:rPr>
  </w:style>
  <w:style w:type="paragraph" w:customStyle="1" w:styleId="146">
    <w:name w:val="四级标题"/>
    <w:basedOn w:val="5"/>
    <w:link w:val="147"/>
    <w:qFormat/>
    <w:uiPriority w:val="0"/>
    <w:pPr>
      <w:numPr>
        <w:ilvl w:val="0"/>
        <w:numId w:val="0"/>
      </w:numPr>
    </w:pPr>
  </w:style>
  <w:style w:type="character" w:customStyle="1" w:styleId="147">
    <w:name w:val="四级标题 Char"/>
    <w:basedOn w:val="49"/>
    <w:link w:val="146"/>
    <w:qFormat/>
    <w:uiPriority w:val="0"/>
    <w:rPr>
      <w:rFonts w:ascii="Times New Roman" w:hAnsi="Times New Roman" w:eastAsia="仿宋" w:cs="Times New Roman"/>
      <w:sz w:val="24"/>
      <w:szCs w:val="24"/>
    </w:rPr>
  </w:style>
  <w:style w:type="paragraph" w:styleId="148">
    <w:name w:val="List Paragraph"/>
    <w:basedOn w:val="1"/>
    <w:qFormat/>
    <w:uiPriority w:val="34"/>
    <w:pPr>
      <w:topLinePunct w:val="0"/>
      <w:ind w:firstLine="420"/>
      <w:textAlignment w:val="center"/>
    </w:pPr>
    <w:rPr>
      <w:kern w:val="2"/>
      <w:sz w:val="28"/>
    </w:rPr>
  </w:style>
  <w:style w:type="character" w:customStyle="1" w:styleId="149">
    <w:name w:val="日期 Char"/>
    <w:basedOn w:val="42"/>
    <w:link w:val="24"/>
    <w:qFormat/>
    <w:uiPriority w:val="0"/>
    <w:rPr>
      <w:rFonts w:ascii="Times New Roman" w:hAnsi="Times New Roman" w:cs="Times New Roman"/>
      <w:sz w:val="24"/>
      <w:szCs w:val="24"/>
    </w:rPr>
  </w:style>
  <w:style w:type="paragraph" w:customStyle="1" w:styleId="150">
    <w:name w:val="表（方 案）"/>
    <w:basedOn w:val="86"/>
    <w:link w:val="151"/>
    <w:qFormat/>
    <w:uiPriority w:val="0"/>
    <w:pPr>
      <w:topLinePunct w:val="0"/>
      <w:spacing w:line="408" w:lineRule="auto"/>
      <w:ind w:left="1320" w:hanging="420"/>
    </w:pPr>
    <w:rPr>
      <w:snapToGrid w:val="0"/>
      <w:color w:val="000000"/>
      <w:szCs w:val="24"/>
    </w:rPr>
  </w:style>
  <w:style w:type="character" w:customStyle="1" w:styleId="151">
    <w:name w:val="表（方 案） Char"/>
    <w:basedOn w:val="87"/>
    <w:link w:val="150"/>
    <w:qFormat/>
    <w:uiPriority w:val="0"/>
    <w:rPr>
      <w:rFonts w:ascii="Times New Roman" w:hAnsi="Times New Roman" w:cs="Times New Roman"/>
      <w:snapToGrid w:val="0"/>
      <w:color w:val="000000"/>
      <w:sz w:val="24"/>
      <w:szCs w:val="24"/>
    </w:rPr>
  </w:style>
  <w:style w:type="character" w:customStyle="1" w:styleId="152">
    <w:name w:val="正文缩进 Char"/>
    <w:link w:val="13"/>
    <w:qFormat/>
    <w:uiPriority w:val="0"/>
    <w:rPr>
      <w:rFonts w:ascii="Times New Roman" w:hAnsi="Times New Roman" w:cs="Times New Roman"/>
      <w:kern w:val="2"/>
      <w:sz w:val="24"/>
      <w:szCs w:val="24"/>
    </w:rPr>
  </w:style>
  <w:style w:type="paragraph" w:customStyle="1" w:styleId="153">
    <w:name w:val="font1"/>
    <w:basedOn w:val="1"/>
    <w:qFormat/>
    <w:uiPriority w:val="0"/>
    <w:pPr>
      <w:widowControl/>
      <w:topLinePunct w:val="0"/>
      <w:adjustRightInd/>
      <w:snapToGrid/>
      <w:spacing w:before="100" w:beforeAutospacing="1" w:after="100" w:afterAutospacing="1" w:line="240" w:lineRule="auto"/>
      <w:ind w:firstLine="0" w:firstLineChars="0"/>
      <w:jc w:val="left"/>
    </w:pPr>
    <w:rPr>
      <w:rFonts w:ascii="宋体" w:hAnsi="宋体" w:cs="宋体"/>
      <w:color w:val="000000"/>
      <w:sz w:val="22"/>
      <w:szCs w:val="22"/>
    </w:rPr>
  </w:style>
  <w:style w:type="paragraph" w:customStyle="1" w:styleId="154">
    <w:name w:val="xl87"/>
    <w:basedOn w:val="1"/>
    <w:qFormat/>
    <w:uiPriority w:val="0"/>
    <w:pPr>
      <w:widowControl/>
      <w:pBdr>
        <w:top w:val="single" w:color="auto" w:sz="4" w:space="0"/>
        <w:left w:val="single" w:color="auto" w:sz="4" w:space="0"/>
        <w:bottom w:val="single" w:color="auto" w:sz="4" w:space="0"/>
      </w:pBdr>
      <w:topLinePunct w:val="0"/>
      <w:adjustRightInd/>
      <w:snapToGrid/>
      <w:spacing w:before="100" w:beforeAutospacing="1" w:after="100" w:afterAutospacing="1" w:line="240" w:lineRule="auto"/>
      <w:ind w:firstLine="0" w:firstLineChars="0"/>
      <w:jc w:val="center"/>
    </w:pPr>
    <w:rPr>
      <w:b/>
      <w:bCs/>
      <w:sz w:val="20"/>
      <w:szCs w:val="20"/>
    </w:rPr>
  </w:style>
  <w:style w:type="paragraph" w:customStyle="1" w:styleId="155">
    <w:name w:val="xl88"/>
    <w:basedOn w:val="1"/>
    <w:qFormat/>
    <w:uiPriority w:val="0"/>
    <w:pPr>
      <w:widowControl/>
      <w:pBdr>
        <w:top w:val="single" w:color="auto" w:sz="4" w:space="0"/>
        <w:bottom w:val="single" w:color="auto" w:sz="4" w:space="0"/>
        <w:right w:val="single" w:color="auto" w:sz="4" w:space="0"/>
      </w:pBdr>
      <w:topLinePunct w:val="0"/>
      <w:adjustRightInd/>
      <w:snapToGrid/>
      <w:spacing w:before="100" w:beforeAutospacing="1" w:after="100" w:afterAutospacing="1" w:line="240" w:lineRule="auto"/>
      <w:ind w:firstLine="0" w:firstLineChars="0"/>
      <w:jc w:val="center"/>
    </w:pPr>
    <w:rPr>
      <w:b/>
      <w:bCs/>
      <w:sz w:val="20"/>
      <w:szCs w:val="20"/>
    </w:rPr>
  </w:style>
  <w:style w:type="paragraph" w:customStyle="1" w:styleId="156">
    <w:name w:val="xl89"/>
    <w:basedOn w:val="1"/>
    <w:qFormat/>
    <w:uiPriority w:val="0"/>
    <w:pPr>
      <w:widowControl/>
      <w:pBdr>
        <w:top w:val="single" w:color="auto" w:sz="4" w:space="0"/>
        <w:left w:val="single" w:color="auto" w:sz="4" w:space="0"/>
        <w:bottom w:val="single" w:color="auto" w:sz="4" w:space="0"/>
      </w:pBdr>
      <w:topLinePunct w:val="0"/>
      <w:adjustRightInd/>
      <w:snapToGrid/>
      <w:spacing w:before="100" w:beforeAutospacing="1" w:after="100" w:afterAutospacing="1" w:line="240" w:lineRule="auto"/>
      <w:ind w:firstLine="0" w:firstLineChars="0"/>
      <w:jc w:val="center"/>
    </w:pPr>
    <w:rPr>
      <w:rFonts w:ascii="宋体" w:hAnsi="宋体" w:cs="宋体"/>
      <w:b/>
      <w:bCs/>
      <w:sz w:val="20"/>
      <w:szCs w:val="20"/>
    </w:rPr>
  </w:style>
  <w:style w:type="paragraph" w:customStyle="1" w:styleId="157">
    <w:name w:val="xl90"/>
    <w:basedOn w:val="1"/>
    <w:qFormat/>
    <w:uiPriority w:val="0"/>
    <w:pPr>
      <w:widowControl/>
      <w:pBdr>
        <w:top w:val="single" w:color="auto" w:sz="4" w:space="0"/>
        <w:left w:val="single" w:color="auto" w:sz="4" w:space="0"/>
        <w:right w:val="single" w:color="auto" w:sz="4" w:space="0"/>
      </w:pBdr>
      <w:topLinePunct w:val="0"/>
      <w:adjustRightInd/>
      <w:snapToGrid/>
      <w:spacing w:before="100" w:beforeAutospacing="1" w:after="100" w:afterAutospacing="1" w:line="240" w:lineRule="auto"/>
      <w:ind w:firstLine="0" w:firstLineChars="0"/>
      <w:jc w:val="center"/>
    </w:pPr>
    <w:rPr>
      <w:b/>
      <w:bCs/>
      <w:sz w:val="20"/>
      <w:szCs w:val="20"/>
    </w:rPr>
  </w:style>
  <w:style w:type="paragraph" w:customStyle="1" w:styleId="158">
    <w:name w:val="xl91"/>
    <w:basedOn w:val="1"/>
    <w:uiPriority w:val="0"/>
    <w:pPr>
      <w:widowControl/>
      <w:pBdr>
        <w:top w:val="single" w:color="auto" w:sz="4" w:space="0"/>
        <w:left w:val="single" w:color="auto" w:sz="4" w:space="0"/>
        <w:right w:val="single" w:color="auto" w:sz="4" w:space="0"/>
      </w:pBdr>
      <w:topLinePunct w:val="0"/>
      <w:adjustRightInd/>
      <w:snapToGrid/>
      <w:spacing w:before="100" w:beforeAutospacing="1" w:after="100" w:afterAutospacing="1" w:line="240" w:lineRule="auto"/>
      <w:ind w:firstLine="0" w:firstLineChars="0"/>
      <w:jc w:val="center"/>
    </w:pPr>
    <w:rPr>
      <w:b/>
      <w:bCs/>
      <w:sz w:val="20"/>
      <w:szCs w:val="20"/>
    </w:rPr>
  </w:style>
  <w:style w:type="paragraph" w:customStyle="1" w:styleId="159">
    <w:name w:val="xl92"/>
    <w:basedOn w:val="1"/>
    <w:uiPriority w:val="0"/>
    <w:pPr>
      <w:widowControl/>
      <w:pBdr>
        <w:top w:val="single" w:color="auto" w:sz="4" w:space="0"/>
        <w:left w:val="single" w:color="auto" w:sz="4" w:space="0"/>
        <w:right w:val="single" w:color="auto" w:sz="4" w:space="0"/>
      </w:pBdr>
      <w:topLinePunct w:val="0"/>
      <w:adjustRightInd/>
      <w:snapToGrid/>
      <w:spacing w:before="100" w:beforeAutospacing="1" w:after="100" w:afterAutospacing="1" w:line="240" w:lineRule="auto"/>
      <w:ind w:firstLine="0" w:firstLineChars="0"/>
      <w:jc w:val="center"/>
    </w:pPr>
    <w:rPr>
      <w:b/>
      <w:bCs/>
      <w:sz w:val="20"/>
      <w:szCs w:val="20"/>
    </w:rPr>
  </w:style>
  <w:style w:type="paragraph" w:customStyle="1" w:styleId="160">
    <w:name w:val="xl93"/>
    <w:basedOn w:val="1"/>
    <w:qFormat/>
    <w:uiPriority w:val="0"/>
    <w:pPr>
      <w:widowControl/>
      <w:pBdr>
        <w:left w:val="single" w:color="auto" w:sz="4" w:space="0"/>
        <w:bottom w:val="single" w:color="auto" w:sz="4" w:space="0"/>
        <w:right w:val="single" w:color="auto" w:sz="4" w:space="0"/>
      </w:pBdr>
      <w:topLinePunct w:val="0"/>
      <w:adjustRightInd/>
      <w:snapToGrid/>
      <w:spacing w:before="100" w:beforeAutospacing="1" w:after="100" w:afterAutospacing="1" w:line="240" w:lineRule="auto"/>
      <w:ind w:firstLine="0" w:firstLineChars="0"/>
      <w:jc w:val="center"/>
    </w:pPr>
    <w:rPr>
      <w:rFonts w:ascii="宋体" w:hAnsi="宋体" w:cs="宋体"/>
      <w:b/>
      <w:bCs/>
      <w:sz w:val="20"/>
      <w:szCs w:val="20"/>
    </w:rPr>
  </w:style>
  <w:style w:type="paragraph" w:customStyle="1" w:styleId="161">
    <w:name w:val="xl94"/>
    <w:basedOn w:val="1"/>
    <w:qFormat/>
    <w:uiPriority w:val="0"/>
    <w:pPr>
      <w:widowControl/>
      <w:pBdr>
        <w:left w:val="single" w:color="auto" w:sz="4" w:space="0"/>
        <w:bottom w:val="single" w:color="auto" w:sz="4" w:space="0"/>
        <w:right w:val="single" w:color="auto" w:sz="4" w:space="0"/>
      </w:pBdr>
      <w:topLinePunct w:val="0"/>
      <w:adjustRightInd/>
      <w:snapToGrid/>
      <w:spacing w:before="100" w:beforeAutospacing="1" w:after="100" w:afterAutospacing="1" w:line="240" w:lineRule="auto"/>
      <w:ind w:firstLine="0" w:firstLineChars="0"/>
      <w:jc w:val="center"/>
    </w:pPr>
    <w:rPr>
      <w:b/>
      <w:bCs/>
      <w:sz w:val="20"/>
      <w:szCs w:val="20"/>
    </w:rPr>
  </w:style>
  <w:style w:type="paragraph" w:customStyle="1" w:styleId="162">
    <w:name w:val="xl95"/>
    <w:basedOn w:val="1"/>
    <w:qFormat/>
    <w:uiPriority w:val="0"/>
    <w:pPr>
      <w:widowControl/>
      <w:pBdr>
        <w:left w:val="single" w:color="auto" w:sz="4" w:space="0"/>
        <w:bottom w:val="single" w:color="auto" w:sz="4" w:space="0"/>
        <w:right w:val="single" w:color="auto" w:sz="4" w:space="0"/>
      </w:pBdr>
      <w:topLinePunct w:val="0"/>
      <w:adjustRightInd/>
      <w:snapToGrid/>
      <w:spacing w:before="100" w:beforeAutospacing="1" w:after="100" w:afterAutospacing="1" w:line="240" w:lineRule="auto"/>
      <w:ind w:firstLine="0" w:firstLineChars="0"/>
      <w:jc w:val="center"/>
    </w:pPr>
    <w:rPr>
      <w:b/>
      <w:bCs/>
      <w:sz w:val="20"/>
      <w:szCs w:val="20"/>
    </w:rPr>
  </w:style>
  <w:style w:type="paragraph" w:customStyle="1" w:styleId="163">
    <w:name w:val="xl96"/>
    <w:basedOn w:val="1"/>
    <w:qFormat/>
    <w:uiPriority w:val="0"/>
    <w:pPr>
      <w:widowControl/>
      <w:pBdr>
        <w:left w:val="single" w:color="auto" w:sz="4" w:space="0"/>
        <w:bottom w:val="single" w:color="auto" w:sz="4" w:space="0"/>
        <w:right w:val="single" w:color="auto" w:sz="4" w:space="0"/>
      </w:pBdr>
      <w:topLinePunct w:val="0"/>
      <w:adjustRightInd/>
      <w:snapToGrid/>
      <w:spacing w:before="100" w:beforeAutospacing="1" w:after="100" w:afterAutospacing="1" w:line="240" w:lineRule="auto"/>
      <w:ind w:firstLine="0" w:firstLineChars="0"/>
      <w:jc w:val="center"/>
    </w:pPr>
    <w:rPr>
      <w:b/>
      <w:bCs/>
      <w:sz w:val="20"/>
      <w:szCs w:val="20"/>
    </w:rPr>
  </w:style>
  <w:style w:type="paragraph" w:customStyle="1" w:styleId="164">
    <w:name w:val="xl97"/>
    <w:basedOn w:val="1"/>
    <w:qFormat/>
    <w:uiPriority w:val="0"/>
    <w:pPr>
      <w:widowControl/>
      <w:pBdr>
        <w:top w:val="single" w:color="auto" w:sz="4" w:space="0"/>
        <w:left w:val="single" w:color="auto" w:sz="4" w:space="0"/>
        <w:bottom w:val="single" w:color="auto" w:sz="4" w:space="0"/>
        <w:right w:val="single" w:color="auto" w:sz="4" w:space="0"/>
      </w:pBdr>
      <w:topLinePunct w:val="0"/>
      <w:adjustRightInd/>
      <w:snapToGrid/>
      <w:spacing w:before="100" w:beforeAutospacing="1" w:after="100" w:afterAutospacing="1" w:line="240" w:lineRule="auto"/>
      <w:ind w:firstLine="0" w:firstLineChars="0"/>
      <w:jc w:val="center"/>
    </w:pPr>
    <w:rPr>
      <w:rFonts w:ascii="宋体" w:hAnsi="宋体" w:cs="宋体"/>
      <w:color w:val="000000"/>
      <w:sz w:val="20"/>
      <w:szCs w:val="20"/>
    </w:rPr>
  </w:style>
  <w:style w:type="paragraph" w:customStyle="1" w:styleId="165">
    <w:name w:val="xl98"/>
    <w:basedOn w:val="1"/>
    <w:qFormat/>
    <w:uiPriority w:val="0"/>
    <w:pPr>
      <w:widowControl/>
      <w:pBdr>
        <w:top w:val="single" w:color="auto" w:sz="4" w:space="0"/>
        <w:left w:val="single" w:color="auto" w:sz="4" w:space="0"/>
        <w:bottom w:val="single" w:color="auto" w:sz="4" w:space="0"/>
        <w:right w:val="single" w:color="auto" w:sz="4" w:space="0"/>
      </w:pBdr>
      <w:topLinePunct w:val="0"/>
      <w:adjustRightInd/>
      <w:snapToGrid/>
      <w:spacing w:before="100" w:beforeAutospacing="1" w:after="100" w:afterAutospacing="1" w:line="240" w:lineRule="auto"/>
      <w:ind w:firstLine="0" w:firstLineChars="0"/>
      <w:jc w:val="center"/>
    </w:pPr>
    <w:rPr>
      <w:color w:val="000000"/>
      <w:sz w:val="18"/>
      <w:szCs w:val="18"/>
    </w:rPr>
  </w:style>
  <w:style w:type="paragraph" w:customStyle="1" w:styleId="166">
    <w:name w:val="xl99"/>
    <w:basedOn w:val="1"/>
    <w:qFormat/>
    <w:uiPriority w:val="0"/>
    <w:pPr>
      <w:widowControl/>
      <w:pBdr>
        <w:top w:val="single" w:color="auto" w:sz="4" w:space="0"/>
        <w:left w:val="single" w:color="auto" w:sz="4" w:space="0"/>
      </w:pBdr>
      <w:topLinePunct w:val="0"/>
      <w:adjustRightInd/>
      <w:snapToGrid/>
      <w:spacing w:before="100" w:beforeAutospacing="1" w:after="100" w:afterAutospacing="1" w:line="240" w:lineRule="auto"/>
      <w:ind w:firstLine="0" w:firstLineChars="0"/>
      <w:jc w:val="center"/>
    </w:pPr>
    <w:rPr>
      <w:rFonts w:ascii="宋体" w:hAnsi="宋体" w:cs="宋体"/>
      <w:b/>
      <w:bCs/>
      <w:sz w:val="20"/>
      <w:szCs w:val="20"/>
    </w:rPr>
  </w:style>
  <w:style w:type="paragraph" w:customStyle="1" w:styleId="167">
    <w:name w:val="xl100"/>
    <w:basedOn w:val="1"/>
    <w:qFormat/>
    <w:uiPriority w:val="0"/>
    <w:pPr>
      <w:widowControl/>
      <w:pBdr>
        <w:top w:val="single" w:color="auto" w:sz="4" w:space="0"/>
        <w:right w:val="single" w:color="auto" w:sz="4" w:space="0"/>
      </w:pBdr>
      <w:topLinePunct w:val="0"/>
      <w:adjustRightInd/>
      <w:snapToGrid/>
      <w:spacing w:before="100" w:beforeAutospacing="1" w:after="100" w:afterAutospacing="1" w:line="240" w:lineRule="auto"/>
      <w:ind w:firstLine="0" w:firstLineChars="0"/>
      <w:jc w:val="center"/>
    </w:pPr>
    <w:rPr>
      <w:b/>
      <w:bCs/>
      <w:sz w:val="20"/>
      <w:szCs w:val="20"/>
    </w:rPr>
  </w:style>
  <w:style w:type="paragraph" w:customStyle="1" w:styleId="168">
    <w:name w:val="font12"/>
    <w:basedOn w:val="1"/>
    <w:qFormat/>
    <w:uiPriority w:val="0"/>
    <w:pPr>
      <w:widowControl/>
      <w:topLinePunct w:val="0"/>
      <w:adjustRightInd/>
      <w:snapToGrid/>
      <w:spacing w:before="100" w:beforeAutospacing="1" w:after="100" w:afterAutospacing="1" w:line="240" w:lineRule="auto"/>
      <w:ind w:firstLine="0" w:firstLineChars="0"/>
      <w:jc w:val="left"/>
    </w:pPr>
    <w:rPr>
      <w:rFonts w:ascii="宋体" w:hAnsi="宋体" w:cs="宋体"/>
      <w:color w:val="000000"/>
      <w:sz w:val="20"/>
      <w:szCs w:val="20"/>
    </w:rPr>
  </w:style>
  <w:style w:type="paragraph" w:customStyle="1" w:styleId="169">
    <w:name w:val="font13"/>
    <w:basedOn w:val="1"/>
    <w:qFormat/>
    <w:uiPriority w:val="0"/>
    <w:pPr>
      <w:widowControl/>
      <w:topLinePunct w:val="0"/>
      <w:adjustRightInd/>
      <w:snapToGrid/>
      <w:spacing w:before="100" w:beforeAutospacing="1" w:after="100" w:afterAutospacing="1" w:line="240" w:lineRule="auto"/>
      <w:ind w:firstLine="0" w:firstLineChars="0"/>
      <w:jc w:val="left"/>
    </w:pPr>
    <w:rPr>
      <w:rFonts w:ascii="宋体" w:hAnsi="宋体" w:cs="宋体"/>
      <w:b/>
      <w:bCs/>
      <w:color w:val="000000"/>
      <w:sz w:val="20"/>
      <w:szCs w:val="20"/>
    </w:rPr>
  </w:style>
  <w:style w:type="paragraph" w:customStyle="1" w:styleId="170">
    <w:name w:val="xl64"/>
    <w:basedOn w:val="1"/>
    <w:qFormat/>
    <w:uiPriority w:val="0"/>
    <w:pPr>
      <w:widowControl/>
      <w:pBdr>
        <w:top w:val="single" w:color="auto" w:sz="4" w:space="0"/>
        <w:left w:val="single" w:color="auto" w:sz="4" w:space="0"/>
        <w:bottom w:val="single" w:color="auto" w:sz="4" w:space="0"/>
        <w:right w:val="single" w:color="auto" w:sz="4" w:space="0"/>
      </w:pBdr>
      <w:topLinePunct w:val="0"/>
      <w:adjustRightInd/>
      <w:snapToGrid/>
      <w:spacing w:before="100" w:beforeAutospacing="1" w:after="100" w:afterAutospacing="1" w:line="240" w:lineRule="auto"/>
      <w:ind w:firstLine="0" w:firstLineChars="0"/>
      <w:jc w:val="center"/>
    </w:pPr>
    <w:rPr>
      <w:sz w:val="20"/>
      <w:szCs w:val="20"/>
    </w:rPr>
  </w:style>
  <w:style w:type="paragraph" w:customStyle="1" w:styleId="171">
    <w:name w:val="xl63"/>
    <w:basedOn w:val="1"/>
    <w:qFormat/>
    <w:uiPriority w:val="0"/>
    <w:pPr>
      <w:widowControl/>
      <w:topLinePunct w:val="0"/>
      <w:adjustRightInd/>
      <w:snapToGrid/>
      <w:spacing w:before="100" w:beforeAutospacing="1" w:after="100" w:afterAutospacing="1" w:line="240" w:lineRule="auto"/>
      <w:ind w:firstLine="0" w:firstLineChars="0"/>
      <w:jc w:val="left"/>
    </w:pPr>
    <w:rPr>
      <w:b/>
      <w:bCs/>
      <w:sz w:val="20"/>
      <w:szCs w:val="20"/>
    </w:rPr>
  </w:style>
  <w:style w:type="paragraph" w:customStyle="1" w:styleId="172">
    <w:name w:val="xl101"/>
    <w:basedOn w:val="1"/>
    <w:qFormat/>
    <w:uiPriority w:val="0"/>
    <w:pPr>
      <w:widowControl/>
      <w:pBdr>
        <w:top w:val="single" w:color="auto" w:sz="4" w:space="0"/>
        <w:left w:val="single" w:color="auto" w:sz="4" w:space="0"/>
        <w:bottom w:val="single" w:color="auto" w:sz="4" w:space="0"/>
        <w:right w:val="single" w:color="auto" w:sz="4" w:space="0"/>
      </w:pBdr>
      <w:topLinePunct w:val="0"/>
      <w:adjustRightInd/>
      <w:snapToGrid/>
      <w:spacing w:before="100" w:beforeAutospacing="1" w:after="100" w:afterAutospacing="1" w:line="240" w:lineRule="auto"/>
      <w:ind w:firstLine="0" w:firstLineChars="0"/>
      <w:jc w:val="center"/>
      <w:textAlignment w:val="bottom"/>
    </w:pPr>
    <w:rPr>
      <w:sz w:val="21"/>
      <w:szCs w:val="21"/>
    </w:rPr>
  </w:style>
  <w:style w:type="paragraph" w:customStyle="1" w:styleId="173">
    <w:name w:val="xl102"/>
    <w:basedOn w:val="1"/>
    <w:qFormat/>
    <w:uiPriority w:val="0"/>
    <w:pPr>
      <w:widowControl/>
      <w:pBdr>
        <w:top w:val="single" w:color="auto" w:sz="4" w:space="0"/>
        <w:left w:val="single" w:color="auto" w:sz="4" w:space="0"/>
        <w:bottom w:val="single" w:color="auto" w:sz="4" w:space="0"/>
        <w:right w:val="single" w:color="auto" w:sz="4" w:space="0"/>
      </w:pBdr>
      <w:topLinePunct w:val="0"/>
      <w:adjustRightInd/>
      <w:snapToGrid/>
      <w:spacing w:before="100" w:beforeAutospacing="1" w:after="100" w:afterAutospacing="1" w:line="240" w:lineRule="auto"/>
      <w:ind w:firstLine="0" w:firstLineChars="0"/>
      <w:jc w:val="center"/>
      <w:textAlignment w:val="bottom"/>
    </w:pPr>
    <w:rPr>
      <w:sz w:val="21"/>
      <w:szCs w:val="21"/>
    </w:rPr>
  </w:style>
  <w:style w:type="paragraph" w:customStyle="1" w:styleId="174">
    <w:name w:val="xl103"/>
    <w:basedOn w:val="1"/>
    <w:qFormat/>
    <w:uiPriority w:val="0"/>
    <w:pPr>
      <w:widowControl/>
      <w:pBdr>
        <w:top w:val="single" w:color="auto" w:sz="4" w:space="0"/>
        <w:left w:val="single" w:color="auto" w:sz="4" w:space="0"/>
      </w:pBdr>
      <w:topLinePunct w:val="0"/>
      <w:adjustRightInd/>
      <w:snapToGrid/>
      <w:spacing w:before="100" w:beforeAutospacing="1" w:after="100" w:afterAutospacing="1" w:line="240" w:lineRule="auto"/>
      <w:ind w:firstLine="0" w:firstLineChars="0"/>
      <w:jc w:val="center"/>
    </w:pPr>
    <w:rPr>
      <w:rFonts w:ascii="宋体" w:hAnsi="宋体" w:cs="宋体"/>
      <w:b/>
      <w:bCs/>
      <w:sz w:val="20"/>
      <w:szCs w:val="20"/>
    </w:rPr>
  </w:style>
  <w:style w:type="paragraph" w:customStyle="1" w:styleId="175">
    <w:name w:val="xl104"/>
    <w:basedOn w:val="1"/>
    <w:qFormat/>
    <w:uiPriority w:val="0"/>
    <w:pPr>
      <w:widowControl/>
      <w:pBdr>
        <w:top w:val="single" w:color="auto" w:sz="4" w:space="0"/>
        <w:right w:val="single" w:color="auto" w:sz="4" w:space="0"/>
      </w:pBdr>
      <w:topLinePunct w:val="0"/>
      <w:adjustRightInd/>
      <w:snapToGrid/>
      <w:spacing w:before="100" w:beforeAutospacing="1" w:after="100" w:afterAutospacing="1" w:line="240" w:lineRule="auto"/>
      <w:ind w:firstLine="0" w:firstLineChars="0"/>
      <w:jc w:val="center"/>
    </w:pPr>
    <w:rPr>
      <w:b/>
      <w:bCs/>
      <w:sz w:val="20"/>
      <w:szCs w:val="20"/>
    </w:rPr>
  </w:style>
  <w:style w:type="paragraph" w:customStyle="1" w:styleId="176">
    <w:name w:val="方案正文"/>
    <w:basedOn w:val="1"/>
    <w:link w:val="177"/>
    <w:qFormat/>
    <w:uiPriority w:val="0"/>
    <w:pPr>
      <w:topLinePunct w:val="0"/>
      <w:adjustRightInd/>
      <w:snapToGrid/>
      <w:ind w:firstLine="480"/>
    </w:pPr>
    <w:rPr>
      <w:rFonts w:cs="宋体"/>
      <w:color w:val="000000"/>
      <w:kern w:val="2"/>
    </w:rPr>
  </w:style>
  <w:style w:type="character" w:customStyle="1" w:styleId="177">
    <w:name w:val="方案正文 Char"/>
    <w:link w:val="176"/>
    <w:qFormat/>
    <w:uiPriority w:val="0"/>
    <w:rPr>
      <w:rFonts w:ascii="Times New Roman" w:hAnsi="Times New Roman" w:cs="宋体"/>
      <w:color w:val="000000"/>
      <w:kern w:val="2"/>
      <w:sz w:val="24"/>
      <w:szCs w:val="24"/>
    </w:rPr>
  </w:style>
  <w:style w:type="paragraph" w:customStyle="1" w:styleId="178">
    <w:name w:val="表内容"/>
    <w:basedOn w:val="1"/>
    <w:qFormat/>
    <w:uiPriority w:val="0"/>
    <w:pPr>
      <w:topLinePunct w:val="0"/>
      <w:snapToGrid/>
      <w:spacing w:line="320" w:lineRule="exact"/>
      <w:ind w:firstLine="0" w:firstLineChars="0"/>
      <w:jc w:val="center"/>
    </w:pPr>
  </w:style>
  <w:style w:type="paragraph" w:customStyle="1" w:styleId="179">
    <w:name w:val="（1）标题样式"/>
    <w:basedOn w:val="1"/>
    <w:next w:val="1"/>
    <w:link w:val="180"/>
    <w:qFormat/>
    <w:uiPriority w:val="0"/>
    <w:pPr>
      <w:widowControl/>
      <w:topLinePunct w:val="0"/>
      <w:ind w:left="782" w:hanging="357" w:firstLineChars="0"/>
    </w:pPr>
    <w:rPr>
      <w:color w:val="000000" w:themeColor="text1"/>
    </w:rPr>
  </w:style>
  <w:style w:type="character" w:customStyle="1" w:styleId="180">
    <w:name w:val="（1）标题样式 Char"/>
    <w:basedOn w:val="42"/>
    <w:link w:val="179"/>
    <w:qFormat/>
    <w:uiPriority w:val="0"/>
    <w:rPr>
      <w:rFonts w:ascii="Times New Roman" w:hAnsi="Times New Roman" w:cs="Times New Roman"/>
      <w:color w:val="000000" w:themeColor="text1"/>
      <w:sz w:val="24"/>
      <w:szCs w:val="24"/>
    </w:rPr>
  </w:style>
  <w:style w:type="paragraph" w:customStyle="1" w:styleId="181">
    <w:name w:val="扉页"/>
    <w:basedOn w:val="1"/>
    <w:next w:val="1"/>
    <w:qFormat/>
    <w:uiPriority w:val="99"/>
    <w:pPr>
      <w:widowControl/>
      <w:tabs>
        <w:tab w:val="left" w:pos="420"/>
      </w:tabs>
      <w:topLinePunct w:val="0"/>
      <w:adjustRightInd/>
      <w:snapToGrid/>
      <w:spacing w:line="240" w:lineRule="auto"/>
      <w:ind w:firstLine="0" w:firstLineChars="0"/>
    </w:pPr>
    <w:rPr>
      <w:rFonts w:eastAsia="黑体"/>
      <w:kern w:val="2"/>
      <w:sz w:val="28"/>
      <w:szCs w:val="28"/>
    </w:rPr>
  </w:style>
  <w:style w:type="paragraph" w:customStyle="1" w:styleId="182">
    <w:name w:val="xl105"/>
    <w:basedOn w:val="1"/>
    <w:qFormat/>
    <w:uiPriority w:val="0"/>
    <w:pPr>
      <w:widowControl/>
      <w:pBdr>
        <w:top w:val="single" w:color="auto" w:sz="4" w:space="0"/>
        <w:bottom w:val="single" w:color="auto" w:sz="4" w:space="0"/>
        <w:right w:val="single" w:color="auto" w:sz="4" w:space="0"/>
      </w:pBdr>
      <w:topLinePunct w:val="0"/>
      <w:adjustRightInd/>
      <w:snapToGrid/>
      <w:spacing w:before="100" w:beforeAutospacing="1" w:after="100" w:afterAutospacing="1" w:line="240" w:lineRule="auto"/>
      <w:ind w:firstLine="0" w:firstLineChars="0"/>
      <w:jc w:val="center"/>
    </w:pPr>
    <w:rPr>
      <w:sz w:val="20"/>
      <w:szCs w:val="20"/>
    </w:rPr>
  </w:style>
  <w:style w:type="paragraph" w:customStyle="1" w:styleId="183">
    <w:name w:val="xl106"/>
    <w:basedOn w:val="1"/>
    <w:qFormat/>
    <w:uiPriority w:val="0"/>
    <w:pPr>
      <w:widowControl/>
      <w:pBdr>
        <w:top w:val="single" w:color="auto" w:sz="4" w:space="0"/>
        <w:left w:val="single" w:color="auto" w:sz="4" w:space="0"/>
      </w:pBdr>
      <w:topLinePunct w:val="0"/>
      <w:adjustRightInd/>
      <w:snapToGrid/>
      <w:spacing w:before="100" w:beforeAutospacing="1" w:after="100" w:afterAutospacing="1" w:line="240" w:lineRule="auto"/>
      <w:ind w:firstLine="0" w:firstLineChars="0"/>
      <w:jc w:val="center"/>
    </w:pPr>
    <w:rPr>
      <w:rFonts w:ascii="宋体" w:hAnsi="宋体" w:cs="宋体"/>
      <w:b/>
      <w:bCs/>
      <w:sz w:val="20"/>
      <w:szCs w:val="20"/>
    </w:rPr>
  </w:style>
  <w:style w:type="paragraph" w:customStyle="1" w:styleId="184">
    <w:name w:val="xl107"/>
    <w:basedOn w:val="1"/>
    <w:qFormat/>
    <w:uiPriority w:val="0"/>
    <w:pPr>
      <w:widowControl/>
      <w:pBdr>
        <w:top w:val="single" w:color="auto" w:sz="4" w:space="0"/>
        <w:right w:val="single" w:color="auto" w:sz="4" w:space="0"/>
      </w:pBdr>
      <w:topLinePunct w:val="0"/>
      <w:adjustRightInd/>
      <w:snapToGrid/>
      <w:spacing w:before="100" w:beforeAutospacing="1" w:after="100" w:afterAutospacing="1" w:line="240" w:lineRule="auto"/>
      <w:ind w:firstLine="0" w:firstLineChars="0"/>
      <w:jc w:val="center"/>
    </w:pPr>
    <w:rPr>
      <w:b/>
      <w:bCs/>
      <w:sz w:val="20"/>
      <w:szCs w:val="20"/>
    </w:rPr>
  </w:style>
  <w:style w:type="paragraph" w:customStyle="1" w:styleId="185">
    <w:name w:val="xl108"/>
    <w:basedOn w:val="1"/>
    <w:qFormat/>
    <w:uiPriority w:val="0"/>
    <w:pPr>
      <w:widowControl/>
      <w:pBdr>
        <w:top w:val="single" w:color="auto" w:sz="4" w:space="0"/>
        <w:left w:val="single" w:color="auto" w:sz="4" w:space="0"/>
      </w:pBdr>
      <w:topLinePunct w:val="0"/>
      <w:adjustRightInd/>
      <w:snapToGrid/>
      <w:spacing w:before="100" w:beforeAutospacing="1" w:after="100" w:afterAutospacing="1" w:line="240" w:lineRule="auto"/>
      <w:ind w:firstLine="0" w:firstLineChars="0"/>
      <w:jc w:val="center"/>
    </w:pPr>
    <w:rPr>
      <w:rFonts w:ascii="宋体" w:hAnsi="宋体" w:eastAsia="宋体" w:cs="宋体"/>
      <w:b/>
      <w:bCs/>
      <w:sz w:val="20"/>
      <w:szCs w:val="20"/>
    </w:rPr>
  </w:style>
  <w:style w:type="paragraph" w:customStyle="1" w:styleId="186">
    <w:name w:val="xl109"/>
    <w:basedOn w:val="1"/>
    <w:qFormat/>
    <w:uiPriority w:val="0"/>
    <w:pPr>
      <w:widowControl/>
      <w:pBdr>
        <w:top w:val="single" w:color="auto" w:sz="4" w:space="0"/>
        <w:right w:val="single" w:color="auto" w:sz="4" w:space="0"/>
      </w:pBdr>
      <w:topLinePunct w:val="0"/>
      <w:adjustRightInd/>
      <w:snapToGrid/>
      <w:spacing w:before="100" w:beforeAutospacing="1" w:after="100" w:afterAutospacing="1" w:line="240" w:lineRule="auto"/>
      <w:ind w:firstLine="0" w:firstLineChars="0"/>
      <w:jc w:val="center"/>
    </w:pPr>
    <w:rPr>
      <w:rFonts w:eastAsia="宋体"/>
      <w:b/>
      <w:bCs/>
      <w:sz w:val="20"/>
      <w:szCs w:val="20"/>
    </w:rPr>
  </w:style>
  <w:style w:type="character" w:customStyle="1" w:styleId="187">
    <w:name w:val="页眉 Char"/>
    <w:link w:val="27"/>
    <w:qFormat/>
    <w:uiPriority w:val="0"/>
    <w:rPr>
      <w:rFonts w:ascii="Times New Roman" w:hAnsi="Times New Roman" w:eastAsia="仿宋" w:cs="Times New Roman"/>
      <w:sz w:val="18"/>
      <w:szCs w:val="18"/>
    </w:rPr>
  </w:style>
  <w:style w:type="paragraph" w:customStyle="1" w:styleId="188">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189">
    <w:name w:val="正文001"/>
    <w:basedOn w:val="1"/>
    <w:qFormat/>
    <w:uiPriority w:val="0"/>
    <w:pPr>
      <w:topLinePunct w:val="0"/>
      <w:adjustRightInd/>
      <w:snapToGrid/>
      <w:spacing w:before="60" w:line="420" w:lineRule="exact"/>
      <w:ind w:firstLine="482" w:firstLineChars="0"/>
    </w:pPr>
    <w:rPr>
      <w:rFonts w:eastAsia="仿宋_GB2312"/>
      <w:kern w:val="2"/>
      <w:szCs w:val="20"/>
    </w:rPr>
  </w:style>
  <w:style w:type="character" w:customStyle="1" w:styleId="190">
    <w:name w:val="页脚 Char"/>
    <w:basedOn w:val="42"/>
    <w:link w:val="26"/>
    <w:qFormat/>
    <w:uiPriority w:val="99"/>
    <w:rPr>
      <w:rFonts w:ascii="Times New Roman" w:hAnsi="Times New Roman" w:eastAsia="仿宋" w:cs="Times New Roman"/>
      <w:sz w:val="18"/>
      <w:szCs w:val="18"/>
    </w:rPr>
  </w:style>
  <w:style w:type="paragraph" w:customStyle="1" w:styleId="191">
    <w:name w:val="表格五号修"/>
    <w:basedOn w:val="1"/>
    <w:qFormat/>
    <w:uiPriority w:val="0"/>
    <w:pPr>
      <w:topLinePunct w:val="0"/>
      <w:adjustRightInd/>
      <w:snapToGrid/>
      <w:spacing w:line="360" w:lineRule="exact"/>
      <w:ind w:firstLine="0" w:firstLineChars="0"/>
    </w:pPr>
    <w:rPr>
      <w:rFonts w:eastAsia="宋体"/>
      <w:color w:val="000000"/>
      <w:kern w:val="2"/>
    </w:rPr>
  </w:style>
  <w:style w:type="paragraph" w:customStyle="1" w:styleId="192">
    <w:name w:val="表头"/>
    <w:basedOn w:val="1"/>
    <w:link w:val="213"/>
    <w:qFormat/>
    <w:uiPriority w:val="0"/>
    <w:pPr>
      <w:widowControl/>
      <w:topLinePunct w:val="0"/>
      <w:spacing w:line="240" w:lineRule="auto"/>
      <w:ind w:firstLine="0" w:firstLineChars="0"/>
      <w:jc w:val="center"/>
      <w:outlineLvl w:val="6"/>
    </w:pPr>
    <w:rPr>
      <w:rFonts w:eastAsia="仿宋_GB2312"/>
      <w:b/>
      <w:bCs/>
      <w:szCs w:val="21"/>
    </w:rPr>
  </w:style>
  <w:style w:type="paragraph" w:customStyle="1" w:styleId="193">
    <w:name w:val="表格内容2"/>
    <w:basedOn w:val="1"/>
    <w:qFormat/>
    <w:uiPriority w:val="0"/>
    <w:pPr>
      <w:topLinePunct w:val="0"/>
      <w:autoSpaceDE w:val="0"/>
      <w:autoSpaceDN w:val="0"/>
      <w:snapToGrid/>
      <w:spacing w:line="240" w:lineRule="auto"/>
      <w:ind w:firstLine="0" w:firstLineChars="0"/>
      <w:jc w:val="center"/>
    </w:pPr>
    <w:rPr>
      <w:rFonts w:eastAsia="仿宋_GB2312"/>
      <w:spacing w:val="-2"/>
      <w:sz w:val="21"/>
      <w:szCs w:val="21"/>
    </w:rPr>
  </w:style>
  <w:style w:type="character" w:customStyle="1" w:styleId="194">
    <w:name w:val="正文缩进 字符"/>
    <w:qFormat/>
    <w:uiPriority w:val="0"/>
    <w:rPr>
      <w:rFonts w:eastAsia="宋体"/>
      <w:kern w:val="2"/>
      <w:sz w:val="21"/>
      <w:szCs w:val="24"/>
      <w:lang w:val="en-US" w:eastAsia="zh-CN" w:bidi="ar-SA"/>
    </w:rPr>
  </w:style>
  <w:style w:type="character" w:customStyle="1" w:styleId="195">
    <w:name w:val="样式1 Char Char"/>
    <w:link w:val="196"/>
    <w:qFormat/>
    <w:uiPriority w:val="0"/>
    <w:rPr>
      <w:rFonts w:ascii="黑体" w:eastAsia="黑体"/>
      <w:color w:val="000000"/>
      <w:kern w:val="2"/>
      <w:sz w:val="24"/>
      <w:szCs w:val="24"/>
    </w:rPr>
  </w:style>
  <w:style w:type="paragraph" w:customStyle="1" w:styleId="196">
    <w:name w:val="样式1"/>
    <w:basedOn w:val="1"/>
    <w:link w:val="195"/>
    <w:qFormat/>
    <w:uiPriority w:val="0"/>
    <w:pPr>
      <w:topLinePunct w:val="0"/>
      <w:adjustRightInd/>
      <w:snapToGrid/>
      <w:ind w:firstLine="480"/>
    </w:pPr>
    <w:rPr>
      <w:rFonts w:ascii="黑体" w:hAnsi="Calibri" w:eastAsia="黑体" w:cs="Calibri"/>
      <w:color w:val="000000"/>
      <w:kern w:val="2"/>
    </w:rPr>
  </w:style>
  <w:style w:type="paragraph" w:customStyle="1" w:styleId="197">
    <w:name w:val="样式 普通文字 + (符号) 宋体 小四"/>
    <w:basedOn w:val="22"/>
    <w:qFormat/>
    <w:uiPriority w:val="0"/>
    <w:pPr>
      <w:topLinePunct w:val="0"/>
      <w:adjustRightInd/>
      <w:snapToGrid/>
    </w:pPr>
    <w:rPr>
      <w:rFonts w:eastAsia="宋体" w:cs="Times New Roman"/>
      <w:sz w:val="24"/>
      <w:szCs w:val="20"/>
    </w:rPr>
  </w:style>
  <w:style w:type="character" w:customStyle="1" w:styleId="198">
    <w:name w:val="Char Char5"/>
    <w:qFormat/>
    <w:locked/>
    <w:uiPriority w:val="0"/>
    <w:rPr>
      <w:rFonts w:ascii="Arial" w:hAnsi="Arial" w:eastAsia="宋体"/>
      <w:b/>
      <w:bCs/>
      <w:sz w:val="24"/>
      <w:szCs w:val="24"/>
      <w:lang w:val="en-US" w:eastAsia="zh-CN" w:bidi="ar-SA"/>
    </w:rPr>
  </w:style>
  <w:style w:type="character" w:customStyle="1" w:styleId="199">
    <w:name w:val="纯文本 字符"/>
    <w:qFormat/>
    <w:uiPriority w:val="0"/>
    <w:rPr>
      <w:rFonts w:ascii="宋体" w:hAnsi="ISOCT" w:eastAsia="宋体"/>
      <w:kern w:val="2"/>
      <w:sz w:val="21"/>
      <w:szCs w:val="21"/>
      <w:lang w:val="en-US" w:eastAsia="zh-CN" w:bidi="ar-SA"/>
    </w:rPr>
  </w:style>
  <w:style w:type="character" w:customStyle="1" w:styleId="200">
    <w:name w:val="正文文本缩进 3 Char"/>
    <w:basedOn w:val="42"/>
    <w:link w:val="33"/>
    <w:qFormat/>
    <w:uiPriority w:val="0"/>
    <w:rPr>
      <w:rFonts w:ascii="Times New Roman" w:hAnsi="Times New Roman" w:eastAsia="仿宋" w:cs="Times New Roman"/>
      <w:sz w:val="16"/>
      <w:szCs w:val="16"/>
    </w:rPr>
  </w:style>
  <w:style w:type="character" w:customStyle="1" w:styleId="201">
    <w:name w:val="正文 宋体 小四 Char"/>
    <w:link w:val="202"/>
    <w:qFormat/>
    <w:uiPriority w:val="0"/>
    <w:rPr>
      <w:rFonts w:ascii="宋体" w:hAnsi="宋体"/>
      <w:kern w:val="2"/>
      <w:sz w:val="24"/>
    </w:rPr>
  </w:style>
  <w:style w:type="paragraph" w:customStyle="1" w:styleId="202">
    <w:name w:val="正文 宋体 小四"/>
    <w:basedOn w:val="1"/>
    <w:link w:val="201"/>
    <w:qFormat/>
    <w:uiPriority w:val="0"/>
    <w:pPr>
      <w:topLinePunct w:val="0"/>
      <w:adjustRightInd/>
      <w:snapToGrid/>
      <w:ind w:firstLine="480" w:firstLineChars="0"/>
    </w:pPr>
    <w:rPr>
      <w:rFonts w:ascii="宋体" w:hAnsi="宋体" w:eastAsia="宋体" w:cs="Calibri"/>
      <w:kern w:val="2"/>
      <w:szCs w:val="20"/>
    </w:rPr>
  </w:style>
  <w:style w:type="paragraph" w:customStyle="1" w:styleId="203">
    <w:name w:val="TOC 标题1"/>
    <w:basedOn w:val="2"/>
    <w:next w:val="1"/>
    <w:semiHidden/>
    <w:unhideWhenUsed/>
    <w:qFormat/>
    <w:uiPriority w:val="39"/>
    <w:pPr>
      <w:pageBreakBefore w:val="0"/>
      <w:widowControl/>
      <w:tabs>
        <w:tab w:val="clear" w:pos="432"/>
      </w:tabs>
      <w:topLinePunct w:val="0"/>
      <w:adjustRightInd/>
      <w:snapToGrid/>
      <w:spacing w:before="480" w:line="276" w:lineRule="auto"/>
      <w:outlineLvl w:val="9"/>
    </w:pPr>
    <w:rPr>
      <w:rFonts w:asciiTheme="majorHAnsi" w:hAnsiTheme="majorHAnsi" w:eastAsiaTheme="majorEastAsia" w:cstheme="majorBidi"/>
      <w:color w:val="366091" w:themeColor="accent1" w:themeShade="BF"/>
      <w:sz w:val="28"/>
      <w:szCs w:val="28"/>
    </w:rPr>
  </w:style>
  <w:style w:type="character" w:customStyle="1" w:styleId="204">
    <w:name w:val="Char Char30"/>
    <w:qFormat/>
    <w:uiPriority w:val="0"/>
    <w:rPr>
      <w:b/>
      <w:bCs/>
      <w:sz w:val="24"/>
      <w:szCs w:val="24"/>
      <w:lang w:val="zh-CN"/>
    </w:rPr>
  </w:style>
  <w:style w:type="paragraph" w:customStyle="1" w:styleId="205">
    <w:name w:val="正文宋体"/>
    <w:basedOn w:val="1"/>
    <w:qFormat/>
    <w:uiPriority w:val="0"/>
    <w:pPr>
      <w:widowControl/>
      <w:topLinePunct w:val="0"/>
      <w:adjustRightInd/>
      <w:snapToGrid/>
      <w:spacing w:line="300" w:lineRule="auto"/>
      <w:ind w:firstLine="0" w:firstLineChars="0"/>
      <w:jc w:val="left"/>
    </w:pPr>
    <w:rPr>
      <w:rFonts w:ascii="宋体" w:hAnsi="宋体" w:eastAsia="宋体" w:cs="宋体"/>
      <w:sz w:val="28"/>
      <w:szCs w:val="20"/>
    </w:rPr>
  </w:style>
  <w:style w:type="paragraph" w:customStyle="1" w:styleId="206">
    <w:name w:val="标题4   改 Char Char Char"/>
    <w:basedOn w:val="1"/>
    <w:semiHidden/>
    <w:qFormat/>
    <w:uiPriority w:val="0"/>
    <w:pPr>
      <w:topLinePunct w:val="0"/>
      <w:adjustRightInd/>
      <w:spacing w:line="240" w:lineRule="atLeast"/>
      <w:ind w:firstLine="0" w:firstLineChars="0"/>
      <w:jc w:val="center"/>
    </w:pPr>
    <w:rPr>
      <w:rFonts w:eastAsia="宋体"/>
      <w:color w:val="000000"/>
      <w:kern w:val="2"/>
      <w:sz w:val="21"/>
      <w:szCs w:val="21"/>
    </w:rPr>
  </w:style>
  <w:style w:type="paragraph" w:customStyle="1" w:styleId="207">
    <w:name w:val="p0"/>
    <w:basedOn w:val="1"/>
    <w:qFormat/>
    <w:uiPriority w:val="0"/>
    <w:pPr>
      <w:widowControl/>
      <w:topLinePunct w:val="0"/>
      <w:adjustRightInd/>
      <w:snapToGrid/>
      <w:spacing w:line="240" w:lineRule="auto"/>
      <w:ind w:firstLine="0" w:firstLineChars="0"/>
    </w:pPr>
    <w:rPr>
      <w:rFonts w:eastAsia="宋体"/>
      <w:sz w:val="21"/>
      <w:szCs w:val="21"/>
    </w:rPr>
  </w:style>
  <w:style w:type="character" w:customStyle="1" w:styleId="208">
    <w:name w:val="style131"/>
    <w:qFormat/>
    <w:uiPriority w:val="0"/>
    <w:rPr>
      <w:rFonts w:eastAsia="宋体"/>
      <w:color w:val="FF0000"/>
      <w:kern w:val="2"/>
      <w:sz w:val="21"/>
      <w:szCs w:val="21"/>
      <w:lang w:val="en-US" w:eastAsia="zh-CN" w:bidi="ar-SA"/>
    </w:rPr>
  </w:style>
  <w:style w:type="character" w:customStyle="1" w:styleId="209">
    <w:name w:val="1文本正文 Char"/>
    <w:link w:val="210"/>
    <w:qFormat/>
    <w:uiPriority w:val="0"/>
    <w:rPr>
      <w:color w:val="000000"/>
      <w:kern w:val="2"/>
      <w:sz w:val="24"/>
      <w:szCs w:val="24"/>
    </w:rPr>
  </w:style>
  <w:style w:type="paragraph" w:customStyle="1" w:styleId="210">
    <w:name w:val="1文本正文"/>
    <w:basedOn w:val="1"/>
    <w:link w:val="209"/>
    <w:qFormat/>
    <w:uiPriority w:val="0"/>
    <w:pPr>
      <w:topLinePunct w:val="0"/>
      <w:adjustRightInd/>
      <w:snapToGrid/>
      <w:spacing w:line="427" w:lineRule="exact"/>
    </w:pPr>
    <w:rPr>
      <w:rFonts w:ascii="Calibri" w:hAnsi="Calibri" w:eastAsia="宋体" w:cs="Calibri"/>
      <w:color w:val="000000"/>
      <w:kern w:val="2"/>
    </w:rPr>
  </w:style>
  <w:style w:type="character" w:customStyle="1" w:styleId="211">
    <w:name w:val="页眉 字符"/>
    <w:semiHidden/>
    <w:qFormat/>
    <w:locked/>
    <w:uiPriority w:val="0"/>
    <w:rPr>
      <w:rFonts w:eastAsia="宋体"/>
      <w:color w:val="000000"/>
      <w:kern w:val="2"/>
      <w:sz w:val="18"/>
      <w:szCs w:val="18"/>
      <w:lang w:val="en-US" w:eastAsia="zh-CN" w:bidi="ar-SA"/>
    </w:rPr>
  </w:style>
  <w:style w:type="character" w:customStyle="1" w:styleId="212">
    <w:name w:val="样式1 Char"/>
    <w:qFormat/>
    <w:uiPriority w:val="0"/>
    <w:rPr>
      <w:rFonts w:ascii="宋体" w:hAnsi="宋体" w:eastAsia="宋体"/>
      <w:snapToGrid w:val="0"/>
      <w:color w:val="000000"/>
      <w:sz w:val="24"/>
      <w:szCs w:val="24"/>
      <w:lang w:val="en-US" w:eastAsia="zh-CN" w:bidi="ar-SA"/>
    </w:rPr>
  </w:style>
  <w:style w:type="character" w:customStyle="1" w:styleId="213">
    <w:name w:val="表头 Char2"/>
    <w:link w:val="192"/>
    <w:qFormat/>
    <w:uiPriority w:val="0"/>
    <w:rPr>
      <w:rFonts w:ascii="Times New Roman" w:hAnsi="Times New Roman" w:eastAsia="仿宋_GB2312" w:cs="Times New Roman"/>
      <w:b/>
      <w:bCs/>
      <w:sz w:val="24"/>
      <w:szCs w:val="21"/>
    </w:rPr>
  </w:style>
  <w:style w:type="paragraph" w:customStyle="1" w:styleId="214">
    <w:name w:val="表中"/>
    <w:basedOn w:val="13"/>
    <w:qFormat/>
    <w:uiPriority w:val="0"/>
    <w:pPr>
      <w:tabs>
        <w:tab w:val="left" w:pos="567"/>
      </w:tabs>
      <w:adjustRightInd w:val="0"/>
      <w:snapToGrid w:val="0"/>
      <w:spacing w:line="240" w:lineRule="atLeast"/>
      <w:ind w:right="-57" w:firstLine="0" w:firstLineChars="0"/>
      <w:jc w:val="center"/>
      <w:textAlignment w:val="top"/>
    </w:pPr>
    <w:rPr>
      <w:rFonts w:eastAsia="宋体"/>
      <w:snapToGrid w:val="0"/>
      <w:color w:val="000000"/>
      <w:kern w:val="0"/>
      <w:sz w:val="21"/>
      <w:szCs w:val="21"/>
    </w:rPr>
  </w:style>
  <w:style w:type="character" w:customStyle="1" w:styleId="215">
    <w:name w:val="font31"/>
    <w:basedOn w:val="42"/>
    <w:qFormat/>
    <w:uiPriority w:val="0"/>
    <w:rPr>
      <w:rFonts w:hint="default" w:ascii="Times New Roman" w:hAnsi="Times New Roman" w:cs="Times New Roman"/>
      <w:b/>
      <w:bCs/>
      <w:color w:val="000000"/>
      <w:sz w:val="21"/>
      <w:szCs w:val="21"/>
      <w:u w:val="none"/>
    </w:rPr>
  </w:style>
  <w:style w:type="character" w:customStyle="1" w:styleId="216">
    <w:name w:val="font21"/>
    <w:basedOn w:val="42"/>
    <w:qFormat/>
    <w:uiPriority w:val="0"/>
    <w:rPr>
      <w:rFonts w:hint="default" w:ascii="Times New Roman" w:hAnsi="Times New Roman" w:cs="Times New Roman"/>
      <w:b/>
      <w:bCs/>
      <w:color w:val="000000"/>
      <w:sz w:val="21"/>
      <w:szCs w:val="21"/>
      <w:u w:val="none"/>
      <w:vertAlign w:val="superscript"/>
    </w:rPr>
  </w:style>
  <w:style w:type="character" w:customStyle="1" w:styleId="217">
    <w:name w:val="font91"/>
    <w:basedOn w:val="42"/>
    <w:qFormat/>
    <w:uiPriority w:val="0"/>
    <w:rPr>
      <w:rFonts w:hint="eastAsia" w:ascii="宋体" w:hAnsi="宋体" w:eastAsia="宋体"/>
      <w:color w:val="000000"/>
      <w:sz w:val="22"/>
      <w:szCs w:val="22"/>
      <w:u w:val="none"/>
    </w:rPr>
  </w:style>
  <w:style w:type="character" w:customStyle="1" w:styleId="218">
    <w:name w:val="font71"/>
    <w:basedOn w:val="42"/>
    <w:qFormat/>
    <w:uiPriority w:val="0"/>
    <w:rPr>
      <w:rFonts w:hint="default" w:ascii="Times New Roman" w:hAnsi="Times New Roman" w:cs="Times New Roman"/>
      <w:color w:val="000000"/>
      <w:sz w:val="22"/>
      <w:szCs w:val="22"/>
      <w:u w:val="none"/>
    </w:rPr>
  </w:style>
  <w:style w:type="character" w:customStyle="1" w:styleId="219">
    <w:name w:val="font01"/>
    <w:basedOn w:val="42"/>
    <w:qFormat/>
    <w:uiPriority w:val="0"/>
    <w:rPr>
      <w:rFonts w:hint="eastAsia" w:ascii="宋体" w:hAnsi="宋体" w:eastAsia="宋体"/>
      <w:color w:val="000000"/>
      <w:sz w:val="22"/>
      <w:szCs w:val="22"/>
      <w:u w:val="none"/>
    </w:rPr>
  </w:style>
  <w:style w:type="character" w:customStyle="1" w:styleId="220">
    <w:name w:val="font61"/>
    <w:basedOn w:val="42"/>
    <w:qFormat/>
    <w:uiPriority w:val="0"/>
    <w:rPr>
      <w:rFonts w:hint="eastAsia" w:ascii="仿宋_GB2312" w:eastAsia="仿宋_GB2312"/>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header" Target="header2.xml"/><Relationship Id="rId49" Type="http://schemas.openxmlformats.org/officeDocument/2006/relationships/fontTable" Target="fontTable.xml"/><Relationship Id="rId48" Type="http://schemas.openxmlformats.org/officeDocument/2006/relationships/customXml" Target="../customXml/item2.xml"/><Relationship Id="rId47" Type="http://schemas.openxmlformats.org/officeDocument/2006/relationships/numbering" Target="numbering.xml"/><Relationship Id="rId46" Type="http://schemas.openxmlformats.org/officeDocument/2006/relationships/customXml" Target="../customXml/item1.xml"/><Relationship Id="rId45" Type="http://schemas.openxmlformats.org/officeDocument/2006/relationships/image" Target="media/image15.emf"/><Relationship Id="rId44" Type="http://schemas.openxmlformats.org/officeDocument/2006/relationships/oleObject" Target="embeddings/oleObject4.bin"/><Relationship Id="rId43" Type="http://schemas.openxmlformats.org/officeDocument/2006/relationships/chart" Target="charts/chart2.xml"/><Relationship Id="rId42" Type="http://schemas.openxmlformats.org/officeDocument/2006/relationships/chart" Target="charts/chart1.xml"/><Relationship Id="rId41" Type="http://schemas.openxmlformats.org/officeDocument/2006/relationships/image" Target="media/image14.wmf"/><Relationship Id="rId40" Type="http://schemas.openxmlformats.org/officeDocument/2006/relationships/oleObject" Target="embeddings/oleObject3.bin"/><Relationship Id="rId4" Type="http://schemas.openxmlformats.org/officeDocument/2006/relationships/footer" Target="footer1.xml"/><Relationship Id="rId39" Type="http://schemas.openxmlformats.org/officeDocument/2006/relationships/image" Target="media/image13.wmf"/><Relationship Id="rId38" Type="http://schemas.openxmlformats.org/officeDocument/2006/relationships/oleObject" Target="embeddings/oleObject2.bin"/><Relationship Id="rId37" Type="http://schemas.openxmlformats.org/officeDocument/2006/relationships/image" Target="media/image12.jpeg"/><Relationship Id="rId36" Type="http://schemas.openxmlformats.org/officeDocument/2006/relationships/image" Target="media/image11.png"/><Relationship Id="rId35" Type="http://schemas.openxmlformats.org/officeDocument/2006/relationships/image" Target="media/image10.jpeg"/><Relationship Id="rId34" Type="http://schemas.openxmlformats.org/officeDocument/2006/relationships/image" Target="media/image9.jpeg"/><Relationship Id="rId33" Type="http://schemas.openxmlformats.org/officeDocument/2006/relationships/image" Target="media/image8.emf"/><Relationship Id="rId32" Type="http://schemas.openxmlformats.org/officeDocument/2006/relationships/oleObject" Target="embeddings/oleObject1.bin"/><Relationship Id="rId31" Type="http://schemas.openxmlformats.org/officeDocument/2006/relationships/image" Target="media/image7.png"/><Relationship Id="rId30" Type="http://schemas.openxmlformats.org/officeDocument/2006/relationships/image" Target="media/image6.png"/><Relationship Id="rId3" Type="http://schemas.openxmlformats.org/officeDocument/2006/relationships/header" Target="header1.xml"/><Relationship Id="rId29" Type="http://schemas.openxmlformats.org/officeDocument/2006/relationships/image" Target="media/image5.jpeg"/><Relationship Id="rId28" Type="http://schemas.openxmlformats.org/officeDocument/2006/relationships/image" Target="media/image4.jpeg"/><Relationship Id="rId27" Type="http://schemas.openxmlformats.org/officeDocument/2006/relationships/image" Target="media/image3.jpeg"/><Relationship Id="rId26" Type="http://schemas.openxmlformats.org/officeDocument/2006/relationships/image" Target="media/image2.jpeg"/><Relationship Id="rId25" Type="http://schemas.openxmlformats.org/officeDocument/2006/relationships/image" Target="media/image1.jpeg"/><Relationship Id="rId24" Type="http://schemas.openxmlformats.org/officeDocument/2006/relationships/theme" Target="theme/theme1.xml"/><Relationship Id="rId23" Type="http://schemas.openxmlformats.org/officeDocument/2006/relationships/header" Target="header14.xml"/><Relationship Id="rId22" Type="http://schemas.openxmlformats.org/officeDocument/2006/relationships/header" Target="header13.xml"/><Relationship Id="rId21" Type="http://schemas.openxmlformats.org/officeDocument/2006/relationships/footer" Target="footer7.xml"/><Relationship Id="rId20" Type="http://schemas.openxmlformats.org/officeDocument/2006/relationships/footer" Target="footer6.xml"/><Relationship Id="rId2" Type="http://schemas.openxmlformats.org/officeDocument/2006/relationships/settings" Target="settings.xml"/><Relationship Id="rId19" Type="http://schemas.openxmlformats.org/officeDocument/2006/relationships/header" Target="header12.xml"/><Relationship Id="rId18" Type="http://schemas.openxmlformats.org/officeDocument/2006/relationships/header" Target="header11.xml"/><Relationship Id="rId17" Type="http://schemas.openxmlformats.org/officeDocument/2006/relationships/header" Target="header10.xml"/><Relationship Id="rId16" Type="http://schemas.openxmlformats.org/officeDocument/2006/relationships/header" Target="header9.xml"/><Relationship Id="rId15" Type="http://schemas.openxmlformats.org/officeDocument/2006/relationships/header" Target="header8.xml"/><Relationship Id="rId14" Type="http://schemas.openxmlformats.org/officeDocument/2006/relationships/header" Target="header7.xml"/><Relationship Id="rId13" Type="http://schemas.openxmlformats.org/officeDocument/2006/relationships/header" Target="header6.xml"/><Relationship Id="rId12" Type="http://schemas.openxmlformats.org/officeDocument/2006/relationships/footer" Target="footer5.xml"/><Relationship Id="rId11" Type="http://schemas.openxmlformats.org/officeDocument/2006/relationships/header" Target="header5.xml"/><Relationship Id="rId10" Type="http://schemas.openxmlformats.org/officeDocument/2006/relationships/header" Target="header4.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Desktop\&#21644;&#30000;&#39033;&#30446;\&#27700;&#22303;&#20445;&#25345;\&#26032;&#30086;&#29983;&#20135;&#24314;&#35774;&#20853;&#22242;&#31532;&#21313;&#22235;&#24072;&#26118;&#29577;&#24066;&#32769;&#26087;&#23567;&#21306;&#65288;&#22825;&#32724;&#12289;&#26126;&#29664;&#23567;&#21306;&#65289;&#32473;&#27700;&#31649;&#32593;&#25913;&#36896;&#24037;&#31243;\&#32769;&#26087;&#23567;&#21306;&#65288;&#22825;&#32724;&#12289;&#26126;&#29664;&#23567;&#21306;&#65289;&#32473;&#27700;&#31649;&#25913;&#36896;&#24213;&#31295;-9.5.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user\Desktop\&#21644;&#30000;&#39033;&#30446;\&#27700;&#22303;&#20445;&#25345;\&#26032;&#30086;&#29983;&#20135;&#24314;&#35774;&#20853;&#22242;&#31532;&#21313;&#22235;&#24072;&#26118;&#29577;&#24066;&#32769;&#26087;&#23567;&#21306;&#65288;&#22825;&#32724;&#12289;&#26126;&#29664;&#23567;&#21306;&#65289;&#32473;&#27700;&#31649;&#32593;&#25913;&#36896;&#24037;&#31243;\&#32769;&#26087;&#23567;&#21306;&#65288;&#22825;&#32724;&#12289;&#26126;&#29664;&#23567;&#21306;&#65289;&#32473;&#27700;&#31649;&#25913;&#36896;&#24213;&#31295;-9.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'[老旧小区（天翔、明珠小区）给水管改造底稿-9.5.xlsx]面积土石方'!$E$69</c:f>
              <c:strCache>
                <c:ptCount val="1"/>
                <c:pt idx="0">
                  <c:v>管道工程区</c:v>
                </c:pt>
              </c:strCache>
            </c:strRef>
          </c:tx>
          <c:invertIfNegative val="0"/>
          <c:dLbls>
            <c:delete val="1"/>
          </c:dLbls>
          <c:cat>
            <c:strRef>
              <c:f>'[老旧小区（天翔、明珠小区）给水管改造底稿-9.5.xlsx]面积土石方'!$F$68:$H$68</c:f>
              <c:strCache>
                <c:ptCount val="3"/>
                <c:pt idx="0">
                  <c:v>背景流失量(t)</c:v>
                </c:pt>
                <c:pt idx="1">
                  <c:v>预测流失量(t)</c:v>
                </c:pt>
                <c:pt idx="2">
                  <c:v>新增流失量(t)</c:v>
                </c:pt>
              </c:strCache>
            </c:strRef>
          </c:cat>
          <c:val>
            <c:numRef>
              <c:f>'[老旧小区（天翔、明珠小区）给水管改造底稿-9.5.xlsx]面积土石方'!$F$69:$H$69</c:f>
              <c:numCache>
                <c:formatCode>0_ </c:formatCode>
                <c:ptCount val="3"/>
                <c:pt idx="0">
                  <c:v>52.149</c:v>
                </c:pt>
                <c:pt idx="1">
                  <c:v>84.947</c:v>
                </c:pt>
                <c:pt idx="2">
                  <c:v>32.798</c:v>
                </c:pt>
              </c:numCache>
            </c:numRef>
          </c:val>
        </c:ser>
        <c:ser>
          <c:idx val="1"/>
          <c:order val="1"/>
          <c:tx>
            <c:strRef>
              <c:f>'[老旧小区（天翔、明珠小区）给水管改造底稿-9.5.xlsx]面积土石方'!$E$70</c:f>
              <c:strCache>
                <c:ptCount val="1"/>
                <c:pt idx="0">
                  <c:v>附属构筑物区</c:v>
                </c:pt>
              </c:strCache>
            </c:strRef>
          </c:tx>
          <c:invertIfNegative val="0"/>
          <c:dLbls>
            <c:delete val="1"/>
          </c:dLbls>
          <c:cat>
            <c:strRef>
              <c:f>'[老旧小区（天翔、明珠小区）给水管改造底稿-9.5.xlsx]面积土石方'!$F$68:$H$68</c:f>
              <c:strCache>
                <c:ptCount val="3"/>
                <c:pt idx="0">
                  <c:v>背景流失量(t)</c:v>
                </c:pt>
                <c:pt idx="1">
                  <c:v>预测流失量(t)</c:v>
                </c:pt>
                <c:pt idx="2">
                  <c:v>新增流失量(t)</c:v>
                </c:pt>
              </c:strCache>
            </c:strRef>
          </c:cat>
          <c:val>
            <c:numRef>
              <c:f>'[老旧小区（天翔、明珠小区）给水管改造底稿-9.5.xlsx]面积土石方'!$F$70:$H$70</c:f>
              <c:numCache>
                <c:formatCode>0_ </c:formatCode>
                <c:ptCount val="3"/>
                <c:pt idx="0">
                  <c:v>7.443</c:v>
                </c:pt>
                <c:pt idx="1">
                  <c:v>10.629</c:v>
                </c:pt>
                <c:pt idx="2">
                  <c:v>3.186</c:v>
                </c:pt>
              </c:numCache>
            </c:numRef>
          </c:val>
        </c:ser>
        <c:dLbls>
          <c:showLegendKey val="0"/>
          <c:showVal val="0"/>
          <c:showCatName val="0"/>
          <c:showSerName val="0"/>
          <c:showPercent val="0"/>
          <c:showBubbleSize val="0"/>
        </c:dLbls>
        <c:gapWidth val="150"/>
        <c:axId val="265083136"/>
        <c:axId val="265129984"/>
      </c:barChart>
      <c:catAx>
        <c:axId val="265083136"/>
        <c:scaling>
          <c:orientation val="minMax"/>
        </c:scaling>
        <c:delete val="0"/>
        <c:axPos val="b"/>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65129984"/>
        <c:crosses val="autoZero"/>
        <c:auto val="1"/>
        <c:lblAlgn val="ctr"/>
        <c:lblOffset val="100"/>
        <c:noMultiLvlLbl val="0"/>
      </c:catAx>
      <c:valAx>
        <c:axId val="265129984"/>
        <c:scaling>
          <c:orientation val="minMax"/>
        </c:scaling>
        <c:delete val="0"/>
        <c:axPos val="l"/>
        <c:majorGridlines/>
        <c:numFmt formatCode="0_ "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65083136"/>
        <c:crosses val="autoZero"/>
        <c:crossBetween val="between"/>
      </c:valAx>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面积土石方!$F$75</c:f>
              <c:strCache>
                <c:ptCount val="1"/>
                <c:pt idx="0">
                  <c:v>施工期</c:v>
                </c:pt>
              </c:strCache>
            </c:strRef>
          </c:tx>
          <c:invertIfNegative val="0"/>
          <c:dLbls>
            <c:delete val="1"/>
          </c:dLbls>
          <c:cat>
            <c:strRef>
              <c:f>面积土石方!$E$76:$E$77</c:f>
              <c:strCache>
                <c:ptCount val="2"/>
                <c:pt idx="0">
                  <c:v>管道工程区</c:v>
                </c:pt>
                <c:pt idx="1">
                  <c:v>附属构筑物区</c:v>
                </c:pt>
              </c:strCache>
            </c:strRef>
          </c:cat>
          <c:val>
            <c:numRef>
              <c:f>面积土石方!$F$76:$F$77</c:f>
              <c:numCache>
                <c:formatCode>0_ </c:formatCode>
                <c:ptCount val="2"/>
                <c:pt idx="0">
                  <c:v>21.798</c:v>
                </c:pt>
                <c:pt idx="1">
                  <c:v>1.386</c:v>
                </c:pt>
              </c:numCache>
            </c:numRef>
          </c:val>
        </c:ser>
        <c:ser>
          <c:idx val="1"/>
          <c:order val="1"/>
          <c:tx>
            <c:strRef>
              <c:f>面积土石方!$G$75</c:f>
              <c:strCache>
                <c:ptCount val="1"/>
                <c:pt idx="0">
                  <c:v>自然恢复期</c:v>
                </c:pt>
              </c:strCache>
            </c:strRef>
          </c:tx>
          <c:invertIfNegative val="0"/>
          <c:dLbls>
            <c:delete val="1"/>
          </c:dLbls>
          <c:cat>
            <c:strRef>
              <c:f>面积土石方!$E$76:$E$77</c:f>
              <c:strCache>
                <c:ptCount val="2"/>
                <c:pt idx="0">
                  <c:v>管道工程区</c:v>
                </c:pt>
                <c:pt idx="1">
                  <c:v>附属构筑物区</c:v>
                </c:pt>
              </c:strCache>
            </c:strRef>
          </c:cat>
          <c:val>
            <c:numRef>
              <c:f>面积土石方!$G$76:$G$77</c:f>
              <c:numCache>
                <c:formatCode>0_ </c:formatCode>
                <c:ptCount val="2"/>
                <c:pt idx="0">
                  <c:v>11</c:v>
                </c:pt>
                <c:pt idx="1">
                  <c:v>1.8</c:v>
                </c:pt>
              </c:numCache>
            </c:numRef>
          </c:val>
        </c:ser>
        <c:dLbls>
          <c:showLegendKey val="0"/>
          <c:showVal val="0"/>
          <c:showCatName val="0"/>
          <c:showSerName val="0"/>
          <c:showPercent val="0"/>
          <c:showBubbleSize val="0"/>
        </c:dLbls>
        <c:gapWidth val="75"/>
        <c:axId val="117700096"/>
        <c:axId val="117701632"/>
      </c:barChart>
      <c:catAx>
        <c:axId val="117700096"/>
        <c:scaling>
          <c:orientation val="minMax"/>
        </c:scaling>
        <c:delete val="0"/>
        <c:axPos val="b"/>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17701632"/>
        <c:crosses val="autoZero"/>
        <c:auto val="1"/>
        <c:lblAlgn val="ctr"/>
        <c:lblOffset val="100"/>
        <c:noMultiLvlLbl val="0"/>
      </c:catAx>
      <c:valAx>
        <c:axId val="117701632"/>
        <c:scaling>
          <c:orientation val="minMax"/>
        </c:scaling>
        <c:delete val="0"/>
        <c:axPos val="l"/>
        <c:majorGridlines/>
        <c:numFmt formatCode="0_ " sourceLinked="1"/>
        <c:majorTickMark val="none"/>
        <c:minorTickMark val="none"/>
        <c:tickLblPos val="nextTo"/>
        <c:spPr>
          <a:ln w="9525" cap="flat" cmpd="sng" algn="ctr">
            <a:noFill/>
            <a:prstDash val="solid"/>
            <a:round/>
          </a:ln>
        </c:spPr>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17700096"/>
        <c:crosses val="autoZero"/>
        <c:crossBetween val="between"/>
      </c:valAx>
      <c:spPr>
        <a:solidFill>
          <a:schemeClr val="bg1"/>
        </a:solidFill>
        <a:ln>
          <a:noFill/>
        </a:ln>
        <a:effectLst/>
      </c:spPr>
    </c:plotArea>
    <c:legend>
      <c:legendPos val="b"/>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zh-CN"/>
      </a:pPr>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Info spid="_x0000_s1027"/>
    <customShpInfo spid="_x0000_s1050"/>
    <customShpInfo spid="_x0000_s1049"/>
    <customShpInfo spid="_x0000_s1048"/>
    <customShpInfo spid="_x0000_s1047"/>
    <customShpInfo spid="_x0000_s1046"/>
    <customShpInfo spid="_x0000_s1045"/>
    <customShpInfo spid="_x0000_s1044"/>
    <customShpInfo spid="_x0000_s1043"/>
    <customShpInfo spid="_x0000_s1039"/>
    <customShpInfo spid="_x0000_s1038"/>
    <customShpInfo spid="_x0000_s1037"/>
    <customShpInfo spid="_x0000_s1036"/>
    <customShpInfo spid="_x0000_s1035"/>
    <customShpInfo spid="_x0000_s1034"/>
    <customShpInfo spid="_x0000_s1033"/>
    <customShpInfo spid="_x0000_s1032"/>
    <customShpInfo spid="_x0000_s1031"/>
    <customShpInfo spid="_x0000_s1030"/>
    <customShpInfo spid="_x0000_s1029"/>
    <customShpInfo spid="_x0000_s1028"/>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F76C489-48AE-4A0E-8815-A3A5703EBF7C}">
  <ds:schemaRefs/>
</ds:datastoreItem>
</file>

<file path=docProps/app.xml><?xml version="1.0" encoding="utf-8"?>
<Properties xmlns="http://schemas.openxmlformats.org/officeDocument/2006/extended-properties" xmlns:vt="http://schemas.openxmlformats.org/officeDocument/2006/docPropsVTypes">
  <Template>Normal.dotm</Template>
  <Company>WwW.YlmF.CoM</Company>
  <Pages>104</Pages>
  <Words>8703</Words>
  <Characters>49608</Characters>
  <Lines>413</Lines>
  <Paragraphs>116</Paragraphs>
  <TotalTime>24</TotalTime>
  <ScaleCrop>false</ScaleCrop>
  <LinksUpToDate>false</LinksUpToDate>
  <CharactersWithSpaces>58195</CharactersWithSpaces>
  <Application>WPS Office_11.1.0.9999_F1E327BC-269C-435d-A152-05C5408002CA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2019-04-27T08:11:00Z</dcterms:created>
  <dc:creator>YlmF</dc:creator>
  <cp:lastModifiedBy>张军</cp:lastModifiedBy>
  <cp:lastPrinted>2020-10-13T03:52:56Z</cp:lastPrinted>
  <dcterms:modified xsi:type="dcterms:W3CDTF">2020-10-13T03:53:36Z</dcterms:modified>
  <dc:title>2</dc:title>
  <cp:revision>738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